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0D67D6">
      <w:pPr>
        <w:rPr>
          <w:rFonts w:hint="default" w:ascii="Times New Roman" w:hAnsi="Times New Roman" w:eastAsia="仿宋_GB2312" w:cs="Times New Roman"/>
          <w:color w:val="auto"/>
          <w:sz w:val="36"/>
          <w:szCs w:val="36"/>
        </w:rPr>
      </w:pPr>
      <w:bookmarkStart w:id="0" w:name="_Hlk57884087"/>
    </w:p>
    <w:p w14:paraId="5C2747AE">
      <w:pPr>
        <w:adjustRightInd w:val="0"/>
        <w:snapToGrid w:val="0"/>
        <w:jc w:val="center"/>
        <w:outlineLvl w:val="0"/>
        <w:rPr>
          <w:rFonts w:hint="default" w:ascii="Times New Roman" w:hAnsi="Times New Roman" w:eastAsia="方正小标宋_GBK" w:cs="Times New Roman"/>
          <w:bCs/>
          <w:color w:val="auto"/>
          <w:sz w:val="72"/>
          <w:szCs w:val="72"/>
        </w:rPr>
      </w:pPr>
    </w:p>
    <w:p w14:paraId="340DAD3F">
      <w:pPr>
        <w:pStyle w:val="11"/>
        <w:rPr>
          <w:rFonts w:hint="default"/>
          <w:color w:val="auto"/>
        </w:rPr>
      </w:pPr>
    </w:p>
    <w:p w14:paraId="5BAD435E">
      <w:pPr>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14:paraId="44D546E9">
      <w:pPr>
        <w:adjustRightInd w:val="0"/>
        <w:snapToGrid w:val="0"/>
        <w:spacing w:line="288" w:lineRule="auto"/>
        <w:jc w:val="center"/>
        <w:outlineLvl w:val="0"/>
        <w:rPr>
          <w:rFonts w:hint="default" w:ascii="仿宋" w:hAnsi="仿宋" w:eastAsia="仿宋" w:cs="仿宋"/>
          <w:bCs/>
          <w:color w:val="auto"/>
          <w:sz w:val="48"/>
          <w:szCs w:val="48"/>
          <w:highlight w:val="none"/>
          <w:lang w:val="en-US" w:eastAsia="zh-CN"/>
        </w:rPr>
      </w:pPr>
      <w:r>
        <w:rPr>
          <w:rFonts w:hint="eastAsia" w:ascii="仿宋" w:hAnsi="仿宋" w:eastAsia="仿宋" w:cs="仿宋"/>
          <w:bCs/>
          <w:color w:val="auto"/>
          <w:sz w:val="48"/>
          <w:szCs w:val="48"/>
          <w:highlight w:val="none"/>
          <w:lang w:val="en-US" w:eastAsia="zh-CN"/>
        </w:rPr>
        <w:t>污染影响类</w:t>
      </w:r>
    </w:p>
    <w:p w14:paraId="73226D90">
      <w:pPr>
        <w:adjustRightInd w:val="0"/>
        <w:snapToGrid w:val="0"/>
        <w:spacing w:line="288" w:lineRule="auto"/>
        <w:jc w:val="center"/>
        <w:outlineLvl w:val="0"/>
        <w:rPr>
          <w:rFonts w:hint="eastAsia" w:ascii="仿宋" w:hAnsi="仿宋" w:eastAsia="仿宋" w:cs="仿宋"/>
          <w:color w:val="auto"/>
          <w:kern w:val="44"/>
          <w:sz w:val="44"/>
          <w:szCs w:val="44"/>
          <w:highlight w:val="none"/>
          <w:lang w:eastAsia="zh-CN"/>
        </w:rPr>
      </w:pPr>
      <w:r>
        <w:rPr>
          <w:rFonts w:hint="eastAsia" w:ascii="仿宋" w:hAnsi="仿宋" w:eastAsia="仿宋" w:cs="仿宋"/>
          <w:bCs/>
          <w:color w:val="auto"/>
          <w:sz w:val="48"/>
          <w:szCs w:val="48"/>
          <w:highlight w:val="none"/>
          <w:lang w:eastAsia="zh-CN"/>
        </w:rPr>
        <w:t>（</w:t>
      </w:r>
      <w:r>
        <w:rPr>
          <w:rFonts w:hint="eastAsia" w:ascii="仿宋" w:hAnsi="仿宋" w:eastAsia="仿宋" w:cs="仿宋"/>
          <w:bCs/>
          <w:color w:val="auto"/>
          <w:sz w:val="48"/>
          <w:szCs w:val="48"/>
          <w:highlight w:val="none"/>
          <w:lang w:val="en-US" w:eastAsia="zh-CN"/>
        </w:rPr>
        <w:t>公示本</w:t>
      </w:r>
      <w:r>
        <w:rPr>
          <w:rFonts w:hint="eastAsia" w:ascii="仿宋" w:hAnsi="仿宋" w:eastAsia="仿宋" w:cs="仿宋"/>
          <w:bCs/>
          <w:color w:val="auto"/>
          <w:sz w:val="48"/>
          <w:szCs w:val="48"/>
          <w:highlight w:val="none"/>
          <w:lang w:eastAsia="zh-CN"/>
        </w:rPr>
        <w:t>）</w:t>
      </w:r>
    </w:p>
    <w:p w14:paraId="5CA6DFDD">
      <w:pPr>
        <w:jc w:val="center"/>
        <w:rPr>
          <w:rFonts w:hint="default" w:ascii="Times New Roman" w:hAnsi="Times New Roman" w:eastAsia="仿宋" w:cs="Times New Roman"/>
          <w:color w:val="auto"/>
          <w:sz w:val="52"/>
          <w:szCs w:val="52"/>
          <w:highlight w:val="none"/>
        </w:rPr>
      </w:pPr>
    </w:p>
    <w:p w14:paraId="5B36AF62">
      <w:pPr>
        <w:ind w:firstLine="1040"/>
        <w:rPr>
          <w:rFonts w:hint="default" w:ascii="Times New Roman" w:hAnsi="Times New Roman" w:eastAsia="仿宋" w:cs="Times New Roman"/>
          <w:color w:val="auto"/>
          <w:sz w:val="44"/>
          <w:szCs w:val="44"/>
          <w:highlight w:val="none"/>
        </w:rPr>
      </w:pPr>
    </w:p>
    <w:p w14:paraId="33C29D8B">
      <w:pPr>
        <w:pStyle w:val="11"/>
        <w:rPr>
          <w:rFonts w:hint="default"/>
          <w:color w:val="auto"/>
          <w:highlight w:val="none"/>
        </w:rPr>
      </w:pPr>
    </w:p>
    <w:p w14:paraId="15714AD4">
      <w:pPr>
        <w:adjustRightInd w:val="0"/>
        <w:snapToGrid w:val="0"/>
        <w:spacing w:before="192" w:beforeLines="80"/>
        <w:jc w:val="left"/>
        <w:rPr>
          <w:rFonts w:hint="default" w:ascii="Times New Roman" w:hAnsi="Times New Roman" w:eastAsia="宋体" w:cs="Times New Roman"/>
          <w:b/>
          <w:bCs/>
          <w:color w:val="auto"/>
          <w:sz w:val="24"/>
          <w:szCs w:val="24"/>
          <w:highlight w:val="none"/>
          <w:lang w:eastAsia="zh-CN"/>
        </w:rPr>
      </w:pPr>
    </w:p>
    <w:p w14:paraId="1DA28CC7">
      <w:pPr>
        <w:adjustRightInd w:val="0"/>
        <w:snapToGrid w:val="0"/>
        <w:spacing w:before="192" w:beforeLines="80" w:line="480" w:lineRule="auto"/>
        <w:ind w:left="0" w:leftChars="0" w:firstLine="421" w:firstLineChars="131"/>
        <w:jc w:val="left"/>
        <w:rPr>
          <w:rFonts w:hint="default" w:ascii="Times New Roman" w:hAnsi="Times New Roman" w:eastAsia="宋体" w:cs="Times New Roman"/>
          <w:b/>
          <w:bCs/>
          <w:color w:val="auto"/>
          <w:sz w:val="32"/>
          <w:szCs w:val="32"/>
          <w:highlight w:val="none"/>
          <w:lang w:val="en-US" w:eastAsia="zh-CN"/>
        </w:rPr>
      </w:pPr>
      <w:r>
        <w:rPr>
          <w:rFonts w:hint="default" w:ascii="Times New Roman" w:hAnsi="Times New Roman" w:eastAsia="宋体" w:cs="Times New Roman"/>
          <w:b/>
          <w:bCs/>
          <w:color w:val="auto"/>
          <w:sz w:val="32"/>
          <w:szCs w:val="32"/>
          <w:highlight w:val="none"/>
          <w:lang w:eastAsia="zh-CN"/>
        </w:rPr>
        <w:t>项目名称：</w:t>
      </w:r>
      <w:r>
        <w:rPr>
          <w:rFonts w:hint="eastAsia" w:cs="Times New Roman"/>
          <w:b/>
          <w:bCs/>
          <w:color w:val="auto"/>
          <w:sz w:val="32"/>
          <w:szCs w:val="32"/>
          <w:highlight w:val="none"/>
          <w:u w:val="single"/>
          <w:lang w:val="en-US" w:eastAsia="zh-CN"/>
        </w:rPr>
        <w:t xml:space="preserve">           流体管道生产扩建项目     </w:t>
      </w:r>
    </w:p>
    <w:p w14:paraId="62A003E0">
      <w:pPr>
        <w:adjustRightInd w:val="0"/>
        <w:snapToGrid w:val="0"/>
        <w:spacing w:before="192" w:beforeLines="80" w:line="480" w:lineRule="auto"/>
        <w:ind w:left="0" w:leftChars="0" w:firstLine="421" w:firstLineChars="131"/>
        <w:jc w:val="left"/>
        <w:rPr>
          <w:rFonts w:hint="default" w:ascii="Times New Roman" w:hAnsi="Times New Roman" w:eastAsia="宋体" w:cs="Times New Roman"/>
          <w:b/>
          <w:bCs/>
          <w:color w:val="auto"/>
          <w:sz w:val="32"/>
          <w:szCs w:val="32"/>
          <w:highlight w:val="none"/>
          <w:lang w:eastAsia="zh-CN"/>
        </w:rPr>
      </w:pPr>
      <w:r>
        <w:rPr>
          <w:rFonts w:hint="default" w:ascii="Times New Roman" w:hAnsi="Times New Roman" w:eastAsia="宋体" w:cs="Times New Roman"/>
          <w:b/>
          <w:bCs/>
          <w:color w:val="auto"/>
          <w:sz w:val="32"/>
          <w:szCs w:val="32"/>
          <w:highlight w:val="none"/>
          <w:lang w:eastAsia="zh-CN"/>
        </w:rPr>
        <w:t>建设单位（盖章）：</w:t>
      </w:r>
      <w:r>
        <w:rPr>
          <w:rFonts w:hint="eastAsia" w:cs="Times New Roman"/>
          <w:b/>
          <w:bCs/>
          <w:color w:val="auto"/>
          <w:sz w:val="32"/>
          <w:szCs w:val="32"/>
          <w:highlight w:val="none"/>
          <w:u w:val="single"/>
          <w:lang w:val="en-US" w:eastAsia="zh-CN"/>
        </w:rPr>
        <w:t>遂宁森帝汽配制造有限责任公司</w:t>
      </w:r>
    </w:p>
    <w:p w14:paraId="231EC0B9">
      <w:pPr>
        <w:adjustRightInd w:val="0"/>
        <w:snapToGrid w:val="0"/>
        <w:spacing w:before="192" w:beforeLines="80" w:line="480" w:lineRule="auto"/>
        <w:ind w:left="0" w:leftChars="0" w:firstLine="421" w:firstLineChars="131"/>
        <w:jc w:val="left"/>
        <w:rPr>
          <w:rFonts w:hint="default" w:ascii="Times New Roman" w:hAnsi="Times New Roman" w:eastAsia="宋体" w:cs="Times New Roman"/>
          <w:b/>
          <w:bCs/>
          <w:color w:val="auto"/>
          <w:sz w:val="32"/>
          <w:szCs w:val="32"/>
          <w:highlight w:val="none"/>
          <w:lang w:val="en-US" w:eastAsia="zh-CN"/>
        </w:rPr>
      </w:pPr>
      <w:r>
        <w:rPr>
          <w:rFonts w:hint="default" w:ascii="Times New Roman" w:hAnsi="Times New Roman" w:eastAsia="宋体" w:cs="Times New Roman"/>
          <w:b/>
          <w:bCs/>
          <w:color w:val="auto"/>
          <w:sz w:val="32"/>
          <w:szCs w:val="32"/>
          <w:highlight w:val="none"/>
          <w:lang w:eastAsia="zh-CN"/>
        </w:rPr>
        <w:t>编制日期：</w:t>
      </w:r>
      <w:r>
        <w:rPr>
          <w:rFonts w:hint="eastAsia" w:cs="Times New Roman"/>
          <w:b/>
          <w:bCs/>
          <w:color w:val="auto"/>
          <w:sz w:val="32"/>
          <w:szCs w:val="32"/>
          <w:highlight w:val="none"/>
          <w:u w:val="single"/>
          <w:lang w:val="en-US" w:eastAsia="zh-CN"/>
        </w:rPr>
        <w:t xml:space="preserve">           </w:t>
      </w:r>
      <w:r>
        <w:rPr>
          <w:rFonts w:hint="default" w:ascii="Times New Roman" w:hAnsi="Times New Roman" w:eastAsia="宋体" w:cs="Times New Roman"/>
          <w:b/>
          <w:bCs/>
          <w:color w:val="auto"/>
          <w:sz w:val="32"/>
          <w:szCs w:val="32"/>
          <w:highlight w:val="none"/>
          <w:u w:val="single"/>
          <w:lang w:val="en-US" w:eastAsia="zh-CN"/>
        </w:rPr>
        <w:t>202</w:t>
      </w:r>
      <w:r>
        <w:rPr>
          <w:rFonts w:hint="eastAsia" w:cs="Times New Roman"/>
          <w:b/>
          <w:bCs/>
          <w:color w:val="auto"/>
          <w:sz w:val="32"/>
          <w:szCs w:val="32"/>
          <w:highlight w:val="none"/>
          <w:u w:val="single"/>
          <w:lang w:val="en-US" w:eastAsia="zh-CN"/>
        </w:rPr>
        <w:t>5</w:t>
      </w:r>
      <w:r>
        <w:rPr>
          <w:rFonts w:hint="default" w:ascii="Times New Roman" w:hAnsi="Times New Roman" w:eastAsia="宋体" w:cs="Times New Roman"/>
          <w:b/>
          <w:bCs/>
          <w:color w:val="auto"/>
          <w:sz w:val="32"/>
          <w:szCs w:val="32"/>
          <w:highlight w:val="none"/>
          <w:u w:val="single"/>
          <w:lang w:val="en-US" w:eastAsia="zh-CN"/>
        </w:rPr>
        <w:t>年</w:t>
      </w:r>
      <w:r>
        <w:rPr>
          <w:rFonts w:hint="eastAsia" w:cs="Times New Roman"/>
          <w:b/>
          <w:bCs/>
          <w:color w:val="auto"/>
          <w:sz w:val="32"/>
          <w:szCs w:val="32"/>
          <w:highlight w:val="none"/>
          <w:u w:val="single"/>
          <w:lang w:val="en-US" w:eastAsia="zh-CN"/>
        </w:rPr>
        <w:t>8</w:t>
      </w:r>
      <w:r>
        <w:rPr>
          <w:rFonts w:hint="default" w:ascii="Times New Roman" w:hAnsi="Times New Roman" w:eastAsia="宋体" w:cs="Times New Roman"/>
          <w:b/>
          <w:bCs/>
          <w:color w:val="auto"/>
          <w:sz w:val="32"/>
          <w:szCs w:val="32"/>
          <w:highlight w:val="none"/>
          <w:u w:val="single"/>
          <w:lang w:val="en-US" w:eastAsia="zh-CN"/>
        </w:rPr>
        <w:t>月</w:t>
      </w:r>
      <w:r>
        <w:rPr>
          <w:rFonts w:hint="eastAsia" w:cs="Times New Roman"/>
          <w:b/>
          <w:bCs/>
          <w:color w:val="auto"/>
          <w:sz w:val="32"/>
          <w:szCs w:val="32"/>
          <w:highlight w:val="none"/>
          <w:u w:val="single"/>
          <w:lang w:val="en-US" w:eastAsia="zh-CN"/>
        </w:rPr>
        <w:t xml:space="preserve">               </w:t>
      </w:r>
    </w:p>
    <w:p w14:paraId="2A914B94">
      <w:pPr>
        <w:adjustRightInd w:val="0"/>
        <w:snapToGrid w:val="0"/>
        <w:spacing w:line="288" w:lineRule="auto"/>
        <w:ind w:firstLine="1040"/>
        <w:rPr>
          <w:rFonts w:hint="default" w:ascii="Times New Roman" w:hAnsi="Times New Roman" w:eastAsia="仿宋_GB2312" w:cs="Times New Roman"/>
          <w:color w:val="auto"/>
          <w:sz w:val="32"/>
          <w:szCs w:val="32"/>
          <w:highlight w:val="none"/>
          <w:u w:val="single"/>
        </w:rPr>
      </w:pPr>
    </w:p>
    <w:p w14:paraId="58ACC04C">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7A91B5C8">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3BF9279D">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31915C74">
      <w:pPr>
        <w:adjustRightInd w:val="0"/>
        <w:snapToGrid w:val="0"/>
        <w:spacing w:line="288" w:lineRule="auto"/>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t>中华人民共和国生态环境部制</w:t>
      </w:r>
    </w:p>
    <w:bookmarkEnd w:id="0"/>
    <w:p w14:paraId="7190C441">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0"/>
        <w:rPr>
          <w:rFonts w:hint="default" w:ascii="Times New Roman" w:hAnsi="Times New Roman" w:eastAsia="宋体" w:cs="Times New Roman"/>
          <w:b/>
          <w:bCs/>
          <w:color w:val="auto"/>
          <w:sz w:val="28"/>
          <w:szCs w:val="28"/>
          <w:highlight w:val="none"/>
          <w:u w:val="none"/>
          <w:lang w:eastAsia="zh-CN"/>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CBBEA3C">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55"/>
        <w:gridCol w:w="2114"/>
        <w:gridCol w:w="2085"/>
        <w:gridCol w:w="2916"/>
      </w:tblGrid>
      <w:tr w14:paraId="03B39E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35C381DF">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建设项目名称</w:t>
            </w:r>
          </w:p>
        </w:tc>
        <w:tc>
          <w:tcPr>
            <w:tcW w:w="7115" w:type="dxa"/>
            <w:gridSpan w:val="3"/>
            <w:noWrap w:val="0"/>
            <w:vAlign w:val="center"/>
          </w:tcPr>
          <w:p w14:paraId="0C7CC920">
            <w:pPr>
              <w:adjustRightInd w:val="0"/>
              <w:snapToGrid w:val="0"/>
              <w:jc w:val="center"/>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流体管道生产扩建项目</w:t>
            </w:r>
          </w:p>
        </w:tc>
      </w:tr>
      <w:tr w14:paraId="3AE499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4ED7E076">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项目代码</w:t>
            </w:r>
          </w:p>
        </w:tc>
        <w:tc>
          <w:tcPr>
            <w:tcW w:w="7115" w:type="dxa"/>
            <w:gridSpan w:val="3"/>
            <w:noWrap w:val="0"/>
            <w:vAlign w:val="center"/>
          </w:tcPr>
          <w:p w14:paraId="39881AAE">
            <w:pPr>
              <w:keepNext w:val="0"/>
              <w:keepLines w:val="0"/>
              <w:widowControl/>
              <w:suppressLineNumbers w:val="0"/>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000000"/>
                <w:kern w:val="0"/>
                <w:sz w:val="24"/>
                <w:szCs w:val="24"/>
                <w:lang w:val="en-US" w:eastAsia="zh-CN" w:bidi="ar"/>
              </w:rPr>
              <w:t>2507-510923-07-02-377136</w:t>
            </w:r>
          </w:p>
        </w:tc>
      </w:tr>
      <w:tr w14:paraId="4A93A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70085623">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建设单位联系人</w:t>
            </w:r>
          </w:p>
        </w:tc>
        <w:tc>
          <w:tcPr>
            <w:tcW w:w="2114" w:type="dxa"/>
            <w:noWrap w:val="0"/>
            <w:vAlign w:val="center"/>
          </w:tcPr>
          <w:p w14:paraId="03B7CDB4">
            <w:pPr>
              <w:adjustRightInd w:val="0"/>
              <w:snapToGrid w:val="0"/>
              <w:jc w:val="center"/>
              <w:rPr>
                <w:rFonts w:hint="default" w:ascii="Times New Roman" w:hAnsi="Times New Roman" w:cs="Times New Roman"/>
                <w:color w:val="auto"/>
                <w:sz w:val="24"/>
                <w:szCs w:val="24"/>
                <w:highlight w:val="none"/>
                <w:lang w:val="en-US"/>
              </w:rPr>
            </w:pPr>
            <w:r>
              <w:rPr>
                <w:rFonts w:hint="eastAsia" w:cs="Times New Roman"/>
                <w:color w:val="auto"/>
                <w:sz w:val="24"/>
                <w:szCs w:val="24"/>
                <w:highlight w:val="none"/>
                <w:lang w:val="en-US" w:eastAsia="zh-CN"/>
              </w:rPr>
              <w:t>王*</w:t>
            </w:r>
          </w:p>
        </w:tc>
        <w:tc>
          <w:tcPr>
            <w:tcW w:w="2085" w:type="dxa"/>
            <w:noWrap w:val="0"/>
            <w:vAlign w:val="center"/>
          </w:tcPr>
          <w:p w14:paraId="7C888E9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eastAsia="宋体" w:cs="Times New Roman"/>
                <w:b/>
                <w:bCs/>
                <w:color w:val="auto"/>
                <w:sz w:val="24"/>
                <w:szCs w:val="24"/>
                <w:highlight w:val="none"/>
              </w:rPr>
              <w:t>联系方式</w:t>
            </w:r>
          </w:p>
        </w:tc>
        <w:tc>
          <w:tcPr>
            <w:tcW w:w="2916" w:type="dxa"/>
            <w:noWrap w:val="0"/>
            <w:vAlign w:val="center"/>
          </w:tcPr>
          <w:p w14:paraId="18013979">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14:paraId="60FA6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0A6DDADF">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建设地点</w:t>
            </w:r>
          </w:p>
        </w:tc>
        <w:tc>
          <w:tcPr>
            <w:tcW w:w="7115" w:type="dxa"/>
            <w:gridSpan w:val="3"/>
            <w:noWrap w:val="0"/>
            <w:vAlign w:val="center"/>
          </w:tcPr>
          <w:p w14:paraId="3B77C772">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cs="Times New Roman"/>
                <w:color w:val="auto"/>
                <w:sz w:val="24"/>
                <w:szCs w:val="24"/>
                <w:highlight w:val="none"/>
                <w:lang w:eastAsia="zh-CN"/>
              </w:rPr>
              <w:t>四川省遂宁市大英县工业集中发展区梨子坝</w:t>
            </w:r>
          </w:p>
        </w:tc>
      </w:tr>
      <w:tr w14:paraId="4D875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593FF7C7">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地理坐标</w:t>
            </w:r>
          </w:p>
        </w:tc>
        <w:tc>
          <w:tcPr>
            <w:tcW w:w="7115" w:type="dxa"/>
            <w:gridSpan w:val="3"/>
            <w:noWrap w:val="0"/>
            <w:vAlign w:val="center"/>
          </w:tcPr>
          <w:p w14:paraId="17B4DFFD">
            <w:pPr>
              <w:jc w:val="center"/>
              <w:rPr>
                <w:rFonts w:hint="default" w:ascii="Times New Roman" w:hAnsi="Times New Roman" w:cs="Times New Roman"/>
                <w:color w:val="auto"/>
                <w:sz w:val="24"/>
                <w:szCs w:val="24"/>
                <w:highlight w:val="none"/>
              </w:rPr>
            </w:pPr>
            <w:r>
              <w:rPr>
                <w:rFonts w:hint="default" w:cs="Times New Roman"/>
                <w:color w:val="auto"/>
                <w:sz w:val="24"/>
                <w:szCs w:val="24"/>
                <w:highlight w:val="none"/>
                <w:lang w:eastAsia="zh-CN"/>
              </w:rPr>
              <w:t>（</w:t>
            </w:r>
            <w:r>
              <w:rPr>
                <w:rFonts w:hint="default" w:cs="Times New Roman"/>
                <w:color w:val="auto"/>
                <w:sz w:val="24"/>
                <w:szCs w:val="24"/>
                <w:highlight w:val="none"/>
                <w:lang w:val="en-US" w:eastAsia="zh-CN"/>
              </w:rPr>
              <w:t>105</w:t>
            </w:r>
            <w:r>
              <w:rPr>
                <w:rFonts w:hint="default" w:cs="Times New Roman"/>
                <w:color w:val="auto"/>
                <w:sz w:val="24"/>
                <w:szCs w:val="24"/>
                <w:highlight w:val="none"/>
                <w:lang w:eastAsia="zh-CN"/>
              </w:rPr>
              <w:t>度</w:t>
            </w:r>
            <w:r>
              <w:rPr>
                <w:rFonts w:hint="default" w:cs="Times New Roman"/>
                <w:color w:val="auto"/>
                <w:sz w:val="24"/>
                <w:szCs w:val="24"/>
                <w:highlight w:val="none"/>
                <w:lang w:val="en-US" w:eastAsia="zh-CN"/>
              </w:rPr>
              <w:t>16</w:t>
            </w:r>
            <w:r>
              <w:rPr>
                <w:rFonts w:hint="default" w:cs="Times New Roman"/>
                <w:color w:val="auto"/>
                <w:sz w:val="24"/>
                <w:szCs w:val="24"/>
                <w:highlight w:val="none"/>
                <w:lang w:eastAsia="zh-CN"/>
              </w:rPr>
              <w:t>分</w:t>
            </w:r>
            <w:r>
              <w:rPr>
                <w:rFonts w:hint="default" w:cs="Times New Roman"/>
                <w:color w:val="auto"/>
                <w:sz w:val="24"/>
                <w:szCs w:val="24"/>
                <w:highlight w:val="none"/>
                <w:lang w:val="en-US" w:eastAsia="zh-CN"/>
              </w:rPr>
              <w:t>39.04</w:t>
            </w:r>
            <w:r>
              <w:rPr>
                <w:rFonts w:hint="eastAsia" w:cs="Times New Roman"/>
                <w:color w:val="auto"/>
                <w:sz w:val="24"/>
                <w:szCs w:val="24"/>
                <w:highlight w:val="none"/>
                <w:lang w:val="en-US" w:eastAsia="zh-CN"/>
              </w:rPr>
              <w:t>2</w:t>
            </w:r>
            <w:r>
              <w:rPr>
                <w:rFonts w:hint="default" w:cs="Times New Roman"/>
                <w:color w:val="auto"/>
                <w:sz w:val="24"/>
                <w:szCs w:val="24"/>
                <w:highlight w:val="none"/>
                <w:lang w:eastAsia="zh-CN"/>
              </w:rPr>
              <w:t>秒，</w:t>
            </w:r>
            <w:r>
              <w:rPr>
                <w:rFonts w:hint="default" w:cs="Times New Roman"/>
                <w:color w:val="auto"/>
                <w:sz w:val="24"/>
                <w:szCs w:val="24"/>
                <w:highlight w:val="none"/>
                <w:lang w:val="en-US" w:eastAsia="zh-CN"/>
              </w:rPr>
              <w:t>30</w:t>
            </w:r>
            <w:r>
              <w:rPr>
                <w:rFonts w:hint="default" w:cs="Times New Roman"/>
                <w:color w:val="auto"/>
                <w:sz w:val="24"/>
                <w:szCs w:val="24"/>
                <w:highlight w:val="none"/>
                <w:lang w:eastAsia="zh-CN"/>
              </w:rPr>
              <w:t>度</w:t>
            </w:r>
            <w:r>
              <w:rPr>
                <w:rFonts w:hint="default" w:cs="Times New Roman"/>
                <w:color w:val="auto"/>
                <w:sz w:val="24"/>
                <w:szCs w:val="24"/>
                <w:highlight w:val="none"/>
                <w:lang w:val="en-US" w:eastAsia="zh-CN"/>
              </w:rPr>
              <w:t>34</w:t>
            </w:r>
            <w:r>
              <w:rPr>
                <w:rFonts w:hint="default" w:cs="Times New Roman"/>
                <w:color w:val="auto"/>
                <w:sz w:val="24"/>
                <w:szCs w:val="24"/>
                <w:highlight w:val="none"/>
                <w:lang w:eastAsia="zh-CN"/>
              </w:rPr>
              <w:t>分</w:t>
            </w:r>
            <w:r>
              <w:rPr>
                <w:rFonts w:hint="default" w:cs="Times New Roman"/>
                <w:color w:val="auto"/>
                <w:sz w:val="24"/>
                <w:szCs w:val="24"/>
                <w:highlight w:val="none"/>
                <w:lang w:val="en-US" w:eastAsia="zh-CN"/>
              </w:rPr>
              <w:t>58.98</w:t>
            </w:r>
            <w:r>
              <w:rPr>
                <w:rFonts w:hint="eastAsia" w:cs="Times New Roman"/>
                <w:color w:val="auto"/>
                <w:sz w:val="24"/>
                <w:szCs w:val="24"/>
                <w:highlight w:val="none"/>
                <w:lang w:val="en-US" w:eastAsia="zh-CN"/>
              </w:rPr>
              <w:t>5</w:t>
            </w:r>
            <w:r>
              <w:rPr>
                <w:rFonts w:hint="default" w:cs="Times New Roman"/>
                <w:color w:val="auto"/>
                <w:sz w:val="24"/>
                <w:szCs w:val="24"/>
                <w:highlight w:val="none"/>
                <w:lang w:eastAsia="zh-CN"/>
              </w:rPr>
              <w:t>秒）</w:t>
            </w:r>
          </w:p>
        </w:tc>
      </w:tr>
      <w:tr w14:paraId="4EEA3D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55" w:type="dxa"/>
            <w:noWrap w:val="0"/>
            <w:tcMar>
              <w:top w:w="16" w:type="dxa"/>
              <w:left w:w="16" w:type="dxa"/>
              <w:right w:w="16" w:type="dxa"/>
            </w:tcMar>
            <w:vAlign w:val="center"/>
          </w:tcPr>
          <w:p w14:paraId="5698E4C0">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国民经济</w:t>
            </w:r>
          </w:p>
          <w:p w14:paraId="7AC4BF56">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行业类别</w:t>
            </w:r>
          </w:p>
        </w:tc>
        <w:tc>
          <w:tcPr>
            <w:tcW w:w="2114" w:type="dxa"/>
            <w:noWrap w:val="0"/>
            <w:vAlign w:val="center"/>
          </w:tcPr>
          <w:p w14:paraId="4A5E1E7D">
            <w:pPr>
              <w:adjustRightInd w:val="0"/>
              <w:snapToGrid w:val="0"/>
              <w:jc w:val="left"/>
              <w:rPr>
                <w:rFonts w:hint="default" w:eastAsia="宋体"/>
                <w:color w:val="auto"/>
                <w:sz w:val="24"/>
                <w:szCs w:val="24"/>
                <w:highlight w:val="none"/>
                <w:lang w:val="en-US" w:eastAsia="zh-CN"/>
              </w:rPr>
            </w:pPr>
            <w:r>
              <w:rPr>
                <w:rFonts w:hint="default"/>
                <w:color w:val="auto"/>
                <w:sz w:val="24"/>
                <w:szCs w:val="24"/>
                <w:highlight w:val="none"/>
              </w:rPr>
              <w:t>C</w:t>
            </w:r>
            <w:r>
              <w:rPr>
                <w:rFonts w:hint="eastAsia"/>
                <w:color w:val="auto"/>
                <w:sz w:val="24"/>
                <w:szCs w:val="24"/>
                <w:highlight w:val="none"/>
                <w:lang w:val="en-US" w:eastAsia="zh-CN"/>
              </w:rPr>
              <w:t>2912橡胶管板、管、带制造</w:t>
            </w:r>
          </w:p>
        </w:tc>
        <w:tc>
          <w:tcPr>
            <w:tcW w:w="2085" w:type="dxa"/>
            <w:noWrap w:val="0"/>
            <w:vAlign w:val="center"/>
          </w:tcPr>
          <w:p w14:paraId="270540E2">
            <w:pPr>
              <w:adjustRightInd w:val="0"/>
              <w:snapToGrid w:val="0"/>
              <w:jc w:val="center"/>
              <w:rPr>
                <w:rFonts w:hint="default" w:ascii="Times New Roman" w:hAnsi="Times New Roman" w:eastAsia="宋体" w:cs="Times New Roman"/>
                <w:b/>
                <w:bCs/>
                <w:color w:val="auto"/>
                <w:sz w:val="24"/>
                <w:szCs w:val="24"/>
                <w:highlight w:val="none"/>
              </w:rPr>
            </w:pPr>
            <w:bookmarkStart w:id="1" w:name="_Hlk49843745"/>
            <w:r>
              <w:rPr>
                <w:rFonts w:hint="default" w:ascii="Times New Roman" w:hAnsi="Times New Roman" w:eastAsia="宋体" w:cs="Times New Roman"/>
                <w:b/>
                <w:bCs/>
                <w:color w:val="auto"/>
                <w:sz w:val="24"/>
                <w:szCs w:val="24"/>
                <w:highlight w:val="none"/>
              </w:rPr>
              <w:t>建设项目</w:t>
            </w:r>
          </w:p>
          <w:p w14:paraId="18BC2C66">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行业类别</w:t>
            </w:r>
            <w:bookmarkEnd w:id="1"/>
          </w:p>
        </w:tc>
        <w:tc>
          <w:tcPr>
            <w:tcW w:w="2916" w:type="dxa"/>
            <w:noWrap w:val="0"/>
            <w:vAlign w:val="center"/>
          </w:tcPr>
          <w:p w14:paraId="1928EEFE">
            <w:pPr>
              <w:adjustRightInd w:val="0"/>
              <w:snapToGrid w:val="0"/>
              <w:jc w:val="both"/>
              <w:rPr>
                <w:rFonts w:hint="default"/>
                <w:color w:val="auto"/>
                <w:sz w:val="24"/>
                <w:szCs w:val="24"/>
                <w:highlight w:val="none"/>
                <w:lang w:val="en-US" w:eastAsia="zh-CN"/>
              </w:rPr>
            </w:pPr>
            <w:r>
              <w:rPr>
                <w:rFonts w:hint="eastAsia"/>
                <w:color w:val="auto"/>
                <w:sz w:val="24"/>
                <w:szCs w:val="24"/>
                <w:highlight w:val="none"/>
                <w:lang w:val="en-US" w:eastAsia="zh-CN"/>
              </w:rPr>
              <w:t>26</w:t>
            </w:r>
            <w:r>
              <w:rPr>
                <w:rFonts w:hint="default"/>
                <w:color w:val="auto"/>
                <w:sz w:val="24"/>
                <w:szCs w:val="24"/>
                <w:highlight w:val="none"/>
                <w:lang w:val="en-US" w:eastAsia="zh-CN"/>
              </w:rPr>
              <w:t>-</w:t>
            </w:r>
            <w:r>
              <w:rPr>
                <w:rFonts w:hint="eastAsia"/>
                <w:color w:val="auto"/>
                <w:sz w:val="24"/>
                <w:szCs w:val="24"/>
                <w:highlight w:val="none"/>
                <w:lang w:val="en-US" w:eastAsia="zh-CN"/>
              </w:rPr>
              <w:t>50橡胶制品业291</w:t>
            </w:r>
          </w:p>
        </w:tc>
      </w:tr>
      <w:tr w14:paraId="10778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55" w:type="dxa"/>
            <w:noWrap w:val="0"/>
            <w:tcMar>
              <w:top w:w="16" w:type="dxa"/>
              <w:left w:w="16" w:type="dxa"/>
              <w:right w:w="16" w:type="dxa"/>
            </w:tcMar>
            <w:vAlign w:val="center"/>
          </w:tcPr>
          <w:p w14:paraId="54ECB73A">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建设性质</w:t>
            </w:r>
          </w:p>
        </w:tc>
        <w:tc>
          <w:tcPr>
            <w:tcW w:w="2114" w:type="dxa"/>
            <w:noWrap w:val="0"/>
            <w:vAlign w:val="center"/>
          </w:tcPr>
          <w:p w14:paraId="44152D83">
            <w:pPr>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新建（迁建）</w:t>
            </w:r>
          </w:p>
          <w:p w14:paraId="0308AF83">
            <w:pPr>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改建</w:t>
            </w:r>
          </w:p>
          <w:p w14:paraId="7952EE6B">
            <w:pPr>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扩建</w:t>
            </w:r>
          </w:p>
          <w:p w14:paraId="5ACA69FB">
            <w:pPr>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技术改造</w:t>
            </w:r>
          </w:p>
        </w:tc>
        <w:tc>
          <w:tcPr>
            <w:tcW w:w="2085" w:type="dxa"/>
            <w:noWrap w:val="0"/>
            <w:vAlign w:val="center"/>
          </w:tcPr>
          <w:p w14:paraId="76BCECBA">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w:t>
            </w:r>
          </w:p>
          <w:p w14:paraId="378DFF47">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申报情形</w:t>
            </w:r>
          </w:p>
        </w:tc>
        <w:tc>
          <w:tcPr>
            <w:tcW w:w="2916" w:type="dxa"/>
            <w:noWrap w:val="0"/>
            <w:vAlign w:val="center"/>
          </w:tcPr>
          <w:p w14:paraId="35A3C912">
            <w:pPr>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首次申报项目</w:t>
            </w:r>
          </w:p>
          <w:p w14:paraId="15BD24E7">
            <w:pPr>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不予批准后再次申报项目</w:t>
            </w:r>
          </w:p>
          <w:p w14:paraId="5229BC4B">
            <w:pPr>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超五年重新审核项目</w:t>
            </w:r>
          </w:p>
          <w:p w14:paraId="0E89ACDB">
            <w:pPr>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重大变动重新报批项目</w:t>
            </w:r>
          </w:p>
        </w:tc>
      </w:tr>
      <w:tr w14:paraId="19E798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55" w:type="dxa"/>
            <w:noWrap w:val="0"/>
            <w:tcMar>
              <w:top w:w="16" w:type="dxa"/>
              <w:left w:w="16" w:type="dxa"/>
              <w:right w:w="16" w:type="dxa"/>
            </w:tcMar>
            <w:vAlign w:val="center"/>
          </w:tcPr>
          <w:p w14:paraId="41E630F2">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项目审批（核准/</w:t>
            </w:r>
          </w:p>
          <w:p w14:paraId="34B3A506">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备案）部门（选填）</w:t>
            </w:r>
          </w:p>
        </w:tc>
        <w:tc>
          <w:tcPr>
            <w:tcW w:w="2114" w:type="dxa"/>
            <w:noWrap w:val="0"/>
            <w:vAlign w:val="center"/>
          </w:tcPr>
          <w:p w14:paraId="20A43E85">
            <w:pPr>
              <w:adjustRightInd w:val="0"/>
              <w:snapToGrid w:val="0"/>
              <w:jc w:val="center"/>
              <w:rPr>
                <w:rFonts w:hint="eastAsia" w:cs="Times New Roman"/>
                <w:color w:val="auto"/>
                <w:sz w:val="24"/>
                <w:szCs w:val="24"/>
                <w:highlight w:val="none"/>
                <w:lang w:eastAsia="zh-CN"/>
              </w:rPr>
            </w:pPr>
            <w:r>
              <w:rPr>
                <w:rFonts w:hint="eastAsia" w:cs="Times New Roman"/>
                <w:color w:val="auto"/>
                <w:sz w:val="24"/>
                <w:szCs w:val="24"/>
                <w:highlight w:val="none"/>
                <w:lang w:val="en-US" w:eastAsia="zh-CN"/>
              </w:rPr>
              <w:t>大英县经济信息化和科学技术局</w:t>
            </w:r>
          </w:p>
          <w:p w14:paraId="4938363C">
            <w:pPr>
              <w:adjustRightInd w:val="0"/>
              <w:snapToGrid w:val="0"/>
              <w:jc w:val="center"/>
              <w:rPr>
                <w:rFonts w:hint="default" w:ascii="Times New Roman" w:hAnsi="Times New Roman" w:cs="Times New Roman"/>
                <w:color w:val="auto"/>
                <w:sz w:val="24"/>
                <w:szCs w:val="24"/>
                <w:highlight w:val="none"/>
              </w:rPr>
            </w:pPr>
          </w:p>
        </w:tc>
        <w:tc>
          <w:tcPr>
            <w:tcW w:w="2085" w:type="dxa"/>
            <w:noWrap w:val="0"/>
            <w:vAlign w:val="center"/>
          </w:tcPr>
          <w:p w14:paraId="3F7AD03D">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项目审批（核准/</w:t>
            </w:r>
          </w:p>
          <w:p w14:paraId="4F5C32B6">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备案）文号（选填）</w:t>
            </w:r>
          </w:p>
        </w:tc>
        <w:tc>
          <w:tcPr>
            <w:tcW w:w="2916" w:type="dxa"/>
            <w:noWrap w:val="0"/>
            <w:vAlign w:val="center"/>
          </w:tcPr>
          <w:p w14:paraId="160B4D84">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川投资备【2507-510923-07-02-377136】JXQB-0683 号</w:t>
            </w:r>
          </w:p>
        </w:tc>
      </w:tr>
      <w:tr w14:paraId="314D2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683C79FA">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总投资（万元）</w:t>
            </w:r>
          </w:p>
        </w:tc>
        <w:tc>
          <w:tcPr>
            <w:tcW w:w="2114" w:type="dxa"/>
            <w:noWrap w:val="0"/>
            <w:vAlign w:val="center"/>
          </w:tcPr>
          <w:p w14:paraId="3AC209EA">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2000</w:t>
            </w:r>
          </w:p>
        </w:tc>
        <w:tc>
          <w:tcPr>
            <w:tcW w:w="2085" w:type="dxa"/>
            <w:noWrap w:val="0"/>
            <w:tcMar>
              <w:top w:w="16" w:type="dxa"/>
              <w:left w:w="16" w:type="dxa"/>
              <w:right w:w="16" w:type="dxa"/>
            </w:tcMar>
            <w:vAlign w:val="center"/>
          </w:tcPr>
          <w:p w14:paraId="6ABF7055">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环保投资（万元）</w:t>
            </w:r>
          </w:p>
        </w:tc>
        <w:tc>
          <w:tcPr>
            <w:tcW w:w="2916" w:type="dxa"/>
            <w:noWrap w:val="0"/>
            <w:vAlign w:val="center"/>
          </w:tcPr>
          <w:p w14:paraId="3B438B3D">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26.4</w:t>
            </w:r>
          </w:p>
        </w:tc>
      </w:tr>
      <w:tr w14:paraId="12B50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541DC356">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环保投资占比（%）</w:t>
            </w:r>
          </w:p>
        </w:tc>
        <w:tc>
          <w:tcPr>
            <w:tcW w:w="2114" w:type="dxa"/>
            <w:noWrap w:val="0"/>
            <w:vAlign w:val="center"/>
          </w:tcPr>
          <w:p w14:paraId="686490C8">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1.32</w:t>
            </w:r>
          </w:p>
        </w:tc>
        <w:tc>
          <w:tcPr>
            <w:tcW w:w="2085" w:type="dxa"/>
            <w:noWrap w:val="0"/>
            <w:tcMar>
              <w:top w:w="16" w:type="dxa"/>
              <w:left w:w="16" w:type="dxa"/>
              <w:right w:w="16" w:type="dxa"/>
            </w:tcMar>
            <w:vAlign w:val="center"/>
          </w:tcPr>
          <w:p w14:paraId="0C1B86EE">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施工工期</w:t>
            </w:r>
          </w:p>
        </w:tc>
        <w:tc>
          <w:tcPr>
            <w:tcW w:w="2916" w:type="dxa"/>
            <w:noWrap w:val="0"/>
            <w:vAlign w:val="center"/>
          </w:tcPr>
          <w:p w14:paraId="66CAD360">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4个月</w:t>
            </w:r>
          </w:p>
        </w:tc>
      </w:tr>
      <w:tr w14:paraId="084852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54479EB9">
            <w:pPr>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是否开工建设</w:t>
            </w:r>
          </w:p>
        </w:tc>
        <w:tc>
          <w:tcPr>
            <w:tcW w:w="2114" w:type="dxa"/>
            <w:noWrap w:val="0"/>
            <w:vAlign w:val="center"/>
          </w:tcPr>
          <w:p w14:paraId="03098ED6">
            <w:pPr>
              <w:adjustRightInd w:val="0"/>
              <w:snapToGrid w:val="0"/>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否</w:t>
            </w:r>
          </w:p>
          <w:p w14:paraId="2F4A29C0">
            <w:pPr>
              <w:adjustRightInd w:val="0"/>
              <w:snapToGrid w:val="0"/>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是</w:t>
            </w:r>
          </w:p>
        </w:tc>
        <w:tc>
          <w:tcPr>
            <w:tcW w:w="2085" w:type="dxa"/>
            <w:noWrap w:val="0"/>
            <w:tcMar>
              <w:top w:w="16" w:type="dxa"/>
              <w:left w:w="16" w:type="dxa"/>
              <w:right w:w="16" w:type="dxa"/>
            </w:tcMar>
            <w:vAlign w:val="center"/>
          </w:tcPr>
          <w:p w14:paraId="517D4B80">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用地（用海）</w:t>
            </w:r>
          </w:p>
          <w:p w14:paraId="35965D68">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面积（m</w:t>
            </w:r>
            <w:r>
              <w:rPr>
                <w:rFonts w:hint="default" w:ascii="Times New Roman" w:hAnsi="Times New Roman" w:eastAsia="宋体" w:cs="Times New Roman"/>
                <w:b/>
                <w:bCs/>
                <w:color w:val="auto"/>
                <w:sz w:val="24"/>
                <w:szCs w:val="24"/>
                <w:highlight w:val="none"/>
                <w:vertAlign w:val="superscript"/>
              </w:rPr>
              <w:t>2</w:t>
            </w:r>
            <w:r>
              <w:rPr>
                <w:rFonts w:hint="default" w:ascii="Times New Roman" w:hAnsi="Times New Roman" w:eastAsia="宋体" w:cs="Times New Roman"/>
                <w:b/>
                <w:bCs/>
                <w:color w:val="auto"/>
                <w:sz w:val="24"/>
                <w:szCs w:val="24"/>
                <w:highlight w:val="none"/>
              </w:rPr>
              <w:t>）</w:t>
            </w:r>
          </w:p>
        </w:tc>
        <w:tc>
          <w:tcPr>
            <w:tcW w:w="2916" w:type="dxa"/>
            <w:noWrap w:val="0"/>
            <w:vAlign w:val="center"/>
          </w:tcPr>
          <w:p w14:paraId="58638029">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14:paraId="45F17B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6" w:hRule="atLeast"/>
          <w:jc w:val="center"/>
        </w:trPr>
        <w:tc>
          <w:tcPr>
            <w:tcW w:w="1755" w:type="dxa"/>
            <w:noWrap w:val="0"/>
            <w:vAlign w:val="center"/>
          </w:tcPr>
          <w:p w14:paraId="0E273BAF">
            <w:pPr>
              <w:pStyle w:val="42"/>
              <w:bidi w:val="0"/>
              <w:spacing w:line="240" w:lineRule="auto"/>
              <w:ind w:left="0" w:leftChars="0" w:firstLine="0" w:firstLineChars="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专项评价设置情况</w:t>
            </w:r>
          </w:p>
        </w:tc>
        <w:tc>
          <w:tcPr>
            <w:tcW w:w="7115" w:type="dxa"/>
            <w:gridSpan w:val="3"/>
            <w:noWrap w:val="0"/>
            <w:vAlign w:val="center"/>
          </w:tcPr>
          <w:p w14:paraId="16F8E399">
            <w:pPr>
              <w:pStyle w:val="42"/>
              <w:bidi w:val="0"/>
              <w:ind w:left="0" w:leftChars="0" w:firstLine="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无</w:t>
            </w:r>
          </w:p>
          <w:tbl>
            <w:tblPr>
              <w:tblStyle w:val="24"/>
              <w:tblW w:w="68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2631"/>
              <w:gridCol w:w="1985"/>
              <w:gridCol w:w="1106"/>
            </w:tblGrid>
            <w:tr w14:paraId="42473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14:paraId="001434D8">
                  <w:pPr>
                    <w:pStyle w:val="16"/>
                    <w:pBdr>
                      <w:bottom w:val="none" w:color="auto" w:sz="0" w:space="0"/>
                    </w:pBdr>
                    <w:rPr>
                      <w:color w:val="auto"/>
                      <w:sz w:val="21"/>
                      <w:szCs w:val="21"/>
                      <w:highlight w:val="none"/>
                    </w:rPr>
                  </w:pPr>
                  <w:r>
                    <w:rPr>
                      <w:color w:val="auto"/>
                      <w:sz w:val="21"/>
                      <w:szCs w:val="21"/>
                      <w:highlight w:val="none"/>
                    </w:rPr>
                    <w:t>专项评价类别</w:t>
                  </w:r>
                </w:p>
              </w:tc>
              <w:tc>
                <w:tcPr>
                  <w:tcW w:w="2631" w:type="dxa"/>
                  <w:tcBorders>
                    <w:tl2br w:val="nil"/>
                    <w:tr2bl w:val="nil"/>
                  </w:tcBorders>
                  <w:noWrap w:val="0"/>
                  <w:vAlign w:val="center"/>
                </w:tcPr>
                <w:p w14:paraId="2685E6C4">
                  <w:pPr>
                    <w:pStyle w:val="16"/>
                    <w:pBdr>
                      <w:bottom w:val="none" w:color="auto" w:sz="0" w:space="0"/>
                    </w:pBdr>
                    <w:rPr>
                      <w:color w:val="auto"/>
                      <w:sz w:val="21"/>
                      <w:szCs w:val="21"/>
                      <w:highlight w:val="none"/>
                    </w:rPr>
                  </w:pPr>
                  <w:r>
                    <w:rPr>
                      <w:color w:val="auto"/>
                      <w:sz w:val="21"/>
                      <w:szCs w:val="21"/>
                      <w:highlight w:val="none"/>
                    </w:rPr>
                    <w:t>设置原则</w:t>
                  </w:r>
                </w:p>
              </w:tc>
              <w:tc>
                <w:tcPr>
                  <w:tcW w:w="1985" w:type="dxa"/>
                  <w:tcBorders>
                    <w:tl2br w:val="nil"/>
                    <w:tr2bl w:val="nil"/>
                  </w:tcBorders>
                  <w:noWrap w:val="0"/>
                  <w:vAlign w:val="center"/>
                </w:tcPr>
                <w:p w14:paraId="22592880">
                  <w:pPr>
                    <w:pStyle w:val="16"/>
                    <w:pBdr>
                      <w:bottom w:val="none" w:color="auto" w:sz="0" w:space="0"/>
                    </w:pBdr>
                    <w:rPr>
                      <w:color w:val="auto"/>
                      <w:sz w:val="21"/>
                      <w:szCs w:val="21"/>
                      <w:highlight w:val="none"/>
                    </w:rPr>
                  </w:pPr>
                  <w:r>
                    <w:rPr>
                      <w:color w:val="auto"/>
                      <w:sz w:val="21"/>
                      <w:szCs w:val="21"/>
                      <w:highlight w:val="none"/>
                    </w:rPr>
                    <w:t>本项目情况</w:t>
                  </w:r>
                </w:p>
              </w:tc>
              <w:tc>
                <w:tcPr>
                  <w:tcW w:w="1106" w:type="dxa"/>
                  <w:tcBorders>
                    <w:tl2br w:val="nil"/>
                    <w:tr2bl w:val="nil"/>
                  </w:tcBorders>
                  <w:noWrap w:val="0"/>
                  <w:vAlign w:val="center"/>
                </w:tcPr>
                <w:p w14:paraId="1375413D">
                  <w:pPr>
                    <w:pStyle w:val="16"/>
                    <w:pBdr>
                      <w:bottom w:val="none" w:color="auto" w:sz="0" w:space="0"/>
                    </w:pBdr>
                    <w:rPr>
                      <w:color w:val="auto"/>
                      <w:sz w:val="21"/>
                      <w:szCs w:val="21"/>
                      <w:highlight w:val="none"/>
                    </w:rPr>
                  </w:pPr>
                  <w:r>
                    <w:rPr>
                      <w:color w:val="auto"/>
                      <w:sz w:val="21"/>
                      <w:szCs w:val="21"/>
                      <w:highlight w:val="none"/>
                    </w:rPr>
                    <w:t>是否设置专项评价</w:t>
                  </w:r>
                </w:p>
              </w:tc>
            </w:tr>
            <w:tr w14:paraId="619B9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14:paraId="083EE4BF">
                  <w:pPr>
                    <w:pStyle w:val="16"/>
                    <w:pBdr>
                      <w:bottom w:val="none" w:color="auto" w:sz="0" w:space="0"/>
                    </w:pBdr>
                    <w:rPr>
                      <w:color w:val="auto"/>
                      <w:sz w:val="21"/>
                      <w:szCs w:val="21"/>
                      <w:highlight w:val="none"/>
                    </w:rPr>
                  </w:pPr>
                  <w:r>
                    <w:rPr>
                      <w:color w:val="auto"/>
                      <w:sz w:val="21"/>
                      <w:szCs w:val="21"/>
                      <w:highlight w:val="none"/>
                    </w:rPr>
                    <w:t>大气</w:t>
                  </w:r>
                </w:p>
              </w:tc>
              <w:tc>
                <w:tcPr>
                  <w:tcW w:w="2631" w:type="dxa"/>
                  <w:tcBorders>
                    <w:tl2br w:val="nil"/>
                    <w:tr2bl w:val="nil"/>
                  </w:tcBorders>
                  <w:noWrap w:val="0"/>
                  <w:vAlign w:val="center"/>
                </w:tcPr>
                <w:p w14:paraId="5CA4A02D">
                  <w:pPr>
                    <w:widowControl/>
                    <w:rPr>
                      <w:color w:val="auto"/>
                      <w:szCs w:val="21"/>
                      <w:highlight w:val="none"/>
                    </w:rPr>
                  </w:pPr>
                  <w:r>
                    <w:rPr>
                      <w:color w:val="auto"/>
                      <w:kern w:val="0"/>
                      <w:szCs w:val="21"/>
                      <w:highlight w:val="none"/>
                      <w:lang w:bidi="ar"/>
                    </w:rPr>
                    <w:t>排放废气含有毒有害污染物、二噁英、苯并[</w:t>
                  </w:r>
                  <w:r>
                    <w:rPr>
                      <w:i/>
                      <w:iCs/>
                      <w:color w:val="auto"/>
                      <w:kern w:val="0"/>
                      <w:szCs w:val="21"/>
                      <w:highlight w:val="none"/>
                      <w:lang w:bidi="ar"/>
                    </w:rPr>
                    <w:t>a</w:t>
                  </w:r>
                  <w:r>
                    <w:rPr>
                      <w:color w:val="auto"/>
                      <w:kern w:val="0"/>
                      <w:szCs w:val="21"/>
                      <w:highlight w:val="none"/>
                      <w:lang w:bidi="ar"/>
                    </w:rPr>
                    <w:t>]芘、氰化物、氯气且厂界外500米范围内有环境空气保护目标的建设项目</w:t>
                  </w:r>
                </w:p>
              </w:tc>
              <w:tc>
                <w:tcPr>
                  <w:tcW w:w="1985" w:type="dxa"/>
                  <w:tcBorders>
                    <w:tl2br w:val="nil"/>
                    <w:tr2bl w:val="nil"/>
                  </w:tcBorders>
                  <w:noWrap w:val="0"/>
                  <w:vAlign w:val="center"/>
                </w:tcPr>
                <w:p w14:paraId="74449528">
                  <w:pPr>
                    <w:pStyle w:val="16"/>
                    <w:pBdr>
                      <w:bottom w:val="none" w:color="auto" w:sz="0" w:space="0"/>
                    </w:pBdr>
                    <w:jc w:val="both"/>
                    <w:rPr>
                      <w:color w:val="auto"/>
                      <w:sz w:val="21"/>
                      <w:szCs w:val="21"/>
                      <w:highlight w:val="none"/>
                    </w:rPr>
                  </w:pPr>
                  <w:r>
                    <w:rPr>
                      <w:color w:val="auto"/>
                      <w:sz w:val="21"/>
                      <w:szCs w:val="21"/>
                      <w:highlight w:val="none"/>
                    </w:rPr>
                    <w:t>本项目</w:t>
                  </w:r>
                  <w:r>
                    <w:rPr>
                      <w:rFonts w:hint="eastAsia"/>
                      <w:color w:val="auto"/>
                      <w:sz w:val="21"/>
                      <w:szCs w:val="21"/>
                      <w:highlight w:val="none"/>
                    </w:rPr>
                    <w:t>不涉及</w:t>
                  </w:r>
                  <w:r>
                    <w:rPr>
                      <w:color w:val="auto"/>
                      <w:sz w:val="21"/>
                      <w:szCs w:val="21"/>
                      <w:highlight w:val="none"/>
                    </w:rPr>
                    <w:t>有毒有害污染物、二噁英、苯并</w:t>
                  </w:r>
                  <w:r>
                    <w:rPr>
                      <w:color w:val="auto"/>
                      <w:sz w:val="21"/>
                      <w:szCs w:val="21"/>
                      <w:highlight w:val="none"/>
                      <w:lang w:bidi="ar"/>
                    </w:rPr>
                    <w:t>[</w:t>
                  </w:r>
                  <w:r>
                    <w:rPr>
                      <w:i/>
                      <w:iCs/>
                      <w:color w:val="auto"/>
                      <w:sz w:val="21"/>
                      <w:szCs w:val="21"/>
                      <w:highlight w:val="none"/>
                      <w:lang w:bidi="ar"/>
                    </w:rPr>
                    <w:t>a</w:t>
                  </w:r>
                  <w:r>
                    <w:rPr>
                      <w:color w:val="auto"/>
                      <w:sz w:val="21"/>
                      <w:szCs w:val="21"/>
                      <w:highlight w:val="none"/>
                      <w:lang w:bidi="ar"/>
                    </w:rPr>
                    <w:t>]</w:t>
                  </w:r>
                  <w:r>
                    <w:rPr>
                      <w:color w:val="auto"/>
                      <w:sz w:val="21"/>
                      <w:szCs w:val="21"/>
                      <w:highlight w:val="none"/>
                    </w:rPr>
                    <w:t>芘、氰化物、氯气排放</w:t>
                  </w:r>
                </w:p>
              </w:tc>
              <w:tc>
                <w:tcPr>
                  <w:tcW w:w="1106" w:type="dxa"/>
                  <w:tcBorders>
                    <w:tl2br w:val="nil"/>
                    <w:tr2bl w:val="nil"/>
                  </w:tcBorders>
                  <w:noWrap w:val="0"/>
                  <w:vAlign w:val="center"/>
                </w:tcPr>
                <w:p w14:paraId="01D5B559">
                  <w:pPr>
                    <w:pStyle w:val="16"/>
                    <w:pBdr>
                      <w:bottom w:val="none" w:color="auto" w:sz="0" w:space="0"/>
                    </w:pBdr>
                    <w:rPr>
                      <w:color w:val="auto"/>
                      <w:sz w:val="21"/>
                      <w:szCs w:val="21"/>
                      <w:highlight w:val="none"/>
                    </w:rPr>
                  </w:pPr>
                  <w:r>
                    <w:rPr>
                      <w:color w:val="auto"/>
                      <w:sz w:val="21"/>
                      <w:szCs w:val="21"/>
                      <w:highlight w:val="none"/>
                    </w:rPr>
                    <w:t>否</w:t>
                  </w:r>
                </w:p>
              </w:tc>
            </w:tr>
            <w:tr w14:paraId="3B69C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14:paraId="4AEC84C1">
                  <w:pPr>
                    <w:pStyle w:val="16"/>
                    <w:pBdr>
                      <w:bottom w:val="none" w:color="auto" w:sz="0" w:space="0"/>
                    </w:pBdr>
                    <w:rPr>
                      <w:color w:val="auto"/>
                      <w:sz w:val="21"/>
                      <w:szCs w:val="21"/>
                      <w:highlight w:val="none"/>
                    </w:rPr>
                  </w:pPr>
                  <w:r>
                    <w:rPr>
                      <w:color w:val="auto"/>
                      <w:sz w:val="21"/>
                      <w:szCs w:val="21"/>
                      <w:highlight w:val="none"/>
                    </w:rPr>
                    <w:t>地表水</w:t>
                  </w:r>
                </w:p>
              </w:tc>
              <w:tc>
                <w:tcPr>
                  <w:tcW w:w="2631" w:type="dxa"/>
                  <w:tcBorders>
                    <w:tl2br w:val="nil"/>
                    <w:tr2bl w:val="nil"/>
                  </w:tcBorders>
                  <w:noWrap w:val="0"/>
                  <w:vAlign w:val="center"/>
                </w:tcPr>
                <w:p w14:paraId="6C545EC5">
                  <w:pPr>
                    <w:widowControl/>
                    <w:rPr>
                      <w:color w:val="auto"/>
                      <w:szCs w:val="21"/>
                      <w:highlight w:val="none"/>
                    </w:rPr>
                  </w:pPr>
                  <w:r>
                    <w:rPr>
                      <w:color w:val="auto"/>
                      <w:kern w:val="0"/>
                      <w:szCs w:val="21"/>
                      <w:highlight w:val="none"/>
                      <w:lang w:bidi="ar"/>
                    </w:rPr>
                    <w:t>新增工业废水直排建设项目（槽罐车外送污水处理厂的除外）；</w:t>
                  </w:r>
                </w:p>
                <w:p w14:paraId="1377CEBE">
                  <w:pPr>
                    <w:widowControl/>
                    <w:rPr>
                      <w:color w:val="auto"/>
                      <w:szCs w:val="21"/>
                      <w:highlight w:val="none"/>
                    </w:rPr>
                  </w:pPr>
                  <w:r>
                    <w:rPr>
                      <w:color w:val="auto"/>
                      <w:kern w:val="0"/>
                      <w:szCs w:val="21"/>
                      <w:highlight w:val="none"/>
                      <w:lang w:bidi="ar"/>
                    </w:rPr>
                    <w:t>新增废水直排的污水集中处理厂</w:t>
                  </w:r>
                </w:p>
              </w:tc>
              <w:tc>
                <w:tcPr>
                  <w:tcW w:w="1985" w:type="dxa"/>
                  <w:tcBorders>
                    <w:tl2br w:val="nil"/>
                    <w:tr2bl w:val="nil"/>
                  </w:tcBorders>
                  <w:noWrap w:val="0"/>
                  <w:vAlign w:val="center"/>
                </w:tcPr>
                <w:p w14:paraId="34E64626">
                  <w:pPr>
                    <w:pStyle w:val="16"/>
                    <w:pBdr>
                      <w:bottom w:val="none" w:color="auto" w:sz="0" w:space="0"/>
                    </w:pBdr>
                    <w:jc w:val="both"/>
                    <w:rPr>
                      <w:color w:val="auto"/>
                      <w:sz w:val="21"/>
                      <w:szCs w:val="21"/>
                      <w:highlight w:val="none"/>
                    </w:rPr>
                  </w:pPr>
                  <w:r>
                    <w:rPr>
                      <w:color w:val="auto"/>
                      <w:sz w:val="21"/>
                      <w:szCs w:val="21"/>
                      <w:highlight w:val="none"/>
                    </w:rPr>
                    <w:t>本项目无生产废水直接排放</w:t>
                  </w:r>
                </w:p>
              </w:tc>
              <w:tc>
                <w:tcPr>
                  <w:tcW w:w="1106" w:type="dxa"/>
                  <w:tcBorders>
                    <w:tl2br w:val="nil"/>
                    <w:tr2bl w:val="nil"/>
                  </w:tcBorders>
                  <w:noWrap w:val="0"/>
                  <w:vAlign w:val="center"/>
                </w:tcPr>
                <w:p w14:paraId="1A093318">
                  <w:pPr>
                    <w:pStyle w:val="16"/>
                    <w:pBdr>
                      <w:bottom w:val="none" w:color="auto" w:sz="0" w:space="0"/>
                    </w:pBdr>
                    <w:rPr>
                      <w:color w:val="auto"/>
                      <w:sz w:val="21"/>
                      <w:szCs w:val="21"/>
                      <w:highlight w:val="none"/>
                    </w:rPr>
                  </w:pPr>
                  <w:r>
                    <w:rPr>
                      <w:color w:val="auto"/>
                      <w:sz w:val="21"/>
                      <w:szCs w:val="21"/>
                      <w:highlight w:val="none"/>
                    </w:rPr>
                    <w:t>否</w:t>
                  </w:r>
                </w:p>
              </w:tc>
            </w:tr>
            <w:tr w14:paraId="4B4C8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14:paraId="6CA5CB12">
                  <w:pPr>
                    <w:pStyle w:val="16"/>
                    <w:pBdr>
                      <w:bottom w:val="none" w:color="auto" w:sz="0" w:space="0"/>
                    </w:pBdr>
                    <w:rPr>
                      <w:color w:val="auto"/>
                      <w:sz w:val="21"/>
                      <w:szCs w:val="21"/>
                      <w:highlight w:val="none"/>
                    </w:rPr>
                  </w:pPr>
                  <w:r>
                    <w:rPr>
                      <w:color w:val="auto"/>
                      <w:sz w:val="21"/>
                      <w:szCs w:val="21"/>
                      <w:highlight w:val="none"/>
                    </w:rPr>
                    <w:t>环境风险</w:t>
                  </w:r>
                </w:p>
              </w:tc>
              <w:tc>
                <w:tcPr>
                  <w:tcW w:w="2631" w:type="dxa"/>
                  <w:tcBorders>
                    <w:tl2br w:val="nil"/>
                    <w:tr2bl w:val="nil"/>
                  </w:tcBorders>
                  <w:noWrap w:val="0"/>
                  <w:vAlign w:val="center"/>
                </w:tcPr>
                <w:p w14:paraId="4AF1B1BB">
                  <w:pPr>
                    <w:widowControl/>
                    <w:rPr>
                      <w:color w:val="auto"/>
                      <w:szCs w:val="21"/>
                      <w:highlight w:val="none"/>
                    </w:rPr>
                  </w:pPr>
                  <w:r>
                    <w:rPr>
                      <w:color w:val="auto"/>
                      <w:kern w:val="0"/>
                      <w:szCs w:val="21"/>
                      <w:highlight w:val="none"/>
                      <w:lang w:bidi="ar"/>
                    </w:rPr>
                    <w:t>有毒有害和易燃易爆危险物质存储量超过临界量的建设项目</w:t>
                  </w:r>
                </w:p>
              </w:tc>
              <w:tc>
                <w:tcPr>
                  <w:tcW w:w="1985" w:type="dxa"/>
                  <w:tcBorders>
                    <w:tl2br w:val="nil"/>
                    <w:tr2bl w:val="nil"/>
                  </w:tcBorders>
                  <w:noWrap w:val="0"/>
                  <w:vAlign w:val="center"/>
                </w:tcPr>
                <w:p w14:paraId="0AF9BB78">
                  <w:pPr>
                    <w:pStyle w:val="16"/>
                    <w:pBdr>
                      <w:bottom w:val="none" w:color="auto" w:sz="0" w:space="0"/>
                    </w:pBdr>
                    <w:jc w:val="both"/>
                    <w:rPr>
                      <w:color w:val="auto"/>
                      <w:sz w:val="21"/>
                      <w:szCs w:val="21"/>
                      <w:highlight w:val="none"/>
                    </w:rPr>
                  </w:pPr>
                  <w:r>
                    <w:rPr>
                      <w:color w:val="auto"/>
                      <w:sz w:val="21"/>
                      <w:szCs w:val="21"/>
                      <w:highlight w:val="none"/>
                    </w:rPr>
                    <w:t>本项目无有毒有害及易燃易爆物质超过临界量</w:t>
                  </w:r>
                </w:p>
              </w:tc>
              <w:tc>
                <w:tcPr>
                  <w:tcW w:w="1106" w:type="dxa"/>
                  <w:tcBorders>
                    <w:tl2br w:val="nil"/>
                    <w:tr2bl w:val="nil"/>
                  </w:tcBorders>
                  <w:noWrap w:val="0"/>
                  <w:vAlign w:val="center"/>
                </w:tcPr>
                <w:p w14:paraId="06D713A5">
                  <w:pPr>
                    <w:pStyle w:val="16"/>
                    <w:pBdr>
                      <w:bottom w:val="none" w:color="auto" w:sz="0" w:space="0"/>
                    </w:pBdr>
                    <w:rPr>
                      <w:color w:val="auto"/>
                      <w:sz w:val="21"/>
                      <w:szCs w:val="21"/>
                      <w:highlight w:val="none"/>
                    </w:rPr>
                  </w:pPr>
                  <w:r>
                    <w:rPr>
                      <w:color w:val="auto"/>
                      <w:sz w:val="21"/>
                      <w:szCs w:val="21"/>
                      <w:highlight w:val="none"/>
                    </w:rPr>
                    <w:t>否</w:t>
                  </w:r>
                </w:p>
              </w:tc>
            </w:tr>
            <w:tr w14:paraId="72C8A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14:paraId="3A0C1943">
                  <w:pPr>
                    <w:pStyle w:val="16"/>
                    <w:pBdr>
                      <w:bottom w:val="none" w:color="auto" w:sz="0" w:space="0"/>
                    </w:pBdr>
                    <w:rPr>
                      <w:color w:val="auto"/>
                      <w:sz w:val="21"/>
                      <w:szCs w:val="21"/>
                      <w:highlight w:val="none"/>
                    </w:rPr>
                  </w:pPr>
                  <w:r>
                    <w:rPr>
                      <w:color w:val="auto"/>
                      <w:sz w:val="21"/>
                      <w:szCs w:val="21"/>
                      <w:highlight w:val="none"/>
                    </w:rPr>
                    <w:t>生态</w:t>
                  </w:r>
                </w:p>
              </w:tc>
              <w:tc>
                <w:tcPr>
                  <w:tcW w:w="2631" w:type="dxa"/>
                  <w:tcBorders>
                    <w:tl2br w:val="nil"/>
                    <w:tr2bl w:val="nil"/>
                  </w:tcBorders>
                  <w:noWrap w:val="0"/>
                  <w:vAlign w:val="center"/>
                </w:tcPr>
                <w:p w14:paraId="4B945D61">
                  <w:pPr>
                    <w:widowControl/>
                    <w:rPr>
                      <w:color w:val="auto"/>
                      <w:szCs w:val="21"/>
                      <w:highlight w:val="none"/>
                    </w:rPr>
                  </w:pPr>
                  <w:r>
                    <w:rPr>
                      <w:color w:val="auto"/>
                      <w:kern w:val="0"/>
                      <w:szCs w:val="21"/>
                      <w:highlight w:val="none"/>
                      <w:lang w:bidi="ar"/>
                    </w:rPr>
                    <w:t>取水口下游500米范围内有重要水生生物的自然产卵场、索饵场、越冬场和洄游通道的新增河道取水的污染类建设项目</w:t>
                  </w:r>
                </w:p>
              </w:tc>
              <w:tc>
                <w:tcPr>
                  <w:tcW w:w="1985" w:type="dxa"/>
                  <w:tcBorders>
                    <w:tl2br w:val="nil"/>
                    <w:tr2bl w:val="nil"/>
                  </w:tcBorders>
                  <w:noWrap w:val="0"/>
                  <w:vAlign w:val="center"/>
                </w:tcPr>
                <w:p w14:paraId="45001D67">
                  <w:pPr>
                    <w:pStyle w:val="16"/>
                    <w:pBdr>
                      <w:bottom w:val="none" w:color="auto" w:sz="0" w:space="0"/>
                    </w:pBdr>
                    <w:jc w:val="both"/>
                    <w:rPr>
                      <w:color w:val="auto"/>
                      <w:sz w:val="21"/>
                      <w:szCs w:val="21"/>
                      <w:highlight w:val="none"/>
                    </w:rPr>
                  </w:pPr>
                  <w:r>
                    <w:rPr>
                      <w:rFonts w:hint="eastAsia"/>
                      <w:color w:val="auto"/>
                      <w:sz w:val="21"/>
                      <w:szCs w:val="21"/>
                      <w:highlight w:val="none"/>
                    </w:rPr>
                    <w:t>本项目不涉及生态专章情况</w:t>
                  </w:r>
                </w:p>
              </w:tc>
              <w:tc>
                <w:tcPr>
                  <w:tcW w:w="1106" w:type="dxa"/>
                  <w:tcBorders>
                    <w:tl2br w:val="nil"/>
                    <w:tr2bl w:val="nil"/>
                  </w:tcBorders>
                  <w:noWrap w:val="0"/>
                  <w:vAlign w:val="center"/>
                </w:tcPr>
                <w:p w14:paraId="55B27F34">
                  <w:pPr>
                    <w:pStyle w:val="16"/>
                    <w:pBdr>
                      <w:bottom w:val="none" w:color="auto" w:sz="0" w:space="0"/>
                    </w:pBdr>
                    <w:rPr>
                      <w:color w:val="auto"/>
                      <w:sz w:val="21"/>
                      <w:szCs w:val="21"/>
                      <w:highlight w:val="none"/>
                    </w:rPr>
                  </w:pPr>
                  <w:r>
                    <w:rPr>
                      <w:color w:val="auto"/>
                      <w:sz w:val="21"/>
                      <w:szCs w:val="21"/>
                      <w:highlight w:val="none"/>
                    </w:rPr>
                    <w:t>否</w:t>
                  </w:r>
                </w:p>
              </w:tc>
            </w:tr>
            <w:tr w14:paraId="2B3F7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14:paraId="1A7F60F6">
                  <w:pPr>
                    <w:pStyle w:val="16"/>
                    <w:pBdr>
                      <w:bottom w:val="none" w:color="auto" w:sz="0" w:space="0"/>
                    </w:pBdr>
                    <w:rPr>
                      <w:color w:val="auto"/>
                      <w:sz w:val="21"/>
                      <w:szCs w:val="21"/>
                      <w:highlight w:val="none"/>
                    </w:rPr>
                  </w:pPr>
                  <w:r>
                    <w:rPr>
                      <w:color w:val="auto"/>
                      <w:sz w:val="21"/>
                      <w:szCs w:val="21"/>
                      <w:highlight w:val="none"/>
                    </w:rPr>
                    <w:t>海洋</w:t>
                  </w:r>
                </w:p>
              </w:tc>
              <w:tc>
                <w:tcPr>
                  <w:tcW w:w="2631" w:type="dxa"/>
                  <w:tcBorders>
                    <w:tl2br w:val="nil"/>
                    <w:tr2bl w:val="nil"/>
                  </w:tcBorders>
                  <w:noWrap w:val="0"/>
                  <w:vAlign w:val="center"/>
                </w:tcPr>
                <w:p w14:paraId="2B311258">
                  <w:pPr>
                    <w:widowControl/>
                    <w:rPr>
                      <w:color w:val="auto"/>
                      <w:szCs w:val="21"/>
                      <w:highlight w:val="none"/>
                    </w:rPr>
                  </w:pPr>
                  <w:r>
                    <w:rPr>
                      <w:color w:val="auto"/>
                      <w:kern w:val="0"/>
                      <w:szCs w:val="21"/>
                      <w:highlight w:val="none"/>
                      <w:lang w:bidi="ar"/>
                    </w:rPr>
                    <w:t>直接向海排放污染物的海洋工程建设项目</w:t>
                  </w:r>
                </w:p>
              </w:tc>
              <w:tc>
                <w:tcPr>
                  <w:tcW w:w="1985" w:type="dxa"/>
                  <w:tcBorders>
                    <w:tl2br w:val="nil"/>
                    <w:tr2bl w:val="nil"/>
                  </w:tcBorders>
                  <w:noWrap w:val="0"/>
                  <w:vAlign w:val="center"/>
                </w:tcPr>
                <w:p w14:paraId="6CDB82B9">
                  <w:pPr>
                    <w:pStyle w:val="16"/>
                    <w:pBdr>
                      <w:bottom w:val="none" w:color="auto" w:sz="0" w:space="0"/>
                    </w:pBdr>
                    <w:jc w:val="both"/>
                    <w:rPr>
                      <w:color w:val="auto"/>
                      <w:sz w:val="21"/>
                      <w:szCs w:val="21"/>
                      <w:highlight w:val="none"/>
                    </w:rPr>
                  </w:pPr>
                  <w:r>
                    <w:rPr>
                      <w:color w:val="auto"/>
                      <w:sz w:val="21"/>
                      <w:szCs w:val="21"/>
                      <w:highlight w:val="none"/>
                    </w:rPr>
                    <w:t>项目不涉及海洋</w:t>
                  </w:r>
                </w:p>
              </w:tc>
              <w:tc>
                <w:tcPr>
                  <w:tcW w:w="1106" w:type="dxa"/>
                  <w:tcBorders>
                    <w:tl2br w:val="nil"/>
                    <w:tr2bl w:val="nil"/>
                  </w:tcBorders>
                  <w:noWrap w:val="0"/>
                  <w:vAlign w:val="center"/>
                </w:tcPr>
                <w:p w14:paraId="26E16AE8">
                  <w:pPr>
                    <w:pStyle w:val="16"/>
                    <w:pBdr>
                      <w:bottom w:val="none" w:color="auto" w:sz="0" w:space="0"/>
                    </w:pBdr>
                    <w:rPr>
                      <w:color w:val="auto"/>
                      <w:sz w:val="21"/>
                      <w:szCs w:val="21"/>
                      <w:highlight w:val="none"/>
                    </w:rPr>
                  </w:pPr>
                  <w:r>
                    <w:rPr>
                      <w:color w:val="auto"/>
                      <w:sz w:val="21"/>
                      <w:szCs w:val="21"/>
                      <w:highlight w:val="none"/>
                    </w:rPr>
                    <w:t>否</w:t>
                  </w:r>
                </w:p>
              </w:tc>
            </w:tr>
          </w:tbl>
          <w:p w14:paraId="294B0F47">
            <w:pPr>
              <w:pStyle w:val="42"/>
              <w:bidi w:val="0"/>
              <w:ind w:left="0" w:leftChars="0" w:firstLine="0" w:firstLineChars="0"/>
              <w:rPr>
                <w:rFonts w:hint="default" w:ascii="Times New Roman" w:hAnsi="Times New Roman" w:eastAsia="宋体" w:cs="Times New Roman"/>
                <w:color w:val="auto"/>
                <w:kern w:val="0"/>
                <w:szCs w:val="21"/>
                <w:highlight w:val="none"/>
                <w:lang w:eastAsia="zh-CN"/>
              </w:rPr>
            </w:pPr>
          </w:p>
        </w:tc>
      </w:tr>
      <w:tr w14:paraId="677B0B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55" w:type="dxa"/>
            <w:noWrap w:val="0"/>
            <w:vAlign w:val="center"/>
          </w:tcPr>
          <w:p w14:paraId="13EA2D75">
            <w:pPr>
              <w:pStyle w:val="42"/>
              <w:bidi w:val="0"/>
              <w:spacing w:line="240" w:lineRule="auto"/>
              <w:ind w:left="0" w:leftChars="0" w:firstLine="0" w:firstLineChars="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规划情况</w:t>
            </w:r>
          </w:p>
        </w:tc>
        <w:tc>
          <w:tcPr>
            <w:tcW w:w="7115" w:type="dxa"/>
            <w:gridSpan w:val="3"/>
            <w:noWrap w:val="0"/>
            <w:vAlign w:val="center"/>
          </w:tcPr>
          <w:p w14:paraId="55492385">
            <w:pPr>
              <w:pStyle w:val="42"/>
              <w:bidi w:val="0"/>
              <w:ind w:left="0" w:leftChars="0" w:firstLine="0" w:firstLineChars="0"/>
              <w:jc w:val="both"/>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规划名称：《大英县国土空间总体规划（2021-2035）》</w:t>
            </w:r>
          </w:p>
          <w:p w14:paraId="6E176155">
            <w:pPr>
              <w:pStyle w:val="42"/>
              <w:bidi w:val="0"/>
              <w:ind w:left="0" w:leftChars="0" w:firstLine="0" w:firstLineChars="0"/>
              <w:jc w:val="both"/>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规划审批单位：四川省人民政府</w:t>
            </w:r>
          </w:p>
          <w:p w14:paraId="62CE8FE4">
            <w:pPr>
              <w:pStyle w:val="42"/>
              <w:bidi w:val="0"/>
              <w:ind w:left="0" w:leftChars="0" w:firstLine="0" w:firstLineChars="0"/>
              <w:jc w:val="both"/>
              <w:rPr>
                <w:rFonts w:hint="default" w:ascii="Times New Roman" w:hAnsi="Times New Roman" w:cs="Times New Roman"/>
                <w:color w:val="FF0000"/>
                <w:kern w:val="0"/>
                <w:szCs w:val="21"/>
                <w:highlight w:val="none"/>
                <w:lang w:val="en-US" w:eastAsia="zh-CN"/>
              </w:rPr>
            </w:pPr>
            <w:r>
              <w:rPr>
                <w:rFonts w:hint="eastAsia" w:ascii="Times New Roman" w:hAnsi="Times New Roman" w:cs="Times New Roman"/>
                <w:color w:val="auto"/>
                <w:kern w:val="0"/>
                <w:szCs w:val="21"/>
                <w:highlight w:val="none"/>
                <w:lang w:val="en-US" w:eastAsia="zh-CN"/>
              </w:rPr>
              <w:t>审批时间：2024年5月</w:t>
            </w:r>
          </w:p>
        </w:tc>
      </w:tr>
      <w:tr w14:paraId="27FCC7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55" w:type="dxa"/>
            <w:noWrap w:val="0"/>
            <w:vAlign w:val="center"/>
          </w:tcPr>
          <w:p w14:paraId="09A8D224">
            <w:pPr>
              <w:pStyle w:val="42"/>
              <w:bidi w:val="0"/>
              <w:spacing w:line="240" w:lineRule="auto"/>
              <w:ind w:left="0" w:leftChars="0" w:firstLine="0" w:firstLineChars="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规划环境影响</w:t>
            </w:r>
          </w:p>
          <w:p w14:paraId="0416274E">
            <w:pPr>
              <w:pStyle w:val="42"/>
              <w:bidi w:val="0"/>
              <w:spacing w:line="240" w:lineRule="auto"/>
              <w:ind w:left="0" w:leftChars="0" w:firstLine="0" w:firstLineChars="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评价情况</w:t>
            </w:r>
          </w:p>
        </w:tc>
        <w:tc>
          <w:tcPr>
            <w:tcW w:w="7115" w:type="dxa"/>
            <w:gridSpan w:val="3"/>
            <w:noWrap w:val="0"/>
            <w:vAlign w:val="center"/>
          </w:tcPr>
          <w:p w14:paraId="1A7EC1F2">
            <w:pPr>
              <w:pStyle w:val="42"/>
              <w:bidi w:val="0"/>
              <w:ind w:left="0" w:leftChars="0" w:firstLine="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已开展园区规划环评。</w:t>
            </w:r>
          </w:p>
          <w:p w14:paraId="5A566D80">
            <w:pPr>
              <w:pStyle w:val="42"/>
              <w:bidi w:val="0"/>
              <w:ind w:left="0" w:leftChars="0" w:firstLine="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规划环评审批机关：</w:t>
            </w:r>
            <w:r>
              <w:rPr>
                <w:rFonts w:hint="default" w:ascii="Times New Roman" w:hAnsi="Times New Roman" w:cs="Times New Roman"/>
                <w:color w:val="auto"/>
                <w:highlight w:val="none"/>
              </w:rPr>
              <w:t>四川省生态环境厅</w:t>
            </w:r>
            <w:r>
              <w:rPr>
                <w:rFonts w:hint="default" w:ascii="Times New Roman" w:hAnsi="Times New Roman" w:cs="Times New Roman"/>
                <w:color w:val="auto"/>
                <w:highlight w:val="none"/>
                <w:lang w:eastAsia="zh-CN"/>
              </w:rPr>
              <w:t>；</w:t>
            </w:r>
          </w:p>
          <w:p w14:paraId="4D95AF94">
            <w:pPr>
              <w:pStyle w:val="42"/>
              <w:bidi w:val="0"/>
              <w:ind w:left="0" w:leftChars="0" w:firstLine="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规划环评名称：《四川大英经济开发区规划环境影响报告书》；</w:t>
            </w:r>
          </w:p>
          <w:p w14:paraId="712D828B">
            <w:pPr>
              <w:pStyle w:val="42"/>
              <w:bidi w:val="0"/>
              <w:ind w:left="0" w:leftChars="0" w:firstLine="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批复号：川环建函〔2019〕48号；</w:t>
            </w:r>
          </w:p>
          <w:p w14:paraId="7A0FAF66">
            <w:pPr>
              <w:pStyle w:val="42"/>
              <w:bidi w:val="0"/>
              <w:ind w:left="0" w:leftChars="0" w:firstLine="0" w:firstLineChars="0"/>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lang w:eastAsia="zh-CN"/>
              </w:rPr>
              <w:t>批复时间：2019年1月</w:t>
            </w:r>
          </w:p>
        </w:tc>
      </w:tr>
      <w:tr w14:paraId="02AF4E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870" w:type="dxa"/>
            <w:gridSpan w:val="4"/>
            <w:noWrap w:val="0"/>
            <w:vAlign w:val="center"/>
          </w:tcPr>
          <w:p w14:paraId="2844974D">
            <w:pPr>
              <w:autoSpaceDE w:val="0"/>
              <w:autoSpaceDN w:val="0"/>
              <w:adjustRightInd w:val="0"/>
              <w:snapToGrid w:val="0"/>
              <w:spacing w:line="24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highlight w:val="none"/>
              </w:rPr>
              <w:t>规划及规划环境影响评价符合性分析</w:t>
            </w:r>
          </w:p>
        </w:tc>
      </w:tr>
      <w:tr w14:paraId="216F9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70" w:type="dxa"/>
            <w:gridSpan w:val="4"/>
            <w:noWrap w:val="0"/>
            <w:vAlign w:val="center"/>
          </w:tcPr>
          <w:p w14:paraId="4B670E77">
            <w:pPr>
              <w:pStyle w:val="42"/>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与四川大英经济开发区规划情况符合性分析</w:t>
            </w:r>
          </w:p>
          <w:p w14:paraId="43F06104">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四川大英经济开发区于2019年1月经四川省人民政府批复设立（川府函〔2019〕20号），位于大英县城东侧，西连射大路，东至隆盛镇打儿窝，南邻达成铁路，北至城南高速公路，规划面积16.0平方公里。《四川大英经济开发区规划环境影响报告书》由四川省环科源科技有限公司编制，并</w:t>
            </w:r>
            <w:r>
              <w:rPr>
                <w:rFonts w:hint="default" w:ascii="Times New Roman" w:hAnsi="Times New Roman" w:cs="Times New Roman"/>
                <w:color w:val="auto"/>
                <w:highlight w:val="none"/>
                <w:lang w:eastAsia="zh-CN"/>
              </w:rPr>
              <w:t>于</w:t>
            </w:r>
            <w:r>
              <w:rPr>
                <w:rFonts w:hint="default" w:ascii="Times New Roman" w:hAnsi="Times New Roman" w:cs="Times New Roman"/>
                <w:color w:val="auto"/>
                <w:highlight w:val="none"/>
              </w:rPr>
              <w:t>2019年</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月通过四川省生态环境厅审查（川环建函〔2019〕48号）。</w:t>
            </w:r>
          </w:p>
          <w:p w14:paraId="2FC776B9">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根据规划及规划环评最终确定：四川大英经济开发区由四个产业园及配套居住组团，石油化工产业园（梁家坝和红花坝片区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、盐化工产业园（聂家坝片区）、机电轻纺产业园（马家坝片区和景家坝片区、梨子坝</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尚家坝片区）、电子产业园（位于聂家坝片区），面积分别为6.3平方公里、1.76平方公里、2.33平方公里、0.45平方公里。</w:t>
            </w:r>
          </w:p>
          <w:p w14:paraId="2C11E009">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根据规划环评，园区鼓励发展环境友好的化工新材料和机械制造产业及与规划区主导产业相配套产业，企业效益明显，对区域不造成明显污染，遵循清洁生产及循环经济的项目。</w:t>
            </w:r>
          </w:p>
          <w:p w14:paraId="37AC0281">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根据规划环评，园区</w:t>
            </w:r>
            <w:r>
              <w:rPr>
                <w:rFonts w:hint="eastAsia" w:ascii="Times New Roman" w:hAnsi="Times New Roman" w:cs="Times New Roman"/>
                <w:color w:val="auto"/>
                <w:highlight w:val="none"/>
                <w:lang w:val="en-US" w:eastAsia="zh-CN"/>
              </w:rPr>
              <w:t>环境准入负面清单总体原则及具体要求</w:t>
            </w:r>
            <w:r>
              <w:rPr>
                <w:rFonts w:hint="default" w:ascii="Times New Roman" w:hAnsi="Times New Roman" w:cs="Times New Roman"/>
                <w:color w:val="auto"/>
                <w:highlight w:val="none"/>
              </w:rPr>
              <w:t>如下表所示：</w:t>
            </w:r>
          </w:p>
          <w:p w14:paraId="39E4FB84">
            <w:pPr>
              <w:pStyle w:val="4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表1-1四川大英经济开发区</w:t>
            </w:r>
            <w:r>
              <w:rPr>
                <w:rFonts w:hint="eastAsia" w:ascii="Times New Roman" w:hAnsi="Times New Roman" w:cs="Times New Roman"/>
                <w:color w:val="auto"/>
                <w:highlight w:val="none"/>
                <w:lang w:val="en-US" w:eastAsia="zh-CN"/>
              </w:rPr>
              <w:t>环境准入负面清单总体原则</w:t>
            </w:r>
          </w:p>
          <w:tbl>
            <w:tblPr>
              <w:tblStyle w:val="24"/>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3855"/>
              <w:gridCol w:w="2520"/>
              <w:gridCol w:w="1210"/>
            </w:tblGrid>
            <w:tr w14:paraId="1BED7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32" w:type="dxa"/>
                  <w:tcBorders>
                    <w:tl2br w:val="nil"/>
                    <w:tr2bl w:val="nil"/>
                  </w:tcBorders>
                  <w:vAlign w:val="center"/>
                </w:tcPr>
                <w:p w14:paraId="1D362732">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序号</w:t>
                  </w:r>
                </w:p>
              </w:tc>
              <w:tc>
                <w:tcPr>
                  <w:tcW w:w="3855" w:type="dxa"/>
                  <w:tcBorders>
                    <w:tl2br w:val="nil"/>
                    <w:tr2bl w:val="nil"/>
                  </w:tcBorders>
                  <w:vAlign w:val="center"/>
                </w:tcPr>
                <w:p w14:paraId="53131D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总体要求</w:t>
                  </w:r>
                </w:p>
              </w:tc>
              <w:tc>
                <w:tcPr>
                  <w:tcW w:w="2520" w:type="dxa"/>
                  <w:tcBorders>
                    <w:tl2br w:val="nil"/>
                    <w:tr2bl w:val="nil"/>
                  </w:tcBorders>
                  <w:vAlign w:val="center"/>
                </w:tcPr>
                <w:p w14:paraId="4A7DB34D">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本项目情况</w:t>
                  </w:r>
                </w:p>
              </w:tc>
              <w:tc>
                <w:tcPr>
                  <w:tcW w:w="1210" w:type="dxa"/>
                  <w:tcBorders>
                    <w:tl2br w:val="nil"/>
                    <w:tr2bl w:val="nil"/>
                  </w:tcBorders>
                  <w:vAlign w:val="center"/>
                </w:tcPr>
                <w:p w14:paraId="3BB6A77D">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符合性</w:t>
                  </w:r>
                </w:p>
              </w:tc>
            </w:tr>
            <w:tr w14:paraId="2A04E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032" w:type="dxa"/>
                  <w:tcBorders>
                    <w:tl2br w:val="nil"/>
                    <w:tr2bl w:val="nil"/>
                  </w:tcBorders>
                  <w:vAlign w:val="center"/>
                </w:tcPr>
                <w:p w14:paraId="22168365">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1</w:t>
                  </w:r>
                </w:p>
              </w:tc>
              <w:tc>
                <w:tcPr>
                  <w:tcW w:w="3855" w:type="dxa"/>
                  <w:tcBorders>
                    <w:tl2br w:val="nil"/>
                    <w:tr2bl w:val="nil"/>
                  </w:tcBorders>
                  <w:vAlign w:val="center"/>
                </w:tcPr>
                <w:p w14:paraId="1EFA97C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不符合国家行业准入条件的项目，列入国家产能过剩的项目，列入产业结构指导目录限制及禁止类的项目。</w:t>
                  </w:r>
                </w:p>
              </w:tc>
              <w:tc>
                <w:tcPr>
                  <w:tcW w:w="2520" w:type="dxa"/>
                  <w:tcBorders>
                    <w:tl2br w:val="nil"/>
                    <w:tr2bl w:val="nil"/>
                  </w:tcBorders>
                  <w:vAlign w:val="center"/>
                </w:tcPr>
                <w:p w14:paraId="42B38075">
                  <w:pPr>
                    <w:pStyle w:val="42"/>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本项目属于允许类</w:t>
                  </w:r>
                </w:p>
              </w:tc>
              <w:tc>
                <w:tcPr>
                  <w:tcW w:w="1210" w:type="dxa"/>
                  <w:tcBorders>
                    <w:tl2br w:val="nil"/>
                    <w:tr2bl w:val="nil"/>
                  </w:tcBorders>
                  <w:vAlign w:val="center"/>
                </w:tcPr>
                <w:p w14:paraId="26DA14B7">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符合</w:t>
                  </w:r>
                </w:p>
              </w:tc>
            </w:tr>
            <w:tr w14:paraId="308E0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032" w:type="dxa"/>
                  <w:tcBorders>
                    <w:tl2br w:val="nil"/>
                    <w:tr2bl w:val="nil"/>
                  </w:tcBorders>
                  <w:vAlign w:val="center"/>
                </w:tcPr>
                <w:p w14:paraId="5EF1EB0D">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2</w:t>
                  </w:r>
                </w:p>
              </w:tc>
              <w:tc>
                <w:tcPr>
                  <w:tcW w:w="3855" w:type="dxa"/>
                  <w:tcBorders>
                    <w:tl2br w:val="nil"/>
                    <w:tr2bl w:val="nil"/>
                  </w:tcBorders>
                  <w:vAlign w:val="center"/>
                </w:tcPr>
                <w:p w14:paraId="0439AF76">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不符合国家环保法律法规、各类污染防治规划及要求的项目。</w:t>
                  </w:r>
                </w:p>
              </w:tc>
              <w:tc>
                <w:tcPr>
                  <w:tcW w:w="2520" w:type="dxa"/>
                  <w:tcBorders>
                    <w:tl2br w:val="nil"/>
                    <w:tr2bl w:val="nil"/>
                  </w:tcBorders>
                  <w:vAlign w:val="center"/>
                </w:tcPr>
                <w:p w14:paraId="336A6145">
                  <w:pPr>
                    <w:pStyle w:val="42"/>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本项目建设内容符合国家环保法律法规、各类污染防治规划及要求的项目。</w:t>
                  </w:r>
                </w:p>
              </w:tc>
              <w:tc>
                <w:tcPr>
                  <w:tcW w:w="1210" w:type="dxa"/>
                  <w:tcBorders>
                    <w:tl2br w:val="nil"/>
                    <w:tr2bl w:val="nil"/>
                  </w:tcBorders>
                  <w:vAlign w:val="center"/>
                </w:tcPr>
                <w:p w14:paraId="785581A7">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符合</w:t>
                  </w:r>
                </w:p>
              </w:tc>
            </w:tr>
            <w:tr w14:paraId="01E98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032" w:type="dxa"/>
                  <w:tcBorders>
                    <w:tl2br w:val="nil"/>
                    <w:tr2bl w:val="nil"/>
                  </w:tcBorders>
                  <w:vAlign w:val="center"/>
                </w:tcPr>
                <w:p w14:paraId="1D9645BA">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3</w:t>
                  </w:r>
                </w:p>
              </w:tc>
              <w:tc>
                <w:tcPr>
                  <w:tcW w:w="3855" w:type="dxa"/>
                  <w:tcBorders>
                    <w:tl2br w:val="nil"/>
                    <w:tr2bl w:val="nil"/>
                  </w:tcBorders>
                  <w:vAlign w:val="center"/>
                </w:tcPr>
                <w:p w14:paraId="01CFEFC7">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清洁生产水平不能达到行业清洁生产标准二级标准要求或低于全国同类企业先进清洁生产水平的项目。</w:t>
                  </w:r>
                </w:p>
              </w:tc>
              <w:tc>
                <w:tcPr>
                  <w:tcW w:w="2520" w:type="dxa"/>
                  <w:tcBorders>
                    <w:tl2br w:val="nil"/>
                    <w:tr2bl w:val="nil"/>
                  </w:tcBorders>
                  <w:vAlign w:val="center"/>
                </w:tcPr>
                <w:p w14:paraId="2B2492C1">
                  <w:pPr>
                    <w:pStyle w:val="42"/>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根据分析，本项目清洁生产水平不能达到行业清洁生产标准二级标准要求或低于全国同类企业先进清洁生产水平的项目。</w:t>
                  </w:r>
                </w:p>
              </w:tc>
              <w:tc>
                <w:tcPr>
                  <w:tcW w:w="1210" w:type="dxa"/>
                  <w:tcBorders>
                    <w:tl2br w:val="nil"/>
                    <w:tr2bl w:val="nil"/>
                  </w:tcBorders>
                  <w:vAlign w:val="center"/>
                </w:tcPr>
                <w:p w14:paraId="36E4BF28">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符合</w:t>
                  </w:r>
                </w:p>
              </w:tc>
            </w:tr>
            <w:tr w14:paraId="61FE43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032" w:type="dxa"/>
                  <w:tcBorders>
                    <w:tl2br w:val="nil"/>
                    <w:tr2bl w:val="nil"/>
                  </w:tcBorders>
                  <w:vAlign w:val="center"/>
                </w:tcPr>
                <w:p w14:paraId="324CDCF4">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4</w:t>
                  </w:r>
                </w:p>
              </w:tc>
              <w:tc>
                <w:tcPr>
                  <w:tcW w:w="3855" w:type="dxa"/>
                  <w:tcBorders>
                    <w:tl2br w:val="nil"/>
                    <w:tr2bl w:val="nil"/>
                  </w:tcBorders>
                  <w:vAlign w:val="center"/>
                </w:tcPr>
                <w:p w14:paraId="45DFBCD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与园区生活空间冲突或经环保论证与周边企业、规划用地等环境不相容，与居住区紧邻且存在重大危险源的项目。</w:t>
                  </w:r>
                </w:p>
              </w:tc>
              <w:tc>
                <w:tcPr>
                  <w:tcW w:w="2520" w:type="dxa"/>
                  <w:tcBorders>
                    <w:tl2br w:val="nil"/>
                    <w:tr2bl w:val="nil"/>
                  </w:tcBorders>
                  <w:vAlign w:val="center"/>
                </w:tcPr>
                <w:p w14:paraId="1A15BED8">
                  <w:pPr>
                    <w:pStyle w:val="42"/>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根据后文论证，本项目与园区生活空间冲突或经环保论证与周边企业、规划用地等环境相容且不存在重大危险源的项目。</w:t>
                  </w:r>
                </w:p>
              </w:tc>
              <w:tc>
                <w:tcPr>
                  <w:tcW w:w="1210" w:type="dxa"/>
                  <w:tcBorders>
                    <w:tl2br w:val="nil"/>
                    <w:tr2bl w:val="nil"/>
                  </w:tcBorders>
                  <w:vAlign w:val="center"/>
                </w:tcPr>
                <w:p w14:paraId="2B9D32E3">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符合</w:t>
                  </w:r>
                </w:p>
              </w:tc>
            </w:tr>
            <w:tr w14:paraId="26318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1032" w:type="dxa"/>
                  <w:tcBorders>
                    <w:tl2br w:val="nil"/>
                    <w:tr2bl w:val="nil"/>
                  </w:tcBorders>
                  <w:vAlign w:val="center"/>
                </w:tcPr>
                <w:p w14:paraId="30327599">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5</w:t>
                  </w:r>
                </w:p>
              </w:tc>
              <w:tc>
                <w:tcPr>
                  <w:tcW w:w="3855" w:type="dxa"/>
                  <w:tcBorders>
                    <w:tl2br w:val="nil"/>
                    <w:tr2bl w:val="nil"/>
                  </w:tcBorders>
                  <w:vAlign w:val="center"/>
                </w:tcPr>
                <w:p w14:paraId="2021E7AE">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禁止新建燃煤火电、金属冶炼、制浆（含废纸制浆）、屠宰、皮革鞣制、铅蓄电池制造、原油炼制、煤化工及发酵制药项目。</w:t>
                  </w:r>
                </w:p>
              </w:tc>
              <w:tc>
                <w:tcPr>
                  <w:tcW w:w="2520" w:type="dxa"/>
                  <w:tcBorders>
                    <w:tl2br w:val="nil"/>
                    <w:tr2bl w:val="nil"/>
                  </w:tcBorders>
                  <w:vAlign w:val="center"/>
                </w:tcPr>
                <w:p w14:paraId="1894A62A">
                  <w:pPr>
                    <w:pStyle w:val="42"/>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本项目不属于燃煤火电、金属冶炼、制浆（含废纸制浆）、屠宰、皮革鞣制、铅蓄电池制造、原油炼制、煤化工及发酵制药项目。</w:t>
                  </w:r>
                </w:p>
              </w:tc>
              <w:tc>
                <w:tcPr>
                  <w:tcW w:w="1210" w:type="dxa"/>
                  <w:tcBorders>
                    <w:tl2br w:val="nil"/>
                    <w:tr2bl w:val="nil"/>
                  </w:tcBorders>
                  <w:vAlign w:val="center"/>
                </w:tcPr>
                <w:p w14:paraId="5CA941B8">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符合</w:t>
                  </w:r>
                </w:p>
              </w:tc>
            </w:tr>
            <w:tr w14:paraId="22554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032" w:type="dxa"/>
                  <w:tcBorders>
                    <w:tl2br w:val="nil"/>
                    <w:tr2bl w:val="nil"/>
                  </w:tcBorders>
                  <w:vAlign w:val="center"/>
                </w:tcPr>
                <w:p w14:paraId="2CA5C723">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highlight w:val="none"/>
                      <w:vertAlign w:val="baseline"/>
                    </w:rPr>
                  </w:pPr>
                </w:p>
              </w:tc>
              <w:tc>
                <w:tcPr>
                  <w:tcW w:w="3855" w:type="dxa"/>
                  <w:tcBorders>
                    <w:tl2br w:val="nil"/>
                    <w:tr2bl w:val="nil"/>
                  </w:tcBorders>
                  <w:vAlign w:val="center"/>
                </w:tcPr>
                <w:p w14:paraId="1D194093">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禁止新引入印制电路板、集成电路制造、平板及柔性显示器件制造等耗、排水量大的项目。</w:t>
                  </w:r>
                </w:p>
              </w:tc>
              <w:tc>
                <w:tcPr>
                  <w:tcW w:w="2520" w:type="dxa"/>
                  <w:tcBorders>
                    <w:tl2br w:val="nil"/>
                    <w:tr2bl w:val="nil"/>
                  </w:tcBorders>
                  <w:vAlign w:val="center"/>
                </w:tcPr>
                <w:p w14:paraId="2357302A">
                  <w:pPr>
                    <w:pStyle w:val="42"/>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本项目不属于印制电路板、集成电路制造、平板及柔性显示器件制造等耗、排水量大的项目。</w:t>
                  </w:r>
                </w:p>
              </w:tc>
              <w:tc>
                <w:tcPr>
                  <w:tcW w:w="1210" w:type="dxa"/>
                  <w:tcBorders>
                    <w:tl2br w:val="nil"/>
                    <w:tr2bl w:val="nil"/>
                  </w:tcBorders>
                  <w:vAlign w:val="center"/>
                </w:tcPr>
                <w:p w14:paraId="174C0331">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符合</w:t>
                  </w:r>
                </w:p>
              </w:tc>
            </w:tr>
            <w:tr w14:paraId="52226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032" w:type="dxa"/>
                  <w:tcBorders>
                    <w:tl2br w:val="nil"/>
                    <w:tr2bl w:val="nil"/>
                  </w:tcBorders>
                  <w:vAlign w:val="center"/>
                </w:tcPr>
                <w:p w14:paraId="6153C435">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6</w:t>
                  </w:r>
                </w:p>
              </w:tc>
              <w:tc>
                <w:tcPr>
                  <w:tcW w:w="3855" w:type="dxa"/>
                  <w:tcBorders>
                    <w:tl2br w:val="nil"/>
                    <w:tr2bl w:val="nil"/>
                  </w:tcBorders>
                  <w:vAlign w:val="center"/>
                </w:tcPr>
                <w:p w14:paraId="209A6D1E">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其他与规划环评要求不符的项目。</w:t>
                  </w:r>
                </w:p>
              </w:tc>
              <w:tc>
                <w:tcPr>
                  <w:tcW w:w="2520" w:type="dxa"/>
                  <w:tcBorders>
                    <w:tl2br w:val="nil"/>
                    <w:tr2bl w:val="nil"/>
                  </w:tcBorders>
                  <w:vAlign w:val="center"/>
                </w:tcPr>
                <w:p w14:paraId="2C1239E0">
                  <w:pPr>
                    <w:pStyle w:val="42"/>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本表1-2分析，本项目符合规划环评准入清单要求。</w:t>
                  </w:r>
                </w:p>
              </w:tc>
              <w:tc>
                <w:tcPr>
                  <w:tcW w:w="1210" w:type="dxa"/>
                  <w:tcBorders>
                    <w:tl2br w:val="nil"/>
                    <w:tr2bl w:val="nil"/>
                  </w:tcBorders>
                  <w:vAlign w:val="center"/>
                </w:tcPr>
                <w:p w14:paraId="168FEFF3">
                  <w:pPr>
                    <w:pStyle w:val="4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符合</w:t>
                  </w:r>
                </w:p>
              </w:tc>
            </w:tr>
          </w:tbl>
          <w:p w14:paraId="395C34DD">
            <w:pPr>
              <w:pStyle w:val="42"/>
              <w:bidi w:val="0"/>
              <w:rPr>
                <w:rFonts w:hint="default" w:ascii="Times New Roman" w:hAnsi="Times New Roman" w:cs="Times New Roman"/>
                <w:color w:val="auto"/>
                <w:highlight w:val="none"/>
              </w:rPr>
            </w:pPr>
          </w:p>
          <w:p w14:paraId="7B1B8FAA">
            <w:pPr>
              <w:pStyle w:val="42"/>
              <w:bidi w:val="0"/>
              <w:rPr>
                <w:rFonts w:hint="default" w:ascii="Times New Roman" w:hAnsi="Times New Roman" w:cs="Times New Roman"/>
                <w:color w:val="auto"/>
                <w:highlight w:val="none"/>
              </w:rPr>
            </w:pPr>
          </w:p>
          <w:p w14:paraId="1A00F0D3">
            <w:pPr>
              <w:pStyle w:val="42"/>
              <w:bidi w:val="0"/>
              <w:rPr>
                <w:rFonts w:hint="default" w:ascii="Times New Roman" w:hAnsi="Times New Roman" w:cs="Times New Roman"/>
                <w:color w:val="auto"/>
                <w:highlight w:val="none"/>
              </w:rPr>
            </w:pPr>
          </w:p>
          <w:p w14:paraId="4DCD49E0">
            <w:pPr>
              <w:pStyle w:val="43"/>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表1-</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四川大英经济开发区</w:t>
            </w:r>
            <w:r>
              <w:rPr>
                <w:rFonts w:hint="eastAsia" w:ascii="Times New Roman" w:hAnsi="Times New Roman" w:cs="Times New Roman"/>
                <w:color w:val="auto"/>
                <w:highlight w:val="none"/>
                <w:lang w:val="en-US" w:eastAsia="zh-CN"/>
              </w:rPr>
              <w:t>环境准入负面清单具体要求</w:t>
            </w:r>
          </w:p>
          <w:tbl>
            <w:tblPr>
              <w:tblStyle w:val="2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2419"/>
              <w:gridCol w:w="3402"/>
              <w:gridCol w:w="1218"/>
            </w:tblGrid>
            <w:tr w14:paraId="3DB15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blHeader/>
                <w:jc w:val="center"/>
              </w:trPr>
              <w:tc>
                <w:tcPr>
                  <w:tcW w:w="1465" w:type="dxa"/>
                  <w:noWrap w:val="0"/>
                  <w:vAlign w:val="center"/>
                </w:tcPr>
                <w:p w14:paraId="2781342D">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行业分类</w:t>
                  </w:r>
                </w:p>
              </w:tc>
              <w:tc>
                <w:tcPr>
                  <w:tcW w:w="2419" w:type="dxa"/>
                  <w:noWrap w:val="0"/>
                  <w:vAlign w:val="center"/>
                </w:tcPr>
                <w:p w14:paraId="372CFB6A">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大/中类</w:t>
                  </w:r>
                </w:p>
              </w:tc>
              <w:tc>
                <w:tcPr>
                  <w:tcW w:w="3402" w:type="dxa"/>
                  <w:noWrap w:val="0"/>
                  <w:vAlign w:val="center"/>
                </w:tcPr>
                <w:p w14:paraId="298EA6D7">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禁止类</w:t>
                  </w:r>
                </w:p>
              </w:tc>
              <w:tc>
                <w:tcPr>
                  <w:tcW w:w="1218" w:type="dxa"/>
                  <w:noWrap w:val="0"/>
                  <w:vAlign w:val="center"/>
                </w:tcPr>
                <w:p w14:paraId="1784305F">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限制类</w:t>
                  </w:r>
                </w:p>
              </w:tc>
            </w:tr>
            <w:tr w14:paraId="0892A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465" w:type="dxa"/>
                  <w:noWrap w:val="0"/>
                  <w:vAlign w:val="center"/>
                </w:tcPr>
                <w:p w14:paraId="22E6F173">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石化</w:t>
                  </w:r>
                </w:p>
              </w:tc>
              <w:tc>
                <w:tcPr>
                  <w:tcW w:w="2419" w:type="dxa"/>
                  <w:noWrap w:val="0"/>
                  <w:vAlign w:val="center"/>
                </w:tcPr>
                <w:p w14:paraId="0CAC80AE">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251精炼石油产品制造</w:t>
                  </w:r>
                </w:p>
              </w:tc>
              <w:tc>
                <w:tcPr>
                  <w:tcW w:w="3402" w:type="dxa"/>
                  <w:noWrap w:val="0"/>
                  <w:vAlign w:val="center"/>
                </w:tcPr>
                <w:p w14:paraId="3C85CBB7">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新建原油炼制、扩建燃料油炼制项目；油品升级项目除外</w:t>
                  </w:r>
                </w:p>
              </w:tc>
              <w:tc>
                <w:tcPr>
                  <w:tcW w:w="1218" w:type="dxa"/>
                  <w:noWrap w:val="0"/>
                  <w:vAlign w:val="center"/>
                </w:tcPr>
                <w:p w14:paraId="3FD4139E">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r>
            <w:tr w14:paraId="6A84E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465" w:type="dxa"/>
                  <w:vMerge w:val="restart"/>
                  <w:noWrap w:val="0"/>
                  <w:vAlign w:val="center"/>
                </w:tcPr>
                <w:p w14:paraId="63A47BE8">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化工</w:t>
                  </w:r>
                </w:p>
              </w:tc>
              <w:tc>
                <w:tcPr>
                  <w:tcW w:w="2419" w:type="dxa"/>
                  <w:noWrap w:val="0"/>
                  <w:vAlign w:val="center"/>
                </w:tcPr>
                <w:p w14:paraId="1C9A972C">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261基础化学原料制造</w:t>
                  </w:r>
                </w:p>
              </w:tc>
              <w:tc>
                <w:tcPr>
                  <w:tcW w:w="3402" w:type="dxa"/>
                  <w:noWrap w:val="0"/>
                  <w:vAlign w:val="center"/>
                </w:tcPr>
                <w:p w14:paraId="47BBDC46">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“三酸两碱”（硫酸、盐酸、硝酸，烧碱、纯碱）项目；</w:t>
                  </w:r>
                </w:p>
                <w:p w14:paraId="7FBDE541">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氯碱（PVC）项目</w:t>
                  </w:r>
                </w:p>
              </w:tc>
              <w:tc>
                <w:tcPr>
                  <w:tcW w:w="1218" w:type="dxa"/>
                  <w:noWrap w:val="0"/>
                  <w:vAlign w:val="center"/>
                </w:tcPr>
                <w:p w14:paraId="59EAAF62">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r>
            <w:tr w14:paraId="7883B8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465" w:type="dxa"/>
                  <w:vMerge w:val="continue"/>
                  <w:noWrap w:val="0"/>
                  <w:vAlign w:val="center"/>
                </w:tcPr>
                <w:p w14:paraId="76A18C52">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c>
                <w:tcPr>
                  <w:tcW w:w="2419" w:type="dxa"/>
                  <w:noWrap w:val="0"/>
                  <w:vAlign w:val="center"/>
                </w:tcPr>
                <w:p w14:paraId="571CD0B0">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262肥料制造</w:t>
                  </w:r>
                </w:p>
              </w:tc>
              <w:tc>
                <w:tcPr>
                  <w:tcW w:w="3402" w:type="dxa"/>
                  <w:noWrap w:val="0"/>
                  <w:vAlign w:val="center"/>
                </w:tcPr>
                <w:p w14:paraId="7C84EBFB">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除合成氨外的肥料制造项目</w:t>
                  </w:r>
                </w:p>
              </w:tc>
              <w:tc>
                <w:tcPr>
                  <w:tcW w:w="1218" w:type="dxa"/>
                  <w:noWrap w:val="0"/>
                  <w:vAlign w:val="center"/>
                </w:tcPr>
                <w:p w14:paraId="44CF2DA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合成氨项目</w:t>
                  </w:r>
                </w:p>
              </w:tc>
            </w:tr>
            <w:tr w14:paraId="57452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465" w:type="dxa"/>
                  <w:vMerge w:val="continue"/>
                  <w:noWrap w:val="0"/>
                  <w:vAlign w:val="center"/>
                </w:tcPr>
                <w:p w14:paraId="612E91D7">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c>
                <w:tcPr>
                  <w:tcW w:w="2419" w:type="dxa"/>
                  <w:noWrap w:val="0"/>
                  <w:vAlign w:val="center"/>
                </w:tcPr>
                <w:p w14:paraId="5437C625">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263农药制造</w:t>
                  </w:r>
                </w:p>
              </w:tc>
              <w:tc>
                <w:tcPr>
                  <w:tcW w:w="3402" w:type="dxa"/>
                  <w:noWrap w:val="0"/>
                  <w:vAlign w:val="center"/>
                </w:tcPr>
                <w:p w14:paraId="1C07933E">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全部</w:t>
                  </w:r>
                </w:p>
              </w:tc>
              <w:tc>
                <w:tcPr>
                  <w:tcW w:w="1218" w:type="dxa"/>
                  <w:noWrap w:val="0"/>
                  <w:vAlign w:val="center"/>
                </w:tcPr>
                <w:p w14:paraId="5E464072">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r>
            <w:tr w14:paraId="5B673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465" w:type="dxa"/>
                  <w:vMerge w:val="continue"/>
                  <w:noWrap w:val="0"/>
                  <w:vAlign w:val="center"/>
                </w:tcPr>
                <w:p w14:paraId="19EC5E40">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c>
                <w:tcPr>
                  <w:tcW w:w="2419" w:type="dxa"/>
                  <w:noWrap w:val="0"/>
                  <w:vAlign w:val="center"/>
                </w:tcPr>
                <w:p w14:paraId="3CA5E924">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264涂料、油墨、颜料及类似产品制造</w:t>
                  </w:r>
                </w:p>
              </w:tc>
              <w:tc>
                <w:tcPr>
                  <w:tcW w:w="3402" w:type="dxa"/>
                  <w:noWrap w:val="0"/>
                  <w:vAlign w:val="center"/>
                </w:tcPr>
                <w:p w14:paraId="7B473ED8">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涉及有机溶剂使用和挥发性有机物排放的低固份油性涂料生产</w:t>
                  </w:r>
                </w:p>
              </w:tc>
              <w:tc>
                <w:tcPr>
                  <w:tcW w:w="1218" w:type="dxa"/>
                  <w:noWrap w:val="0"/>
                  <w:vAlign w:val="center"/>
                </w:tcPr>
                <w:p w14:paraId="4A450648">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r>
            <w:tr w14:paraId="5921E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465" w:type="dxa"/>
                  <w:vMerge w:val="continue"/>
                  <w:noWrap w:val="0"/>
                  <w:vAlign w:val="center"/>
                </w:tcPr>
                <w:p w14:paraId="0BD98325">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c>
                <w:tcPr>
                  <w:tcW w:w="2419" w:type="dxa"/>
                  <w:noWrap w:val="0"/>
                  <w:vAlign w:val="center"/>
                </w:tcPr>
                <w:p w14:paraId="41619C0B">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265合成材料</w:t>
                  </w:r>
                </w:p>
              </w:tc>
              <w:tc>
                <w:tcPr>
                  <w:tcW w:w="3402" w:type="dxa"/>
                  <w:noWrap w:val="0"/>
                  <w:vAlign w:val="center"/>
                </w:tcPr>
                <w:p w14:paraId="564CB3FD">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新建、改扩建溶剂型氯丁橡胶类、丁苯热塑性橡胶类、聚氨酯类和聚丙烯酸酯类等通用型胶粘剂生产项目；石油化学合成材料制造（丙烯、C4馏分下游产品制造除外）</w:t>
                  </w:r>
                </w:p>
              </w:tc>
              <w:tc>
                <w:tcPr>
                  <w:tcW w:w="1218" w:type="dxa"/>
                  <w:noWrap w:val="0"/>
                  <w:vAlign w:val="center"/>
                </w:tcPr>
                <w:p w14:paraId="56C89D23">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r>
            <w:tr w14:paraId="7D355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465" w:type="dxa"/>
                  <w:vMerge w:val="continue"/>
                  <w:noWrap w:val="0"/>
                  <w:vAlign w:val="center"/>
                </w:tcPr>
                <w:p w14:paraId="1C6C3E45">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c>
                <w:tcPr>
                  <w:tcW w:w="2419" w:type="dxa"/>
                  <w:noWrap w:val="0"/>
                  <w:vAlign w:val="center"/>
                </w:tcPr>
                <w:p w14:paraId="6232ECB5">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266专用化学产品制造</w:t>
                  </w:r>
                </w:p>
              </w:tc>
              <w:tc>
                <w:tcPr>
                  <w:tcW w:w="3402" w:type="dxa"/>
                  <w:noWrap w:val="0"/>
                  <w:vAlign w:val="center"/>
                </w:tcPr>
                <w:p w14:paraId="1EE0D6B3">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动物胶制造</w:t>
                  </w:r>
                </w:p>
              </w:tc>
              <w:tc>
                <w:tcPr>
                  <w:tcW w:w="1218" w:type="dxa"/>
                  <w:noWrap w:val="0"/>
                  <w:vAlign w:val="center"/>
                </w:tcPr>
                <w:p w14:paraId="141AC509">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r>
            <w:tr w14:paraId="06C7F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465" w:type="dxa"/>
                  <w:vMerge w:val="continue"/>
                  <w:noWrap w:val="0"/>
                  <w:vAlign w:val="center"/>
                </w:tcPr>
                <w:p w14:paraId="18D0B728">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c>
                <w:tcPr>
                  <w:tcW w:w="2419" w:type="dxa"/>
                  <w:noWrap w:val="0"/>
                  <w:vAlign w:val="center"/>
                </w:tcPr>
                <w:p w14:paraId="74B85254">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267炸药、火工及焰火产品制造</w:t>
                  </w:r>
                </w:p>
              </w:tc>
              <w:tc>
                <w:tcPr>
                  <w:tcW w:w="3402" w:type="dxa"/>
                  <w:noWrap w:val="0"/>
                  <w:vAlign w:val="center"/>
                </w:tcPr>
                <w:p w14:paraId="2DF0C91D">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全部</w:t>
                  </w:r>
                </w:p>
              </w:tc>
              <w:tc>
                <w:tcPr>
                  <w:tcW w:w="1218" w:type="dxa"/>
                  <w:noWrap w:val="0"/>
                  <w:vAlign w:val="center"/>
                </w:tcPr>
                <w:p w14:paraId="6AC111C4">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r>
            <w:tr w14:paraId="40E07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465" w:type="dxa"/>
                  <w:noWrap w:val="0"/>
                  <w:vAlign w:val="center"/>
                </w:tcPr>
                <w:p w14:paraId="7BD8C63F">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纺织</w:t>
                  </w:r>
                </w:p>
              </w:tc>
              <w:tc>
                <w:tcPr>
                  <w:tcW w:w="2419" w:type="dxa"/>
                  <w:noWrap w:val="0"/>
                  <w:vAlign w:val="center"/>
                </w:tcPr>
                <w:p w14:paraId="4F58C7DE">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17纺织业</w:t>
                  </w:r>
                </w:p>
              </w:tc>
              <w:tc>
                <w:tcPr>
                  <w:tcW w:w="3402" w:type="dxa"/>
                  <w:noWrap w:val="0"/>
                  <w:vAlign w:val="center"/>
                </w:tcPr>
                <w:p w14:paraId="0054C192">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涉及印染、染整、脱胶工序或产生缫丝、精炼废水的项目</w:t>
                  </w:r>
                </w:p>
              </w:tc>
              <w:tc>
                <w:tcPr>
                  <w:tcW w:w="1218" w:type="dxa"/>
                  <w:noWrap w:val="0"/>
                  <w:vAlign w:val="center"/>
                </w:tcPr>
                <w:p w14:paraId="7D55BBCA">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r>
            <w:tr w14:paraId="1F62C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465" w:type="dxa"/>
                  <w:vMerge w:val="restart"/>
                  <w:noWrap w:val="0"/>
                  <w:vAlign w:val="center"/>
                </w:tcPr>
                <w:p w14:paraId="50571936">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建材</w:t>
                  </w:r>
                </w:p>
              </w:tc>
              <w:tc>
                <w:tcPr>
                  <w:tcW w:w="2419" w:type="dxa"/>
                  <w:noWrap w:val="0"/>
                  <w:vAlign w:val="center"/>
                </w:tcPr>
                <w:p w14:paraId="24FE6F8B">
                  <w:pPr>
                    <w:keepNext w:val="0"/>
                    <w:keepLines w:val="0"/>
                    <w:pageBreakBefore w:val="0"/>
                    <w:widowControl w:val="0"/>
                    <w:kinsoku/>
                    <w:wordWrap/>
                    <w:overflowPunct/>
                    <w:topLinePunct w:val="0"/>
                    <w:autoSpaceDE/>
                    <w:autoSpaceDN/>
                    <w:bidi w:val="0"/>
                    <w:adjustRightInd/>
                    <w:snapToGrid/>
                    <w:spacing w:line="312" w:lineRule="auto"/>
                    <w:ind w:firstLine="0" w:firstLineChars="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201木材加工</w:t>
                  </w:r>
                </w:p>
              </w:tc>
              <w:tc>
                <w:tcPr>
                  <w:tcW w:w="3402" w:type="dxa"/>
                  <w:vMerge w:val="restart"/>
                  <w:noWrap w:val="0"/>
                  <w:vAlign w:val="center"/>
                </w:tcPr>
                <w:p w14:paraId="22BC9A4C">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涉及有机溶剂使用和挥发性有机物排放的沥青类防水材料生产、人造板项目</w:t>
                  </w:r>
                </w:p>
              </w:tc>
              <w:tc>
                <w:tcPr>
                  <w:tcW w:w="1218" w:type="dxa"/>
                  <w:vMerge w:val="restart"/>
                  <w:noWrap w:val="0"/>
                  <w:vAlign w:val="center"/>
                </w:tcPr>
                <w:p w14:paraId="2CE05BF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r>
            <w:tr w14:paraId="056A1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465" w:type="dxa"/>
                  <w:vMerge w:val="continue"/>
                  <w:noWrap w:val="0"/>
                  <w:vAlign w:val="center"/>
                </w:tcPr>
                <w:p w14:paraId="33F9E967">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c>
                <w:tcPr>
                  <w:tcW w:w="2419" w:type="dxa"/>
                  <w:noWrap w:val="0"/>
                  <w:vAlign w:val="center"/>
                </w:tcPr>
                <w:p w14:paraId="40D30A73">
                  <w:pPr>
                    <w:keepNext w:val="0"/>
                    <w:keepLines w:val="0"/>
                    <w:pageBreakBefore w:val="0"/>
                    <w:widowControl w:val="0"/>
                    <w:kinsoku/>
                    <w:wordWrap/>
                    <w:overflowPunct/>
                    <w:topLinePunct w:val="0"/>
                    <w:autoSpaceDE/>
                    <w:autoSpaceDN/>
                    <w:bidi w:val="0"/>
                    <w:adjustRightInd/>
                    <w:snapToGrid/>
                    <w:spacing w:line="312" w:lineRule="auto"/>
                    <w:ind w:firstLine="0" w:firstLineChars="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202人造板制造</w:t>
                  </w:r>
                </w:p>
              </w:tc>
              <w:tc>
                <w:tcPr>
                  <w:tcW w:w="3402" w:type="dxa"/>
                  <w:vMerge w:val="continue"/>
                  <w:noWrap w:val="0"/>
                  <w:vAlign w:val="center"/>
                </w:tcPr>
                <w:p w14:paraId="5ABB514F">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p>
              </w:tc>
              <w:tc>
                <w:tcPr>
                  <w:tcW w:w="1218" w:type="dxa"/>
                  <w:vMerge w:val="continue"/>
                  <w:noWrap w:val="0"/>
                  <w:vAlign w:val="center"/>
                </w:tcPr>
                <w:p w14:paraId="0091B935">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r>
            <w:tr w14:paraId="3FD0D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465" w:type="dxa"/>
                  <w:vMerge w:val="continue"/>
                  <w:noWrap w:val="0"/>
                  <w:vAlign w:val="center"/>
                </w:tcPr>
                <w:p w14:paraId="5AFD42FE">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c>
                <w:tcPr>
                  <w:tcW w:w="2419" w:type="dxa"/>
                  <w:noWrap w:val="0"/>
                  <w:vAlign w:val="center"/>
                </w:tcPr>
                <w:p w14:paraId="48B65BFF">
                  <w:pPr>
                    <w:keepNext w:val="0"/>
                    <w:keepLines w:val="0"/>
                    <w:pageBreakBefore w:val="0"/>
                    <w:widowControl w:val="0"/>
                    <w:kinsoku/>
                    <w:wordWrap/>
                    <w:overflowPunct/>
                    <w:topLinePunct w:val="0"/>
                    <w:autoSpaceDE/>
                    <w:autoSpaceDN/>
                    <w:bidi w:val="0"/>
                    <w:adjustRightInd/>
                    <w:snapToGrid/>
                    <w:spacing w:line="312" w:lineRule="auto"/>
                    <w:ind w:firstLine="0" w:firstLineChars="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203木质制品制造</w:t>
                  </w:r>
                </w:p>
              </w:tc>
              <w:tc>
                <w:tcPr>
                  <w:tcW w:w="3402" w:type="dxa"/>
                  <w:noWrap w:val="0"/>
                  <w:vAlign w:val="center"/>
                </w:tcPr>
                <w:p w14:paraId="59A9E66A">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使用粉末喷涂、水性涂料及UV涂料以及进入共享喷涂中心的项目除外</w:t>
                  </w:r>
                </w:p>
              </w:tc>
              <w:tc>
                <w:tcPr>
                  <w:tcW w:w="1218" w:type="dxa"/>
                  <w:noWrap w:val="0"/>
                  <w:vAlign w:val="center"/>
                </w:tcPr>
                <w:p w14:paraId="1B989902">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kern w:val="0"/>
                      <w:sz w:val="21"/>
                      <w:szCs w:val="21"/>
                      <w:highlight w:val="none"/>
                    </w:rPr>
                  </w:pPr>
                </w:p>
              </w:tc>
            </w:tr>
            <w:tr w14:paraId="5A77B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465" w:type="dxa"/>
                  <w:noWrap w:val="0"/>
                  <w:vAlign w:val="center"/>
                </w:tcPr>
                <w:p w14:paraId="6354A21A">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食品</w:t>
                  </w:r>
                </w:p>
              </w:tc>
              <w:tc>
                <w:tcPr>
                  <w:tcW w:w="2419" w:type="dxa"/>
                  <w:noWrap w:val="0"/>
                  <w:vAlign w:val="center"/>
                </w:tcPr>
                <w:p w14:paraId="69FCA1B3">
                  <w:pPr>
                    <w:keepNext w:val="0"/>
                    <w:keepLines w:val="0"/>
                    <w:pageBreakBefore w:val="0"/>
                    <w:widowControl w:val="0"/>
                    <w:kinsoku/>
                    <w:wordWrap/>
                    <w:overflowPunct/>
                    <w:topLinePunct w:val="0"/>
                    <w:autoSpaceDE/>
                    <w:autoSpaceDN/>
                    <w:bidi w:val="0"/>
                    <w:adjustRightInd/>
                    <w:snapToGrid/>
                    <w:spacing w:line="312" w:lineRule="auto"/>
                    <w:ind w:firstLine="0" w:firstLineChars="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食品制造业</w:t>
                  </w:r>
                </w:p>
              </w:tc>
              <w:tc>
                <w:tcPr>
                  <w:tcW w:w="3402" w:type="dxa"/>
                  <w:noWrap w:val="0"/>
                  <w:vAlign w:val="center"/>
                </w:tcPr>
                <w:p w14:paraId="523CD487">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全部</w:t>
                  </w:r>
                </w:p>
              </w:tc>
              <w:tc>
                <w:tcPr>
                  <w:tcW w:w="1218" w:type="dxa"/>
                  <w:noWrap w:val="0"/>
                  <w:vAlign w:val="center"/>
                </w:tcPr>
                <w:p w14:paraId="0B73AA64">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kern w:val="0"/>
                      <w:sz w:val="21"/>
                      <w:szCs w:val="21"/>
                      <w:highlight w:val="none"/>
                    </w:rPr>
                  </w:pPr>
                </w:p>
              </w:tc>
            </w:tr>
          </w:tbl>
          <w:p w14:paraId="69465ADE">
            <w:pPr>
              <w:pStyle w:val="42"/>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eastAsia="zh-CN"/>
              </w:rPr>
              <w:t>规划环评符合性分析结论：</w:t>
            </w:r>
          </w:p>
          <w:p w14:paraId="623E5D8E">
            <w:pPr>
              <w:pStyle w:val="42"/>
              <w:bidi w:val="0"/>
              <w:rPr>
                <w:rFonts w:hint="default" w:ascii="Times New Roman" w:hAnsi="Times New Roman" w:cs="Times New Roman"/>
                <w:color w:val="FF0000"/>
                <w:highlight w:val="none"/>
              </w:rPr>
            </w:pPr>
            <w:r>
              <w:rPr>
                <w:rFonts w:hint="default" w:ascii="Times New Roman" w:hAnsi="Times New Roman" w:cs="Times New Roman"/>
                <w:color w:val="auto"/>
                <w:highlight w:val="none"/>
              </w:rPr>
              <w:t>根据分析，本项目属于C2912橡胶管板、管、带制造</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C2913橡胶零件制造</w:t>
            </w:r>
            <w:r>
              <w:rPr>
                <w:rFonts w:hint="eastAsia" w:ascii="Times New Roman" w:hAnsi="Times New Roman" w:cs="Times New Roman"/>
                <w:color w:val="auto"/>
                <w:highlight w:val="none"/>
                <w:lang w:val="en-US" w:eastAsia="zh-CN"/>
              </w:rPr>
              <w:t>及</w:t>
            </w:r>
            <w:r>
              <w:rPr>
                <w:rFonts w:hint="default" w:ascii="Times New Roman" w:hAnsi="Times New Roman" w:cs="Times New Roman"/>
                <w:color w:val="auto"/>
                <w:highlight w:val="none"/>
              </w:rPr>
              <w:t>C3399其他金属制品制造，不属于规划环评中的鼓励类项目及四川大英经济开发区主导产业负面清单项目。根据规划环评要求，未被列入上述鼓励类、负面清单的属允许发展类。故本项目属于允许发展类项目，项目的建设符合园区规划环评要求。</w:t>
            </w:r>
          </w:p>
          <w:p w14:paraId="328316C1">
            <w:pPr>
              <w:autoSpaceDE w:val="0"/>
              <w:autoSpaceDN w:val="0"/>
              <w:adjustRightInd w:val="0"/>
              <w:snapToGrid w:val="0"/>
              <w:spacing w:line="360" w:lineRule="auto"/>
              <w:jc w:val="center"/>
              <w:rPr>
                <w:rFonts w:hint="default" w:ascii="Times New Roman" w:hAnsi="Times New Roman" w:cs="Times New Roman"/>
                <w:color w:val="auto"/>
                <w:kern w:val="0"/>
                <w:sz w:val="24"/>
                <w:szCs w:val="24"/>
                <w:highlight w:val="none"/>
              </w:rPr>
            </w:pPr>
          </w:p>
        </w:tc>
      </w:tr>
      <w:tr w14:paraId="712B1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870" w:type="dxa"/>
            <w:gridSpan w:val="4"/>
            <w:noWrap w:val="0"/>
            <w:vAlign w:val="center"/>
          </w:tcPr>
          <w:p w14:paraId="195F9016">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b/>
                <w:bCs/>
                <w:color w:val="auto"/>
                <w:highlight w:val="none"/>
              </w:rPr>
              <w:t>其他符合性分析</w:t>
            </w:r>
          </w:p>
        </w:tc>
      </w:tr>
      <w:tr w14:paraId="75FD70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870" w:type="dxa"/>
            <w:gridSpan w:val="4"/>
            <w:noWrap w:val="0"/>
            <w:vAlign w:val="center"/>
          </w:tcPr>
          <w:p w14:paraId="63F662A1">
            <w:pPr>
              <w:pStyle w:val="42"/>
              <w:bidi w:val="0"/>
              <w:ind w:firstLine="720"/>
              <w:rPr>
                <w:rFonts w:hint="default" w:ascii="Times New Roman" w:hAnsi="Times New Roman" w:cs="Times New Roman"/>
                <w:b/>
                <w:bCs/>
                <w:color w:val="auto"/>
                <w:highlight w:val="none"/>
                <w:lang w:val="zh-CN"/>
              </w:rPr>
            </w:pPr>
            <w:r>
              <w:rPr>
                <w:rFonts w:hint="default" w:ascii="Times New Roman" w:hAnsi="Times New Roman" w:cs="Times New Roman"/>
                <w:b/>
                <w:bCs/>
                <w:color w:val="auto"/>
                <w:highlight w:val="none"/>
                <w:lang w:val="zh-CN"/>
              </w:rPr>
              <w:t>（1）产业政策符合性分析</w:t>
            </w:r>
          </w:p>
          <w:p w14:paraId="4C3C774D">
            <w:pPr>
              <w:pStyle w:val="42"/>
              <w:bidi w:val="0"/>
              <w:ind w:firstLine="720"/>
              <w:rPr>
                <w:rFonts w:hint="default" w:ascii="Times New Roman" w:hAnsi="Times New Roman" w:cs="Times New Roman"/>
                <w:color w:val="auto"/>
                <w:highlight w:val="none"/>
              </w:rPr>
            </w:pPr>
            <w:r>
              <w:rPr>
                <w:rFonts w:hint="default" w:ascii="Times New Roman" w:hAnsi="Times New Roman" w:cs="Times New Roman"/>
                <w:color w:val="auto"/>
                <w:highlight w:val="none"/>
              </w:rPr>
              <w:t>根据《国民经济行业分类》（GB/T4754-2017）（2019年修订版）本项目属于C2912橡胶管板、管、带制造，</w:t>
            </w:r>
            <w:r>
              <w:rPr>
                <w:rFonts w:hint="eastAsia"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不属于《产业结构调整指导目录（20</w:t>
            </w:r>
            <w:r>
              <w:rPr>
                <w:rFonts w:hint="eastAsia" w:ascii="Times New Roman" w:hAnsi="Times New Roman" w:cs="Times New Roman"/>
                <w:color w:val="auto"/>
                <w:highlight w:val="none"/>
                <w:lang w:val="en-US" w:eastAsia="zh-CN"/>
              </w:rPr>
              <w:t>24</w:t>
            </w:r>
            <w:r>
              <w:rPr>
                <w:rFonts w:hint="default" w:ascii="Times New Roman" w:hAnsi="Times New Roman" w:cs="Times New Roman"/>
                <w:color w:val="auto"/>
                <w:highlight w:val="none"/>
              </w:rPr>
              <w:t>年本）》中的鼓励、限制和淘汰类，根据国务院《促进产业结构调整暂行规定》（国发</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2005</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40号）第十三条“不属于鼓励类、限制类和淘汰类，且符合国家有关</w:t>
            </w:r>
            <w:r>
              <w:rPr>
                <w:rFonts w:hint="eastAsia" w:ascii="Times New Roman" w:hAnsi="Times New Roman" w:cs="Times New Roman"/>
                <w:color w:val="auto"/>
                <w:highlight w:val="none"/>
                <w:lang w:eastAsia="zh-CN"/>
              </w:rPr>
              <w:t>法律法规</w:t>
            </w:r>
            <w:r>
              <w:rPr>
                <w:rFonts w:hint="default" w:ascii="Times New Roman" w:hAnsi="Times New Roman" w:cs="Times New Roman"/>
                <w:color w:val="auto"/>
                <w:highlight w:val="none"/>
              </w:rPr>
              <w:t>和政策规定的，为允许类”</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因此整体而言</w:t>
            </w:r>
            <w:r>
              <w:rPr>
                <w:rFonts w:hint="default" w:ascii="Times New Roman" w:hAnsi="Times New Roman" w:cs="Times New Roman"/>
                <w:color w:val="auto"/>
                <w:highlight w:val="none"/>
              </w:rPr>
              <w:t>本项目属于允许类</w:t>
            </w:r>
            <w:r>
              <w:rPr>
                <w:rFonts w:hint="default" w:ascii="Times New Roman" w:hAnsi="Times New Roman" w:cs="Times New Roman"/>
                <w:color w:val="auto"/>
                <w:highlight w:val="none"/>
                <w:lang w:eastAsia="zh-CN"/>
              </w:rPr>
              <w:t>。</w:t>
            </w:r>
          </w:p>
          <w:p w14:paraId="5C4778D8">
            <w:pPr>
              <w:pStyle w:val="42"/>
              <w:bidi w:val="0"/>
              <w:ind w:firstLine="720"/>
              <w:jc w:val="both"/>
              <w:rPr>
                <w:rFonts w:hint="default" w:ascii="Times New Roman" w:hAnsi="Times New Roman" w:cs="Times New Roman"/>
                <w:b/>
                <w:bCs/>
                <w:color w:val="auto"/>
                <w:highlight w:val="none"/>
                <w:lang w:val="zh-CN"/>
              </w:rPr>
            </w:pPr>
            <w:r>
              <w:rPr>
                <w:rFonts w:hint="eastAsia" w:ascii="Times New Roman" w:hAnsi="Times New Roman" w:cs="Times New Roman"/>
                <w:color w:val="auto"/>
                <w:highlight w:val="none"/>
                <w:lang w:eastAsia="zh-CN"/>
              </w:rPr>
              <w:t>202</w:t>
            </w:r>
            <w:r>
              <w:rPr>
                <w:rFonts w:hint="eastAsia" w:ascii="Times New Roman" w:hAnsi="Times New Roman" w:cs="Times New Roman"/>
                <w:color w:val="auto"/>
                <w:highlight w:val="none"/>
                <w:lang w:val="en-US" w:eastAsia="zh-CN"/>
              </w:rPr>
              <w:t>5</w:t>
            </w:r>
            <w:r>
              <w:rPr>
                <w:rFonts w:hint="eastAsia" w:ascii="Times New Roman" w:hAnsi="Times New Roman" w:cs="Times New Roman"/>
                <w:color w:val="auto"/>
                <w:highlight w:val="none"/>
                <w:lang w:eastAsia="zh-CN"/>
              </w:rPr>
              <w:t>年</w:t>
            </w:r>
            <w:r>
              <w:rPr>
                <w:rFonts w:hint="eastAsia" w:ascii="Times New Roman" w:hAnsi="Times New Roman" w:cs="Times New Roman"/>
                <w:color w:val="auto"/>
                <w:highlight w:val="none"/>
                <w:lang w:val="en-US" w:eastAsia="zh-CN"/>
              </w:rPr>
              <w:t>7</w:t>
            </w:r>
            <w:r>
              <w:rPr>
                <w:rFonts w:hint="eastAsia" w:ascii="Times New Roman" w:hAnsi="Times New Roman" w:cs="Times New Roman"/>
                <w:color w:val="auto"/>
                <w:highlight w:val="none"/>
                <w:lang w:eastAsia="zh-CN"/>
              </w:rPr>
              <w:t>月</w:t>
            </w:r>
            <w:r>
              <w:rPr>
                <w:rFonts w:hint="eastAsia" w:ascii="Times New Roman" w:hAnsi="Times New Roman" w:cs="Times New Roman"/>
                <w:color w:val="auto"/>
                <w:highlight w:val="none"/>
                <w:lang w:val="en-US" w:eastAsia="zh-CN"/>
              </w:rPr>
              <w:t>28</w:t>
            </w:r>
            <w:r>
              <w:rPr>
                <w:rFonts w:hint="eastAsia" w:ascii="Times New Roman" w:hAnsi="Times New Roman" w:cs="Times New Roman"/>
                <w:color w:val="auto"/>
                <w:highlight w:val="none"/>
                <w:lang w:eastAsia="zh-CN"/>
              </w:rPr>
              <w:t>日</w:t>
            </w:r>
            <w:r>
              <w:rPr>
                <w:rFonts w:hint="default" w:ascii="Times New Roman" w:hAnsi="Times New Roman" w:cs="Times New Roman"/>
                <w:color w:val="auto"/>
                <w:highlight w:val="none"/>
                <w:lang w:eastAsia="zh-CN"/>
              </w:rPr>
              <w:t>大英县发展和改革局</w:t>
            </w:r>
            <w:r>
              <w:rPr>
                <w:rFonts w:hint="default" w:ascii="Times New Roman" w:hAnsi="Times New Roman" w:cs="Times New Roman"/>
                <w:color w:val="auto"/>
                <w:highlight w:val="none"/>
              </w:rPr>
              <w:t>以川投资备【2507-510923-07-02-377136】JXQB-0683 号项目备案表对本项目进行了备案支持（附件2）。</w:t>
            </w:r>
          </w:p>
          <w:p w14:paraId="4B7419CE">
            <w:pPr>
              <w:pStyle w:val="42"/>
              <w:ind w:firstLine="482"/>
              <w:rPr>
                <w:rFonts w:hint="default" w:ascii="Times New Roman" w:hAnsi="Times New Roman" w:cs="Times New Roman"/>
                <w:b/>
                <w:bCs/>
                <w:color w:val="auto"/>
                <w:highlight w:val="none"/>
                <w:lang w:val="zh-CN"/>
              </w:rPr>
            </w:pPr>
            <w:r>
              <w:rPr>
                <w:rFonts w:hint="default" w:ascii="Times New Roman" w:hAnsi="Times New Roman" w:cs="Times New Roman"/>
                <w:b/>
                <w:bCs/>
                <w:color w:val="auto"/>
                <w:highlight w:val="none"/>
                <w:lang w:val="zh-CN"/>
              </w:rPr>
              <w:t>（</w:t>
            </w: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lang w:val="zh-CN"/>
              </w:rPr>
              <w:t>）长江经济带发展负面</w:t>
            </w:r>
            <w:r>
              <w:rPr>
                <w:rFonts w:hint="eastAsia" w:ascii="Times New Roman" w:hAnsi="Times New Roman" w:cs="Times New Roman"/>
                <w:b/>
                <w:bCs/>
                <w:color w:val="auto"/>
                <w:highlight w:val="none"/>
                <w:lang w:val="en-US" w:eastAsia="zh-CN"/>
              </w:rPr>
              <w:t>清单</w:t>
            </w:r>
            <w:r>
              <w:rPr>
                <w:rFonts w:hint="default" w:ascii="Times New Roman" w:hAnsi="Times New Roman" w:cs="Times New Roman"/>
                <w:b/>
                <w:bCs/>
                <w:color w:val="auto"/>
                <w:highlight w:val="none"/>
                <w:lang w:val="zh-CN"/>
              </w:rPr>
              <w:t>符合性分析</w:t>
            </w:r>
          </w:p>
          <w:p w14:paraId="6C192873">
            <w:pPr>
              <w:pStyle w:val="42"/>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2022年1月29日推动长江经济带发展领导小组办公室发布了</w:t>
            </w:r>
            <w:r>
              <w:rPr>
                <w:rFonts w:hint="default" w:ascii="Times New Roman" w:hAnsi="Times New Roman" w:cs="Times New Roman"/>
                <w:b w:val="0"/>
                <w:bCs w:val="0"/>
                <w:color w:val="auto"/>
                <w:highlight w:val="none"/>
                <w:lang w:val="zh-CN"/>
              </w:rPr>
              <w:t>《长江经济带发展负面</w:t>
            </w:r>
            <w:r>
              <w:rPr>
                <w:rFonts w:hint="eastAsia" w:ascii="Times New Roman" w:hAnsi="Times New Roman" w:cs="Times New Roman"/>
                <w:b w:val="0"/>
                <w:bCs w:val="0"/>
                <w:color w:val="auto"/>
                <w:highlight w:val="none"/>
                <w:lang w:val="en-US" w:eastAsia="zh-CN"/>
              </w:rPr>
              <w:t>清单</w:t>
            </w:r>
            <w:r>
              <w:rPr>
                <w:rFonts w:hint="default" w:ascii="Times New Roman" w:hAnsi="Times New Roman" w:cs="Times New Roman"/>
                <w:b w:val="0"/>
                <w:bCs w:val="0"/>
                <w:color w:val="auto"/>
                <w:highlight w:val="none"/>
                <w:lang w:val="zh-CN"/>
              </w:rPr>
              <w:t>指南试行（</w:t>
            </w:r>
            <w:r>
              <w:rPr>
                <w:rFonts w:hint="default" w:ascii="Times New Roman" w:hAnsi="Times New Roman" w:cs="Times New Roman"/>
                <w:b w:val="0"/>
                <w:bCs w:val="0"/>
                <w:color w:val="auto"/>
                <w:highlight w:val="none"/>
              </w:rPr>
              <w:t>2022版</w:t>
            </w:r>
            <w:r>
              <w:rPr>
                <w:rFonts w:hint="default" w:ascii="Times New Roman" w:hAnsi="Times New Roman" w:cs="Times New Roman"/>
                <w:b w:val="0"/>
                <w:bCs w:val="0"/>
                <w:color w:val="auto"/>
                <w:highlight w:val="none"/>
                <w:lang w:val="zh-CN"/>
              </w:rPr>
              <w:t>）》</w:t>
            </w:r>
            <w:r>
              <w:rPr>
                <w:rFonts w:hint="default" w:ascii="Times New Roman" w:hAnsi="Times New Roman" w:cs="Times New Roman"/>
                <w:color w:val="auto"/>
                <w:highlight w:val="none"/>
                <w:lang w:val="zh-CN"/>
              </w:rPr>
              <w:t>（长江办〔</w:t>
            </w:r>
            <w:r>
              <w:rPr>
                <w:rFonts w:hint="default" w:ascii="Times New Roman" w:hAnsi="Times New Roman" w:cs="Times New Roman"/>
                <w:color w:val="auto"/>
                <w:highlight w:val="none"/>
              </w:rPr>
              <w:t>2022</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7号</w:t>
            </w:r>
            <w:r>
              <w:rPr>
                <w:rFonts w:hint="default" w:ascii="Times New Roman" w:hAnsi="Times New Roman" w:cs="Times New Roman"/>
                <w:color w:val="auto"/>
                <w:highlight w:val="none"/>
                <w:lang w:val="zh-CN"/>
              </w:rPr>
              <w:t>）</w:t>
            </w:r>
            <w:r>
              <w:rPr>
                <w:rFonts w:hint="eastAsia" w:ascii="Times New Roman" w:hAnsi="Times New Roman" w:cs="Times New Roman"/>
                <w:color w:val="auto"/>
                <w:highlight w:val="none"/>
                <w:lang w:val="en-US" w:eastAsia="zh-CN"/>
              </w:rPr>
              <w:t>，</w:t>
            </w:r>
            <w:r>
              <w:rPr>
                <w:rFonts w:hint="eastAsia" w:ascii="Times New Roman" w:hAnsi="Times New Roman" w:cs="Times New Roman"/>
                <w:b w:val="0"/>
                <w:bCs w:val="0"/>
                <w:color w:val="auto"/>
                <w:highlight w:val="none"/>
                <w:lang w:val="en-US" w:eastAsia="zh-CN"/>
              </w:rPr>
              <w:t>2022年8月25日四川省及重庆市推动长江经济带发展领导小组办公室发布了</w:t>
            </w:r>
            <w:r>
              <w:rPr>
                <w:rFonts w:hint="default" w:ascii="Times New Roman" w:hAnsi="Times New Roman" w:cs="Times New Roman"/>
                <w:b w:val="0"/>
                <w:bCs w:val="0"/>
                <w:color w:val="auto"/>
                <w:highlight w:val="none"/>
                <w:lang w:val="zh-CN"/>
              </w:rPr>
              <w:t>《</w:t>
            </w:r>
            <w:r>
              <w:rPr>
                <w:rFonts w:hint="eastAsia" w:ascii="Times New Roman" w:hAnsi="Times New Roman" w:cs="Times New Roman"/>
                <w:b w:val="0"/>
                <w:bCs w:val="0"/>
                <w:color w:val="auto"/>
                <w:highlight w:val="none"/>
                <w:lang w:val="en-US" w:eastAsia="zh-CN"/>
              </w:rPr>
              <w:t>四川省、重庆市</w:t>
            </w:r>
            <w:r>
              <w:rPr>
                <w:rFonts w:hint="default" w:ascii="Times New Roman" w:hAnsi="Times New Roman" w:cs="Times New Roman"/>
                <w:b w:val="0"/>
                <w:bCs w:val="0"/>
                <w:color w:val="auto"/>
                <w:highlight w:val="none"/>
                <w:lang w:val="zh-CN"/>
              </w:rPr>
              <w:t>长江经济带发展负面</w:t>
            </w:r>
            <w:r>
              <w:rPr>
                <w:rFonts w:hint="eastAsia" w:ascii="Times New Roman" w:hAnsi="Times New Roman" w:cs="Times New Roman"/>
                <w:b w:val="0"/>
                <w:bCs w:val="0"/>
                <w:color w:val="auto"/>
                <w:highlight w:val="none"/>
                <w:lang w:val="en-US" w:eastAsia="zh-CN"/>
              </w:rPr>
              <w:t>清单实施细则</w:t>
            </w:r>
            <w:r>
              <w:rPr>
                <w:rFonts w:hint="default" w:ascii="Times New Roman" w:hAnsi="Times New Roman" w:cs="Times New Roman"/>
                <w:b w:val="0"/>
                <w:bCs w:val="0"/>
                <w:color w:val="auto"/>
                <w:highlight w:val="none"/>
                <w:lang w:val="zh-CN"/>
              </w:rPr>
              <w:t>（</w:t>
            </w:r>
            <w:r>
              <w:rPr>
                <w:rFonts w:hint="eastAsia" w:ascii="Times New Roman" w:hAnsi="Times New Roman" w:cs="Times New Roman"/>
                <w:b w:val="0"/>
                <w:bCs w:val="0"/>
                <w:color w:val="auto"/>
                <w:highlight w:val="none"/>
                <w:lang w:val="en-US" w:eastAsia="zh-CN"/>
              </w:rPr>
              <w:t>试行，</w:t>
            </w:r>
            <w:r>
              <w:rPr>
                <w:rFonts w:hint="default" w:ascii="Times New Roman" w:hAnsi="Times New Roman" w:cs="Times New Roman"/>
                <w:b w:val="0"/>
                <w:bCs w:val="0"/>
                <w:color w:val="auto"/>
                <w:highlight w:val="none"/>
              </w:rPr>
              <w:t>2022版</w:t>
            </w:r>
            <w:r>
              <w:rPr>
                <w:rFonts w:hint="default" w:ascii="Times New Roman" w:hAnsi="Times New Roman" w:cs="Times New Roman"/>
                <w:b w:val="0"/>
                <w:bCs w:val="0"/>
                <w:color w:val="auto"/>
                <w:highlight w:val="none"/>
                <w:lang w:val="zh-CN"/>
              </w:rPr>
              <w:t>）》</w:t>
            </w:r>
            <w:r>
              <w:rPr>
                <w:rFonts w:hint="eastAsia" w:ascii="Times New Roman" w:hAnsi="Times New Roman" w:cs="Times New Roman"/>
                <w:b w:val="0"/>
                <w:bCs w:val="0"/>
                <w:color w:val="auto"/>
                <w:highlight w:val="none"/>
                <w:lang w:val="zh-CN"/>
              </w:rPr>
              <w:t>（</w:t>
            </w:r>
            <w:r>
              <w:rPr>
                <w:rFonts w:hint="eastAsia" w:ascii="Times New Roman" w:hAnsi="Times New Roman" w:cs="Times New Roman"/>
                <w:b w:val="0"/>
                <w:bCs w:val="0"/>
                <w:color w:val="auto"/>
                <w:highlight w:val="none"/>
                <w:lang w:val="en-US" w:eastAsia="zh-CN"/>
              </w:rPr>
              <w:t>川长江办</w:t>
            </w:r>
            <w:r>
              <w:rPr>
                <w:rFonts w:hint="default" w:ascii="Times New Roman" w:hAnsi="Times New Roman" w:cs="Times New Roman"/>
                <w:b w:val="0"/>
                <w:bCs w:val="0"/>
                <w:color w:val="auto"/>
                <w:highlight w:val="none"/>
                <w:lang w:val="zh-CN"/>
              </w:rPr>
              <w:t>〔</w:t>
            </w:r>
            <w:r>
              <w:rPr>
                <w:rFonts w:hint="default" w:ascii="Times New Roman" w:hAnsi="Times New Roman" w:cs="Times New Roman"/>
                <w:b w:val="0"/>
                <w:bCs w:val="0"/>
                <w:color w:val="auto"/>
                <w:highlight w:val="none"/>
              </w:rPr>
              <w:t>2022</w:t>
            </w:r>
            <w:r>
              <w:rPr>
                <w:rFonts w:hint="default" w:ascii="Times New Roman" w:hAnsi="Times New Roman" w:cs="Times New Roman"/>
                <w:b w:val="0"/>
                <w:bCs w:val="0"/>
                <w:color w:val="auto"/>
                <w:highlight w:val="none"/>
                <w:lang w:val="zh-CN"/>
              </w:rPr>
              <w:t>〕</w:t>
            </w:r>
            <w:r>
              <w:rPr>
                <w:rFonts w:hint="eastAsia" w:ascii="Times New Roman" w:hAnsi="Times New Roman" w:cs="Times New Roman"/>
                <w:b w:val="0"/>
                <w:bCs w:val="0"/>
                <w:color w:val="auto"/>
                <w:highlight w:val="none"/>
                <w:lang w:val="en-US" w:eastAsia="zh-CN"/>
              </w:rPr>
              <w:t>1</w:t>
            </w:r>
            <w:r>
              <w:rPr>
                <w:rFonts w:hint="default" w:ascii="Times New Roman" w:hAnsi="Times New Roman" w:cs="Times New Roman"/>
                <w:b w:val="0"/>
                <w:bCs w:val="0"/>
                <w:color w:val="auto"/>
                <w:highlight w:val="none"/>
              </w:rPr>
              <w:t>7号</w:t>
            </w:r>
            <w:r>
              <w:rPr>
                <w:rFonts w:hint="eastAsia" w:ascii="Times New Roman" w:hAnsi="Times New Roman" w:cs="Times New Roman"/>
                <w:b w:val="0"/>
                <w:bCs w:val="0"/>
                <w:color w:val="auto"/>
                <w:highlight w:val="none"/>
                <w:lang w:val="zh-CN"/>
              </w:rPr>
              <w:t>）</w:t>
            </w:r>
            <w:r>
              <w:rPr>
                <w:rFonts w:hint="default" w:ascii="Times New Roman" w:hAnsi="Times New Roman" w:cs="Times New Roman"/>
                <w:color w:val="auto"/>
                <w:highlight w:val="none"/>
                <w:lang w:val="zh-CN"/>
              </w:rPr>
              <w:t>。根据文件精神，本项目符合性分析如下：</w:t>
            </w:r>
          </w:p>
          <w:p w14:paraId="0731AACD">
            <w:pPr>
              <w:jc w:val="center"/>
              <w:rPr>
                <w:b/>
                <w:bCs/>
                <w:color w:val="auto"/>
                <w:sz w:val="24"/>
                <w:highlight w:val="none"/>
                <w:lang w:val="zh-CN"/>
              </w:rPr>
            </w:pPr>
            <w:r>
              <w:rPr>
                <w:b/>
                <w:bCs/>
                <w:color w:val="auto"/>
                <w:sz w:val="24"/>
                <w:highlight w:val="none"/>
                <w:lang w:val="zh-CN"/>
              </w:rPr>
              <w:t>表1-</w:t>
            </w:r>
            <w:r>
              <w:rPr>
                <w:rFonts w:hint="eastAsia"/>
                <w:b/>
                <w:bCs/>
                <w:color w:val="auto"/>
                <w:sz w:val="24"/>
                <w:highlight w:val="none"/>
                <w:lang w:val="en-US" w:eastAsia="zh-CN"/>
              </w:rPr>
              <w:t>3</w:t>
            </w:r>
            <w:r>
              <w:rPr>
                <w:b/>
                <w:bCs/>
                <w:color w:val="auto"/>
                <w:sz w:val="24"/>
                <w:highlight w:val="none"/>
                <w:lang w:val="zh-CN"/>
              </w:rPr>
              <w:t>项目与</w:t>
            </w:r>
            <w:r>
              <w:rPr>
                <w:rFonts w:hint="eastAsia"/>
                <w:b/>
                <w:bCs/>
                <w:color w:val="auto"/>
                <w:sz w:val="24"/>
                <w:highlight w:val="none"/>
                <w:lang w:val="zh-CN"/>
              </w:rPr>
              <w:t>长江办〔2022〕7号</w:t>
            </w:r>
            <w:r>
              <w:rPr>
                <w:b/>
                <w:bCs/>
                <w:color w:val="auto"/>
                <w:sz w:val="24"/>
                <w:highlight w:val="none"/>
                <w:lang w:val="zh-CN"/>
              </w:rPr>
              <w:t>符合性分析</w:t>
            </w:r>
          </w:p>
          <w:tbl>
            <w:tblPr>
              <w:tblStyle w:val="23"/>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72"/>
              <w:gridCol w:w="1635"/>
              <w:gridCol w:w="1013"/>
            </w:tblGrid>
            <w:tr w14:paraId="3C8B2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572" w:type="dxa"/>
                  <w:noWrap w:val="0"/>
                  <w:vAlign w:val="center"/>
                </w:tcPr>
                <w:p w14:paraId="05EC8F5F">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文件要求</w:t>
                  </w:r>
                </w:p>
              </w:tc>
              <w:tc>
                <w:tcPr>
                  <w:tcW w:w="1635" w:type="dxa"/>
                  <w:noWrap w:val="0"/>
                  <w:vAlign w:val="center"/>
                </w:tcPr>
                <w:p w14:paraId="2D67FE01">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本项目</w:t>
                  </w:r>
                  <w:r>
                    <w:rPr>
                      <w:rFonts w:hint="eastAsia" w:ascii="Times New Roman" w:hAnsi="Times New Roman" w:cs="Times New Roman"/>
                      <w:b/>
                      <w:bCs/>
                      <w:color w:val="auto"/>
                      <w:sz w:val="21"/>
                      <w:szCs w:val="21"/>
                      <w:highlight w:val="none"/>
                      <w:lang w:val="en-US" w:eastAsia="zh-CN"/>
                    </w:rPr>
                    <w:t>衔接情况</w:t>
                  </w:r>
                </w:p>
              </w:tc>
              <w:tc>
                <w:tcPr>
                  <w:tcW w:w="1013" w:type="dxa"/>
                  <w:noWrap w:val="0"/>
                  <w:vAlign w:val="center"/>
                </w:tcPr>
                <w:p w14:paraId="5652ADD3">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符合性</w:t>
                  </w:r>
                </w:p>
              </w:tc>
            </w:tr>
            <w:tr w14:paraId="4B012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14FCB90F">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禁止建设不符合全国和省级港口布局规划以及港口总体规划的码头项目，禁止建设不符合《长江干线过江通道布局规划》的过</w:t>
                  </w:r>
                  <w:r>
                    <w:rPr>
                      <w:rFonts w:hint="eastAsia" w:ascii="Times New Roman" w:hAnsi="Times New Roman" w:cs="Times New Roman"/>
                      <w:color w:val="auto"/>
                      <w:sz w:val="21"/>
                      <w:szCs w:val="21"/>
                      <w:highlight w:val="none"/>
                      <w:lang w:eastAsia="zh-CN"/>
                    </w:rPr>
                    <w:t>江</w:t>
                  </w:r>
                  <w:r>
                    <w:rPr>
                      <w:rFonts w:hint="default" w:ascii="Times New Roman" w:hAnsi="Times New Roman" w:cs="Times New Roman"/>
                      <w:color w:val="auto"/>
                      <w:sz w:val="21"/>
                      <w:szCs w:val="21"/>
                      <w:highlight w:val="none"/>
                    </w:rPr>
                    <w:t>通道项目。</w:t>
                  </w:r>
                </w:p>
              </w:tc>
              <w:tc>
                <w:tcPr>
                  <w:tcW w:w="1635" w:type="dxa"/>
                  <w:noWrap w:val="0"/>
                  <w:vAlign w:val="center"/>
                </w:tcPr>
                <w:p w14:paraId="42058BF6">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本项目不涉及</w:t>
                  </w:r>
                </w:p>
              </w:tc>
              <w:tc>
                <w:tcPr>
                  <w:tcW w:w="1013" w:type="dxa"/>
                  <w:noWrap w:val="0"/>
                  <w:vAlign w:val="center"/>
                </w:tcPr>
                <w:p w14:paraId="7688456F">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r w14:paraId="48230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5D97F6C3">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禁止在自然保护区核心区、缓冲区的岸线和河段范围内投资建设旅游和生产经营项目。禁止在风景名胜区核心景区的岸线和河段范围内投资建设与风景名</w:t>
                  </w:r>
                  <w:r>
                    <w:rPr>
                      <w:rFonts w:hint="eastAsia" w:ascii="Times New Roman" w:hAnsi="Times New Roman" w:cs="Times New Roman"/>
                      <w:color w:val="auto"/>
                      <w:sz w:val="21"/>
                      <w:szCs w:val="21"/>
                      <w:highlight w:val="none"/>
                      <w:lang w:eastAsia="zh-CN"/>
                    </w:rPr>
                    <w:t>胜区</w:t>
                  </w:r>
                  <w:r>
                    <w:rPr>
                      <w:rFonts w:hint="default" w:ascii="Times New Roman" w:hAnsi="Times New Roman" w:cs="Times New Roman"/>
                      <w:color w:val="auto"/>
                      <w:sz w:val="21"/>
                      <w:szCs w:val="21"/>
                      <w:highlight w:val="none"/>
                    </w:rPr>
                    <w:t>资源保护无关的项目。</w:t>
                  </w:r>
                </w:p>
              </w:tc>
              <w:tc>
                <w:tcPr>
                  <w:tcW w:w="1635" w:type="dxa"/>
                  <w:noWrap w:val="0"/>
                  <w:vAlign w:val="center"/>
                </w:tcPr>
                <w:p w14:paraId="7085E5E0">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本项目不涉及</w:t>
                  </w:r>
                </w:p>
              </w:tc>
              <w:tc>
                <w:tcPr>
                  <w:tcW w:w="1013" w:type="dxa"/>
                  <w:noWrap w:val="0"/>
                  <w:vAlign w:val="center"/>
                </w:tcPr>
                <w:p w14:paraId="0DEB8BF5">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575A8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19404BF8">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35" w:type="dxa"/>
                  <w:noWrap w:val="0"/>
                  <w:vAlign w:val="center"/>
                </w:tcPr>
                <w:p w14:paraId="43C8A906">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本项目不涉及</w:t>
                  </w:r>
                </w:p>
              </w:tc>
              <w:tc>
                <w:tcPr>
                  <w:tcW w:w="1013" w:type="dxa"/>
                  <w:noWrap w:val="0"/>
                  <w:vAlign w:val="center"/>
                </w:tcPr>
                <w:p w14:paraId="7D3E6087">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64B556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7E44FFE5">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35" w:type="dxa"/>
                  <w:noWrap w:val="0"/>
                  <w:vAlign w:val="center"/>
                </w:tcPr>
                <w:p w14:paraId="49120B4D">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本项目不涉及</w:t>
                  </w:r>
                </w:p>
              </w:tc>
              <w:tc>
                <w:tcPr>
                  <w:tcW w:w="1013" w:type="dxa"/>
                  <w:noWrap w:val="0"/>
                  <w:vAlign w:val="center"/>
                </w:tcPr>
                <w:p w14:paraId="1BC84F35">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4D19B6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36DFCA2B">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35" w:type="dxa"/>
                  <w:noWrap w:val="0"/>
                  <w:vAlign w:val="center"/>
                </w:tcPr>
                <w:p w14:paraId="2B1B9DDA">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本项目不涉及</w:t>
                  </w:r>
                </w:p>
              </w:tc>
              <w:tc>
                <w:tcPr>
                  <w:tcW w:w="1013" w:type="dxa"/>
                  <w:noWrap w:val="0"/>
                  <w:vAlign w:val="center"/>
                </w:tcPr>
                <w:p w14:paraId="0D0E3373">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5E1A8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7797E91A">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禁止未经许可在长江</w:t>
                  </w:r>
                  <w:r>
                    <w:rPr>
                      <w:rFonts w:hint="eastAsia" w:ascii="Times New Roman" w:hAnsi="Times New Roman" w:cs="Times New Roman"/>
                      <w:color w:val="auto"/>
                      <w:sz w:val="21"/>
                      <w:szCs w:val="21"/>
                      <w:highlight w:val="none"/>
                      <w:lang w:eastAsia="zh-CN"/>
                    </w:rPr>
                    <w:t>干支流</w:t>
                  </w:r>
                  <w:r>
                    <w:rPr>
                      <w:rFonts w:hint="default" w:ascii="Times New Roman" w:hAnsi="Times New Roman" w:cs="Times New Roman"/>
                      <w:color w:val="auto"/>
                      <w:sz w:val="21"/>
                      <w:szCs w:val="21"/>
                      <w:highlight w:val="none"/>
                    </w:rPr>
                    <w:t>及湖泊新设、改设或扩大排污口。</w:t>
                  </w:r>
                </w:p>
              </w:tc>
              <w:tc>
                <w:tcPr>
                  <w:tcW w:w="1635" w:type="dxa"/>
                  <w:noWrap w:val="0"/>
                  <w:vAlign w:val="center"/>
                </w:tcPr>
                <w:p w14:paraId="5EBF60AD">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本项目不涉及</w:t>
                  </w:r>
                </w:p>
              </w:tc>
              <w:tc>
                <w:tcPr>
                  <w:tcW w:w="1013" w:type="dxa"/>
                  <w:noWrap w:val="0"/>
                  <w:vAlign w:val="center"/>
                </w:tcPr>
                <w:p w14:paraId="3EFFF20B">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69EE9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526C588E">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禁止在“一江一口两湖七河”和332个水生生物保护区开展生产性捕捞。</w:t>
                  </w:r>
                </w:p>
              </w:tc>
              <w:tc>
                <w:tcPr>
                  <w:tcW w:w="1635" w:type="dxa"/>
                  <w:noWrap w:val="0"/>
                  <w:vAlign w:val="center"/>
                </w:tcPr>
                <w:p w14:paraId="212DA553">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本项目不涉及</w:t>
                  </w:r>
                </w:p>
              </w:tc>
              <w:tc>
                <w:tcPr>
                  <w:tcW w:w="1013" w:type="dxa"/>
                  <w:noWrap w:val="0"/>
                  <w:vAlign w:val="center"/>
                </w:tcPr>
                <w:p w14:paraId="0741E455">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2065C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1B5F3C64">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禁止在长江</w:t>
                  </w:r>
                  <w:r>
                    <w:rPr>
                      <w:rFonts w:hint="eastAsia" w:ascii="Times New Roman" w:hAnsi="Times New Roman" w:cs="Times New Roman"/>
                      <w:color w:val="auto"/>
                      <w:sz w:val="21"/>
                      <w:szCs w:val="21"/>
                      <w:highlight w:val="none"/>
                      <w:lang w:eastAsia="zh-CN"/>
                    </w:rPr>
                    <w:t>干支流</w:t>
                  </w:r>
                  <w:r>
                    <w:rPr>
                      <w:rFonts w:hint="default" w:ascii="Times New Roman" w:hAnsi="Times New Roman" w:cs="Times New Roman"/>
                      <w:color w:val="auto"/>
                      <w:sz w:val="21"/>
                      <w:szCs w:val="21"/>
                      <w:highlight w:val="none"/>
                    </w:rPr>
                    <w:t>、重要湖泊岸线一公里范围内新建、扩建化工园区和化工项目。禁止在长江干流岸线三公里范围内和重要支流岸线一公里范围内新建、改建、扩建尾矿库、冶炼渣库和磷石膏库，以提升安全、生态环境保护水平为目</w:t>
                  </w:r>
                  <w:bookmarkStart w:id="4" w:name="_GoBack"/>
                  <w:bookmarkEnd w:id="4"/>
                  <w:r>
                    <w:rPr>
                      <w:rFonts w:hint="default" w:ascii="Times New Roman" w:hAnsi="Times New Roman" w:cs="Times New Roman"/>
                      <w:color w:val="auto"/>
                      <w:sz w:val="21"/>
                      <w:szCs w:val="21"/>
                      <w:highlight w:val="none"/>
                    </w:rPr>
                    <w:t>的改建除外。</w:t>
                  </w:r>
                </w:p>
              </w:tc>
              <w:tc>
                <w:tcPr>
                  <w:tcW w:w="1635" w:type="dxa"/>
                  <w:noWrap w:val="0"/>
                  <w:vAlign w:val="center"/>
                </w:tcPr>
                <w:p w14:paraId="7A638A5C">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本项目不位于</w:t>
                  </w:r>
                  <w:r>
                    <w:rPr>
                      <w:rFonts w:hint="default" w:ascii="Times New Roman" w:hAnsi="Times New Roman" w:cs="Times New Roman"/>
                      <w:color w:val="auto"/>
                      <w:sz w:val="21"/>
                      <w:szCs w:val="21"/>
                      <w:highlight w:val="none"/>
                    </w:rPr>
                    <w:t>长江</w:t>
                  </w:r>
                  <w:r>
                    <w:rPr>
                      <w:rFonts w:hint="eastAsia" w:ascii="Times New Roman" w:hAnsi="Times New Roman" w:cs="Times New Roman"/>
                      <w:color w:val="auto"/>
                      <w:sz w:val="21"/>
                      <w:szCs w:val="21"/>
                      <w:highlight w:val="none"/>
                      <w:lang w:eastAsia="zh-CN"/>
                    </w:rPr>
                    <w:t>干流、</w:t>
                  </w:r>
                  <w:r>
                    <w:rPr>
                      <w:rFonts w:hint="eastAsia" w:ascii="Times New Roman" w:hAnsi="Times New Roman" w:cs="Times New Roman"/>
                      <w:color w:val="auto"/>
                      <w:sz w:val="21"/>
                      <w:szCs w:val="21"/>
                      <w:highlight w:val="none"/>
                      <w:lang w:val="en-US" w:eastAsia="zh-CN"/>
                    </w:rPr>
                    <w:t>一级支流和二级支流范围内。</w:t>
                  </w:r>
                </w:p>
              </w:tc>
              <w:tc>
                <w:tcPr>
                  <w:tcW w:w="1013" w:type="dxa"/>
                  <w:noWrap w:val="0"/>
                  <w:vAlign w:val="center"/>
                </w:tcPr>
                <w:p w14:paraId="06D0BEB8">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514B3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43753820">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禁止在合规园区外新建、扩建钢铁、石化、化工、焦化、建材、有色、制浆造纸等高污染项目。</w:t>
                  </w:r>
                </w:p>
              </w:tc>
              <w:tc>
                <w:tcPr>
                  <w:tcW w:w="1635" w:type="dxa"/>
                  <w:vMerge w:val="restart"/>
                  <w:noWrap w:val="0"/>
                  <w:vAlign w:val="center"/>
                </w:tcPr>
                <w:p w14:paraId="4E13CD1E">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本项目</w:t>
                  </w:r>
                  <w:r>
                    <w:rPr>
                      <w:rFonts w:hint="eastAsia" w:ascii="Times New Roman" w:hAnsi="Times New Roman" w:cs="Times New Roman"/>
                      <w:color w:val="auto"/>
                      <w:sz w:val="21"/>
                      <w:szCs w:val="21"/>
                      <w:highlight w:val="none"/>
                      <w:lang w:val="en-US" w:eastAsia="zh-CN"/>
                    </w:rPr>
                    <w:t>不属于禁止产业，不属于落后产能</w:t>
                  </w:r>
                </w:p>
              </w:tc>
              <w:tc>
                <w:tcPr>
                  <w:tcW w:w="1013" w:type="dxa"/>
                  <w:noWrap w:val="0"/>
                  <w:vAlign w:val="center"/>
                </w:tcPr>
                <w:p w14:paraId="0E1FE403">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00D73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0EEDD045">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禁止新建、扩建不符合国家石化、现代煤化工等产业布局规划的项目。</w:t>
                  </w:r>
                </w:p>
              </w:tc>
              <w:tc>
                <w:tcPr>
                  <w:tcW w:w="1635" w:type="dxa"/>
                  <w:vMerge w:val="continue"/>
                  <w:noWrap w:val="0"/>
                  <w:vAlign w:val="center"/>
                </w:tcPr>
                <w:p w14:paraId="41E244C9">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p>
              </w:tc>
              <w:tc>
                <w:tcPr>
                  <w:tcW w:w="1013" w:type="dxa"/>
                  <w:noWrap w:val="0"/>
                  <w:vAlign w:val="center"/>
                </w:tcPr>
                <w:p w14:paraId="554549CC">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6CA2F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052D4C20">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1635" w:type="dxa"/>
                  <w:vMerge w:val="continue"/>
                  <w:noWrap w:val="0"/>
                  <w:vAlign w:val="center"/>
                </w:tcPr>
                <w:p w14:paraId="704CF1DE">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p>
              </w:tc>
              <w:tc>
                <w:tcPr>
                  <w:tcW w:w="1013" w:type="dxa"/>
                  <w:noWrap w:val="0"/>
                  <w:vAlign w:val="center"/>
                </w:tcPr>
                <w:p w14:paraId="4A98F043">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bl>
          <w:p w14:paraId="1977CBBB">
            <w:pPr>
              <w:pStyle w:val="42"/>
              <w:ind w:firstLine="480"/>
              <w:rPr>
                <w:rFonts w:hint="default" w:ascii="Times New Roman" w:hAnsi="Times New Roman" w:cs="Times New Roman"/>
                <w:color w:val="auto"/>
                <w:highlight w:val="none"/>
              </w:rPr>
            </w:pPr>
          </w:p>
          <w:p w14:paraId="180E2361">
            <w:pPr>
              <w:jc w:val="center"/>
              <w:rPr>
                <w:b/>
                <w:bCs/>
                <w:color w:val="auto"/>
                <w:sz w:val="24"/>
                <w:highlight w:val="none"/>
                <w:lang w:val="zh-CN"/>
              </w:rPr>
            </w:pPr>
            <w:r>
              <w:rPr>
                <w:b/>
                <w:bCs/>
                <w:color w:val="auto"/>
                <w:sz w:val="24"/>
                <w:highlight w:val="none"/>
                <w:lang w:val="zh-CN"/>
              </w:rPr>
              <w:t>表1-</w:t>
            </w:r>
            <w:r>
              <w:rPr>
                <w:rFonts w:hint="eastAsia"/>
                <w:b/>
                <w:bCs/>
                <w:color w:val="auto"/>
                <w:sz w:val="24"/>
                <w:highlight w:val="none"/>
                <w:lang w:val="en-US" w:eastAsia="zh-CN"/>
              </w:rPr>
              <w:t>4</w:t>
            </w:r>
            <w:r>
              <w:rPr>
                <w:b/>
                <w:bCs/>
                <w:color w:val="auto"/>
                <w:sz w:val="24"/>
                <w:highlight w:val="none"/>
                <w:lang w:val="zh-CN"/>
              </w:rPr>
              <w:t>项目与</w:t>
            </w:r>
            <w:r>
              <w:rPr>
                <w:rFonts w:hint="eastAsia"/>
                <w:b/>
                <w:bCs/>
                <w:color w:val="auto"/>
                <w:sz w:val="24"/>
                <w:highlight w:val="none"/>
                <w:lang w:val="en-US" w:eastAsia="zh-CN"/>
              </w:rPr>
              <w:t>川</w:t>
            </w:r>
            <w:r>
              <w:rPr>
                <w:rFonts w:hint="eastAsia"/>
                <w:b/>
                <w:bCs/>
                <w:color w:val="auto"/>
                <w:sz w:val="24"/>
                <w:highlight w:val="none"/>
                <w:lang w:val="zh-CN"/>
              </w:rPr>
              <w:t>长江办〔2022〕</w:t>
            </w:r>
            <w:r>
              <w:rPr>
                <w:rFonts w:hint="eastAsia"/>
                <w:b/>
                <w:bCs/>
                <w:color w:val="auto"/>
                <w:sz w:val="24"/>
                <w:highlight w:val="none"/>
                <w:lang w:val="en-US" w:eastAsia="zh-CN"/>
              </w:rPr>
              <w:t>1</w:t>
            </w:r>
            <w:r>
              <w:rPr>
                <w:rFonts w:hint="eastAsia"/>
                <w:b/>
                <w:bCs/>
                <w:color w:val="auto"/>
                <w:sz w:val="24"/>
                <w:highlight w:val="none"/>
                <w:lang w:val="zh-CN"/>
              </w:rPr>
              <w:t>7号</w:t>
            </w:r>
            <w:r>
              <w:rPr>
                <w:b/>
                <w:bCs/>
                <w:color w:val="auto"/>
                <w:sz w:val="24"/>
                <w:highlight w:val="none"/>
                <w:lang w:val="zh-CN"/>
              </w:rPr>
              <w:t>符合性分析</w:t>
            </w:r>
          </w:p>
          <w:tbl>
            <w:tblPr>
              <w:tblStyle w:val="23"/>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19"/>
              <w:gridCol w:w="1466"/>
              <w:gridCol w:w="735"/>
            </w:tblGrid>
            <w:tr w14:paraId="4135E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019" w:type="dxa"/>
                  <w:noWrap w:val="0"/>
                  <w:vAlign w:val="center"/>
                </w:tcPr>
                <w:p w14:paraId="5B0DDE17">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b/>
                      <w:bCs/>
                      <w:color w:val="auto"/>
                      <w:sz w:val="21"/>
                      <w:szCs w:val="21"/>
                      <w:highlight w:val="none"/>
                    </w:rPr>
                  </w:pPr>
                  <w:r>
                    <w:rPr>
                      <w:rFonts w:hint="eastAsia"/>
                      <w:b/>
                      <w:bCs/>
                      <w:color w:val="auto"/>
                      <w:sz w:val="21"/>
                      <w:szCs w:val="21"/>
                      <w:highlight w:val="none"/>
                      <w:lang w:val="en-US" w:eastAsia="zh-CN"/>
                    </w:rPr>
                    <w:t>川</w:t>
                  </w:r>
                  <w:r>
                    <w:rPr>
                      <w:rFonts w:hint="eastAsia"/>
                      <w:b/>
                      <w:bCs/>
                      <w:color w:val="auto"/>
                      <w:sz w:val="21"/>
                      <w:szCs w:val="21"/>
                      <w:highlight w:val="none"/>
                      <w:lang w:val="zh-CN"/>
                    </w:rPr>
                    <w:t>长江办〔2022〕</w:t>
                  </w:r>
                  <w:r>
                    <w:rPr>
                      <w:rFonts w:hint="eastAsia"/>
                      <w:b/>
                      <w:bCs/>
                      <w:color w:val="auto"/>
                      <w:sz w:val="21"/>
                      <w:szCs w:val="21"/>
                      <w:highlight w:val="none"/>
                      <w:lang w:val="en-US" w:eastAsia="zh-CN"/>
                    </w:rPr>
                    <w:t>1</w:t>
                  </w:r>
                  <w:r>
                    <w:rPr>
                      <w:rFonts w:hint="eastAsia"/>
                      <w:b/>
                      <w:bCs/>
                      <w:color w:val="auto"/>
                      <w:sz w:val="21"/>
                      <w:szCs w:val="21"/>
                      <w:highlight w:val="none"/>
                      <w:lang w:val="zh-CN"/>
                    </w:rPr>
                    <w:t>7号</w:t>
                  </w:r>
                  <w:r>
                    <w:rPr>
                      <w:rFonts w:hint="eastAsia"/>
                      <w:b/>
                      <w:bCs/>
                      <w:color w:val="auto"/>
                      <w:sz w:val="21"/>
                      <w:szCs w:val="21"/>
                      <w:highlight w:val="none"/>
                      <w:lang w:val="en-US" w:eastAsia="zh-CN"/>
                    </w:rPr>
                    <w:t>文件</w:t>
                  </w:r>
                  <w:r>
                    <w:rPr>
                      <w:rFonts w:hint="default" w:ascii="Times New Roman" w:hAnsi="Times New Roman" w:cs="Times New Roman"/>
                      <w:b/>
                      <w:bCs/>
                      <w:color w:val="auto"/>
                      <w:sz w:val="21"/>
                      <w:szCs w:val="21"/>
                      <w:highlight w:val="none"/>
                    </w:rPr>
                    <w:t>要求</w:t>
                  </w:r>
                </w:p>
              </w:tc>
              <w:tc>
                <w:tcPr>
                  <w:tcW w:w="1466" w:type="dxa"/>
                  <w:noWrap w:val="0"/>
                  <w:vAlign w:val="center"/>
                </w:tcPr>
                <w:p w14:paraId="7D11518C">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w:t>
                  </w:r>
                  <w:r>
                    <w:rPr>
                      <w:rFonts w:hint="eastAsia" w:ascii="Times New Roman" w:hAnsi="Times New Roman" w:cs="Times New Roman"/>
                      <w:b/>
                      <w:bCs/>
                      <w:color w:val="auto"/>
                      <w:sz w:val="21"/>
                      <w:szCs w:val="21"/>
                      <w:highlight w:val="none"/>
                      <w:lang w:val="en-US" w:eastAsia="zh-CN"/>
                    </w:rPr>
                    <w:t>衔接情况</w:t>
                  </w:r>
                </w:p>
              </w:tc>
              <w:tc>
                <w:tcPr>
                  <w:tcW w:w="735" w:type="dxa"/>
                  <w:noWrap w:val="0"/>
                  <w:vAlign w:val="center"/>
                </w:tcPr>
                <w:p w14:paraId="5D254D42">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符合性</w:t>
                  </w:r>
                </w:p>
              </w:tc>
            </w:tr>
            <w:tr w14:paraId="07CF1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0C8D32A4">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第五条</w:t>
                  </w:r>
                  <w:r>
                    <w:rPr>
                      <w:rFonts w:hint="default" w:ascii="Times New Roman" w:hAnsi="Times New Roman" w:cs="Times New Roman"/>
                      <w:color w:val="auto"/>
                      <w:sz w:val="21"/>
                      <w:szCs w:val="21"/>
                      <w:highlight w:val="none"/>
                    </w:rPr>
                    <w:t>禁止新建、改建和扩建不符合全国港口布局规划，以及《四川省内河水运发展规划》《泸州—宜宾—乐山港口群布局规划》《重庆港总体规划</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2035年</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》等省级港口布局规划及市级港口总体规划的码头项目。</w:t>
                  </w:r>
                </w:p>
              </w:tc>
              <w:tc>
                <w:tcPr>
                  <w:tcW w:w="1466" w:type="dxa"/>
                  <w:noWrap w:val="0"/>
                  <w:vAlign w:val="center"/>
                </w:tcPr>
                <w:p w14:paraId="35A88A79">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735" w:type="dxa"/>
                  <w:noWrap w:val="0"/>
                  <w:vAlign w:val="center"/>
                </w:tcPr>
                <w:p w14:paraId="0316F7EB">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52CD1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46FA048A">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第六条</w:t>
                  </w:r>
                  <w:r>
                    <w:rPr>
                      <w:rFonts w:hint="default" w:ascii="Times New Roman" w:hAnsi="Times New Roman" w:cs="Times New Roman"/>
                      <w:color w:val="auto"/>
                      <w:sz w:val="21"/>
                      <w:szCs w:val="21"/>
                      <w:highlight w:val="none"/>
                    </w:rPr>
                    <w:t>禁止新建、改建和扩建不符合《长江干线过江通道布局规划</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2020</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2035年</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》的过长江通道项目</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含桥梁、隧道</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，国家发展改革委同意过长江通道线位调整的除外。</w:t>
                  </w:r>
                </w:p>
              </w:tc>
              <w:tc>
                <w:tcPr>
                  <w:tcW w:w="1466" w:type="dxa"/>
                  <w:noWrap w:val="0"/>
                  <w:vAlign w:val="center"/>
                </w:tcPr>
                <w:p w14:paraId="0EFC5060">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735" w:type="dxa"/>
                  <w:noWrap w:val="0"/>
                  <w:vAlign w:val="center"/>
                </w:tcPr>
                <w:p w14:paraId="4DDDCD97">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196F7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72CB797B">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第七条禁止在自然保护区核心区、缓冲区的岸线和河段范围内投资建设旅游和生产经营项目。自然保护区的内部未分区的，依照核心区和缓冲区的规定管控。</w:t>
                  </w:r>
                </w:p>
              </w:tc>
              <w:tc>
                <w:tcPr>
                  <w:tcW w:w="1466" w:type="dxa"/>
                  <w:noWrap w:val="0"/>
                  <w:vAlign w:val="center"/>
                </w:tcPr>
                <w:p w14:paraId="06508D35">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735" w:type="dxa"/>
                  <w:noWrap w:val="0"/>
                  <w:vAlign w:val="center"/>
                </w:tcPr>
                <w:p w14:paraId="14B3AEF7">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46A37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7829E873">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第八条禁止违反风景名胜区规划，在风景名胜区内设立各类开发区。禁止在风景名胜区核心景区的岸线和河段范围内建设宾馆、招待所、培训中心、疗养院以及与风景名</w:t>
                  </w:r>
                  <w:r>
                    <w:rPr>
                      <w:rFonts w:hint="eastAsia" w:ascii="Times New Roman" w:hAnsi="Times New Roman" w:cs="Times New Roman"/>
                      <w:color w:val="auto"/>
                      <w:sz w:val="21"/>
                      <w:szCs w:val="21"/>
                      <w:highlight w:val="none"/>
                      <w:lang w:eastAsia="zh-CN"/>
                    </w:rPr>
                    <w:t>胜区</w:t>
                  </w:r>
                  <w:r>
                    <w:rPr>
                      <w:rFonts w:hint="default" w:ascii="Times New Roman" w:hAnsi="Times New Roman" w:cs="Times New Roman"/>
                      <w:color w:val="auto"/>
                      <w:sz w:val="21"/>
                      <w:szCs w:val="21"/>
                      <w:highlight w:val="none"/>
                    </w:rPr>
                    <w:t>资源保护无关的项目。</w:t>
                  </w:r>
                </w:p>
              </w:tc>
              <w:tc>
                <w:tcPr>
                  <w:tcW w:w="1466" w:type="dxa"/>
                  <w:noWrap w:val="0"/>
                  <w:vAlign w:val="center"/>
                </w:tcPr>
                <w:p w14:paraId="3F45A67A">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735" w:type="dxa"/>
                  <w:noWrap w:val="0"/>
                  <w:vAlign w:val="center"/>
                </w:tcPr>
                <w:p w14:paraId="642CFC41">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74F05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39267DD0">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第九条禁止在饮用水水源准保护区的岸线和河段范围内新建、扩建对水体污染严重的建设项目，禁止改建增加排污量的建设项目。</w:t>
                  </w:r>
                </w:p>
              </w:tc>
              <w:tc>
                <w:tcPr>
                  <w:tcW w:w="1466" w:type="dxa"/>
                  <w:noWrap w:val="0"/>
                  <w:vAlign w:val="center"/>
                </w:tcPr>
                <w:p w14:paraId="706EA322">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735" w:type="dxa"/>
                  <w:noWrap w:val="0"/>
                  <w:vAlign w:val="center"/>
                </w:tcPr>
                <w:p w14:paraId="66BD6973">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401B9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5BD0B79D">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第十条饮用水水源二级保护区的岸线和河段范围内，除遵守准保护区规定外，禁止新建、改建、扩建排放污染物的投资建设项目</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禁止从事对水体有污染的水产养殖等活动。</w:t>
                  </w:r>
                </w:p>
              </w:tc>
              <w:tc>
                <w:tcPr>
                  <w:tcW w:w="1466" w:type="dxa"/>
                  <w:noWrap w:val="0"/>
                  <w:vAlign w:val="center"/>
                </w:tcPr>
                <w:p w14:paraId="6ABA7CC0">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735" w:type="dxa"/>
                  <w:noWrap w:val="0"/>
                  <w:vAlign w:val="center"/>
                </w:tcPr>
                <w:p w14:paraId="5B2FE933">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65E89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00A054F4">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1466" w:type="dxa"/>
                  <w:noWrap w:val="0"/>
                  <w:vAlign w:val="center"/>
                </w:tcPr>
                <w:p w14:paraId="49E4000C">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735" w:type="dxa"/>
                  <w:noWrap w:val="0"/>
                  <w:vAlign w:val="center"/>
                </w:tcPr>
                <w:p w14:paraId="6351ECB6">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68A36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03F19C93">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第十二条禁止在水产种质资源保护区岸线和河段范围内新建围湖造田、围湖造地或挖沙采石等投资建设项目。</w:t>
                  </w:r>
                </w:p>
              </w:tc>
              <w:tc>
                <w:tcPr>
                  <w:tcW w:w="1466" w:type="dxa"/>
                  <w:noWrap w:val="0"/>
                  <w:vAlign w:val="center"/>
                </w:tcPr>
                <w:p w14:paraId="28FD9002">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735" w:type="dxa"/>
                  <w:noWrap w:val="0"/>
                  <w:vAlign w:val="center"/>
                </w:tcPr>
                <w:p w14:paraId="69E138A7">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19AA3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4E295C4D">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第十三条禁止在国家湿地公园的岸线和河段范围内开</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ascii="Times New Roman" w:hAnsi="Times New Roman" w:cs="Times New Roman"/>
                      <w:color w:val="auto"/>
                      <w:sz w:val="21"/>
                      <w:szCs w:val="21"/>
                      <w:highlight w:val="none"/>
                      <w:lang w:eastAsia="zh-CN"/>
                    </w:rPr>
                    <w:t>洄游</w:t>
                  </w:r>
                  <w:r>
                    <w:rPr>
                      <w:rFonts w:hint="default" w:ascii="Times New Roman" w:hAnsi="Times New Roman" w:cs="Times New Roman"/>
                      <w:color w:val="auto"/>
                      <w:sz w:val="21"/>
                      <w:szCs w:val="21"/>
                      <w:highlight w:val="none"/>
                    </w:rPr>
                    <w:t>通道。</w:t>
                  </w:r>
                </w:p>
              </w:tc>
              <w:tc>
                <w:tcPr>
                  <w:tcW w:w="1466" w:type="dxa"/>
                  <w:noWrap w:val="0"/>
                  <w:vAlign w:val="center"/>
                </w:tcPr>
                <w:p w14:paraId="2709334A">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735" w:type="dxa"/>
                  <w:noWrap w:val="0"/>
                  <w:vAlign w:val="center"/>
                </w:tcPr>
                <w:p w14:paraId="6B81A1D4">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11404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4F7DC74B">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466" w:type="dxa"/>
                  <w:noWrap w:val="0"/>
                  <w:vAlign w:val="center"/>
                </w:tcPr>
                <w:p w14:paraId="3EDD1CC3">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735" w:type="dxa"/>
                  <w:noWrap w:val="0"/>
                  <w:vAlign w:val="center"/>
                </w:tcPr>
                <w:p w14:paraId="5E769B05">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5C7BE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5AFD7204">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第十五条禁止在《全国重要江河湖泊水功能区划》划定的河段及湖泊保护区、保留区内投资建设不利于水资源及自然生态保护的项目。</w:t>
                  </w:r>
                </w:p>
              </w:tc>
              <w:tc>
                <w:tcPr>
                  <w:tcW w:w="1466" w:type="dxa"/>
                  <w:noWrap w:val="0"/>
                  <w:vAlign w:val="center"/>
                </w:tcPr>
                <w:p w14:paraId="2F8E8018">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735" w:type="dxa"/>
                  <w:noWrap w:val="0"/>
                  <w:vAlign w:val="center"/>
                </w:tcPr>
                <w:p w14:paraId="5CBE371F">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054B7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3002B3B9">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第十六条禁止在长江流域江河、湖泊新设、改设或者扩大排污口，经有管辖权的生态环境主管部门或者长江流域生态环境监督管理机构同意的除外。</w:t>
                  </w:r>
                </w:p>
              </w:tc>
              <w:tc>
                <w:tcPr>
                  <w:tcW w:w="1466" w:type="dxa"/>
                  <w:noWrap w:val="0"/>
                  <w:vAlign w:val="center"/>
                </w:tcPr>
                <w:p w14:paraId="5FB2B8C3">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735" w:type="dxa"/>
                  <w:noWrap w:val="0"/>
                  <w:vAlign w:val="center"/>
                </w:tcPr>
                <w:p w14:paraId="068ACC21">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64CF5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09F3431E">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第十七条禁止在长江干流、大渡河、岷江、赤水河、沱江、嘉陵江、乌江、汉江和51个（四川省45个、重庆市6个）水生生物保护区开展生产性捕捞。</w:t>
                  </w:r>
                </w:p>
              </w:tc>
              <w:tc>
                <w:tcPr>
                  <w:tcW w:w="1466" w:type="dxa"/>
                  <w:noWrap w:val="0"/>
                  <w:vAlign w:val="center"/>
                </w:tcPr>
                <w:p w14:paraId="0898E95B">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735" w:type="dxa"/>
                  <w:noWrap w:val="0"/>
                  <w:vAlign w:val="center"/>
                </w:tcPr>
                <w:p w14:paraId="76B3FFFC">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20BF1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35EDA6AA">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第十八条禁止在长江干支流、重要湖泊岸线一公里范围内新建、扩建化工园区和化工项目。</w:t>
                  </w:r>
                </w:p>
              </w:tc>
              <w:tc>
                <w:tcPr>
                  <w:tcW w:w="1466" w:type="dxa"/>
                  <w:noWrap w:val="0"/>
                  <w:vAlign w:val="center"/>
                </w:tcPr>
                <w:p w14:paraId="7D84BDB0">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735" w:type="dxa"/>
                  <w:noWrap w:val="0"/>
                  <w:vAlign w:val="center"/>
                </w:tcPr>
                <w:p w14:paraId="77726373">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0834F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7E0FF600">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第十九条禁止在长江干流岸线三公里范围内和重要支流岸线一公里范围内新建、改建、扩建尾矿库、冶炼渣库、磷石膏库，以提升安全、生态环境保护水平为</w:t>
                  </w:r>
                  <w:r>
                    <w:rPr>
                      <w:rFonts w:hint="eastAsia" w:ascii="Times New Roman" w:hAnsi="Times New Roman" w:cs="Times New Roman"/>
                      <w:color w:val="auto"/>
                      <w:sz w:val="21"/>
                      <w:szCs w:val="21"/>
                      <w:highlight w:val="none"/>
                      <w:lang w:val="en-US" w:eastAsia="zh-CN"/>
                    </w:rPr>
                    <w:t>符合</w:t>
                  </w:r>
                  <w:r>
                    <w:rPr>
                      <w:rFonts w:hint="default" w:ascii="Times New Roman" w:hAnsi="Times New Roman" w:cs="Times New Roman"/>
                      <w:color w:val="auto"/>
                      <w:sz w:val="21"/>
                      <w:szCs w:val="21"/>
                      <w:highlight w:val="none"/>
                    </w:rPr>
                    <w:t>目的的改建除外。</w:t>
                  </w:r>
                </w:p>
              </w:tc>
              <w:tc>
                <w:tcPr>
                  <w:tcW w:w="1466" w:type="dxa"/>
                  <w:noWrap w:val="0"/>
                  <w:vAlign w:val="center"/>
                </w:tcPr>
                <w:p w14:paraId="45EE2056">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735" w:type="dxa"/>
                  <w:noWrap w:val="0"/>
                  <w:vAlign w:val="center"/>
                </w:tcPr>
                <w:p w14:paraId="676A429B">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p>
              </w:tc>
            </w:tr>
            <w:tr w14:paraId="6EA64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1AAE0098">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第二十条禁止在生态保护红线区域、永久基本农田集中区域和其他需要特别保护的区域内选址建设尾矿库﹑冶炼渣库、磷石膏库。</w:t>
                  </w:r>
                </w:p>
              </w:tc>
              <w:tc>
                <w:tcPr>
                  <w:tcW w:w="1466" w:type="dxa"/>
                  <w:noWrap w:val="0"/>
                  <w:vAlign w:val="center"/>
                </w:tcPr>
                <w:p w14:paraId="293D3C00">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735" w:type="dxa"/>
                  <w:noWrap w:val="0"/>
                  <w:vAlign w:val="center"/>
                </w:tcPr>
                <w:p w14:paraId="7549FA1F">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7A330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6D68210C">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第二十一条禁止在合规园区外新建、扩建钢铁、石化、化工、焦化、建材、有色、制浆造纸等高污染项目。</w:t>
                  </w:r>
                </w:p>
              </w:tc>
              <w:tc>
                <w:tcPr>
                  <w:tcW w:w="1466" w:type="dxa"/>
                  <w:noWrap w:val="0"/>
                  <w:vAlign w:val="center"/>
                </w:tcPr>
                <w:p w14:paraId="5C6497B7">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本项目不属于禁止建设的高污染项目</w:t>
                  </w:r>
                </w:p>
              </w:tc>
              <w:tc>
                <w:tcPr>
                  <w:tcW w:w="735" w:type="dxa"/>
                  <w:noWrap w:val="0"/>
                  <w:vAlign w:val="center"/>
                </w:tcPr>
                <w:p w14:paraId="235ED4CC">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r w14:paraId="5378D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1A7B7112">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第二十二条禁止新建、扩建不符合国家石化、现代煤化工等产业布局规划的项目。</w:t>
                  </w:r>
                </w:p>
                <w:p w14:paraId="7521CC1C">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一</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严格控制新增炼油产能，未列入《石化产业规划布局方案（修订版</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》的新增炼油产能一律不得建设。</w:t>
                  </w:r>
                </w:p>
                <w:p w14:paraId="70370969">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二）新建煤制烯经、煤制芳经项目必须列入《现代煤化工产业创新发展布局方案》，必须符合《现代煤化工建设项目环境准入条件（试行</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》要求。</w:t>
                  </w:r>
                </w:p>
              </w:tc>
              <w:tc>
                <w:tcPr>
                  <w:tcW w:w="1466" w:type="dxa"/>
                  <w:noWrap w:val="0"/>
                  <w:vAlign w:val="center"/>
                </w:tcPr>
                <w:p w14:paraId="288F79B2">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本项目不属于石化及煤化工</w:t>
                  </w:r>
                </w:p>
              </w:tc>
              <w:tc>
                <w:tcPr>
                  <w:tcW w:w="735" w:type="dxa"/>
                  <w:noWrap w:val="0"/>
                  <w:vAlign w:val="center"/>
                </w:tcPr>
                <w:p w14:paraId="57681274">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6A4E2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47944674">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第二十三条禁止新建、扩建法律法规和相关政策明令禁止的落后产能项目。对《产业结构调整指导目录》中淘汰类项目，禁止投资</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限制类的新建项目，禁止投资，对属于限制类的现有生产能力，允许企业在一定期限内采取措施改造升级。</w:t>
                  </w:r>
                </w:p>
              </w:tc>
              <w:tc>
                <w:tcPr>
                  <w:tcW w:w="1466" w:type="dxa"/>
                  <w:noWrap w:val="0"/>
                  <w:vAlign w:val="center"/>
                </w:tcPr>
                <w:p w14:paraId="4FF0CCEC">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根据</w:t>
                  </w:r>
                  <w:r>
                    <w:rPr>
                      <w:rFonts w:hint="default" w:ascii="Times New Roman" w:hAnsi="Times New Roman" w:cs="Times New Roman"/>
                      <w:color w:val="auto"/>
                      <w:sz w:val="21"/>
                      <w:szCs w:val="21"/>
                      <w:highlight w:val="none"/>
                    </w:rPr>
                    <w:t>《产业结构调整指导目录》</w:t>
                  </w:r>
                  <w:r>
                    <w:rPr>
                      <w:rFonts w:hint="eastAsia" w:ascii="Times New Roman" w:hAnsi="Times New Roman" w:cs="Times New Roman"/>
                      <w:color w:val="auto"/>
                      <w:sz w:val="21"/>
                      <w:szCs w:val="21"/>
                      <w:highlight w:val="none"/>
                      <w:lang w:val="en-US" w:eastAsia="zh-CN"/>
                    </w:rPr>
                    <w:t>本项目属于允许类</w:t>
                  </w:r>
                </w:p>
              </w:tc>
              <w:tc>
                <w:tcPr>
                  <w:tcW w:w="735" w:type="dxa"/>
                  <w:noWrap w:val="0"/>
                  <w:vAlign w:val="center"/>
                </w:tcPr>
                <w:p w14:paraId="589C452D">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7FA0E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12713C40">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第二十四条禁止新建、扩建不符合国家产能置换要求的严重过剩产能行业的项目。对于不符合国家产能置换要求的严重过剩产能行业，不得以其他任何名义、任何方式备案新增产能项目。</w:t>
                  </w:r>
                </w:p>
              </w:tc>
              <w:tc>
                <w:tcPr>
                  <w:tcW w:w="1466" w:type="dxa"/>
                  <w:vMerge w:val="restart"/>
                  <w:noWrap w:val="0"/>
                  <w:vAlign w:val="center"/>
                </w:tcPr>
                <w:p w14:paraId="1E7F1944">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本项目不涉及</w:t>
                  </w:r>
                </w:p>
              </w:tc>
              <w:tc>
                <w:tcPr>
                  <w:tcW w:w="735" w:type="dxa"/>
                  <w:noWrap w:val="0"/>
                  <w:vAlign w:val="center"/>
                </w:tcPr>
                <w:p w14:paraId="397995FE">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49EDC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51A6B2AD">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第二十五条禁止建设以下燃油汽车投资项目（不在中国境内销售产品的投资项目除外</w:t>
                  </w:r>
                  <w:r>
                    <w:rPr>
                      <w:rFonts w:hint="eastAsia" w:ascii="Times New Roman" w:hAnsi="Times New Roman" w:cs="Times New Roman"/>
                      <w:color w:val="auto"/>
                      <w:sz w:val="21"/>
                      <w:szCs w:val="21"/>
                      <w:highlight w:val="none"/>
                      <w:lang w:eastAsia="zh-CN"/>
                    </w:rPr>
                    <w:t>）：</w:t>
                  </w:r>
                </w:p>
                <w:p w14:paraId="31B8E021">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一）新建独立燃油汽车企业</w:t>
                  </w:r>
                  <w:r>
                    <w:rPr>
                      <w:rFonts w:hint="eastAsia" w:ascii="Times New Roman" w:hAnsi="Times New Roman" w:cs="Times New Roman"/>
                      <w:color w:val="auto"/>
                      <w:sz w:val="21"/>
                      <w:szCs w:val="21"/>
                      <w:highlight w:val="none"/>
                      <w:lang w:eastAsia="zh-CN"/>
                    </w:rPr>
                    <w:t>；</w:t>
                  </w:r>
                </w:p>
                <w:p w14:paraId="65313A4B">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二）现有汽车企业跨乘用车、商用车类别建设燃油汽车生产能力</w:t>
                  </w:r>
                  <w:r>
                    <w:rPr>
                      <w:rFonts w:hint="eastAsia" w:ascii="Times New Roman" w:hAnsi="Times New Roman" w:cs="Times New Roman"/>
                      <w:color w:val="auto"/>
                      <w:sz w:val="21"/>
                      <w:szCs w:val="21"/>
                      <w:highlight w:val="none"/>
                      <w:lang w:eastAsia="zh-CN"/>
                    </w:rPr>
                    <w:t>；</w:t>
                  </w:r>
                </w:p>
                <w:p w14:paraId="31A3B574">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三）外省现有燃油汽车企业整体搬迁至本省（列入国家级区域发展规划或不改变企业股权结构的项目除外</w:t>
                  </w:r>
                  <w:r>
                    <w:rPr>
                      <w:rFonts w:hint="eastAsia" w:ascii="Times New Roman" w:hAnsi="Times New Roman" w:cs="Times New Roman"/>
                      <w:color w:val="auto"/>
                      <w:sz w:val="21"/>
                      <w:szCs w:val="21"/>
                      <w:highlight w:val="none"/>
                      <w:lang w:eastAsia="zh-CN"/>
                    </w:rPr>
                    <w:t>）；</w:t>
                  </w:r>
                </w:p>
                <w:p w14:paraId="103ADB63">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四）对行业管理部门特别公示的燃油汽车企业进行投资企业原有股东投资或将该企业转为非独立法人的投资项目除</w:t>
                  </w:r>
                  <w:r>
                    <w:rPr>
                      <w:rFonts w:hint="eastAsia" w:ascii="Times New Roman" w:hAnsi="Times New Roman" w:cs="Times New Roman"/>
                      <w:color w:val="auto"/>
                      <w:sz w:val="21"/>
                      <w:szCs w:val="21"/>
                      <w:highlight w:val="none"/>
                      <w:lang w:val="en-US" w:eastAsia="zh-CN"/>
                    </w:rPr>
                    <w:t>外。</w:t>
                  </w:r>
                </w:p>
              </w:tc>
              <w:tc>
                <w:tcPr>
                  <w:tcW w:w="1466" w:type="dxa"/>
                  <w:vMerge w:val="continue"/>
                  <w:noWrap w:val="0"/>
                  <w:vAlign w:val="center"/>
                </w:tcPr>
                <w:p w14:paraId="22B302AC">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dxa"/>
                  <w:noWrap w:val="0"/>
                  <w:vAlign w:val="center"/>
                </w:tcPr>
                <w:p w14:paraId="2D34408C">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r w14:paraId="229D7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19" w:type="dxa"/>
                  <w:noWrap w:val="0"/>
                  <w:vAlign w:val="top"/>
                </w:tcPr>
                <w:p w14:paraId="5D9AB007">
                  <w:pPr>
                    <w:pStyle w:val="42"/>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第二十六条﹐禁止新建、扩建不符合要求的高耗能、高排放、低水平项目。</w:t>
                  </w:r>
                </w:p>
              </w:tc>
              <w:tc>
                <w:tcPr>
                  <w:tcW w:w="1466" w:type="dxa"/>
                  <w:vMerge w:val="continue"/>
                  <w:noWrap w:val="0"/>
                  <w:vAlign w:val="center"/>
                </w:tcPr>
                <w:p w14:paraId="5222304C">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dxa"/>
                  <w:noWrap w:val="0"/>
                  <w:vAlign w:val="center"/>
                </w:tcPr>
                <w:p w14:paraId="1DA4A837">
                  <w:pPr>
                    <w:pStyle w:val="42"/>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符合</w:t>
                  </w:r>
                </w:p>
              </w:tc>
            </w:tr>
          </w:tbl>
          <w:p w14:paraId="093D57BB">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根据以上分析，</w:t>
            </w:r>
            <w:r>
              <w:rPr>
                <w:rFonts w:hint="default" w:ascii="Times New Roman" w:hAnsi="Times New Roman" w:cs="Times New Roman"/>
                <w:color w:val="auto"/>
                <w:highlight w:val="none"/>
                <w:lang w:val="zh-CN"/>
              </w:rPr>
              <w:t>本项目的建设符合《长江经济带发展负面</w:t>
            </w:r>
            <w:r>
              <w:rPr>
                <w:rFonts w:hint="eastAsia" w:ascii="Times New Roman" w:hAnsi="Times New Roman" w:cs="Times New Roman"/>
                <w:color w:val="auto"/>
                <w:highlight w:val="none"/>
                <w:lang w:val="en-US" w:eastAsia="zh-CN"/>
              </w:rPr>
              <w:t>清单</w:t>
            </w:r>
            <w:r>
              <w:rPr>
                <w:rFonts w:hint="default" w:ascii="Times New Roman" w:hAnsi="Times New Roman" w:cs="Times New Roman"/>
                <w:color w:val="auto"/>
                <w:highlight w:val="none"/>
                <w:lang w:val="zh-CN"/>
              </w:rPr>
              <w:t>指南试行（</w:t>
            </w:r>
            <w:r>
              <w:rPr>
                <w:rFonts w:hint="default" w:ascii="Times New Roman" w:hAnsi="Times New Roman" w:cs="Times New Roman"/>
                <w:color w:val="auto"/>
                <w:highlight w:val="none"/>
              </w:rPr>
              <w:t>2022版</w:t>
            </w:r>
            <w:r>
              <w:rPr>
                <w:rFonts w:hint="default" w:ascii="Times New Roman" w:hAnsi="Times New Roman" w:cs="Times New Roman"/>
                <w:color w:val="auto"/>
                <w:highlight w:val="none"/>
                <w:lang w:val="zh-CN"/>
              </w:rPr>
              <w:t>）》（长江办〔</w:t>
            </w:r>
            <w:r>
              <w:rPr>
                <w:rFonts w:hint="default" w:ascii="Times New Roman" w:hAnsi="Times New Roman" w:cs="Times New Roman"/>
                <w:color w:val="auto"/>
                <w:highlight w:val="none"/>
              </w:rPr>
              <w:t>2022</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7号</w:t>
            </w:r>
            <w:r>
              <w:rPr>
                <w:rFonts w:hint="default" w:ascii="Times New Roman" w:hAnsi="Times New Roman" w:cs="Times New Roman"/>
                <w:color w:val="auto"/>
                <w:highlight w:val="none"/>
                <w:lang w:val="zh-CN"/>
              </w:rPr>
              <w:t>）</w:t>
            </w:r>
            <w:r>
              <w:rPr>
                <w:rFonts w:hint="eastAsia" w:ascii="Times New Roman" w:hAnsi="Times New Roman" w:cs="Times New Roman"/>
                <w:color w:val="auto"/>
                <w:highlight w:val="none"/>
                <w:lang w:val="en-US" w:eastAsia="zh-CN"/>
              </w:rPr>
              <w:t>及</w:t>
            </w:r>
            <w:r>
              <w:rPr>
                <w:rFonts w:hint="default" w:ascii="Times New Roman" w:hAnsi="Times New Roman" w:cs="Times New Roman"/>
                <w:b w:val="0"/>
                <w:bCs w:val="0"/>
                <w:color w:val="auto"/>
                <w:highlight w:val="none"/>
                <w:lang w:val="zh-CN"/>
              </w:rPr>
              <w:t>《</w:t>
            </w:r>
            <w:r>
              <w:rPr>
                <w:rFonts w:hint="eastAsia" w:ascii="Times New Roman" w:hAnsi="Times New Roman" w:cs="Times New Roman"/>
                <w:b w:val="0"/>
                <w:bCs w:val="0"/>
                <w:color w:val="auto"/>
                <w:highlight w:val="none"/>
                <w:lang w:val="en-US" w:eastAsia="zh-CN"/>
              </w:rPr>
              <w:t>四川省、重庆市</w:t>
            </w:r>
            <w:r>
              <w:rPr>
                <w:rFonts w:hint="default" w:ascii="Times New Roman" w:hAnsi="Times New Roman" w:cs="Times New Roman"/>
                <w:b w:val="0"/>
                <w:bCs w:val="0"/>
                <w:color w:val="auto"/>
                <w:highlight w:val="none"/>
                <w:lang w:val="zh-CN"/>
              </w:rPr>
              <w:t>长江经济带发展负面</w:t>
            </w:r>
            <w:r>
              <w:rPr>
                <w:rFonts w:hint="eastAsia" w:ascii="Times New Roman" w:hAnsi="Times New Roman" w:cs="Times New Roman"/>
                <w:b w:val="0"/>
                <w:bCs w:val="0"/>
                <w:color w:val="auto"/>
                <w:highlight w:val="none"/>
                <w:lang w:val="en-US" w:eastAsia="zh-CN"/>
              </w:rPr>
              <w:t>清单实施细则</w:t>
            </w:r>
            <w:r>
              <w:rPr>
                <w:rFonts w:hint="default" w:ascii="Times New Roman" w:hAnsi="Times New Roman" w:cs="Times New Roman"/>
                <w:b w:val="0"/>
                <w:bCs w:val="0"/>
                <w:color w:val="auto"/>
                <w:highlight w:val="none"/>
                <w:lang w:val="zh-CN"/>
              </w:rPr>
              <w:t>（</w:t>
            </w:r>
            <w:r>
              <w:rPr>
                <w:rFonts w:hint="eastAsia" w:ascii="Times New Roman" w:hAnsi="Times New Roman" w:cs="Times New Roman"/>
                <w:b w:val="0"/>
                <w:bCs w:val="0"/>
                <w:color w:val="auto"/>
                <w:highlight w:val="none"/>
                <w:lang w:val="en-US" w:eastAsia="zh-CN"/>
              </w:rPr>
              <w:t>试行，</w:t>
            </w:r>
            <w:r>
              <w:rPr>
                <w:rFonts w:hint="default" w:ascii="Times New Roman" w:hAnsi="Times New Roman" w:cs="Times New Roman"/>
                <w:b w:val="0"/>
                <w:bCs w:val="0"/>
                <w:color w:val="auto"/>
                <w:highlight w:val="none"/>
              </w:rPr>
              <w:t>2022版</w:t>
            </w:r>
            <w:r>
              <w:rPr>
                <w:rFonts w:hint="default" w:ascii="Times New Roman" w:hAnsi="Times New Roman" w:cs="Times New Roman"/>
                <w:b w:val="0"/>
                <w:bCs w:val="0"/>
                <w:color w:val="auto"/>
                <w:highlight w:val="none"/>
                <w:lang w:val="zh-CN"/>
              </w:rPr>
              <w:t>）》</w:t>
            </w:r>
            <w:r>
              <w:rPr>
                <w:rFonts w:hint="eastAsia" w:ascii="Times New Roman" w:hAnsi="Times New Roman" w:cs="Times New Roman"/>
                <w:b w:val="0"/>
                <w:bCs w:val="0"/>
                <w:color w:val="auto"/>
                <w:highlight w:val="none"/>
                <w:lang w:val="zh-CN"/>
              </w:rPr>
              <w:t>（</w:t>
            </w:r>
            <w:r>
              <w:rPr>
                <w:rFonts w:hint="eastAsia" w:ascii="Times New Roman" w:hAnsi="Times New Roman" w:cs="Times New Roman"/>
                <w:b w:val="0"/>
                <w:bCs w:val="0"/>
                <w:color w:val="auto"/>
                <w:highlight w:val="none"/>
                <w:lang w:val="en-US" w:eastAsia="zh-CN"/>
              </w:rPr>
              <w:t>川长江办</w:t>
            </w:r>
            <w:r>
              <w:rPr>
                <w:rFonts w:hint="default" w:ascii="Times New Roman" w:hAnsi="Times New Roman" w:cs="Times New Roman"/>
                <w:b w:val="0"/>
                <w:bCs w:val="0"/>
                <w:color w:val="auto"/>
                <w:highlight w:val="none"/>
                <w:lang w:val="zh-CN"/>
              </w:rPr>
              <w:t>〔</w:t>
            </w:r>
            <w:r>
              <w:rPr>
                <w:rFonts w:hint="default" w:ascii="Times New Roman" w:hAnsi="Times New Roman" w:cs="Times New Roman"/>
                <w:b w:val="0"/>
                <w:bCs w:val="0"/>
                <w:color w:val="auto"/>
                <w:highlight w:val="none"/>
              </w:rPr>
              <w:t>2022</w:t>
            </w:r>
            <w:r>
              <w:rPr>
                <w:rFonts w:hint="default" w:ascii="Times New Roman" w:hAnsi="Times New Roman" w:cs="Times New Roman"/>
                <w:b w:val="0"/>
                <w:bCs w:val="0"/>
                <w:color w:val="auto"/>
                <w:highlight w:val="none"/>
                <w:lang w:val="zh-CN"/>
              </w:rPr>
              <w:t>〕</w:t>
            </w:r>
            <w:r>
              <w:rPr>
                <w:rFonts w:hint="eastAsia" w:ascii="Times New Roman" w:hAnsi="Times New Roman" w:cs="Times New Roman"/>
                <w:b w:val="0"/>
                <w:bCs w:val="0"/>
                <w:color w:val="auto"/>
                <w:highlight w:val="none"/>
                <w:lang w:val="en-US" w:eastAsia="zh-CN"/>
              </w:rPr>
              <w:t>1</w:t>
            </w:r>
            <w:r>
              <w:rPr>
                <w:rFonts w:hint="default" w:ascii="Times New Roman" w:hAnsi="Times New Roman" w:cs="Times New Roman"/>
                <w:b w:val="0"/>
                <w:bCs w:val="0"/>
                <w:color w:val="auto"/>
                <w:highlight w:val="none"/>
              </w:rPr>
              <w:t>7号</w:t>
            </w:r>
            <w:r>
              <w:rPr>
                <w:rFonts w:hint="eastAsia" w:ascii="Times New Roman" w:hAnsi="Times New Roman" w:cs="Times New Roman"/>
                <w:b w:val="0"/>
                <w:bCs w:val="0"/>
                <w:color w:val="auto"/>
                <w:highlight w:val="none"/>
                <w:lang w:val="zh-CN"/>
              </w:rPr>
              <w:t>）</w:t>
            </w:r>
            <w:r>
              <w:rPr>
                <w:rFonts w:hint="default" w:ascii="Times New Roman" w:hAnsi="Times New Roman" w:cs="Times New Roman"/>
                <w:color w:val="auto"/>
                <w:highlight w:val="none"/>
                <w:lang w:val="zh-CN"/>
              </w:rPr>
              <w:t>的</w:t>
            </w:r>
            <w:r>
              <w:rPr>
                <w:rFonts w:hint="eastAsia" w:ascii="Times New Roman" w:hAnsi="Times New Roman" w:cs="Times New Roman"/>
                <w:color w:val="auto"/>
                <w:highlight w:val="none"/>
                <w:lang w:val="en-US" w:eastAsia="zh-CN"/>
              </w:rPr>
              <w:t>文件</w:t>
            </w:r>
            <w:r>
              <w:rPr>
                <w:rFonts w:hint="default" w:ascii="Times New Roman" w:hAnsi="Times New Roman" w:cs="Times New Roman"/>
                <w:color w:val="auto"/>
                <w:highlight w:val="none"/>
                <w:lang w:val="zh-CN"/>
              </w:rPr>
              <w:t>要求。</w:t>
            </w:r>
          </w:p>
          <w:p w14:paraId="3F32A72B">
            <w:pPr>
              <w:pStyle w:val="42"/>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rPr>
              <w:t>（</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lang w:val="en-US"/>
              </w:rPr>
              <w:t>）</w:t>
            </w:r>
            <w:r>
              <w:rPr>
                <w:rFonts w:hint="default" w:ascii="Times New Roman" w:hAnsi="Times New Roman" w:cs="Times New Roman"/>
                <w:b/>
                <w:bCs/>
                <w:color w:val="auto"/>
                <w:highlight w:val="none"/>
                <w:lang w:val="en-US" w:eastAsia="zh-CN"/>
              </w:rPr>
              <w:t>“</w:t>
            </w:r>
            <w:r>
              <w:rPr>
                <w:rFonts w:hint="eastAsia" w:ascii="Times New Roman" w:hAnsi="Times New Roman" w:cs="Times New Roman"/>
                <w:b/>
                <w:bCs/>
                <w:color w:val="auto"/>
                <w:highlight w:val="none"/>
                <w:lang w:val="en-US" w:eastAsia="zh-CN"/>
              </w:rPr>
              <w:t>生态环境分区管控</w:t>
            </w:r>
            <w:r>
              <w:rPr>
                <w:rFonts w:hint="default" w:ascii="Times New Roman" w:hAnsi="Times New Roman" w:cs="Times New Roman"/>
                <w:b/>
                <w:bCs/>
                <w:color w:val="auto"/>
                <w:highlight w:val="none"/>
                <w:lang w:val="en-US" w:eastAsia="zh-CN"/>
              </w:rPr>
              <w:t>”符合性分析</w:t>
            </w:r>
          </w:p>
          <w:p w14:paraId="6C1FD288">
            <w:pPr>
              <w:pStyle w:val="42"/>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①项目与遂</w:t>
            </w:r>
            <w:r>
              <w:rPr>
                <w:rFonts w:hint="eastAsia" w:ascii="Times New Roman" w:hAnsi="Times New Roman" w:cs="Times New Roman"/>
                <w:color w:val="auto"/>
                <w:szCs w:val="24"/>
                <w:highlight w:val="none"/>
                <w:lang w:val="en-US" w:eastAsia="zh-CN"/>
              </w:rPr>
              <w:t>环</w:t>
            </w:r>
            <w:r>
              <w:rPr>
                <w:rFonts w:hint="default" w:ascii="Times New Roman" w:hAnsi="Times New Roman" w:cs="Times New Roman"/>
                <w:color w:val="auto"/>
                <w:szCs w:val="24"/>
                <w:highlight w:val="none"/>
              </w:rPr>
              <w:t>函〔202</w:t>
            </w:r>
            <w:r>
              <w:rPr>
                <w:rFonts w:hint="eastAsia" w:ascii="Times New Roman" w:hAnsi="Times New Roman" w:cs="Times New Roman"/>
                <w:color w:val="auto"/>
                <w:szCs w:val="24"/>
                <w:highlight w:val="none"/>
                <w:lang w:val="en-US" w:eastAsia="zh-CN"/>
              </w:rPr>
              <w:t>4</w:t>
            </w:r>
            <w:r>
              <w:rPr>
                <w:rFonts w:hint="default" w:ascii="Times New Roman" w:hAnsi="Times New Roman" w:cs="Times New Roman"/>
                <w:color w:val="auto"/>
                <w:szCs w:val="24"/>
                <w:highlight w:val="none"/>
              </w:rPr>
              <w:t>〕</w:t>
            </w:r>
            <w:r>
              <w:rPr>
                <w:rFonts w:hint="eastAsia" w:ascii="Times New Roman" w:hAnsi="Times New Roman" w:cs="Times New Roman"/>
                <w:color w:val="auto"/>
                <w:szCs w:val="24"/>
                <w:highlight w:val="none"/>
                <w:lang w:val="en-US" w:eastAsia="zh-CN"/>
              </w:rPr>
              <w:t>2</w:t>
            </w:r>
            <w:r>
              <w:rPr>
                <w:rFonts w:hint="default" w:ascii="Times New Roman" w:hAnsi="Times New Roman" w:cs="Times New Roman"/>
                <w:color w:val="auto"/>
                <w:szCs w:val="24"/>
                <w:highlight w:val="none"/>
              </w:rPr>
              <w:t>号符合性分析</w:t>
            </w:r>
          </w:p>
          <w:p w14:paraId="6EB04264">
            <w:pPr>
              <w:pStyle w:val="42"/>
              <w:ind w:firstLine="480"/>
              <w:rPr>
                <w:rFonts w:hint="default" w:ascii="Times New Roman" w:hAnsi="Times New Roman" w:cs="Times New Roman"/>
                <w:color w:val="auto"/>
                <w:szCs w:val="24"/>
                <w:highlight w:val="none"/>
              </w:rPr>
            </w:pPr>
            <w:r>
              <w:rPr>
                <w:rFonts w:hint="eastAsia" w:ascii="Times New Roman" w:hAnsi="Times New Roman" w:cs="Times New Roman"/>
                <w:color w:val="auto"/>
                <w:szCs w:val="24"/>
                <w:highlight w:val="none"/>
                <w:lang w:val="en-US" w:eastAsia="zh-CN"/>
              </w:rPr>
              <w:t>2024年6月8日遂宁市生态环境保护委员会发布了《关于印发遂宁市2023年生态环境分区管控动态更新成果的通知》（</w:t>
            </w:r>
            <w:r>
              <w:rPr>
                <w:rFonts w:hint="default" w:ascii="Times New Roman" w:hAnsi="Times New Roman" w:cs="Times New Roman"/>
                <w:color w:val="auto"/>
                <w:szCs w:val="24"/>
                <w:highlight w:val="none"/>
              </w:rPr>
              <w:t>遂</w:t>
            </w:r>
            <w:r>
              <w:rPr>
                <w:rFonts w:hint="eastAsia" w:ascii="Times New Roman" w:hAnsi="Times New Roman" w:cs="Times New Roman"/>
                <w:color w:val="auto"/>
                <w:szCs w:val="24"/>
                <w:highlight w:val="none"/>
                <w:lang w:val="en-US" w:eastAsia="zh-CN"/>
              </w:rPr>
              <w:t>环</w:t>
            </w:r>
            <w:r>
              <w:rPr>
                <w:rFonts w:hint="default" w:ascii="Times New Roman" w:hAnsi="Times New Roman" w:cs="Times New Roman"/>
                <w:color w:val="auto"/>
                <w:szCs w:val="24"/>
                <w:highlight w:val="none"/>
              </w:rPr>
              <w:t>函〔202</w:t>
            </w:r>
            <w:r>
              <w:rPr>
                <w:rFonts w:hint="eastAsia" w:ascii="Times New Roman" w:hAnsi="Times New Roman" w:cs="Times New Roman"/>
                <w:color w:val="auto"/>
                <w:szCs w:val="24"/>
                <w:highlight w:val="none"/>
                <w:lang w:val="en-US" w:eastAsia="zh-CN"/>
              </w:rPr>
              <w:t>4</w:t>
            </w:r>
            <w:r>
              <w:rPr>
                <w:rFonts w:hint="default" w:ascii="Times New Roman" w:hAnsi="Times New Roman" w:cs="Times New Roman"/>
                <w:color w:val="auto"/>
                <w:szCs w:val="24"/>
                <w:highlight w:val="none"/>
              </w:rPr>
              <w:t>〕</w:t>
            </w:r>
            <w:r>
              <w:rPr>
                <w:rFonts w:hint="eastAsia" w:ascii="Times New Roman" w:hAnsi="Times New Roman" w:cs="Times New Roman"/>
                <w:color w:val="auto"/>
                <w:szCs w:val="24"/>
                <w:highlight w:val="none"/>
                <w:lang w:val="en-US" w:eastAsia="zh-CN"/>
              </w:rPr>
              <w:t>2</w:t>
            </w:r>
            <w:r>
              <w:rPr>
                <w:rFonts w:hint="default" w:ascii="Times New Roman" w:hAnsi="Times New Roman" w:cs="Times New Roman"/>
                <w:color w:val="auto"/>
                <w:szCs w:val="24"/>
                <w:highlight w:val="none"/>
              </w:rPr>
              <w:t>号</w:t>
            </w:r>
            <w:r>
              <w:rPr>
                <w:rFonts w:hint="eastAsia" w:ascii="Times New Roman" w:hAnsi="Times New Roman" w:cs="Times New Roman"/>
                <w:color w:val="auto"/>
                <w:szCs w:val="24"/>
                <w:highlight w:val="none"/>
                <w:lang w:val="en-US" w:eastAsia="zh-CN"/>
              </w:rPr>
              <w:t>）对原有的“三线一单”管控要求进行了更新，根据</w:t>
            </w:r>
            <w:r>
              <w:rPr>
                <w:rFonts w:hint="default" w:ascii="Times New Roman" w:hAnsi="Times New Roman" w:cs="Times New Roman"/>
                <w:color w:val="auto"/>
                <w:szCs w:val="24"/>
                <w:highlight w:val="none"/>
              </w:rPr>
              <w:t>遂</w:t>
            </w:r>
            <w:r>
              <w:rPr>
                <w:rFonts w:hint="eastAsia" w:ascii="Times New Roman" w:hAnsi="Times New Roman" w:cs="Times New Roman"/>
                <w:color w:val="auto"/>
                <w:szCs w:val="24"/>
                <w:highlight w:val="none"/>
                <w:lang w:val="en-US" w:eastAsia="zh-CN"/>
              </w:rPr>
              <w:t>环</w:t>
            </w:r>
            <w:r>
              <w:rPr>
                <w:rFonts w:hint="default" w:ascii="Times New Roman" w:hAnsi="Times New Roman" w:cs="Times New Roman"/>
                <w:color w:val="auto"/>
                <w:szCs w:val="24"/>
                <w:highlight w:val="none"/>
              </w:rPr>
              <w:t>函〔202</w:t>
            </w:r>
            <w:r>
              <w:rPr>
                <w:rFonts w:hint="eastAsia" w:ascii="Times New Roman" w:hAnsi="Times New Roman" w:cs="Times New Roman"/>
                <w:color w:val="auto"/>
                <w:szCs w:val="24"/>
                <w:highlight w:val="none"/>
                <w:lang w:val="en-US" w:eastAsia="zh-CN"/>
              </w:rPr>
              <w:t>4</w:t>
            </w:r>
            <w:r>
              <w:rPr>
                <w:rFonts w:hint="default" w:ascii="Times New Roman" w:hAnsi="Times New Roman" w:cs="Times New Roman"/>
                <w:color w:val="auto"/>
                <w:szCs w:val="24"/>
                <w:highlight w:val="none"/>
              </w:rPr>
              <w:t>〕</w:t>
            </w:r>
            <w:r>
              <w:rPr>
                <w:rFonts w:hint="eastAsia" w:ascii="Times New Roman" w:hAnsi="Times New Roman" w:cs="Times New Roman"/>
                <w:color w:val="auto"/>
                <w:szCs w:val="24"/>
                <w:highlight w:val="none"/>
                <w:lang w:val="en-US" w:eastAsia="zh-CN"/>
              </w:rPr>
              <w:t>2</w:t>
            </w:r>
            <w:r>
              <w:rPr>
                <w:rFonts w:hint="default" w:ascii="Times New Roman" w:hAnsi="Times New Roman" w:cs="Times New Roman"/>
                <w:color w:val="auto"/>
                <w:szCs w:val="24"/>
                <w:highlight w:val="none"/>
              </w:rPr>
              <w:t>号</w:t>
            </w:r>
            <w:r>
              <w:rPr>
                <w:rFonts w:hint="eastAsia" w:ascii="Times New Roman" w:hAnsi="Times New Roman" w:cs="Times New Roman"/>
                <w:color w:val="auto"/>
                <w:szCs w:val="24"/>
                <w:highlight w:val="none"/>
                <w:lang w:eastAsia="zh-CN"/>
              </w:rPr>
              <w:t>，</w:t>
            </w:r>
            <w:r>
              <w:rPr>
                <w:rFonts w:hint="eastAsia" w:ascii="Times New Roman" w:hAnsi="Times New Roman" w:cs="Times New Roman"/>
                <w:color w:val="auto"/>
                <w:szCs w:val="24"/>
                <w:highlight w:val="none"/>
                <w:lang w:val="en-US" w:eastAsia="zh-CN"/>
              </w:rPr>
              <w:t>遂宁市最新生态环境准入要求如下：</w:t>
            </w:r>
          </w:p>
          <w:p w14:paraId="16BDB057">
            <w:pPr>
              <w:pStyle w:val="42"/>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本项目位于</w:t>
            </w:r>
            <w:r>
              <w:rPr>
                <w:rFonts w:hint="eastAsia" w:ascii="Times New Roman" w:hAnsi="Times New Roman" w:cs="Times New Roman"/>
                <w:color w:val="auto"/>
                <w:szCs w:val="24"/>
                <w:highlight w:val="none"/>
                <w:lang w:val="en-US" w:eastAsia="zh-CN"/>
              </w:rPr>
              <w:t>大英工业园区</w:t>
            </w:r>
            <w:r>
              <w:rPr>
                <w:rFonts w:hint="default" w:ascii="Times New Roman" w:hAnsi="Times New Roman" w:cs="Times New Roman"/>
                <w:color w:val="auto"/>
                <w:szCs w:val="24"/>
                <w:highlight w:val="none"/>
              </w:rPr>
              <w:t>，属于环境综合管控单元工业重点管控单元。</w:t>
            </w:r>
          </w:p>
          <w:p w14:paraId="1A0A425A">
            <w:pPr>
              <w:pStyle w:val="42"/>
              <w:ind w:firstLine="482"/>
              <w:jc w:val="center"/>
              <w:rPr>
                <w:rFonts w:hint="default" w:ascii="Times New Roman" w:hAnsi="Times New Roman" w:cs="Times New Roman"/>
                <w:b/>
                <w:bCs/>
                <w:color w:val="auto"/>
                <w:szCs w:val="24"/>
                <w:highlight w:val="none"/>
              </w:rPr>
            </w:pPr>
            <w:r>
              <w:rPr>
                <w:rFonts w:hint="default" w:ascii="Times New Roman" w:hAnsi="Times New Roman" w:cs="Times New Roman"/>
                <w:b/>
                <w:bCs/>
                <w:color w:val="auto"/>
                <w:highlight w:val="none"/>
              </w:rPr>
              <w:t>表1-</w:t>
            </w:r>
            <w:r>
              <w:rPr>
                <w:rFonts w:hint="eastAsia" w:ascii="Times New Roman" w:hAnsi="Times New Roman" w:cs="Times New Roman"/>
                <w:b/>
                <w:bCs/>
                <w:color w:val="auto"/>
                <w:highlight w:val="none"/>
                <w:lang w:val="en-US" w:eastAsia="zh-CN"/>
              </w:rPr>
              <w:t>5</w:t>
            </w:r>
            <w:r>
              <w:rPr>
                <w:rFonts w:hint="default" w:ascii="Times New Roman" w:hAnsi="Times New Roman" w:cs="Times New Roman"/>
                <w:b/>
                <w:bCs/>
                <w:color w:val="auto"/>
                <w:szCs w:val="24"/>
                <w:highlight w:val="none"/>
              </w:rPr>
              <w:t>与遂环函〔2024〕2号文件符合性</w:t>
            </w:r>
          </w:p>
          <w:tbl>
            <w:tblPr>
              <w:tblStyle w:val="24"/>
              <w:tblW w:w="872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0"/>
              <w:gridCol w:w="4136"/>
              <w:gridCol w:w="2914"/>
              <w:gridCol w:w="732"/>
            </w:tblGrid>
            <w:tr w14:paraId="027BA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40" w:type="dxa"/>
                  <w:tcBorders>
                    <w:tl2br w:val="nil"/>
                    <w:tr2bl w:val="nil"/>
                  </w:tcBorders>
                  <w:noWrap w:val="0"/>
                  <w:vAlign w:val="center"/>
                </w:tcPr>
                <w:p w14:paraId="25A64B7D">
                  <w:pPr>
                    <w:pStyle w:val="42"/>
                    <w:spacing w:line="240" w:lineRule="auto"/>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行政区划</w:t>
                  </w:r>
                </w:p>
              </w:tc>
              <w:tc>
                <w:tcPr>
                  <w:tcW w:w="4136" w:type="dxa"/>
                  <w:tcBorders>
                    <w:tl2br w:val="nil"/>
                    <w:tr2bl w:val="nil"/>
                  </w:tcBorders>
                  <w:noWrap w:val="0"/>
                  <w:vAlign w:val="center"/>
                </w:tcPr>
                <w:p w14:paraId="7CA61F68">
                  <w:pPr>
                    <w:pStyle w:val="42"/>
                    <w:spacing w:line="240" w:lineRule="auto"/>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生态环境管控要求</w:t>
                  </w:r>
                </w:p>
              </w:tc>
              <w:tc>
                <w:tcPr>
                  <w:tcW w:w="2914" w:type="dxa"/>
                  <w:tcBorders>
                    <w:tl2br w:val="nil"/>
                    <w:tr2bl w:val="nil"/>
                  </w:tcBorders>
                  <w:noWrap w:val="0"/>
                  <w:vAlign w:val="center"/>
                </w:tcPr>
                <w:p w14:paraId="6E109A7A">
                  <w:pPr>
                    <w:pStyle w:val="42"/>
                    <w:spacing w:line="240" w:lineRule="auto"/>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本项目</w:t>
                  </w:r>
                </w:p>
              </w:tc>
              <w:tc>
                <w:tcPr>
                  <w:tcW w:w="732" w:type="dxa"/>
                  <w:tcBorders>
                    <w:tl2br w:val="nil"/>
                    <w:tr2bl w:val="nil"/>
                  </w:tcBorders>
                  <w:noWrap w:val="0"/>
                  <w:vAlign w:val="center"/>
                </w:tcPr>
                <w:p w14:paraId="74D5B22A">
                  <w:pPr>
                    <w:pStyle w:val="42"/>
                    <w:spacing w:line="240" w:lineRule="auto"/>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符合性</w:t>
                  </w:r>
                </w:p>
              </w:tc>
            </w:tr>
            <w:tr w14:paraId="7811F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3" w:hRule="atLeast"/>
              </w:trPr>
              <w:tc>
                <w:tcPr>
                  <w:tcW w:w="940" w:type="dxa"/>
                  <w:tcBorders>
                    <w:tl2br w:val="nil"/>
                    <w:tr2bl w:val="nil"/>
                  </w:tcBorders>
                  <w:noWrap w:val="0"/>
                  <w:vAlign w:val="center"/>
                </w:tcPr>
                <w:p w14:paraId="289211E1">
                  <w:pPr>
                    <w:pStyle w:val="42"/>
                    <w:spacing w:line="36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遂宁市</w:t>
                  </w:r>
                </w:p>
              </w:tc>
              <w:tc>
                <w:tcPr>
                  <w:tcW w:w="4136" w:type="dxa"/>
                  <w:tcBorders>
                    <w:tl2br w:val="nil"/>
                    <w:tr2bl w:val="nil"/>
                  </w:tcBorders>
                  <w:noWrap w:val="0"/>
                  <w:vAlign w:val="center"/>
                </w:tcPr>
                <w:p w14:paraId="44C3B55C">
                  <w:pPr>
                    <w:pStyle w:val="20"/>
                    <w:shd w:val="clear" w:color="auto" w:fill="FFFFFF"/>
                    <w:spacing w:before="0" w:beforeAutospacing="0" w:after="0" w:afterAutospacing="0" w:line="36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color="auto" w:fill="FFFFFF"/>
                    </w:rPr>
                    <w:t>（1）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14:paraId="442DEEF5">
                  <w:pPr>
                    <w:pStyle w:val="20"/>
                    <w:shd w:val="clear" w:color="auto" w:fill="FFFFFF"/>
                    <w:spacing w:before="0" w:beforeAutospacing="0" w:after="0" w:afterAutospacing="0" w:line="36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color="auto" w:fill="FFFFFF"/>
                    </w:rPr>
                    <w:t>（2）锂电产业中锂离子电池行业引入，严格执行其行业资源环境绩效指标准入要求；</w:t>
                  </w:r>
                </w:p>
                <w:p w14:paraId="5354E09A">
                  <w:pPr>
                    <w:pStyle w:val="20"/>
                    <w:shd w:val="clear" w:color="auto" w:fill="FFFFFF"/>
                    <w:spacing w:before="0" w:beforeAutospacing="0" w:after="0" w:afterAutospacing="0" w:line="36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color="auto" w:fill="FFFFFF"/>
                    </w:rPr>
                    <w:t>（3）全市大气污染物排放执行《四川省生态环境厅关于执行大气污染物特别排放限值的公告》相关要求；</w:t>
                  </w:r>
                </w:p>
                <w:p w14:paraId="79C38216">
                  <w:pPr>
                    <w:pStyle w:val="20"/>
                    <w:shd w:val="clear" w:color="auto" w:fill="FFFFFF"/>
                    <w:spacing w:before="0" w:beforeAutospacing="0" w:after="0" w:afterAutospacing="0" w:line="36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color="auto" w:fill="FFFFFF"/>
                    </w:rPr>
                    <w:t>（4）强化沿江化工企业与园区的污染治理与风险管控，细化突发环境事件风险管控措施，严控流域型环境风险；严格落实《生态环境部 水利部关于建立跨省流域上下游突发水污染事件联防联控机制的指导意见》；</w:t>
                  </w:r>
                </w:p>
                <w:p w14:paraId="612B973C">
                  <w:pPr>
                    <w:pStyle w:val="20"/>
                    <w:shd w:val="clear" w:color="auto" w:fill="FFFFFF"/>
                    <w:spacing w:before="0" w:beforeAutospacing="0" w:after="0" w:afterAutospacing="0" w:line="360" w:lineRule="auto"/>
                    <w:jc w:val="both"/>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（5）优化中心城区园区布局。</w:t>
                  </w:r>
                </w:p>
                <w:p w14:paraId="3DED92D1">
                  <w:pPr>
                    <w:pStyle w:val="20"/>
                    <w:shd w:val="clear" w:color="auto" w:fill="FFFFFF"/>
                    <w:spacing w:before="0" w:beforeAutospacing="0" w:after="0" w:afterAutospacing="0" w:line="360" w:lineRule="auto"/>
                    <w:jc w:val="both"/>
                    <w:rPr>
                      <w:rFonts w:hint="default" w:ascii="Times New Roman" w:hAnsi="Times New Roman" w:cs="Times New Roman"/>
                      <w:color w:val="auto"/>
                      <w:sz w:val="21"/>
                      <w:szCs w:val="21"/>
                      <w:highlight w:val="none"/>
                      <w:shd w:val="clear" w:color="auto" w:fill="FFFFFF"/>
                    </w:rPr>
                  </w:pPr>
                  <w:r>
                    <w:rPr>
                      <w:rFonts w:hint="eastAsia" w:ascii="Times New Roman" w:hAnsi="Times New Roman" w:cs="Times New Roman"/>
                      <w:color w:val="auto"/>
                      <w:sz w:val="21"/>
                      <w:szCs w:val="21"/>
                      <w:highlight w:val="none"/>
                      <w:shd w:val="clear" w:color="auto" w:fill="FFFFFF"/>
                      <w:lang w:eastAsia="zh-CN"/>
                    </w:rPr>
                    <w:t>（</w:t>
                  </w:r>
                  <w:r>
                    <w:rPr>
                      <w:rFonts w:hint="eastAsia" w:ascii="Times New Roman" w:hAnsi="Times New Roman" w:cs="Times New Roman"/>
                      <w:color w:val="auto"/>
                      <w:sz w:val="21"/>
                      <w:szCs w:val="21"/>
                      <w:highlight w:val="none"/>
                      <w:shd w:val="clear" w:color="auto" w:fill="FFFFFF"/>
                      <w:lang w:val="en-US" w:eastAsia="zh-CN"/>
                    </w:rPr>
                    <w:t>6</w:t>
                  </w:r>
                  <w:r>
                    <w:rPr>
                      <w:rFonts w:hint="eastAsia" w:ascii="Times New Roman" w:hAnsi="Times New Roman" w:cs="Times New Roman"/>
                      <w:color w:val="auto"/>
                      <w:sz w:val="21"/>
                      <w:szCs w:val="21"/>
                      <w:highlight w:val="none"/>
                      <w:shd w:val="clear" w:color="auto" w:fill="FFFFFF"/>
                      <w:lang w:eastAsia="zh-CN"/>
                    </w:rPr>
                    <w:t>）深化成都平原、川东北地区大气污染联防联控工作机制，加强川渝地区联防联控。强化重污染天气区域应急联动机制，深化区域重污染天气联合应对。</w:t>
                  </w:r>
                </w:p>
              </w:tc>
              <w:tc>
                <w:tcPr>
                  <w:tcW w:w="2914" w:type="dxa"/>
                  <w:tcBorders>
                    <w:tl2br w:val="nil"/>
                    <w:tr2bl w:val="nil"/>
                  </w:tcBorders>
                  <w:noWrap w:val="0"/>
                  <w:vAlign w:val="center"/>
                </w:tcPr>
                <w:p w14:paraId="0BCC0AA2">
                  <w:pPr>
                    <w:pStyle w:val="42"/>
                    <w:numPr>
                      <w:ilvl w:val="0"/>
                      <w:numId w:val="1"/>
                    </w:numPr>
                    <w:spacing w:line="360" w:lineRule="auto"/>
                    <w:ind w:left="0" w:leftChars="0" w:firstLine="122" w:firstLineChars="0"/>
                    <w:jc w:val="lef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本项目无重金属排放；</w:t>
                  </w:r>
                </w:p>
                <w:p w14:paraId="4E8DFD72">
                  <w:pPr>
                    <w:pStyle w:val="42"/>
                    <w:numPr>
                      <w:ilvl w:val="0"/>
                      <w:numId w:val="1"/>
                    </w:numPr>
                    <w:spacing w:line="360" w:lineRule="auto"/>
                    <w:ind w:left="0" w:leftChars="0" w:firstLine="122" w:firstLineChars="0"/>
                    <w:jc w:val="lef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本项目不属于锂电产业；</w:t>
                  </w:r>
                </w:p>
                <w:p w14:paraId="4F14F64F">
                  <w:pPr>
                    <w:pStyle w:val="42"/>
                    <w:numPr>
                      <w:ilvl w:val="0"/>
                      <w:numId w:val="1"/>
                    </w:numPr>
                    <w:spacing w:line="360" w:lineRule="auto"/>
                    <w:ind w:left="0" w:leftChars="0" w:firstLine="122" w:firstLineChars="0"/>
                    <w:jc w:val="lef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本项目大气排放按</w:t>
                  </w:r>
                  <w:r>
                    <w:rPr>
                      <w:rFonts w:hint="default" w:ascii="Times New Roman" w:hAnsi="Times New Roman" w:cs="Times New Roman"/>
                      <w:color w:val="auto"/>
                      <w:sz w:val="21"/>
                      <w:highlight w:val="none"/>
                      <w:shd w:val="clear" w:color="auto" w:fill="FFFFFF"/>
                    </w:rPr>
                    <w:t>《四川省生态环境厅关于执行大气污染物特别排放限值的公告》相关要求</w:t>
                  </w:r>
                  <w:r>
                    <w:rPr>
                      <w:rFonts w:hint="eastAsia" w:ascii="Times New Roman" w:hAnsi="Times New Roman" w:cs="Times New Roman"/>
                      <w:color w:val="auto"/>
                      <w:sz w:val="21"/>
                      <w:highlight w:val="none"/>
                      <w:shd w:val="clear" w:color="auto" w:fill="FFFFFF"/>
                      <w:lang w:val="en-US" w:eastAsia="zh-CN"/>
                    </w:rPr>
                    <w:t>执行。</w:t>
                  </w:r>
                </w:p>
                <w:p w14:paraId="45B32917">
                  <w:pPr>
                    <w:pStyle w:val="20"/>
                    <w:shd w:val="clear" w:color="auto" w:fill="FFFFFF"/>
                    <w:spacing w:before="0" w:beforeAutospacing="0" w:after="0" w:afterAutospacing="0" w:line="360" w:lineRule="auto"/>
                    <w:ind w:firstLine="210" w:firstLineChars="1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color="auto" w:fill="FFFFFF"/>
                    </w:rPr>
                    <w:t>（4）本项目</w:t>
                  </w:r>
                  <w:r>
                    <w:rPr>
                      <w:rFonts w:hint="eastAsia" w:ascii="Times New Roman" w:hAnsi="Times New Roman" w:cs="Times New Roman"/>
                      <w:color w:val="auto"/>
                      <w:sz w:val="21"/>
                      <w:szCs w:val="21"/>
                      <w:highlight w:val="none"/>
                      <w:shd w:val="clear" w:color="auto" w:fill="FFFFFF"/>
                      <w:lang w:val="en-US" w:eastAsia="zh-CN"/>
                    </w:rPr>
                    <w:t>不</w:t>
                  </w:r>
                  <w:r>
                    <w:rPr>
                      <w:rFonts w:hint="default" w:ascii="Times New Roman" w:hAnsi="Times New Roman" w:cs="Times New Roman"/>
                      <w:color w:val="auto"/>
                      <w:sz w:val="21"/>
                      <w:szCs w:val="21"/>
                      <w:highlight w:val="none"/>
                      <w:shd w:val="clear" w:color="auto" w:fill="FFFFFF"/>
                    </w:rPr>
                    <w:t>属于沿江</w:t>
                  </w:r>
                  <w:r>
                    <w:rPr>
                      <w:rFonts w:hint="eastAsia" w:ascii="Times New Roman" w:hAnsi="Times New Roman" w:cs="Times New Roman"/>
                      <w:color w:val="auto"/>
                      <w:sz w:val="21"/>
                      <w:szCs w:val="21"/>
                      <w:highlight w:val="none"/>
                      <w:shd w:val="clear" w:color="auto" w:fill="FFFFFF"/>
                      <w:lang w:val="en-US" w:eastAsia="zh-CN"/>
                    </w:rPr>
                    <w:t>化工</w:t>
                  </w:r>
                  <w:r>
                    <w:rPr>
                      <w:rFonts w:hint="default" w:ascii="Times New Roman" w:hAnsi="Times New Roman" w:cs="Times New Roman"/>
                      <w:color w:val="auto"/>
                      <w:sz w:val="21"/>
                      <w:szCs w:val="21"/>
                      <w:highlight w:val="none"/>
                      <w:shd w:val="clear" w:color="auto" w:fill="FFFFFF"/>
                    </w:rPr>
                    <w:t>企业</w:t>
                  </w:r>
                  <w:r>
                    <w:rPr>
                      <w:rFonts w:hint="eastAsia" w:ascii="Times New Roman" w:hAnsi="Times New Roman" w:cs="Times New Roman"/>
                      <w:color w:val="auto"/>
                      <w:sz w:val="21"/>
                      <w:szCs w:val="21"/>
                      <w:highlight w:val="none"/>
                      <w:shd w:val="clear" w:color="auto" w:fill="FFFFFF"/>
                      <w:lang w:eastAsia="zh-CN"/>
                    </w:rPr>
                    <w:t>。</w:t>
                  </w:r>
                </w:p>
                <w:p w14:paraId="18F73347">
                  <w:pPr>
                    <w:pStyle w:val="42"/>
                    <w:numPr>
                      <w:ilvl w:val="0"/>
                      <w:numId w:val="0"/>
                    </w:numPr>
                    <w:spacing w:line="360" w:lineRule="auto"/>
                    <w:jc w:val="both"/>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eastAsia="zh-CN"/>
                    </w:rPr>
                    <w:t>（</w:t>
                  </w:r>
                  <w:r>
                    <w:rPr>
                      <w:rFonts w:hint="eastAsia" w:ascii="Times New Roman" w:hAnsi="Times New Roman" w:cs="Times New Roman"/>
                      <w:color w:val="auto"/>
                      <w:sz w:val="21"/>
                      <w:highlight w:val="none"/>
                      <w:lang w:val="en-US" w:eastAsia="zh-CN"/>
                    </w:rPr>
                    <w:t>5</w:t>
                  </w:r>
                  <w:r>
                    <w:rPr>
                      <w:rFonts w:hint="eastAsia" w:ascii="Times New Roman" w:hAnsi="Times New Roman" w:cs="Times New Roman"/>
                      <w:color w:val="auto"/>
                      <w:sz w:val="21"/>
                      <w:highlight w:val="none"/>
                      <w:lang w:eastAsia="zh-CN"/>
                    </w:rPr>
                    <w:t>）</w:t>
                  </w:r>
                  <w:r>
                    <w:rPr>
                      <w:rFonts w:hint="eastAsia" w:ascii="Times New Roman" w:hAnsi="Times New Roman" w:cs="Times New Roman"/>
                      <w:color w:val="auto"/>
                      <w:sz w:val="21"/>
                      <w:highlight w:val="none"/>
                      <w:lang w:val="en-US" w:eastAsia="zh-CN"/>
                    </w:rPr>
                    <w:t>本项目位于园区内；</w:t>
                  </w:r>
                </w:p>
                <w:p w14:paraId="149A20FA">
                  <w:pPr>
                    <w:pStyle w:val="42"/>
                    <w:numPr>
                      <w:ilvl w:val="0"/>
                      <w:numId w:val="0"/>
                    </w:numPr>
                    <w:spacing w:line="360" w:lineRule="auto"/>
                    <w:jc w:val="both"/>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（6）本项目承诺严格遵守重污染天气管控要求。</w:t>
                  </w:r>
                </w:p>
              </w:tc>
              <w:tc>
                <w:tcPr>
                  <w:tcW w:w="732" w:type="dxa"/>
                  <w:tcBorders>
                    <w:tl2br w:val="nil"/>
                    <w:tr2bl w:val="nil"/>
                  </w:tcBorders>
                  <w:noWrap w:val="0"/>
                  <w:vAlign w:val="center"/>
                </w:tcPr>
                <w:p w14:paraId="149BB062">
                  <w:pPr>
                    <w:pStyle w:val="42"/>
                    <w:spacing w:line="36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w:t>
                  </w:r>
                </w:p>
              </w:tc>
            </w:tr>
            <w:tr w14:paraId="35275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940" w:type="dxa"/>
                  <w:tcBorders>
                    <w:tl2br w:val="nil"/>
                    <w:tr2bl w:val="nil"/>
                  </w:tcBorders>
                  <w:noWrap w:val="0"/>
                  <w:vAlign w:val="center"/>
                </w:tcPr>
                <w:p w14:paraId="5EE4B75D">
                  <w:pPr>
                    <w:pStyle w:val="42"/>
                    <w:spacing w:line="360" w:lineRule="auto"/>
                    <w:ind w:firstLine="0" w:firstLineChars="0"/>
                    <w:jc w:val="center"/>
                    <w:rPr>
                      <w:rFonts w:hint="default" w:ascii="Times New Roman" w:hAnsi="Times New Roman" w:cs="Times New Roman"/>
                      <w:color w:val="auto"/>
                      <w:sz w:val="21"/>
                      <w:highlight w:val="none"/>
                    </w:rPr>
                  </w:pPr>
                  <w:r>
                    <w:rPr>
                      <w:rFonts w:hint="eastAsia" w:ascii="Times New Roman" w:hAnsi="Times New Roman" w:cs="Times New Roman"/>
                      <w:color w:val="auto"/>
                      <w:sz w:val="21"/>
                      <w:highlight w:val="none"/>
                      <w:shd w:val="clear" w:color="auto" w:fill="FFFFFF"/>
                      <w:lang w:val="en-US" w:eastAsia="zh-CN"/>
                    </w:rPr>
                    <w:t>大英县</w:t>
                  </w:r>
                </w:p>
              </w:tc>
              <w:tc>
                <w:tcPr>
                  <w:tcW w:w="4136" w:type="dxa"/>
                  <w:tcBorders>
                    <w:tl2br w:val="nil"/>
                    <w:tr2bl w:val="nil"/>
                  </w:tcBorders>
                  <w:noWrap w:val="0"/>
                  <w:vAlign w:val="center"/>
                </w:tcPr>
                <w:p w14:paraId="7B8262A1">
                  <w:pPr>
                    <w:pStyle w:val="20"/>
                    <w:shd w:val="clear" w:color="auto" w:fill="FFFFFF"/>
                    <w:spacing w:before="0" w:beforeAutospacing="0" w:after="0" w:afterAutospacing="0" w:line="36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（1）加强郪江流域污染治理、农业面源污染治理，严格控制化肥农药使用量，科学划定禁养区，积极推广畜禽清洁养殖和畜禽粪污无害化、资源化处理技术；</w:t>
                  </w:r>
                </w:p>
                <w:p w14:paraId="36B98602">
                  <w:pPr>
                    <w:pStyle w:val="20"/>
                    <w:shd w:val="clear" w:color="auto" w:fill="FFFFFF"/>
                    <w:spacing w:before="0" w:beforeAutospacing="0" w:after="0" w:afterAutospacing="0" w:line="36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（2）现有涉及五类重金属排放的企业，严控污染物排放；</w:t>
                  </w:r>
                </w:p>
                <w:p w14:paraId="06721431">
                  <w:pPr>
                    <w:pStyle w:val="20"/>
                    <w:shd w:val="clear" w:color="auto" w:fill="FFFFFF"/>
                    <w:spacing w:before="0" w:beforeAutospacing="0" w:after="0" w:afterAutospacing="0" w:line="36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（3）加强污染地块环境风险防控管理</w:t>
                  </w:r>
                </w:p>
              </w:tc>
              <w:tc>
                <w:tcPr>
                  <w:tcW w:w="2914" w:type="dxa"/>
                  <w:tcBorders>
                    <w:tl2br w:val="nil"/>
                    <w:tr2bl w:val="nil"/>
                  </w:tcBorders>
                  <w:noWrap w:val="0"/>
                  <w:vAlign w:val="center"/>
                </w:tcPr>
                <w:p w14:paraId="13F50360">
                  <w:pPr>
                    <w:pStyle w:val="20"/>
                    <w:shd w:val="clear" w:color="auto" w:fill="FFFFFF"/>
                    <w:spacing w:before="0" w:beforeAutospacing="0" w:after="0" w:afterAutospacing="0" w:line="360" w:lineRule="auto"/>
                    <w:ind w:firstLine="210" w:firstLineChars="100"/>
                    <w:jc w:val="both"/>
                    <w:rPr>
                      <w:rFonts w:hint="eastAsia" w:ascii="Times New Roman" w:hAnsi="Times New Roman" w:eastAsia="宋体" w:cs="Times New Roman"/>
                      <w:color w:val="auto"/>
                      <w:sz w:val="21"/>
                      <w:szCs w:val="21"/>
                      <w:highlight w:val="none"/>
                      <w:shd w:val="clear" w:color="auto" w:fill="FFFFFF"/>
                      <w:lang w:val="en-US" w:eastAsia="zh-CN"/>
                    </w:rPr>
                  </w:pPr>
                  <w:r>
                    <w:rPr>
                      <w:rFonts w:hint="eastAsia" w:ascii="Times New Roman" w:hAnsi="Times New Roman" w:cs="Times New Roman"/>
                      <w:color w:val="auto"/>
                      <w:sz w:val="21"/>
                      <w:szCs w:val="21"/>
                      <w:highlight w:val="none"/>
                      <w:shd w:val="clear" w:color="auto" w:fill="FFFFFF"/>
                      <w:lang w:eastAsia="zh-CN"/>
                    </w:rPr>
                    <w:t>（</w:t>
                  </w:r>
                  <w:r>
                    <w:rPr>
                      <w:rFonts w:hint="eastAsia" w:ascii="Times New Roman" w:hAnsi="Times New Roman" w:eastAsia="宋体" w:cs="Times New Roman"/>
                      <w:color w:val="auto"/>
                      <w:sz w:val="21"/>
                      <w:szCs w:val="21"/>
                      <w:highlight w:val="none"/>
                      <w:shd w:val="clear" w:color="auto" w:fill="FFFFFF"/>
                      <w:lang w:val="en-US" w:eastAsia="zh-CN"/>
                    </w:rPr>
                    <w:t>1）本项目位于工业园区，不涉及农业面源和</w:t>
                  </w:r>
                  <w:r>
                    <w:rPr>
                      <w:rFonts w:hint="eastAsia" w:ascii="Times New Roman" w:hAnsi="Times New Roman" w:cs="Times New Roman"/>
                      <w:color w:val="auto"/>
                      <w:sz w:val="21"/>
                      <w:szCs w:val="21"/>
                      <w:highlight w:val="none"/>
                      <w:shd w:val="clear" w:color="auto" w:fill="FFFFFF"/>
                      <w:lang w:val="en-US" w:eastAsia="zh-CN"/>
                    </w:rPr>
                    <w:t>畜</w:t>
                  </w:r>
                  <w:r>
                    <w:rPr>
                      <w:rFonts w:hint="eastAsia" w:ascii="Times New Roman" w:hAnsi="Times New Roman" w:eastAsia="宋体" w:cs="Times New Roman"/>
                      <w:color w:val="auto"/>
                      <w:sz w:val="21"/>
                      <w:szCs w:val="21"/>
                      <w:highlight w:val="none"/>
                      <w:shd w:val="clear" w:color="auto" w:fill="FFFFFF"/>
                      <w:lang w:val="en-US" w:eastAsia="zh-CN"/>
                    </w:rPr>
                    <w:t>禽养殖。</w:t>
                  </w:r>
                </w:p>
                <w:p w14:paraId="105EF55A">
                  <w:pPr>
                    <w:pStyle w:val="20"/>
                    <w:shd w:val="clear" w:color="auto" w:fill="FFFFFF"/>
                    <w:spacing w:before="0" w:beforeAutospacing="0" w:after="0" w:afterAutospacing="0" w:line="360" w:lineRule="auto"/>
                    <w:ind w:firstLine="210" w:firstLineChars="100"/>
                    <w:jc w:val="both"/>
                    <w:rPr>
                      <w:rFonts w:hint="eastAsia" w:ascii="Times New Roman" w:hAnsi="Times New Roman" w:eastAsia="宋体" w:cs="Times New Roman"/>
                      <w:color w:val="auto"/>
                      <w:sz w:val="21"/>
                      <w:szCs w:val="21"/>
                      <w:highlight w:val="none"/>
                      <w:shd w:val="clear" w:color="auto" w:fill="FFFFFF"/>
                      <w:lang w:val="en-US" w:eastAsia="zh-CN"/>
                    </w:rPr>
                  </w:pPr>
                  <w:r>
                    <w:rPr>
                      <w:rFonts w:hint="eastAsia" w:ascii="Times New Roman" w:hAnsi="Times New Roman" w:eastAsia="宋体" w:cs="Times New Roman"/>
                      <w:color w:val="auto"/>
                      <w:sz w:val="21"/>
                      <w:szCs w:val="21"/>
                      <w:highlight w:val="none"/>
                      <w:shd w:val="clear" w:color="auto" w:fill="FFFFFF"/>
                      <w:lang w:val="en-US" w:eastAsia="zh-CN"/>
                    </w:rPr>
                    <w:t>（2）本项目属于</w:t>
                  </w:r>
                  <w:r>
                    <w:rPr>
                      <w:rFonts w:hint="eastAsia" w:ascii="Times New Roman" w:hAnsi="Times New Roman" w:cs="Times New Roman"/>
                      <w:color w:val="auto"/>
                      <w:sz w:val="21"/>
                      <w:szCs w:val="21"/>
                      <w:highlight w:val="none"/>
                      <w:shd w:val="clear" w:color="auto" w:fill="FFFFFF"/>
                      <w:lang w:val="en-US" w:eastAsia="zh-CN"/>
                    </w:rPr>
                    <w:t>C2912橡胶管板、管、带制造</w:t>
                  </w:r>
                  <w:r>
                    <w:rPr>
                      <w:rFonts w:hint="eastAsia" w:ascii="Times New Roman" w:hAnsi="Times New Roman" w:eastAsia="宋体" w:cs="Times New Roman"/>
                      <w:color w:val="auto"/>
                      <w:sz w:val="21"/>
                      <w:szCs w:val="21"/>
                      <w:highlight w:val="none"/>
                      <w:shd w:val="clear" w:color="auto" w:fill="FFFFFF"/>
                      <w:lang w:val="en-US" w:eastAsia="zh-CN"/>
                    </w:rPr>
                    <w:t>，项目生产过程中无五类重金属排放。</w:t>
                  </w:r>
                </w:p>
                <w:p w14:paraId="1116892E">
                  <w:pPr>
                    <w:pStyle w:val="20"/>
                    <w:shd w:val="clear" w:color="auto" w:fill="FFFFFF"/>
                    <w:spacing w:before="0" w:beforeAutospacing="0" w:after="0" w:afterAutospacing="0" w:line="360" w:lineRule="auto"/>
                    <w:ind w:firstLine="210" w:firstLineChars="100"/>
                    <w:jc w:val="both"/>
                    <w:rPr>
                      <w:rFonts w:hint="default"/>
                      <w:color w:val="auto"/>
                      <w:highlight w:val="none"/>
                      <w:lang w:val="en-US" w:eastAsia="zh-CN"/>
                    </w:rPr>
                  </w:pPr>
                  <w:r>
                    <w:rPr>
                      <w:rFonts w:hint="eastAsia" w:ascii="Times New Roman" w:hAnsi="Times New Roman" w:eastAsia="宋体" w:cs="Times New Roman"/>
                      <w:color w:val="auto"/>
                      <w:sz w:val="21"/>
                      <w:szCs w:val="21"/>
                      <w:highlight w:val="none"/>
                      <w:shd w:val="clear" w:color="auto" w:fill="FFFFFF"/>
                      <w:lang w:val="en-US" w:eastAsia="zh-CN"/>
                    </w:rPr>
                    <w:t>（3）本项目地块不属于污染地块</w:t>
                  </w:r>
                </w:p>
              </w:tc>
              <w:tc>
                <w:tcPr>
                  <w:tcW w:w="732" w:type="dxa"/>
                  <w:tcBorders>
                    <w:tl2br w:val="nil"/>
                    <w:tr2bl w:val="nil"/>
                  </w:tcBorders>
                  <w:noWrap w:val="0"/>
                  <w:vAlign w:val="center"/>
                </w:tcPr>
                <w:p w14:paraId="78449AA9">
                  <w:pPr>
                    <w:pStyle w:val="42"/>
                    <w:spacing w:line="36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w:t>
                  </w:r>
                </w:p>
              </w:tc>
            </w:tr>
          </w:tbl>
          <w:p w14:paraId="13324322">
            <w:pPr>
              <w:pStyle w:val="42"/>
              <w:ind w:firstLine="0" w:firstLineChars="0"/>
              <w:jc w:val="center"/>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977265</wp:posOffset>
                      </wp:positionH>
                      <wp:positionV relativeFrom="paragraph">
                        <wp:posOffset>1715770</wp:posOffset>
                      </wp:positionV>
                      <wp:extent cx="869315" cy="167005"/>
                      <wp:effectExtent l="635" t="4445" r="6350" b="44450"/>
                      <wp:wrapNone/>
                      <wp:docPr id="2" name="直线 333"/>
                      <wp:cNvGraphicFramePr/>
                      <a:graphic xmlns:a="http://schemas.openxmlformats.org/drawingml/2006/main">
                        <a:graphicData uri="http://schemas.microsoft.com/office/word/2010/wordprocessingShape">
                          <wps:wsp>
                            <wps:cNvCnPr/>
                            <wps:spPr>
                              <a:xfrm>
                                <a:off x="0" y="0"/>
                                <a:ext cx="869315" cy="167005"/>
                              </a:xfrm>
                              <a:prstGeom prst="straightConnector1">
                                <a:avLst/>
                              </a:prstGeom>
                              <a:ln w="9525" cap="flat" cmpd="sng">
                                <a:solidFill>
                                  <a:srgbClr val="FF0000"/>
                                </a:solidFill>
                                <a:prstDash val="solid"/>
                                <a:round/>
                                <a:headEnd type="none" w="med" len="med"/>
                                <a:tailEnd type="arrow" w="med" len="med"/>
                              </a:ln>
                            </wps:spPr>
                            <wps:bodyPr/>
                          </wps:wsp>
                        </a:graphicData>
                      </a:graphic>
                    </wp:anchor>
                  </w:drawing>
                </mc:Choice>
                <mc:Fallback>
                  <w:pict>
                    <v:shape id="直线 333" o:spid="_x0000_s1026" o:spt="32" type="#_x0000_t32" style="position:absolute;left:0pt;margin-left:76.95pt;margin-top:135.1pt;height:13.15pt;width:68.45pt;z-index:251662336;mso-width-relative:page;mso-height-relative:page;" filled="f" stroked="t" coordsize="21600,21600" o:gfxdata="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uqNWzXAAAACwEAAA8AAAAAAAAAAQAgAAAAIgAAAGRycy9kb3ducmV2Lnht&#10;bFBLAQIUABQAAAAIAIdO4kBJfXzM+gEAAO4DAAAOAAAAAAAAAAEAIAAAACYBAABkcnMvZTJvRG9j&#10;LnhtbFBLBQYAAAAABgAGAFkBAACSBQAAAAA=&#10;">
                      <v:fill on="f" focussize="0,0"/>
                      <v:stroke color="#FF0000" joinstyle="round" endarrow="open"/>
                      <v:imagedata o:title=""/>
                      <o:lock v:ext="edit" aspectratio="f"/>
                    </v:shape>
                  </w:pict>
                </mc:Fallback>
              </mc:AlternateContent>
            </w:r>
            <w:r>
              <w:rPr>
                <w:rFonts w:hint="default" w:ascii="Times New Roman" w:hAnsi="Times New Roman" w:cs="Times New Roman"/>
                <w:color w:val="auto"/>
                <w:szCs w:val="24"/>
                <w:highlight w:val="none"/>
              </w:rPr>
              <w:drawing>
                <wp:inline distT="0" distB="0" distL="114300" distR="114300">
                  <wp:extent cx="4351655" cy="3074035"/>
                  <wp:effectExtent l="0" t="0" r="10795" b="12065"/>
                  <wp:docPr id="3"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descr="IMG_256"/>
                          <pic:cNvPicPr>
                            <a:picLocks noChangeAspect="1"/>
                          </pic:cNvPicPr>
                        </pic:nvPicPr>
                        <pic:blipFill>
                          <a:blip r:embed="rId7"/>
                          <a:stretch>
                            <a:fillRect/>
                          </a:stretch>
                        </pic:blipFill>
                        <pic:spPr>
                          <a:xfrm>
                            <a:off x="0" y="0"/>
                            <a:ext cx="4351655" cy="3074035"/>
                          </a:xfrm>
                          <a:prstGeom prst="rect">
                            <a:avLst/>
                          </a:prstGeom>
                          <a:noFill/>
                          <a:ln>
                            <a:noFill/>
                          </a:ln>
                        </pic:spPr>
                      </pic:pic>
                    </a:graphicData>
                  </a:graphic>
                </wp:inline>
              </w:drawing>
            </w:r>
            <w:r>
              <w:rPr>
                <w:rFonts w:hint="default" w:ascii="Times New Roman" w:hAnsi="Times New Roman" w:cs="Times New Roman"/>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348615</wp:posOffset>
                      </wp:positionH>
                      <wp:positionV relativeFrom="paragraph">
                        <wp:posOffset>1567815</wp:posOffset>
                      </wp:positionV>
                      <wp:extent cx="628650" cy="268605"/>
                      <wp:effectExtent l="5080" t="4445" r="13970" b="12700"/>
                      <wp:wrapNone/>
                      <wp:docPr id="7" name="文本框 332"/>
                      <wp:cNvGraphicFramePr/>
                      <a:graphic xmlns:a="http://schemas.openxmlformats.org/drawingml/2006/main">
                        <a:graphicData uri="http://schemas.microsoft.com/office/word/2010/wordprocessingShape">
                          <wps:wsp>
                            <wps:cNvSpPr txBox="1"/>
                            <wps:spPr>
                              <a:xfrm>
                                <a:off x="0" y="0"/>
                                <a:ext cx="628650" cy="268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3CED46">
                                  <w:r>
                                    <w:rPr>
                                      <w:rFonts w:hint="eastAsia"/>
                                    </w:rPr>
                                    <w:t>本项目</w:t>
                                  </w:r>
                                </w:p>
                              </w:txbxContent>
                            </wps:txbx>
                            <wps:bodyPr vert="horz" wrap="square" anchor="t" anchorCtr="0" upright="1"/>
                          </wps:wsp>
                        </a:graphicData>
                      </a:graphic>
                    </wp:anchor>
                  </w:drawing>
                </mc:Choice>
                <mc:Fallback>
                  <w:pict>
                    <v:shape id="文本框 332" o:spid="_x0000_s1026" o:spt="202" type="#_x0000_t202" style="position:absolute;left:0pt;margin-left:27.45pt;margin-top:123.45pt;height:21.15pt;width:49.5pt;z-index:251661312;mso-width-relative:page;mso-height-relative:page;" fillcolor="#FFFFFF" filled="t" stroked="t" coordsize="21600,21600" o:gfxdata="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sIORdkAAAAKAQAADwAAAAAAAAABACAAAAAiAAAAZHJzL2Rvd25yZXYueG1s&#10;UEsBAhQAFAAAAAgAh07iQOA0z/0wAgAAeAQAAA4AAAAAAAAAAQAgAAAAKAEAAGRycy9lMm9Eb2Mu&#10;eG1sUEsFBgAAAAAGAAYAWQEAAMoFAAAAAA==&#10;">
                      <v:fill on="t" focussize="0,0"/>
                      <v:stroke color="#000000" joinstyle="miter"/>
                      <v:imagedata o:title=""/>
                      <o:lock v:ext="edit" aspectratio="f"/>
                      <v:textbox>
                        <w:txbxContent>
                          <w:p w14:paraId="6B3CED46">
                            <w:r>
                              <w:rPr>
                                <w:rFonts w:hint="eastAsia"/>
                              </w:rPr>
                              <w:t>本项目</w:t>
                            </w:r>
                          </w:p>
                        </w:txbxContent>
                      </v:textbox>
                    </v:shape>
                  </w:pict>
                </mc:Fallback>
              </mc:AlternateContent>
            </w:r>
          </w:p>
          <w:p w14:paraId="60A4ABAD">
            <w:pPr>
              <w:widowControl/>
              <w:spacing w:line="360" w:lineRule="auto"/>
              <w:jc w:val="center"/>
              <w:rPr>
                <w:rFonts w:hint="default" w:ascii="Times New Roman" w:hAnsi="Times New Roman" w:cs="Times New Roman"/>
                <w:color w:val="auto"/>
                <w:highlight w:val="none"/>
              </w:rPr>
            </w:pPr>
            <w:r>
              <w:rPr>
                <w:rFonts w:hint="default" w:ascii="Times New Roman" w:hAnsi="Times New Roman" w:cs="Times New Roman"/>
                <w:b/>
                <w:bCs/>
                <w:color w:val="auto"/>
                <w:kern w:val="0"/>
                <w:sz w:val="24"/>
                <w:highlight w:val="none"/>
                <w:lang w:bidi="ar"/>
              </w:rPr>
              <w:t>图1项目与遂宁市环境综合管控单元的位置关系图</w:t>
            </w:r>
          </w:p>
          <w:p w14:paraId="51AF18ED">
            <w:pPr>
              <w:pStyle w:val="42"/>
              <w:spacing w:line="360" w:lineRule="auto"/>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根据以上分析，本项目的建设符合遂</w:t>
            </w:r>
            <w:r>
              <w:rPr>
                <w:rFonts w:hint="eastAsia" w:ascii="Times New Roman" w:hAnsi="Times New Roman" w:cs="Times New Roman"/>
                <w:color w:val="auto"/>
                <w:szCs w:val="24"/>
                <w:highlight w:val="none"/>
                <w:lang w:val="en-US" w:eastAsia="zh-CN"/>
              </w:rPr>
              <w:t>环</w:t>
            </w:r>
            <w:r>
              <w:rPr>
                <w:rFonts w:hint="default" w:ascii="Times New Roman" w:hAnsi="Times New Roman" w:cs="Times New Roman"/>
                <w:color w:val="auto"/>
                <w:szCs w:val="24"/>
                <w:highlight w:val="none"/>
              </w:rPr>
              <w:t>函〔202</w:t>
            </w:r>
            <w:r>
              <w:rPr>
                <w:rFonts w:hint="eastAsia" w:ascii="Times New Roman" w:hAnsi="Times New Roman" w:cs="Times New Roman"/>
                <w:color w:val="auto"/>
                <w:szCs w:val="24"/>
                <w:highlight w:val="none"/>
                <w:lang w:val="en-US" w:eastAsia="zh-CN"/>
              </w:rPr>
              <w:t>4</w:t>
            </w:r>
            <w:r>
              <w:rPr>
                <w:rFonts w:hint="default" w:ascii="Times New Roman" w:hAnsi="Times New Roman" w:cs="Times New Roman"/>
                <w:color w:val="auto"/>
                <w:szCs w:val="24"/>
                <w:highlight w:val="none"/>
              </w:rPr>
              <w:t>〕</w:t>
            </w:r>
            <w:r>
              <w:rPr>
                <w:rFonts w:hint="eastAsia" w:ascii="Times New Roman" w:hAnsi="Times New Roman" w:cs="Times New Roman"/>
                <w:color w:val="auto"/>
                <w:szCs w:val="24"/>
                <w:highlight w:val="none"/>
                <w:lang w:val="en-US" w:eastAsia="zh-CN"/>
              </w:rPr>
              <w:t>2</w:t>
            </w:r>
            <w:r>
              <w:rPr>
                <w:rFonts w:hint="default" w:ascii="Times New Roman" w:hAnsi="Times New Roman" w:cs="Times New Roman"/>
                <w:color w:val="auto"/>
                <w:szCs w:val="24"/>
                <w:highlight w:val="none"/>
              </w:rPr>
              <w:t>号文件要求。</w:t>
            </w:r>
          </w:p>
          <w:p w14:paraId="20768E28">
            <w:pPr>
              <w:pStyle w:val="42"/>
              <w:ind w:firstLine="48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②项目与川环办函</w:t>
            </w:r>
            <w:r>
              <w:rPr>
                <w:rFonts w:hint="default" w:ascii="Times New Roman" w:hAnsi="Times New Roman" w:cs="Times New Roman"/>
                <w:b/>
                <w:bCs/>
                <w:color w:val="auto"/>
                <w:highlight w:val="none"/>
                <w:lang w:val="zh-CN"/>
              </w:rPr>
              <w:t>〔</w:t>
            </w:r>
            <w:r>
              <w:rPr>
                <w:rFonts w:hint="default" w:ascii="Times New Roman" w:hAnsi="Times New Roman" w:cs="Times New Roman"/>
                <w:b/>
                <w:bCs/>
                <w:color w:val="auto"/>
                <w:highlight w:val="none"/>
              </w:rPr>
              <w:t>2021</w:t>
            </w:r>
            <w:r>
              <w:rPr>
                <w:rFonts w:hint="default" w:ascii="Times New Roman" w:hAnsi="Times New Roman" w:cs="Times New Roman"/>
                <w:b/>
                <w:bCs/>
                <w:color w:val="auto"/>
                <w:highlight w:val="none"/>
                <w:lang w:val="zh-CN"/>
              </w:rPr>
              <w:t>〕</w:t>
            </w:r>
            <w:r>
              <w:rPr>
                <w:rFonts w:hint="default" w:ascii="Times New Roman" w:hAnsi="Times New Roman" w:cs="Times New Roman"/>
                <w:b/>
                <w:bCs/>
                <w:color w:val="auto"/>
                <w:highlight w:val="none"/>
              </w:rPr>
              <w:t>469号文件</w:t>
            </w:r>
            <w:r>
              <w:rPr>
                <w:rFonts w:hint="default" w:ascii="Times New Roman" w:hAnsi="Times New Roman" w:cs="Times New Roman"/>
                <w:b/>
                <w:bCs/>
                <w:color w:val="auto"/>
                <w:szCs w:val="24"/>
                <w:highlight w:val="none"/>
              </w:rPr>
              <w:t>符合性分析</w:t>
            </w:r>
          </w:p>
          <w:p w14:paraId="2555C017">
            <w:pPr>
              <w:pStyle w:val="42"/>
              <w:ind w:firstLine="480"/>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rPr>
              <w:t>根据《项目环评“三线一单”符合性技术分析要求（试行）》川环办函</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2021</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469号文件：</w:t>
            </w:r>
            <w:r>
              <w:rPr>
                <w:rFonts w:hint="default" w:ascii="Times New Roman" w:hAnsi="Times New Roman" w:cs="Times New Roman"/>
                <w:color w:val="auto"/>
                <w:szCs w:val="24"/>
                <w:highlight w:val="none"/>
              </w:rPr>
              <w:t>如建设项目位于产业园区内，且产业园区规划环境影响评价中已开展了园区与“三线一单”符合性分析，则项目环评只需分析与产业园区生态环境准入要求的符合性。</w:t>
            </w:r>
            <w:r>
              <w:rPr>
                <w:rFonts w:hint="eastAsia" w:ascii="Times New Roman" w:hAnsi="Times New Roman" w:cs="Times New Roman"/>
                <w:color w:val="auto"/>
                <w:szCs w:val="24"/>
                <w:highlight w:val="none"/>
                <w:lang w:val="en-US" w:eastAsia="zh-CN"/>
              </w:rPr>
              <w:t>本项目所在园区规划环评早与“三线一单”（现称生态环境分区管控）发布，因此规划环评未分析园区与“三线一单”符合性，因此本项目生态环境分区管控符合性分析需全面分析，具体如下：</w:t>
            </w:r>
          </w:p>
          <w:p w14:paraId="4E76783E">
            <w:pPr>
              <w:pStyle w:val="42"/>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根据四川政务服务网，本项目所在位置“生态环境分区管控”符合性分析系统查询如下：</w:t>
            </w:r>
          </w:p>
          <w:p w14:paraId="39179A63">
            <w:pPr>
              <w:pStyle w:val="42"/>
              <w:bidi w:val="0"/>
              <w:ind w:left="0" w:leftChars="0" w:firstLine="0" w:firstLineChars="0"/>
              <w:jc w:val="center"/>
              <w:rPr>
                <w:rFonts w:hint="default" w:ascii="Times New Roman" w:hAnsi="Times New Roman" w:cs="Times New Roman"/>
                <w:color w:val="auto"/>
                <w:sz w:val="24"/>
                <w:szCs w:val="24"/>
                <w:highlight w:val="none"/>
                <w:lang w:val="en-US" w:eastAsia="zh-CN"/>
              </w:rPr>
            </w:pPr>
            <w:r>
              <w:drawing>
                <wp:inline distT="0" distB="0" distL="114300" distR="114300">
                  <wp:extent cx="5494020" cy="3147060"/>
                  <wp:effectExtent l="0" t="0" r="11430" b="152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494020" cy="3147060"/>
                          </a:xfrm>
                          <a:prstGeom prst="rect">
                            <a:avLst/>
                          </a:prstGeom>
                          <a:noFill/>
                          <a:ln>
                            <a:noFill/>
                          </a:ln>
                        </pic:spPr>
                      </pic:pic>
                    </a:graphicData>
                  </a:graphic>
                </wp:inline>
              </w:drawing>
            </w:r>
          </w:p>
          <w:p w14:paraId="7DE82CB8">
            <w:pPr>
              <w:pStyle w:val="42"/>
              <w:bidi w:val="0"/>
              <w:ind w:left="0" w:leftChars="0" w:firstLine="0" w:firstLineChars="0"/>
              <w:jc w:val="center"/>
              <w:rPr>
                <w:rFonts w:hint="default" w:ascii="Helvetica" w:hAnsi="Helvetica" w:eastAsia="Helvetica"/>
                <w:color w:val="auto"/>
                <w:sz w:val="28"/>
                <w:szCs w:val="24"/>
                <w:highlight w:val="none"/>
              </w:rPr>
            </w:pPr>
            <w:r>
              <w:rPr>
                <w:rFonts w:hint="default" w:ascii="Helvetica" w:hAnsi="Helvetica" w:eastAsia="Helvetica"/>
                <w:sz w:val="28"/>
                <w:szCs w:val="24"/>
              </w:rPr>
              <w:drawing>
                <wp:inline distT="0" distB="0" distL="114300" distR="114300">
                  <wp:extent cx="5461000" cy="3861435"/>
                  <wp:effectExtent l="0" t="0" r="6350" b="571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9"/>
                          <a:stretch>
                            <a:fillRect/>
                          </a:stretch>
                        </pic:blipFill>
                        <pic:spPr>
                          <a:xfrm>
                            <a:off x="0" y="0"/>
                            <a:ext cx="5461000" cy="3861435"/>
                          </a:xfrm>
                          <a:prstGeom prst="rect">
                            <a:avLst/>
                          </a:prstGeom>
                          <a:noFill/>
                          <a:ln>
                            <a:noFill/>
                          </a:ln>
                        </pic:spPr>
                      </pic:pic>
                    </a:graphicData>
                  </a:graphic>
                </wp:inline>
              </w:drawing>
            </w:r>
          </w:p>
          <w:p w14:paraId="5E4DF419">
            <w:pPr>
              <w:pStyle w:val="43"/>
              <w:rPr>
                <w:rFonts w:hint="default"/>
                <w:color w:val="auto"/>
                <w:highlight w:val="none"/>
              </w:rPr>
            </w:pPr>
            <w:r>
              <w:rPr>
                <w:color w:val="auto"/>
                <w:highlight w:val="none"/>
              </w:rPr>
              <w:t>图</w:t>
            </w:r>
            <w:r>
              <w:rPr>
                <w:rFonts w:hint="eastAsia"/>
                <w:color w:val="auto"/>
                <w:highlight w:val="none"/>
                <w:lang w:val="en-US" w:eastAsia="zh-CN"/>
              </w:rPr>
              <w:t>2</w:t>
            </w:r>
            <w:r>
              <w:rPr>
                <w:color w:val="auto"/>
                <w:highlight w:val="none"/>
              </w:rPr>
              <w:t>项目与</w:t>
            </w:r>
            <w:r>
              <w:rPr>
                <w:rFonts w:hint="eastAsia" w:ascii="Times New Roman" w:hAnsi="Times New Roman" w:cs="Times New Roman"/>
                <w:b/>
                <w:bCs/>
                <w:color w:val="auto"/>
                <w:highlight w:val="none"/>
                <w:lang w:val="en-US" w:eastAsia="zh-CN"/>
              </w:rPr>
              <w:t>生态环境分区</w:t>
            </w:r>
            <w:r>
              <w:rPr>
                <w:rFonts w:hint="default"/>
                <w:color w:val="auto"/>
                <w:highlight w:val="none"/>
              </w:rPr>
              <w:t>管控单元的位置关系图</w:t>
            </w:r>
          </w:p>
          <w:p w14:paraId="6498175E">
            <w:pPr>
              <w:pStyle w:val="42"/>
              <w:ind w:firstLine="480"/>
              <w:rPr>
                <w:rFonts w:hint="default"/>
                <w:color w:val="auto"/>
                <w:highlight w:val="none"/>
              </w:rPr>
            </w:pPr>
            <w:r>
              <w:rPr>
                <w:color w:val="auto"/>
                <w:highlight w:val="none"/>
              </w:rPr>
              <w:t>根据系统查询，本项目所涉及的环境管控单元如下：</w:t>
            </w:r>
          </w:p>
          <w:p w14:paraId="0399EA6A">
            <w:pPr>
              <w:pStyle w:val="43"/>
              <w:rPr>
                <w:rFonts w:hint="default"/>
                <w:color w:val="auto"/>
                <w:highlight w:val="none"/>
              </w:rPr>
            </w:pPr>
            <w:r>
              <w:rPr>
                <w:rFonts w:hint="default" w:ascii="Times New Roman" w:hAnsi="Times New Roman"/>
                <w:color w:val="auto"/>
                <w:highlight w:val="none"/>
              </w:rPr>
              <w:t>表1-</w:t>
            </w:r>
            <w:r>
              <w:rPr>
                <w:rFonts w:hint="eastAsia" w:ascii="Times New Roman" w:hAnsi="Times New Roman"/>
                <w:color w:val="auto"/>
                <w:highlight w:val="none"/>
                <w:lang w:val="en-US" w:eastAsia="zh-CN"/>
              </w:rPr>
              <w:t>6</w:t>
            </w:r>
            <w:r>
              <w:rPr>
                <w:rFonts w:ascii="Times New Roman" w:hAnsi="Times New Roman"/>
                <w:color w:val="auto"/>
                <w:highlight w:val="none"/>
              </w:rPr>
              <w:t>项目所涉及的环境管控单元情况</w:t>
            </w:r>
          </w:p>
          <w:tbl>
            <w:tblPr>
              <w:tblStyle w:val="23"/>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1584"/>
              <w:gridCol w:w="995"/>
              <w:gridCol w:w="935"/>
              <w:gridCol w:w="1550"/>
              <w:gridCol w:w="1660"/>
            </w:tblGrid>
            <w:tr w14:paraId="33F47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42" w:hRule="atLeast"/>
                <w:tblHeader/>
                <w:jc w:val="center"/>
              </w:trPr>
              <w:tc>
                <w:tcPr>
                  <w:tcW w:w="909" w:type="pct"/>
                  <w:noWrap w:val="0"/>
                  <w:vAlign w:val="center"/>
                </w:tcPr>
                <w:p w14:paraId="614ABD6A">
                  <w:pPr>
                    <w:widowControl/>
                    <w:jc w:val="center"/>
                    <w:rPr>
                      <w:b/>
                      <w:bCs/>
                      <w:color w:val="auto"/>
                      <w:kern w:val="0"/>
                      <w:szCs w:val="21"/>
                      <w:highlight w:val="none"/>
                    </w:rPr>
                  </w:pPr>
                  <w:r>
                    <w:rPr>
                      <w:b/>
                      <w:bCs/>
                      <w:color w:val="auto"/>
                      <w:kern w:val="0"/>
                      <w:szCs w:val="21"/>
                      <w:highlight w:val="none"/>
                    </w:rPr>
                    <w:t>环境管控单元编码</w:t>
                  </w:r>
                </w:p>
              </w:tc>
              <w:tc>
                <w:tcPr>
                  <w:tcW w:w="963" w:type="pct"/>
                  <w:noWrap w:val="0"/>
                  <w:vAlign w:val="center"/>
                </w:tcPr>
                <w:p w14:paraId="1D13060C">
                  <w:pPr>
                    <w:widowControl/>
                    <w:jc w:val="center"/>
                    <w:rPr>
                      <w:b/>
                      <w:bCs/>
                      <w:color w:val="auto"/>
                      <w:kern w:val="0"/>
                      <w:szCs w:val="21"/>
                      <w:highlight w:val="none"/>
                    </w:rPr>
                  </w:pPr>
                  <w:r>
                    <w:rPr>
                      <w:b/>
                      <w:bCs/>
                      <w:color w:val="auto"/>
                      <w:kern w:val="0"/>
                      <w:szCs w:val="21"/>
                      <w:highlight w:val="none"/>
                    </w:rPr>
                    <w:t>环境管控单元名称</w:t>
                  </w:r>
                </w:p>
              </w:tc>
              <w:tc>
                <w:tcPr>
                  <w:tcW w:w="605" w:type="pct"/>
                  <w:noWrap w:val="0"/>
                  <w:vAlign w:val="center"/>
                </w:tcPr>
                <w:p w14:paraId="3C671BFB">
                  <w:pPr>
                    <w:widowControl/>
                    <w:jc w:val="center"/>
                    <w:rPr>
                      <w:b/>
                      <w:bCs/>
                      <w:color w:val="auto"/>
                      <w:kern w:val="0"/>
                      <w:szCs w:val="21"/>
                      <w:highlight w:val="none"/>
                    </w:rPr>
                  </w:pPr>
                  <w:r>
                    <w:rPr>
                      <w:b/>
                      <w:bCs/>
                      <w:color w:val="auto"/>
                      <w:kern w:val="0"/>
                      <w:szCs w:val="21"/>
                      <w:highlight w:val="none"/>
                    </w:rPr>
                    <w:t>所属市（州）</w:t>
                  </w:r>
                </w:p>
              </w:tc>
              <w:tc>
                <w:tcPr>
                  <w:tcW w:w="568" w:type="pct"/>
                  <w:noWrap w:val="0"/>
                  <w:vAlign w:val="center"/>
                </w:tcPr>
                <w:p w14:paraId="7BFB7EC2">
                  <w:pPr>
                    <w:widowControl/>
                    <w:jc w:val="center"/>
                    <w:rPr>
                      <w:b/>
                      <w:bCs/>
                      <w:color w:val="auto"/>
                      <w:kern w:val="0"/>
                      <w:szCs w:val="21"/>
                      <w:highlight w:val="none"/>
                    </w:rPr>
                  </w:pPr>
                  <w:r>
                    <w:rPr>
                      <w:b/>
                      <w:bCs/>
                      <w:color w:val="auto"/>
                      <w:kern w:val="0"/>
                      <w:szCs w:val="21"/>
                      <w:highlight w:val="none"/>
                    </w:rPr>
                    <w:t>所属区县</w:t>
                  </w:r>
                </w:p>
              </w:tc>
              <w:tc>
                <w:tcPr>
                  <w:tcW w:w="942" w:type="pct"/>
                  <w:noWrap w:val="0"/>
                  <w:vAlign w:val="center"/>
                </w:tcPr>
                <w:p w14:paraId="300CFCB6">
                  <w:pPr>
                    <w:widowControl/>
                    <w:jc w:val="center"/>
                    <w:rPr>
                      <w:b/>
                      <w:bCs/>
                      <w:color w:val="auto"/>
                      <w:kern w:val="0"/>
                      <w:szCs w:val="21"/>
                      <w:highlight w:val="none"/>
                    </w:rPr>
                  </w:pPr>
                  <w:r>
                    <w:rPr>
                      <w:b/>
                      <w:bCs/>
                      <w:color w:val="auto"/>
                      <w:kern w:val="0"/>
                      <w:szCs w:val="21"/>
                      <w:highlight w:val="none"/>
                    </w:rPr>
                    <w:t>准入清单类型</w:t>
                  </w:r>
                </w:p>
              </w:tc>
              <w:tc>
                <w:tcPr>
                  <w:tcW w:w="1009" w:type="pct"/>
                  <w:noWrap w:val="0"/>
                  <w:vAlign w:val="center"/>
                </w:tcPr>
                <w:p w14:paraId="0BE321F9">
                  <w:pPr>
                    <w:widowControl/>
                    <w:jc w:val="center"/>
                    <w:rPr>
                      <w:b/>
                      <w:bCs/>
                      <w:color w:val="auto"/>
                      <w:kern w:val="0"/>
                      <w:szCs w:val="21"/>
                      <w:highlight w:val="none"/>
                    </w:rPr>
                  </w:pPr>
                  <w:r>
                    <w:rPr>
                      <w:b/>
                      <w:bCs/>
                      <w:color w:val="auto"/>
                      <w:kern w:val="0"/>
                      <w:szCs w:val="21"/>
                      <w:highlight w:val="none"/>
                    </w:rPr>
                    <w:t>管控类型</w:t>
                  </w:r>
                </w:p>
              </w:tc>
            </w:tr>
            <w:tr w14:paraId="4796A8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90" w:hRule="atLeast"/>
                <w:tblHeader/>
                <w:jc w:val="center"/>
              </w:trPr>
              <w:tc>
                <w:tcPr>
                  <w:tcW w:w="1496" w:type="dxa"/>
                  <w:noWrap w:val="0"/>
                  <w:vAlign w:val="center"/>
                </w:tcPr>
                <w:p w14:paraId="0673AF4C">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YS5109232210002</w:t>
                  </w:r>
                </w:p>
              </w:tc>
              <w:tc>
                <w:tcPr>
                  <w:tcW w:w="1584" w:type="dxa"/>
                  <w:noWrap w:val="0"/>
                  <w:vAlign w:val="center"/>
                </w:tcPr>
                <w:p w14:paraId="22C242F2">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郪江-大英县-郪江口-控制单元</w:t>
                  </w:r>
                </w:p>
              </w:tc>
              <w:tc>
                <w:tcPr>
                  <w:tcW w:w="995" w:type="dxa"/>
                  <w:noWrap w:val="0"/>
                  <w:vAlign w:val="center"/>
                </w:tcPr>
                <w:p w14:paraId="37F49C5A">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遂宁市</w:t>
                  </w:r>
                </w:p>
              </w:tc>
              <w:tc>
                <w:tcPr>
                  <w:tcW w:w="935" w:type="dxa"/>
                  <w:noWrap w:val="0"/>
                  <w:vAlign w:val="center"/>
                </w:tcPr>
                <w:p w14:paraId="2DF72EF6">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大英县</w:t>
                  </w:r>
                </w:p>
              </w:tc>
              <w:tc>
                <w:tcPr>
                  <w:tcW w:w="1550" w:type="dxa"/>
                  <w:noWrap w:val="0"/>
                  <w:vAlign w:val="center"/>
                </w:tcPr>
                <w:p w14:paraId="5BBDA257">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水环境管控分区</w:t>
                  </w:r>
                </w:p>
              </w:tc>
              <w:tc>
                <w:tcPr>
                  <w:tcW w:w="1660" w:type="dxa"/>
                  <w:noWrap w:val="0"/>
                  <w:vAlign w:val="center"/>
                </w:tcPr>
                <w:p w14:paraId="571E9273">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水环境工业污染重点管控区</w:t>
                  </w:r>
                </w:p>
              </w:tc>
            </w:tr>
            <w:tr w14:paraId="35F42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90" w:hRule="atLeast"/>
                <w:tblHeader/>
                <w:jc w:val="center"/>
              </w:trPr>
              <w:tc>
                <w:tcPr>
                  <w:tcW w:w="1496" w:type="dxa"/>
                  <w:noWrap w:val="0"/>
                  <w:vAlign w:val="center"/>
                </w:tcPr>
                <w:p w14:paraId="190119A3">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YS5109232310001</w:t>
                  </w:r>
                </w:p>
              </w:tc>
              <w:tc>
                <w:tcPr>
                  <w:tcW w:w="1584" w:type="dxa"/>
                  <w:noWrap w:val="0"/>
                  <w:vAlign w:val="center"/>
                </w:tcPr>
                <w:p w14:paraId="745722AB">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大英县工业集中发展区(含经开区)</w:t>
                  </w:r>
                </w:p>
              </w:tc>
              <w:tc>
                <w:tcPr>
                  <w:tcW w:w="995" w:type="dxa"/>
                  <w:noWrap w:val="0"/>
                  <w:vAlign w:val="center"/>
                </w:tcPr>
                <w:p w14:paraId="5258170A">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遂宁市</w:t>
                  </w:r>
                </w:p>
              </w:tc>
              <w:tc>
                <w:tcPr>
                  <w:tcW w:w="935" w:type="dxa"/>
                  <w:noWrap w:val="0"/>
                  <w:vAlign w:val="center"/>
                </w:tcPr>
                <w:p w14:paraId="03C36179">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大英县</w:t>
                  </w:r>
                </w:p>
              </w:tc>
              <w:tc>
                <w:tcPr>
                  <w:tcW w:w="1550" w:type="dxa"/>
                  <w:noWrap w:val="0"/>
                  <w:vAlign w:val="center"/>
                </w:tcPr>
                <w:p w14:paraId="31784ADF">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大气环境管控分区</w:t>
                  </w:r>
                </w:p>
              </w:tc>
              <w:tc>
                <w:tcPr>
                  <w:tcW w:w="1660" w:type="dxa"/>
                  <w:noWrap w:val="0"/>
                  <w:vAlign w:val="center"/>
                </w:tcPr>
                <w:p w14:paraId="35C5847F">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大气环境高排放重点管控区</w:t>
                  </w:r>
                </w:p>
              </w:tc>
            </w:tr>
            <w:tr w14:paraId="34113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42" w:hRule="atLeast"/>
                <w:tblHeader/>
                <w:jc w:val="center"/>
              </w:trPr>
              <w:tc>
                <w:tcPr>
                  <w:tcW w:w="1496" w:type="dxa"/>
                  <w:noWrap w:val="0"/>
                  <w:vAlign w:val="center"/>
                </w:tcPr>
                <w:p w14:paraId="2531B01F">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YS5109232530001</w:t>
                  </w:r>
                </w:p>
              </w:tc>
              <w:tc>
                <w:tcPr>
                  <w:tcW w:w="1584" w:type="dxa"/>
                  <w:noWrap w:val="0"/>
                  <w:vAlign w:val="center"/>
                </w:tcPr>
                <w:p w14:paraId="3A6E109F">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大英县城镇开发边界</w:t>
                  </w:r>
                </w:p>
              </w:tc>
              <w:tc>
                <w:tcPr>
                  <w:tcW w:w="995" w:type="dxa"/>
                  <w:noWrap w:val="0"/>
                  <w:vAlign w:val="center"/>
                </w:tcPr>
                <w:p w14:paraId="67772C4E">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遂宁市</w:t>
                  </w:r>
                </w:p>
              </w:tc>
              <w:tc>
                <w:tcPr>
                  <w:tcW w:w="935" w:type="dxa"/>
                  <w:noWrap w:val="0"/>
                  <w:vAlign w:val="center"/>
                </w:tcPr>
                <w:p w14:paraId="071B3C1F">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大英县</w:t>
                  </w:r>
                </w:p>
              </w:tc>
              <w:tc>
                <w:tcPr>
                  <w:tcW w:w="1550" w:type="dxa"/>
                  <w:noWrap w:val="0"/>
                  <w:vAlign w:val="center"/>
                </w:tcPr>
                <w:p w14:paraId="6A4526A9">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资源管控分区</w:t>
                  </w:r>
                </w:p>
              </w:tc>
              <w:tc>
                <w:tcPr>
                  <w:tcW w:w="1660" w:type="dxa"/>
                  <w:noWrap w:val="0"/>
                  <w:vAlign w:val="center"/>
                </w:tcPr>
                <w:p w14:paraId="714BECBB">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土地资源重点管控区</w:t>
                  </w:r>
                </w:p>
              </w:tc>
            </w:tr>
            <w:tr w14:paraId="21171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42" w:hRule="atLeast"/>
                <w:tblHeader/>
                <w:jc w:val="center"/>
              </w:trPr>
              <w:tc>
                <w:tcPr>
                  <w:tcW w:w="1496" w:type="dxa"/>
                  <w:noWrap w:val="0"/>
                  <w:vAlign w:val="center"/>
                </w:tcPr>
                <w:p w14:paraId="3F31B29C">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YS5109232540002</w:t>
                  </w:r>
                </w:p>
              </w:tc>
              <w:tc>
                <w:tcPr>
                  <w:tcW w:w="1584" w:type="dxa"/>
                  <w:noWrap w:val="0"/>
                  <w:vAlign w:val="center"/>
                </w:tcPr>
                <w:p w14:paraId="6A7DA43E">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四川大英经济开发区</w:t>
                  </w:r>
                </w:p>
              </w:tc>
              <w:tc>
                <w:tcPr>
                  <w:tcW w:w="995" w:type="dxa"/>
                  <w:noWrap w:val="0"/>
                  <w:vAlign w:val="center"/>
                </w:tcPr>
                <w:p w14:paraId="55FAC19E">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遂宁市</w:t>
                  </w:r>
                </w:p>
              </w:tc>
              <w:tc>
                <w:tcPr>
                  <w:tcW w:w="935" w:type="dxa"/>
                  <w:noWrap w:val="0"/>
                  <w:vAlign w:val="center"/>
                </w:tcPr>
                <w:p w14:paraId="54479F1D">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大英县</w:t>
                  </w:r>
                </w:p>
              </w:tc>
              <w:tc>
                <w:tcPr>
                  <w:tcW w:w="1550" w:type="dxa"/>
                  <w:noWrap w:val="0"/>
                  <w:vAlign w:val="center"/>
                </w:tcPr>
                <w:p w14:paraId="73316E1F">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资源管控分区</w:t>
                  </w:r>
                </w:p>
              </w:tc>
              <w:tc>
                <w:tcPr>
                  <w:tcW w:w="1660" w:type="dxa"/>
                  <w:noWrap w:val="0"/>
                  <w:vAlign w:val="center"/>
                </w:tcPr>
                <w:p w14:paraId="3E097AA3">
                  <w:pPr>
                    <w:pStyle w:val="84"/>
                    <w:widowControl/>
                    <w:spacing w:line="240" w:lineRule="auto"/>
                    <w:ind w:firstLine="0" w:firstLineChars="0"/>
                    <w:jc w:val="center"/>
                    <w:rPr>
                      <w:rFonts w:hint="default" w:ascii="Times New Roman" w:hAnsi="Times New Roman" w:eastAsia="宋体" w:cs="Times New Roman"/>
                      <w:color w:val="auto"/>
                      <w:sz w:val="21"/>
                      <w:highlight w:val="none"/>
                    </w:rPr>
                  </w:pPr>
                  <w:r>
                    <w:rPr>
                      <w:rStyle w:val="25"/>
                      <w:rFonts w:hint="default" w:ascii="Times New Roman" w:hAnsi="Times New Roman" w:eastAsia="宋体" w:cs="Times New Roman"/>
                      <w:kern w:val="2"/>
                      <w:sz w:val="21"/>
                      <w:szCs w:val="21"/>
                      <w:lang w:val="en-US" w:eastAsia="zh-CN" w:bidi="ar-SA"/>
                    </w:rPr>
                    <w:t>高污染燃料禁燃区</w:t>
                  </w:r>
                </w:p>
              </w:tc>
            </w:tr>
            <w:tr w14:paraId="5BF6F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42" w:hRule="atLeast"/>
                <w:tblHeader/>
                <w:jc w:val="center"/>
              </w:trPr>
              <w:tc>
                <w:tcPr>
                  <w:tcW w:w="1496" w:type="dxa"/>
                  <w:noWrap w:val="0"/>
                  <w:vAlign w:val="center"/>
                </w:tcPr>
                <w:p w14:paraId="5280F510">
                  <w:pPr>
                    <w:pStyle w:val="84"/>
                    <w:widowControl/>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Style w:val="25"/>
                      <w:rFonts w:hint="default" w:ascii="Times New Roman" w:hAnsi="Times New Roman" w:eastAsia="宋体" w:cs="Times New Roman"/>
                      <w:kern w:val="2"/>
                      <w:sz w:val="21"/>
                      <w:szCs w:val="21"/>
                      <w:lang w:val="en-US" w:eastAsia="zh-CN" w:bidi="ar-SA"/>
                    </w:rPr>
                    <w:t>YS5109232550001</w:t>
                  </w:r>
                </w:p>
              </w:tc>
              <w:tc>
                <w:tcPr>
                  <w:tcW w:w="1584" w:type="dxa"/>
                  <w:noWrap w:val="0"/>
                  <w:vAlign w:val="center"/>
                </w:tcPr>
                <w:p w14:paraId="36E0ED99">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kern w:val="2"/>
                      <w:sz w:val="21"/>
                      <w:szCs w:val="21"/>
                      <w:lang w:val="en-US" w:eastAsia="zh-CN" w:bidi="ar-SA"/>
                    </w:rPr>
                    <w:t>大英县自然资源重点管控区</w:t>
                  </w:r>
                </w:p>
              </w:tc>
              <w:tc>
                <w:tcPr>
                  <w:tcW w:w="995" w:type="dxa"/>
                  <w:noWrap w:val="0"/>
                  <w:vAlign w:val="center"/>
                </w:tcPr>
                <w:p w14:paraId="35F4B817">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kern w:val="2"/>
                      <w:sz w:val="21"/>
                      <w:szCs w:val="21"/>
                      <w:lang w:val="en-US" w:eastAsia="zh-CN" w:bidi="ar-SA"/>
                    </w:rPr>
                    <w:t>遂宁市</w:t>
                  </w:r>
                </w:p>
              </w:tc>
              <w:tc>
                <w:tcPr>
                  <w:tcW w:w="935" w:type="dxa"/>
                  <w:noWrap w:val="0"/>
                  <w:vAlign w:val="center"/>
                </w:tcPr>
                <w:p w14:paraId="62AF9BB4">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kern w:val="2"/>
                      <w:sz w:val="21"/>
                      <w:szCs w:val="21"/>
                      <w:lang w:val="en-US" w:eastAsia="zh-CN" w:bidi="ar-SA"/>
                    </w:rPr>
                    <w:t>大英县</w:t>
                  </w:r>
                </w:p>
              </w:tc>
              <w:tc>
                <w:tcPr>
                  <w:tcW w:w="1550" w:type="dxa"/>
                  <w:noWrap w:val="0"/>
                  <w:vAlign w:val="center"/>
                </w:tcPr>
                <w:p w14:paraId="37E55C8C">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kern w:val="2"/>
                      <w:sz w:val="21"/>
                      <w:szCs w:val="21"/>
                      <w:lang w:val="en-US" w:eastAsia="zh-CN" w:bidi="ar-SA"/>
                    </w:rPr>
                    <w:t>资源管控分区</w:t>
                  </w:r>
                </w:p>
              </w:tc>
              <w:tc>
                <w:tcPr>
                  <w:tcW w:w="1660" w:type="dxa"/>
                  <w:noWrap w:val="0"/>
                  <w:vAlign w:val="center"/>
                </w:tcPr>
                <w:p w14:paraId="038BABA0">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kern w:val="2"/>
                      <w:sz w:val="21"/>
                      <w:szCs w:val="21"/>
                      <w:lang w:val="en-US" w:eastAsia="zh-CN" w:bidi="ar-SA"/>
                    </w:rPr>
                    <w:t>自然资源重点管控区</w:t>
                  </w:r>
                </w:p>
              </w:tc>
            </w:tr>
            <w:tr w14:paraId="58113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42" w:hRule="atLeast"/>
                <w:tblHeader/>
                <w:jc w:val="center"/>
              </w:trPr>
              <w:tc>
                <w:tcPr>
                  <w:tcW w:w="1496" w:type="dxa"/>
                  <w:noWrap w:val="0"/>
                  <w:vAlign w:val="center"/>
                </w:tcPr>
                <w:p w14:paraId="6805760C">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kern w:val="2"/>
                      <w:sz w:val="21"/>
                      <w:szCs w:val="21"/>
                      <w:lang w:val="en-US" w:eastAsia="zh-CN" w:bidi="ar-SA"/>
                    </w:rPr>
                    <w:t>ZH51092320002</w:t>
                  </w:r>
                </w:p>
              </w:tc>
              <w:tc>
                <w:tcPr>
                  <w:tcW w:w="1584" w:type="dxa"/>
                  <w:noWrap w:val="0"/>
                  <w:vAlign w:val="center"/>
                </w:tcPr>
                <w:p w14:paraId="05BA8F8A">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kern w:val="2"/>
                      <w:sz w:val="21"/>
                      <w:szCs w:val="21"/>
                      <w:lang w:val="en-US" w:eastAsia="zh-CN" w:bidi="ar-SA"/>
                    </w:rPr>
                    <w:t>大英县工业集中发展区(含经开区)</w:t>
                  </w:r>
                </w:p>
              </w:tc>
              <w:tc>
                <w:tcPr>
                  <w:tcW w:w="995" w:type="dxa"/>
                  <w:noWrap w:val="0"/>
                  <w:vAlign w:val="center"/>
                </w:tcPr>
                <w:p w14:paraId="6F14DAE8">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kern w:val="2"/>
                      <w:sz w:val="21"/>
                      <w:szCs w:val="21"/>
                      <w:lang w:val="en-US" w:eastAsia="zh-CN" w:bidi="ar-SA"/>
                    </w:rPr>
                    <w:t>遂宁市</w:t>
                  </w:r>
                </w:p>
              </w:tc>
              <w:tc>
                <w:tcPr>
                  <w:tcW w:w="935" w:type="dxa"/>
                  <w:noWrap w:val="0"/>
                  <w:vAlign w:val="center"/>
                </w:tcPr>
                <w:p w14:paraId="6A15C3D1">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kern w:val="2"/>
                      <w:sz w:val="21"/>
                      <w:szCs w:val="21"/>
                      <w:lang w:val="en-US" w:eastAsia="zh-CN" w:bidi="ar-SA"/>
                    </w:rPr>
                    <w:t>大英县</w:t>
                  </w:r>
                </w:p>
              </w:tc>
              <w:tc>
                <w:tcPr>
                  <w:tcW w:w="1550" w:type="dxa"/>
                  <w:noWrap w:val="0"/>
                  <w:vAlign w:val="center"/>
                </w:tcPr>
                <w:p w14:paraId="3DA00D70">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kern w:val="2"/>
                      <w:sz w:val="21"/>
                      <w:szCs w:val="21"/>
                      <w:lang w:val="en-US" w:eastAsia="zh-CN" w:bidi="ar-SA"/>
                    </w:rPr>
                    <w:t>环境综合管控单元</w:t>
                  </w:r>
                </w:p>
              </w:tc>
              <w:tc>
                <w:tcPr>
                  <w:tcW w:w="1660" w:type="dxa"/>
                  <w:noWrap w:val="0"/>
                  <w:vAlign w:val="center"/>
                </w:tcPr>
                <w:p w14:paraId="2187AB8D">
                  <w:pPr>
                    <w:pStyle w:val="84"/>
                    <w:widowControl/>
                    <w:spacing w:line="240" w:lineRule="auto"/>
                    <w:ind w:firstLine="0" w:firstLineChars="0"/>
                    <w:jc w:val="center"/>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kern w:val="2"/>
                      <w:sz w:val="21"/>
                      <w:szCs w:val="21"/>
                      <w:lang w:val="en-US" w:eastAsia="zh-CN" w:bidi="ar-SA"/>
                    </w:rPr>
                    <w:t>环境综合管控单元工业重点管控单元</w:t>
                  </w:r>
                </w:p>
              </w:tc>
            </w:tr>
          </w:tbl>
          <w:p w14:paraId="2F15E98D">
            <w:pPr>
              <w:pStyle w:val="4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highlight w:val="none"/>
              </w:rPr>
            </w:pPr>
          </w:p>
        </w:tc>
      </w:tr>
    </w:tbl>
    <w:p w14:paraId="7D48A5FE">
      <w:pPr>
        <w:spacing w:line="360" w:lineRule="auto"/>
        <w:outlineLvl w:val="0"/>
        <w:rPr>
          <w:rFonts w:hint="default" w:ascii="Times New Roman" w:hAnsi="Times New Roman" w:eastAsia="黑体" w:cs="Times New Roman"/>
          <w:color w:val="auto"/>
          <w:sz w:val="30"/>
          <w:highlight w:val="none"/>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30301925">
      <w:pPr>
        <w:spacing w:line="360" w:lineRule="auto"/>
        <w:jc w:val="center"/>
        <w:outlineLvl w:val="0"/>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表1-</w:t>
      </w:r>
      <w:r>
        <w:rPr>
          <w:rFonts w:hint="eastAsia" w:cs="Times New Roman"/>
          <w:b/>
          <w:bCs/>
          <w:color w:val="auto"/>
          <w:kern w:val="2"/>
          <w:sz w:val="24"/>
          <w:szCs w:val="24"/>
          <w:highlight w:val="none"/>
          <w:lang w:val="en-US" w:eastAsia="zh-CN" w:bidi="ar-SA"/>
        </w:rPr>
        <w:t>7</w:t>
      </w:r>
      <w:r>
        <w:rPr>
          <w:rFonts w:hint="eastAsia" w:ascii="Times New Roman" w:hAnsi="Times New Roman" w:eastAsia="宋体" w:cs="Times New Roman"/>
          <w:b/>
          <w:bCs/>
          <w:color w:val="auto"/>
          <w:kern w:val="2"/>
          <w:sz w:val="24"/>
          <w:szCs w:val="24"/>
          <w:highlight w:val="none"/>
          <w:lang w:val="en-US" w:eastAsia="zh-CN" w:bidi="ar-SA"/>
        </w:rPr>
        <w:t>“生态环境分区管控”符合性分析</w:t>
      </w:r>
    </w:p>
    <w:tbl>
      <w:tblPr>
        <w:tblStyle w:val="24"/>
        <w:tblW w:w="136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682"/>
        <w:gridCol w:w="1650"/>
        <w:gridCol w:w="7590"/>
        <w:gridCol w:w="1737"/>
        <w:gridCol w:w="922"/>
      </w:tblGrid>
      <w:tr w14:paraId="652F9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999" w:type="dxa"/>
            <w:gridSpan w:val="4"/>
            <w:tcBorders>
              <w:tl2br w:val="nil"/>
              <w:tr2bl w:val="nil"/>
            </w:tcBorders>
            <w:noWrap w:val="0"/>
            <w:vAlign w:val="center"/>
          </w:tcPr>
          <w:p w14:paraId="7BA79C0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w:t>
            </w:r>
            <w:r>
              <w:rPr>
                <w:rFonts w:hint="eastAsia" w:ascii="Times New Roman" w:hAnsi="Times New Roman" w:cs="Times New Roman"/>
                <w:color w:val="auto"/>
                <w:highlight w:val="none"/>
                <w:vertAlign w:val="baseline"/>
                <w:lang w:val="en-US" w:eastAsia="zh-CN"/>
              </w:rPr>
              <w:t>生态环境分区</w:t>
            </w:r>
            <w:r>
              <w:rPr>
                <w:rFonts w:hint="eastAsia" w:cs="Times New Roman"/>
                <w:color w:val="auto"/>
                <w:highlight w:val="none"/>
                <w:vertAlign w:val="baseline"/>
                <w:lang w:val="en-US" w:eastAsia="zh-CN"/>
              </w:rPr>
              <w:t>管控</w:t>
            </w:r>
            <w:r>
              <w:rPr>
                <w:rFonts w:hint="default" w:ascii="Times New Roman" w:hAnsi="Times New Roman" w:cs="Times New Roman"/>
                <w:color w:val="auto"/>
                <w:highlight w:val="none"/>
                <w:vertAlign w:val="baseline"/>
                <w:lang w:eastAsia="zh-CN"/>
              </w:rPr>
              <w:t>”具体要求</w:t>
            </w:r>
          </w:p>
        </w:tc>
        <w:tc>
          <w:tcPr>
            <w:tcW w:w="1737" w:type="dxa"/>
            <w:vMerge w:val="restart"/>
            <w:tcBorders>
              <w:tl2br w:val="nil"/>
              <w:tr2bl w:val="nil"/>
            </w:tcBorders>
            <w:noWrap w:val="0"/>
            <w:vAlign w:val="center"/>
          </w:tcPr>
          <w:p w14:paraId="44EF18A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本项目情况</w:t>
            </w:r>
          </w:p>
        </w:tc>
        <w:tc>
          <w:tcPr>
            <w:tcW w:w="922" w:type="dxa"/>
            <w:vMerge w:val="restart"/>
            <w:tcBorders>
              <w:tl2br w:val="nil"/>
              <w:tr2bl w:val="nil"/>
            </w:tcBorders>
            <w:noWrap w:val="0"/>
            <w:vAlign w:val="center"/>
          </w:tcPr>
          <w:p w14:paraId="6111A81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符合性分析</w:t>
            </w:r>
          </w:p>
        </w:tc>
      </w:tr>
      <w:tr w14:paraId="12513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409" w:type="dxa"/>
            <w:gridSpan w:val="3"/>
            <w:tcBorders>
              <w:tl2br w:val="nil"/>
              <w:tr2bl w:val="nil"/>
            </w:tcBorders>
            <w:noWrap w:val="0"/>
            <w:vAlign w:val="center"/>
          </w:tcPr>
          <w:p w14:paraId="5FC516C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类别</w:t>
            </w:r>
          </w:p>
        </w:tc>
        <w:tc>
          <w:tcPr>
            <w:tcW w:w="7590" w:type="dxa"/>
            <w:tcBorders>
              <w:tl2br w:val="nil"/>
              <w:tr2bl w:val="nil"/>
            </w:tcBorders>
            <w:noWrap w:val="0"/>
            <w:vAlign w:val="center"/>
          </w:tcPr>
          <w:p w14:paraId="1DAAC52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管控要求</w:t>
            </w:r>
          </w:p>
        </w:tc>
        <w:tc>
          <w:tcPr>
            <w:tcW w:w="1737" w:type="dxa"/>
            <w:vMerge w:val="continue"/>
            <w:tcBorders>
              <w:tl2br w:val="nil"/>
              <w:tr2bl w:val="nil"/>
            </w:tcBorders>
            <w:noWrap w:val="0"/>
            <w:vAlign w:val="center"/>
          </w:tcPr>
          <w:p w14:paraId="56A36CB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vertAlign w:val="baseline"/>
                <w:lang w:eastAsia="zh-CN"/>
              </w:rPr>
            </w:pPr>
          </w:p>
        </w:tc>
        <w:tc>
          <w:tcPr>
            <w:tcW w:w="922" w:type="dxa"/>
            <w:vMerge w:val="continue"/>
            <w:tcBorders>
              <w:tl2br w:val="nil"/>
              <w:tr2bl w:val="nil"/>
            </w:tcBorders>
            <w:noWrap w:val="0"/>
            <w:vAlign w:val="center"/>
          </w:tcPr>
          <w:p w14:paraId="0A8B972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vertAlign w:val="baseline"/>
                <w:lang w:eastAsia="zh-CN"/>
              </w:rPr>
            </w:pPr>
          </w:p>
        </w:tc>
      </w:tr>
      <w:tr w14:paraId="0B6B2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restart"/>
            <w:tcBorders>
              <w:tl2br w:val="nil"/>
              <w:tr2bl w:val="nil"/>
            </w:tcBorders>
            <w:noWrap w:val="0"/>
            <w:vAlign w:val="center"/>
          </w:tcPr>
          <w:p w14:paraId="68C66EF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Style w:val="25"/>
                <w:rFonts w:hint="default" w:ascii="Times New Roman" w:hAnsi="Times New Roman" w:eastAsia="宋体" w:cs="Times New Roman"/>
                <w:color w:val="auto"/>
                <w:kern w:val="2"/>
                <w:sz w:val="21"/>
                <w:szCs w:val="21"/>
                <w:highlight w:val="none"/>
                <w:lang w:val="en-US" w:eastAsia="zh-CN" w:bidi="ar-SA"/>
              </w:rPr>
              <w:t>ZH51092320002大英县工业集中发展区(含经开区)</w:t>
            </w:r>
          </w:p>
        </w:tc>
        <w:tc>
          <w:tcPr>
            <w:tcW w:w="682" w:type="dxa"/>
            <w:vMerge w:val="restart"/>
            <w:tcBorders>
              <w:tl2br w:val="nil"/>
              <w:tr2bl w:val="nil"/>
            </w:tcBorders>
            <w:noWrap w:val="0"/>
            <w:vAlign w:val="center"/>
          </w:tcPr>
          <w:p w14:paraId="79D2B68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vertAlign w:val="baseline"/>
                <w:lang w:eastAsia="zh-CN"/>
              </w:rPr>
              <w:t>普适性清单管控要求</w:t>
            </w:r>
          </w:p>
        </w:tc>
        <w:tc>
          <w:tcPr>
            <w:tcW w:w="1650" w:type="dxa"/>
            <w:tcBorders>
              <w:tl2br w:val="nil"/>
              <w:tr2bl w:val="nil"/>
            </w:tcBorders>
            <w:noWrap w:val="0"/>
            <w:vAlign w:val="center"/>
          </w:tcPr>
          <w:p w14:paraId="3C88AF32">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eastAsia="zh-CN"/>
              </w:rPr>
              <w:t>空间布局约束</w:t>
            </w:r>
          </w:p>
        </w:tc>
        <w:tc>
          <w:tcPr>
            <w:tcW w:w="7590" w:type="dxa"/>
            <w:tcBorders>
              <w:tl2br w:val="nil"/>
              <w:tr2bl w:val="nil"/>
            </w:tcBorders>
            <w:noWrap w:val="0"/>
            <w:vAlign w:val="center"/>
          </w:tcPr>
          <w:p w14:paraId="4CD674B4">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05360CAA">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15407054">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1.禁止引入不符合园区用地性质或产业规划的工业企业。</w:t>
            </w:r>
          </w:p>
          <w:p w14:paraId="16BA445C">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2.禁止在长江干支流、重要湖泊岸线一公里范围内新建、扩建化工园区和化工项目。</w:t>
            </w:r>
          </w:p>
          <w:p w14:paraId="2F8DCBB9">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3.禁止在长江流域河湖管理范围内倾倒、填埋、堆放、弃置、处理固体废物。</w:t>
            </w:r>
          </w:p>
          <w:p w14:paraId="6717FC01">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4.未通过认定的化工园区，不得新建、改扩建化工项目（安全、环保、节能和智能化改造项目除外），按属地原则依法依规妥善做好未通过认</w:t>
            </w:r>
            <w:r>
              <w:rPr>
                <w:rStyle w:val="25"/>
                <w:rFonts w:hint="eastAsia" w:eastAsia="宋体" w:cs="Times New Roman"/>
                <w:color w:val="auto"/>
                <w:kern w:val="0"/>
                <w:sz w:val="21"/>
                <w:szCs w:val="21"/>
                <w:highlight w:val="none"/>
                <w:lang w:val="en-US" w:eastAsia="zh-CN" w:bidi="ar-SA"/>
              </w:rPr>
              <w:t>定的</w:t>
            </w:r>
            <w:r>
              <w:rPr>
                <w:rStyle w:val="25"/>
                <w:rFonts w:hint="default" w:ascii="Times New Roman" w:hAnsi="Times New Roman" w:eastAsia="宋体" w:cs="Times New Roman"/>
                <w:color w:val="auto"/>
                <w:kern w:val="0"/>
                <w:sz w:val="21"/>
                <w:szCs w:val="21"/>
                <w:highlight w:val="none"/>
                <w:lang w:val="en-US" w:eastAsia="zh-CN" w:bidi="ar-SA"/>
              </w:rPr>
              <w:t>化工园区及园内企业的转型、关闭、处置及监管工作。</w:t>
            </w:r>
          </w:p>
          <w:p w14:paraId="1217CF5B">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55BA2FFB">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1.严控新建、扩建“两高”项目，对现存企业执行最严格排放标准和总量控制要求。</w:t>
            </w:r>
          </w:p>
          <w:p w14:paraId="21B4DA03">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2.长江干流及主要支流1公里范围内，严控新建石油化工、煤化工、涉磷、造纸、印染、制革等项目。</w:t>
            </w:r>
          </w:p>
          <w:p w14:paraId="3A7C7391">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3D15A3E4">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现有属于禁止引入产业门类的企业，应按相关规定限期整治或退出。</w:t>
            </w:r>
          </w:p>
          <w:p w14:paraId="144F7DD8">
            <w:pPr>
              <w:pStyle w:val="82"/>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tc>
        <w:tc>
          <w:tcPr>
            <w:tcW w:w="1737" w:type="dxa"/>
            <w:tcBorders>
              <w:tl2br w:val="nil"/>
              <w:tr2bl w:val="nil"/>
            </w:tcBorders>
            <w:noWrap w:val="0"/>
            <w:vAlign w:val="center"/>
          </w:tcPr>
          <w:p w14:paraId="1318C0B6">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本项目属于</w:t>
            </w:r>
            <w:r>
              <w:rPr>
                <w:rFonts w:hint="eastAsia" w:cs="Times New Roman"/>
                <w:color w:val="auto"/>
                <w:sz w:val="21"/>
                <w:szCs w:val="21"/>
                <w:highlight w:val="none"/>
                <w:shd w:val="clear" w:color="auto" w:fill="FFFFFF"/>
                <w:lang w:val="en-US" w:eastAsia="zh-CN"/>
              </w:rPr>
              <w:t>橡胶制品</w:t>
            </w:r>
            <w:r>
              <w:rPr>
                <w:rStyle w:val="25"/>
                <w:rFonts w:hint="default" w:ascii="Times New Roman" w:hAnsi="Times New Roman" w:eastAsia="宋体" w:cs="Times New Roman"/>
                <w:color w:val="auto"/>
                <w:kern w:val="0"/>
                <w:sz w:val="21"/>
                <w:szCs w:val="21"/>
                <w:highlight w:val="none"/>
                <w:lang w:val="en-US" w:eastAsia="zh-CN" w:bidi="ar-SA"/>
              </w:rPr>
              <w:t>，项目的建设不属于禁止开发情况，因此项目的建设符合空间布局约束要求。</w:t>
            </w:r>
          </w:p>
        </w:tc>
        <w:tc>
          <w:tcPr>
            <w:tcW w:w="922" w:type="dxa"/>
            <w:tcBorders>
              <w:tl2br w:val="nil"/>
              <w:tr2bl w:val="nil"/>
            </w:tcBorders>
            <w:noWrap w:val="0"/>
            <w:vAlign w:val="center"/>
          </w:tcPr>
          <w:p w14:paraId="6A7C90A2">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符合</w:t>
            </w:r>
          </w:p>
        </w:tc>
      </w:tr>
      <w:tr w14:paraId="3C719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7AD276A8">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40BD9F79">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340EEBE6">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eastAsia="zh-CN"/>
              </w:rPr>
              <w:t>污染物排放管控</w:t>
            </w:r>
          </w:p>
        </w:tc>
        <w:tc>
          <w:tcPr>
            <w:tcW w:w="7590" w:type="dxa"/>
            <w:tcBorders>
              <w:tl2br w:val="nil"/>
              <w:tr2bl w:val="nil"/>
            </w:tcBorders>
            <w:noWrap w:val="0"/>
            <w:vAlign w:val="center"/>
          </w:tcPr>
          <w:p w14:paraId="33CEC934">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0617664B">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43108788">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w:t>
            </w:r>
          </w:p>
          <w:p w14:paraId="20751FAA">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7C4570AA">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1.污水收集处理率达100%。</w:t>
            </w:r>
          </w:p>
          <w:p w14:paraId="4857395D">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2.园区污水处理厂</w:t>
            </w:r>
            <w:r>
              <w:rPr>
                <w:rStyle w:val="25"/>
                <w:rFonts w:hint="eastAsia" w:eastAsia="宋体" w:cs="Times New Roman"/>
                <w:color w:val="auto"/>
                <w:kern w:val="0"/>
                <w:sz w:val="21"/>
                <w:szCs w:val="21"/>
                <w:highlight w:val="none"/>
                <w:lang w:val="en-US" w:eastAsia="zh-CN" w:bidi="ar-SA"/>
              </w:rPr>
              <w:t>达到</w:t>
            </w:r>
            <w:r>
              <w:rPr>
                <w:rStyle w:val="25"/>
                <w:rFonts w:hint="default" w:ascii="Times New Roman" w:hAnsi="Times New Roman" w:eastAsia="宋体" w:cs="Times New Roman"/>
                <w:color w:val="auto"/>
                <w:kern w:val="0"/>
                <w:sz w:val="21"/>
                <w:szCs w:val="21"/>
                <w:highlight w:val="none"/>
                <w:lang w:val="en-US" w:eastAsia="zh-CN" w:bidi="ar-SA"/>
              </w:rPr>
              <w:t>《城镇污水处理厂污染物排放标准》一级A标或更高标准。</w:t>
            </w:r>
          </w:p>
          <w:p w14:paraId="0DAD1D75">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3.加快推进危险化学品生产企业搬迁改造工程。</w:t>
            </w:r>
          </w:p>
          <w:p w14:paraId="2033FEA3">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47658077">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78BFEA33">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14:paraId="4F1A42C9">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256B1750">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094AA9D1">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4.化工园区应按照分类收集，分质处理的要求，配备专业化工生产废水集中处理设施（独立建设或依托骨干企业）及专管或明管输送的配套管网，化工生产废水纳管率达到100%。入河排污口设置应符合相关规定。</w:t>
            </w:r>
          </w:p>
          <w:p w14:paraId="0B789263">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2D1536F2">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6.白酒行业参考执行更新后的四川省白酒行业资源环境绩效指标要求。</w:t>
            </w:r>
          </w:p>
          <w:p w14:paraId="2E22EE90">
            <w:pPr>
              <w:pStyle w:val="82"/>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1737" w:type="dxa"/>
            <w:tcBorders>
              <w:tl2br w:val="nil"/>
              <w:tr2bl w:val="nil"/>
            </w:tcBorders>
            <w:noWrap w:val="0"/>
            <w:vAlign w:val="center"/>
          </w:tcPr>
          <w:p w14:paraId="1F6E221E">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根据</w:t>
            </w:r>
            <w:r>
              <w:rPr>
                <w:rFonts w:hint="default" w:ascii="Times New Roman" w:hAnsi="Times New Roman" w:cs="Times New Roman"/>
                <w:color w:val="auto"/>
                <w:highlight w:val="none"/>
                <w:vertAlign w:val="baseline"/>
                <w:lang w:eastAsia="zh-CN"/>
              </w:rPr>
              <w:t>本项目</w:t>
            </w:r>
            <w:r>
              <w:rPr>
                <w:rFonts w:hint="default" w:ascii="Times New Roman" w:hAnsi="Times New Roman" w:cs="Times New Roman"/>
                <w:color w:val="auto"/>
                <w:highlight w:val="none"/>
                <w:vertAlign w:val="baseline"/>
                <w:lang w:val="en-US" w:eastAsia="zh-CN"/>
              </w:rPr>
              <w:t>实际情况，本项目</w:t>
            </w:r>
            <w:r>
              <w:rPr>
                <w:rFonts w:hint="eastAsia" w:cs="Times New Roman"/>
                <w:color w:val="auto"/>
                <w:highlight w:val="none"/>
                <w:vertAlign w:val="baseline"/>
                <w:lang w:val="en-US" w:eastAsia="zh-CN"/>
              </w:rPr>
              <w:t>废水</w:t>
            </w:r>
            <w:r>
              <w:rPr>
                <w:rFonts w:hint="default" w:ascii="Times New Roman" w:hAnsi="Times New Roman" w:cs="Times New Roman"/>
                <w:color w:val="auto"/>
                <w:highlight w:val="none"/>
                <w:vertAlign w:val="baseline"/>
                <w:lang w:val="en-US" w:eastAsia="zh-CN"/>
              </w:rPr>
              <w:t>排入</w:t>
            </w:r>
            <w:r>
              <w:rPr>
                <w:rFonts w:hint="eastAsia" w:cs="Times New Roman"/>
                <w:color w:val="auto"/>
                <w:highlight w:val="none"/>
                <w:vertAlign w:val="baseline"/>
                <w:lang w:val="en-US" w:eastAsia="zh-CN"/>
              </w:rPr>
              <w:t>市政污水管网送大英工业废水处理厂处理。</w:t>
            </w:r>
            <w:r>
              <w:rPr>
                <w:rFonts w:hint="default" w:ascii="Times New Roman" w:hAnsi="Times New Roman" w:cs="Times New Roman"/>
                <w:color w:val="auto"/>
                <w:highlight w:val="none"/>
                <w:vertAlign w:val="baseline"/>
                <w:lang w:val="en-US" w:eastAsia="zh-CN"/>
              </w:rPr>
              <w:t>本项目挥发性有机</w:t>
            </w:r>
            <w:r>
              <w:rPr>
                <w:rFonts w:hint="eastAsia" w:cs="Times New Roman"/>
                <w:color w:val="auto"/>
                <w:highlight w:val="none"/>
                <w:vertAlign w:val="baseline"/>
                <w:lang w:val="en-US" w:eastAsia="zh-CN"/>
              </w:rPr>
              <w:t>物经活性炭处理后</w:t>
            </w:r>
            <w:r>
              <w:rPr>
                <w:rFonts w:hint="default" w:ascii="Times New Roman" w:hAnsi="Times New Roman" w:cs="Times New Roman"/>
                <w:color w:val="auto"/>
                <w:highlight w:val="none"/>
                <w:vertAlign w:val="baseline"/>
                <w:lang w:val="en-US" w:eastAsia="zh-CN"/>
              </w:rPr>
              <w:t>排放，</w:t>
            </w:r>
            <w:r>
              <w:rPr>
                <w:rFonts w:hint="eastAsia" w:cs="Times New Roman"/>
                <w:color w:val="auto"/>
                <w:highlight w:val="none"/>
                <w:vertAlign w:val="baseline"/>
                <w:lang w:val="en-US" w:eastAsia="zh-CN"/>
              </w:rPr>
              <w:t>生产过程中产生的粉尘经布袋除尘器处理后排放，锅炉天然气经低氮燃烧机燃烧后排放，本项目</w:t>
            </w:r>
            <w:r>
              <w:rPr>
                <w:rFonts w:hint="default" w:ascii="Times New Roman" w:hAnsi="Times New Roman" w:cs="Times New Roman"/>
                <w:color w:val="auto"/>
                <w:highlight w:val="none"/>
                <w:vertAlign w:val="baseline"/>
                <w:lang w:val="en-US" w:eastAsia="zh-CN"/>
              </w:rPr>
              <w:t>总量替代由辖区</w:t>
            </w:r>
            <w:r>
              <w:rPr>
                <w:rFonts w:hint="eastAsia" w:cs="Times New Roman"/>
                <w:color w:val="auto"/>
                <w:highlight w:val="none"/>
                <w:vertAlign w:val="baseline"/>
                <w:lang w:val="en-US" w:eastAsia="zh-CN"/>
              </w:rPr>
              <w:t>主管部门</w:t>
            </w:r>
            <w:r>
              <w:rPr>
                <w:rFonts w:hint="default" w:ascii="Times New Roman" w:hAnsi="Times New Roman" w:cs="Times New Roman"/>
                <w:color w:val="auto"/>
                <w:highlight w:val="none"/>
                <w:vertAlign w:val="baseline"/>
                <w:lang w:val="en-US" w:eastAsia="zh-CN"/>
              </w:rPr>
              <w:t>分配，项目废气排放满足相关</w:t>
            </w:r>
            <w:r>
              <w:rPr>
                <w:rFonts w:hint="eastAsia" w:cs="Times New Roman"/>
                <w:color w:val="auto"/>
                <w:highlight w:val="none"/>
                <w:vertAlign w:val="baseline"/>
                <w:lang w:val="en-US" w:eastAsia="zh-CN"/>
              </w:rPr>
              <w:t>政策和标准</w:t>
            </w:r>
            <w:r>
              <w:rPr>
                <w:rFonts w:hint="default" w:ascii="Times New Roman" w:hAnsi="Times New Roman" w:cs="Times New Roman"/>
                <w:color w:val="auto"/>
                <w:highlight w:val="none"/>
                <w:vertAlign w:val="baseline"/>
                <w:lang w:val="en-US" w:eastAsia="zh-CN"/>
              </w:rPr>
              <w:t>要求</w:t>
            </w:r>
            <w:r>
              <w:rPr>
                <w:rStyle w:val="25"/>
                <w:rFonts w:hint="default" w:ascii="Times New Roman" w:hAnsi="Times New Roman" w:eastAsia="宋体" w:cs="Times New Roman"/>
                <w:color w:val="auto"/>
                <w:kern w:val="0"/>
                <w:sz w:val="21"/>
                <w:szCs w:val="21"/>
                <w:highlight w:val="none"/>
                <w:lang w:val="en-US" w:eastAsia="zh-CN" w:bidi="ar-SA"/>
              </w:rPr>
              <w:t>。</w:t>
            </w:r>
          </w:p>
        </w:tc>
        <w:tc>
          <w:tcPr>
            <w:tcW w:w="922" w:type="dxa"/>
            <w:tcBorders>
              <w:tl2br w:val="nil"/>
              <w:tr2bl w:val="nil"/>
            </w:tcBorders>
            <w:noWrap w:val="0"/>
            <w:vAlign w:val="center"/>
          </w:tcPr>
          <w:p w14:paraId="662BBF5A">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vertAlign w:val="baseline"/>
                <w:lang w:eastAsia="zh-CN"/>
              </w:rPr>
              <w:t>符合</w:t>
            </w:r>
          </w:p>
        </w:tc>
      </w:tr>
      <w:tr w14:paraId="61A61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0C71F32D">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6F78C299">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50DCA5F1">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eastAsia="zh-CN"/>
              </w:rPr>
              <w:t>环境风险管控</w:t>
            </w:r>
          </w:p>
        </w:tc>
        <w:tc>
          <w:tcPr>
            <w:tcW w:w="7590" w:type="dxa"/>
            <w:tcBorders>
              <w:tl2br w:val="nil"/>
              <w:tr2bl w:val="nil"/>
            </w:tcBorders>
            <w:noWrap w:val="0"/>
            <w:vAlign w:val="center"/>
          </w:tcPr>
          <w:p w14:paraId="153097DF">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158C57CA">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加强成都平原经济区信息共享和联动合作，协力推进产业和能源结构优化调整，加强大气污染源头防控，加强潼遂合作。</w:t>
            </w:r>
          </w:p>
          <w:p w14:paraId="32C13EF2">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38DB5AB6">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1.企业环境风险防控要求：涉及有毒有害、易燃易爆物质的新建、改扩建项目，严控准入要求。</w:t>
            </w:r>
          </w:p>
          <w:p w14:paraId="39190C98">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14:paraId="26ED103A">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14:paraId="71DC0AA3">
            <w:pPr>
              <w:pStyle w:val="8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2"/>
                <w:sz w:val="21"/>
                <w:szCs w:val="24"/>
                <w:highlight w:val="none"/>
                <w:vertAlign w:val="baseline"/>
                <w:lang w:val="en-US" w:eastAsia="zh-CN" w:bidi="ar-SA"/>
              </w:rPr>
            </w:pPr>
          </w:p>
        </w:tc>
        <w:tc>
          <w:tcPr>
            <w:tcW w:w="1737" w:type="dxa"/>
            <w:tcBorders>
              <w:tl2br w:val="nil"/>
              <w:tr2bl w:val="nil"/>
            </w:tcBorders>
            <w:noWrap w:val="0"/>
            <w:vAlign w:val="center"/>
          </w:tcPr>
          <w:p w14:paraId="1A1A3D7F">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eastAsia="zh-CN"/>
              </w:rPr>
              <w:t>项目属于</w:t>
            </w:r>
            <w:r>
              <w:rPr>
                <w:rFonts w:hint="eastAsia" w:cs="Times New Roman"/>
                <w:color w:val="auto"/>
                <w:sz w:val="21"/>
                <w:szCs w:val="21"/>
                <w:highlight w:val="none"/>
                <w:shd w:val="clear" w:color="auto" w:fill="FFFFFF"/>
                <w:lang w:val="en-US" w:eastAsia="zh-CN"/>
              </w:rPr>
              <w:t>橡胶制品</w:t>
            </w:r>
            <w:r>
              <w:rPr>
                <w:rFonts w:hint="default" w:ascii="Times New Roman" w:hAnsi="Times New Roman" w:cs="Times New Roman"/>
                <w:color w:val="auto"/>
                <w:highlight w:val="none"/>
                <w:vertAlign w:val="baseline"/>
                <w:lang w:eastAsia="zh-CN"/>
              </w:rPr>
              <w:t>项目</w:t>
            </w:r>
            <w:r>
              <w:rPr>
                <w:rFonts w:hint="default" w:ascii="Times New Roman" w:hAnsi="Times New Roman" w:cs="Times New Roman"/>
                <w:color w:val="auto"/>
                <w:highlight w:val="none"/>
                <w:vertAlign w:val="baseline"/>
                <w:lang w:val="en-US" w:eastAsia="zh-CN"/>
              </w:rPr>
              <w:t>环境风险潜势为I级，属于低风险项目，项目</w:t>
            </w:r>
            <w:r>
              <w:rPr>
                <w:rFonts w:hint="default" w:ascii="Times New Roman" w:hAnsi="Times New Roman" w:cs="Times New Roman"/>
                <w:color w:val="auto"/>
                <w:highlight w:val="none"/>
                <w:vertAlign w:val="baseline"/>
                <w:lang w:eastAsia="zh-CN"/>
              </w:rPr>
              <w:t>的建设满足环境风险管控要求</w:t>
            </w:r>
          </w:p>
        </w:tc>
        <w:tc>
          <w:tcPr>
            <w:tcW w:w="922" w:type="dxa"/>
            <w:tcBorders>
              <w:tl2br w:val="nil"/>
              <w:tr2bl w:val="nil"/>
            </w:tcBorders>
            <w:noWrap w:val="0"/>
            <w:vAlign w:val="center"/>
          </w:tcPr>
          <w:p w14:paraId="43F32D18">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vertAlign w:val="baseline"/>
                <w:lang w:eastAsia="zh-CN"/>
              </w:rPr>
              <w:t>符合</w:t>
            </w:r>
          </w:p>
        </w:tc>
      </w:tr>
      <w:tr w14:paraId="6D938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77" w:type="dxa"/>
            <w:vMerge w:val="continue"/>
            <w:tcBorders>
              <w:tl2br w:val="nil"/>
              <w:tr2bl w:val="nil"/>
            </w:tcBorders>
            <w:noWrap w:val="0"/>
            <w:vAlign w:val="center"/>
          </w:tcPr>
          <w:p w14:paraId="2BAABC8F">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1B7D459C">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70F84F39">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eastAsia="zh-CN"/>
              </w:rPr>
              <w:t>资源开发利用效率</w:t>
            </w:r>
          </w:p>
        </w:tc>
        <w:tc>
          <w:tcPr>
            <w:tcW w:w="7590" w:type="dxa"/>
            <w:tcBorders>
              <w:tl2br w:val="nil"/>
              <w:tr2bl w:val="nil"/>
            </w:tcBorders>
            <w:noWrap w:val="0"/>
            <w:vAlign w:val="center"/>
          </w:tcPr>
          <w:p w14:paraId="3FC5D045">
            <w:pPr>
              <w:pStyle w:val="8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614B5570">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0E10F37F">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1.到2025年，万元工业增加值用水量下降到32.0m3/万元，重复利用率提高到84%；</w:t>
            </w:r>
          </w:p>
          <w:p w14:paraId="1C9BB84C">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2.至2030年，万元工业增加值用水量进一步减少为28.0m3/万元，重复利用率提高到85%；</w:t>
            </w:r>
          </w:p>
          <w:p w14:paraId="016011F4">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3.新、改扩建项目水耗指标满足《四川省省级生态工业园区指标》综合类生态工业园区要求。</w:t>
            </w:r>
          </w:p>
          <w:p w14:paraId="1A7B1E4F">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2D55E099">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全面建设节水型社会，达到合理高效用水。</w:t>
            </w:r>
          </w:p>
          <w:p w14:paraId="226F157F">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7509035C">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1.扩大高污染燃料禁燃区范围，在市、县（区）、镇（乡）建成区全面实施“煤改气”“煤改电”。</w:t>
            </w:r>
          </w:p>
          <w:p w14:paraId="5BC8032D">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2.新、改扩建项目能耗指标满足《四川省省级生态工业园区指标》综合类生态工业园区要求。</w:t>
            </w:r>
          </w:p>
          <w:p w14:paraId="3D1D7C9E">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3.实施新建项目与煤炭消费总量控制挂钩机制，耗煤建设项目实行煤炭消耗等量减量替代。</w:t>
            </w:r>
          </w:p>
          <w:p w14:paraId="0164F18B">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4.提高煤炭利用效率和天然气利用占比，工业领域有序推进“煤改电”和“煤改气”。</w:t>
            </w:r>
          </w:p>
          <w:p w14:paraId="5B4A81E4">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5.到2030年，能源消费总量控制在1000万吨标准煤以内。</w:t>
            </w:r>
          </w:p>
          <w:p w14:paraId="0629FBC1">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2E826C93">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1.禁燃区内禁止燃烧以下高污染燃料：</w:t>
            </w:r>
          </w:p>
          <w:p w14:paraId="04FF70D7">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（1）煤炭及其制品（包括原煤、散煤、煤矸石、煤泥、煤粉、水浆煤、型煤、焦炭、兰炭、油类等常规燃料）。</w:t>
            </w:r>
          </w:p>
          <w:p w14:paraId="70902B3A">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（2）石油焦、油页岩、原油、重油、渣油、煤焦油。</w:t>
            </w:r>
          </w:p>
          <w:p w14:paraId="71215B3C">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（3）非专用锅炉或未配置高效除尘设施的专用锅炉燃用的生物质成型燃料。</w:t>
            </w:r>
          </w:p>
          <w:p w14:paraId="4BC31C10">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2.禁燃区内禁止新建、扩建燃用高污染燃料的锅炉、炉窑、炉灶等燃烧设施（集中供热、电厂锅炉除外）。</w:t>
            </w:r>
          </w:p>
          <w:p w14:paraId="50E233F7">
            <w:pPr>
              <w:pStyle w:val="82"/>
              <w:widowControl w:val="0"/>
              <w:spacing w:line="360" w:lineRule="auto"/>
              <w:ind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3.自2020年1月1日起，禁燃区内禁止销售高污染燃料。</w:t>
            </w:r>
          </w:p>
          <w:p w14:paraId="0432B9CF">
            <w:pPr>
              <w:pStyle w:val="82"/>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4.加强对集中供热、电厂锅炉、10蒸吨/时以上的在用燃煤锅炉以及改用清洁能源前的在用锅炉等燃烧设施的监管，确保达标排放。</w:t>
            </w:r>
          </w:p>
        </w:tc>
        <w:tc>
          <w:tcPr>
            <w:tcW w:w="1737" w:type="dxa"/>
            <w:tcBorders>
              <w:tl2br w:val="nil"/>
              <w:tr2bl w:val="nil"/>
            </w:tcBorders>
            <w:noWrap w:val="0"/>
            <w:vAlign w:val="center"/>
          </w:tcPr>
          <w:p w14:paraId="576CA5B2">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eastAsia="zh-CN"/>
              </w:rPr>
              <w:t>项目属于</w:t>
            </w:r>
            <w:r>
              <w:rPr>
                <w:rFonts w:hint="eastAsia" w:cs="Times New Roman"/>
                <w:color w:val="auto"/>
                <w:sz w:val="21"/>
                <w:szCs w:val="21"/>
                <w:highlight w:val="none"/>
                <w:shd w:val="clear" w:color="auto" w:fill="FFFFFF"/>
                <w:lang w:val="en-US" w:eastAsia="zh-CN"/>
              </w:rPr>
              <w:t>橡胶制品制造</w:t>
            </w:r>
            <w:r>
              <w:rPr>
                <w:rFonts w:hint="default" w:ascii="Times New Roman" w:hAnsi="Times New Roman" w:cs="Times New Roman"/>
                <w:color w:val="auto"/>
                <w:highlight w:val="none"/>
                <w:vertAlign w:val="baseline"/>
                <w:lang w:eastAsia="zh-CN"/>
              </w:rPr>
              <w:t>，项目不开采资源，无高污染燃料使用。</w:t>
            </w:r>
          </w:p>
        </w:tc>
        <w:tc>
          <w:tcPr>
            <w:tcW w:w="922" w:type="dxa"/>
            <w:tcBorders>
              <w:tl2br w:val="nil"/>
              <w:tr2bl w:val="nil"/>
            </w:tcBorders>
            <w:noWrap w:val="0"/>
            <w:vAlign w:val="center"/>
          </w:tcPr>
          <w:p w14:paraId="778014CD">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vertAlign w:val="baseline"/>
                <w:lang w:eastAsia="zh-CN"/>
              </w:rPr>
              <w:t>符合</w:t>
            </w:r>
          </w:p>
        </w:tc>
      </w:tr>
      <w:tr w14:paraId="77882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restart"/>
            <w:tcBorders>
              <w:tl2br w:val="nil"/>
              <w:tr2bl w:val="nil"/>
            </w:tcBorders>
            <w:noWrap w:val="0"/>
            <w:vAlign w:val="center"/>
          </w:tcPr>
          <w:p w14:paraId="722D0E82">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Style w:val="25"/>
                <w:rFonts w:hint="default" w:ascii="Times New Roman" w:hAnsi="Times New Roman" w:eastAsia="宋体" w:cs="Times New Roman"/>
                <w:color w:val="auto"/>
                <w:kern w:val="2"/>
                <w:sz w:val="21"/>
                <w:szCs w:val="21"/>
                <w:highlight w:val="none"/>
                <w:lang w:val="en-US" w:eastAsia="zh-CN" w:bidi="ar-SA"/>
              </w:rPr>
              <w:t>YS5109232310001大英县工业集中发展区(含经开区)</w:t>
            </w:r>
          </w:p>
        </w:tc>
        <w:tc>
          <w:tcPr>
            <w:tcW w:w="682" w:type="dxa"/>
            <w:vMerge w:val="restart"/>
            <w:tcBorders>
              <w:tl2br w:val="nil"/>
              <w:tr2bl w:val="nil"/>
            </w:tcBorders>
            <w:noWrap w:val="0"/>
            <w:vAlign w:val="center"/>
          </w:tcPr>
          <w:p w14:paraId="076E1193">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vertAlign w:val="baseline"/>
                <w:lang w:val="en-US" w:eastAsia="zh-CN"/>
              </w:rPr>
              <w:t>单元级</w:t>
            </w:r>
            <w:r>
              <w:rPr>
                <w:rFonts w:hint="default" w:ascii="Times New Roman" w:hAnsi="Times New Roman" w:cs="Times New Roman"/>
                <w:color w:val="auto"/>
                <w:highlight w:val="none"/>
                <w:vertAlign w:val="baseline"/>
                <w:lang w:eastAsia="zh-CN"/>
              </w:rPr>
              <w:t>清单管控要求</w:t>
            </w:r>
          </w:p>
        </w:tc>
        <w:tc>
          <w:tcPr>
            <w:tcW w:w="1650" w:type="dxa"/>
            <w:tcBorders>
              <w:tl2br w:val="nil"/>
              <w:tr2bl w:val="nil"/>
            </w:tcBorders>
            <w:noWrap w:val="0"/>
            <w:vAlign w:val="center"/>
          </w:tcPr>
          <w:p w14:paraId="005511A5">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空间布局约束</w:t>
            </w:r>
          </w:p>
        </w:tc>
        <w:tc>
          <w:tcPr>
            <w:tcW w:w="7590" w:type="dxa"/>
            <w:tcBorders>
              <w:tl2br w:val="nil"/>
              <w:tr2bl w:val="nil"/>
            </w:tcBorders>
            <w:noWrap w:val="0"/>
            <w:vAlign w:val="center"/>
          </w:tcPr>
          <w:p w14:paraId="0AC1F18E">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禁止开发建设活动的要求</w:t>
            </w:r>
          </w:p>
          <w:p w14:paraId="400C7984">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273B7724">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限制开发建设活动的要求</w:t>
            </w:r>
          </w:p>
          <w:p w14:paraId="4F93AA12">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35ECDD9A">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允许开发建设活动的要求</w:t>
            </w:r>
          </w:p>
          <w:p w14:paraId="2BB8549F">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791E880C">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不符合空间布局要求活动的退出要求</w:t>
            </w:r>
          </w:p>
          <w:p w14:paraId="0058DBAE">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4573618E">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其他空间布局约束要求</w:t>
            </w:r>
          </w:p>
          <w:p w14:paraId="027553CC">
            <w:pPr>
              <w:pStyle w:val="82"/>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37" w:type="dxa"/>
            <w:tcBorders>
              <w:tl2br w:val="nil"/>
              <w:tr2bl w:val="nil"/>
            </w:tcBorders>
            <w:noWrap w:val="0"/>
            <w:vAlign w:val="center"/>
          </w:tcPr>
          <w:p w14:paraId="0FFAE041">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本项目属于</w:t>
            </w:r>
            <w:r>
              <w:rPr>
                <w:rFonts w:hint="eastAsia" w:cs="Times New Roman"/>
                <w:color w:val="auto"/>
                <w:sz w:val="21"/>
                <w:szCs w:val="21"/>
                <w:highlight w:val="none"/>
                <w:shd w:val="clear" w:color="auto" w:fill="FFFFFF"/>
                <w:lang w:val="en-US" w:eastAsia="zh-CN"/>
              </w:rPr>
              <w:t>橡胶制品制造项目</w:t>
            </w:r>
            <w:r>
              <w:rPr>
                <w:rStyle w:val="25"/>
                <w:rFonts w:hint="default" w:ascii="Times New Roman" w:hAnsi="Times New Roman" w:eastAsia="宋体" w:cs="Times New Roman"/>
                <w:color w:val="auto"/>
                <w:kern w:val="0"/>
                <w:sz w:val="21"/>
                <w:szCs w:val="21"/>
                <w:highlight w:val="none"/>
                <w:lang w:val="en-US" w:eastAsia="zh-CN" w:bidi="ar-SA"/>
              </w:rPr>
              <w:t>，项目的建设不属于禁止和限制开发情况，因此项目的建设符合空间布局约束要求。</w:t>
            </w:r>
          </w:p>
        </w:tc>
        <w:tc>
          <w:tcPr>
            <w:tcW w:w="922" w:type="dxa"/>
            <w:tcBorders>
              <w:tl2br w:val="nil"/>
              <w:tr2bl w:val="nil"/>
            </w:tcBorders>
            <w:noWrap w:val="0"/>
            <w:vAlign w:val="center"/>
          </w:tcPr>
          <w:p w14:paraId="1F6CA93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符合</w:t>
            </w:r>
          </w:p>
        </w:tc>
      </w:tr>
      <w:tr w14:paraId="78168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29FBF96F">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6FB49FEF">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49C573E0">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eastAsia="zh-CN"/>
              </w:rPr>
              <w:t>污染物排放管控</w:t>
            </w:r>
          </w:p>
        </w:tc>
        <w:tc>
          <w:tcPr>
            <w:tcW w:w="7590" w:type="dxa"/>
            <w:tcBorders>
              <w:tl2br w:val="nil"/>
              <w:tr2bl w:val="nil"/>
            </w:tcBorders>
            <w:noWrap w:val="0"/>
            <w:vAlign w:val="center"/>
          </w:tcPr>
          <w:p w14:paraId="1B44D217">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大气环境质量执行标准</w:t>
            </w:r>
          </w:p>
          <w:p w14:paraId="0F7C2379">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《环境空气质量标准》（GB3095-2012）：二级</w:t>
            </w:r>
          </w:p>
          <w:p w14:paraId="337BBB2F">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区域大气污染物削减/替代要求</w:t>
            </w:r>
          </w:p>
          <w:p w14:paraId="4CB1249D">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78AD88A2">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燃煤和其他能源大气污染控制要求</w:t>
            </w:r>
          </w:p>
          <w:p w14:paraId="4C8B5A81">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696E93EB">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工业废气污染控制要求</w:t>
            </w:r>
          </w:p>
          <w:p w14:paraId="058E2CE4">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1.</w:t>
            </w:r>
            <w:r>
              <w:rPr>
                <w:rStyle w:val="25"/>
                <w:rFonts w:hint="default" w:ascii="Times New Roman" w:hAnsi="Times New Roman" w:eastAsia="宋体" w:cs="Times New Roman"/>
                <w:color w:val="auto"/>
                <w:kern w:val="2"/>
                <w:sz w:val="21"/>
                <w:szCs w:val="21"/>
                <w:highlight w:val="none"/>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w:t>
            </w:r>
          </w:p>
          <w:p w14:paraId="2E4A0BB3">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2.</w:t>
            </w:r>
            <w:r>
              <w:rPr>
                <w:rStyle w:val="25"/>
                <w:rFonts w:hint="default" w:ascii="Times New Roman" w:hAnsi="Times New Roman" w:eastAsia="宋体" w:cs="Times New Roman"/>
                <w:color w:val="auto"/>
                <w:kern w:val="2"/>
                <w:sz w:val="21"/>
                <w:szCs w:val="21"/>
                <w:highlight w:val="none"/>
                <w:lang w:val="en-US" w:eastAsia="zh-CN" w:bidi="ar-SA"/>
              </w:rPr>
              <w:t>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1F6E42B6">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机动车船大气污染控制要求</w:t>
            </w:r>
          </w:p>
          <w:p w14:paraId="28C190E3">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77A82168">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扬尘污染控制要求</w:t>
            </w:r>
          </w:p>
          <w:p w14:paraId="58174C2E">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38AA36B5">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农业生产经营活动大气污染控制要求</w:t>
            </w:r>
          </w:p>
          <w:p w14:paraId="2D3B2AB5">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209248A5">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重点行业企业专项治理要求</w:t>
            </w:r>
          </w:p>
          <w:p w14:paraId="71BE279E">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14:paraId="18D8427D">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其他大气污染物排放管控要求</w:t>
            </w:r>
          </w:p>
          <w:p w14:paraId="48F729D9">
            <w:pPr>
              <w:pStyle w:val="82"/>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37" w:type="dxa"/>
            <w:tcBorders>
              <w:tl2br w:val="nil"/>
              <w:tr2bl w:val="nil"/>
            </w:tcBorders>
            <w:noWrap w:val="0"/>
            <w:vAlign w:val="center"/>
          </w:tcPr>
          <w:p w14:paraId="601D422F">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val="en-US" w:eastAsia="zh-CN"/>
              </w:rPr>
              <w:t>根据</w:t>
            </w:r>
            <w:r>
              <w:rPr>
                <w:rFonts w:hint="default" w:ascii="Times New Roman" w:hAnsi="Times New Roman" w:cs="Times New Roman"/>
                <w:color w:val="auto"/>
                <w:highlight w:val="none"/>
                <w:vertAlign w:val="baseline"/>
                <w:lang w:eastAsia="zh-CN"/>
              </w:rPr>
              <w:t>本项目</w:t>
            </w:r>
            <w:r>
              <w:rPr>
                <w:rFonts w:hint="default" w:ascii="Times New Roman" w:hAnsi="Times New Roman" w:cs="Times New Roman"/>
                <w:color w:val="auto"/>
                <w:highlight w:val="none"/>
                <w:vertAlign w:val="baseline"/>
                <w:lang w:val="en-US" w:eastAsia="zh-CN"/>
              </w:rPr>
              <w:t>实际情况，本项目</w:t>
            </w:r>
            <w:r>
              <w:rPr>
                <w:rFonts w:hint="eastAsia" w:cs="Times New Roman"/>
                <w:color w:val="auto"/>
                <w:highlight w:val="none"/>
                <w:vertAlign w:val="baseline"/>
                <w:lang w:val="en-US" w:eastAsia="zh-CN"/>
              </w:rPr>
              <w:t>污水</w:t>
            </w:r>
            <w:r>
              <w:rPr>
                <w:rFonts w:hint="default" w:ascii="Times New Roman" w:hAnsi="Times New Roman" w:cs="Times New Roman"/>
                <w:color w:val="auto"/>
                <w:highlight w:val="none"/>
                <w:vertAlign w:val="baseline"/>
                <w:lang w:val="en-US" w:eastAsia="zh-CN"/>
              </w:rPr>
              <w:t>排入</w:t>
            </w:r>
            <w:r>
              <w:rPr>
                <w:rFonts w:hint="eastAsia" w:cs="Times New Roman"/>
                <w:color w:val="auto"/>
                <w:highlight w:val="none"/>
                <w:vertAlign w:val="baseline"/>
                <w:lang w:val="en-US" w:eastAsia="zh-CN"/>
              </w:rPr>
              <w:t>大英县工业污水处理厂</w:t>
            </w:r>
            <w:r>
              <w:rPr>
                <w:rFonts w:hint="default" w:ascii="Times New Roman" w:hAnsi="Times New Roman" w:cs="Times New Roman"/>
                <w:color w:val="auto"/>
                <w:highlight w:val="none"/>
                <w:vertAlign w:val="baseline"/>
                <w:lang w:val="en-US" w:eastAsia="zh-CN"/>
              </w:rPr>
              <w:t>处理，</w:t>
            </w:r>
            <w:r>
              <w:rPr>
                <w:rFonts w:hint="eastAsia" w:cs="Times New Roman"/>
                <w:color w:val="auto"/>
                <w:highlight w:val="none"/>
                <w:vertAlign w:val="baseline"/>
                <w:lang w:val="en-US" w:eastAsia="zh-CN"/>
              </w:rPr>
              <w:t>项目锅炉采用天然气作为燃料，以实现低排放，本项目不属于涉及VOCs的重点行业，根据分析本</w:t>
            </w:r>
            <w:r>
              <w:rPr>
                <w:rFonts w:hint="default" w:ascii="Times New Roman" w:hAnsi="Times New Roman" w:cs="Times New Roman"/>
                <w:color w:val="auto"/>
                <w:highlight w:val="none"/>
                <w:vertAlign w:val="baseline"/>
                <w:lang w:val="en-US" w:eastAsia="zh-CN"/>
              </w:rPr>
              <w:t>项目污染物排放满足排放管控要求</w:t>
            </w:r>
            <w:r>
              <w:rPr>
                <w:rStyle w:val="25"/>
                <w:rFonts w:hint="default" w:ascii="Times New Roman" w:hAnsi="Times New Roman" w:eastAsia="宋体" w:cs="Times New Roman"/>
                <w:color w:val="auto"/>
                <w:kern w:val="0"/>
                <w:sz w:val="21"/>
                <w:szCs w:val="21"/>
                <w:highlight w:val="none"/>
                <w:lang w:val="en-US" w:eastAsia="zh-CN" w:bidi="ar-SA"/>
              </w:rPr>
              <w:t>。</w:t>
            </w:r>
          </w:p>
        </w:tc>
        <w:tc>
          <w:tcPr>
            <w:tcW w:w="922" w:type="dxa"/>
            <w:tcBorders>
              <w:tl2br w:val="nil"/>
              <w:tr2bl w:val="nil"/>
            </w:tcBorders>
            <w:noWrap w:val="0"/>
            <w:vAlign w:val="center"/>
          </w:tcPr>
          <w:p w14:paraId="2EFC144D">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符合</w:t>
            </w:r>
          </w:p>
        </w:tc>
      </w:tr>
      <w:tr w14:paraId="773E86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239CF090">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68D34065">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7C0E2BF5">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环境风险管控</w:t>
            </w:r>
          </w:p>
        </w:tc>
        <w:tc>
          <w:tcPr>
            <w:tcW w:w="7590" w:type="dxa"/>
            <w:tcBorders>
              <w:tl2br w:val="nil"/>
              <w:tr2bl w:val="nil"/>
            </w:tcBorders>
            <w:noWrap w:val="0"/>
            <w:vAlign w:val="center"/>
          </w:tcPr>
          <w:p w14:paraId="596B0A37">
            <w:pPr>
              <w:pStyle w:val="82"/>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eastAsia="宋体" w:cs="Times New Roman"/>
                <w:color w:val="auto"/>
                <w:kern w:val="2"/>
                <w:sz w:val="21"/>
                <w:szCs w:val="24"/>
                <w:highlight w:val="none"/>
                <w:vertAlign w:val="baseline"/>
                <w:lang w:val="en-US" w:eastAsia="zh-CN" w:bidi="ar-SA"/>
              </w:rPr>
              <w:t>/</w:t>
            </w:r>
          </w:p>
        </w:tc>
        <w:tc>
          <w:tcPr>
            <w:tcW w:w="1737" w:type="dxa"/>
            <w:tcBorders>
              <w:tl2br w:val="nil"/>
              <w:tr2bl w:val="nil"/>
            </w:tcBorders>
            <w:noWrap w:val="0"/>
            <w:vAlign w:val="center"/>
          </w:tcPr>
          <w:p w14:paraId="2AA7294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w:t>
            </w:r>
          </w:p>
        </w:tc>
        <w:tc>
          <w:tcPr>
            <w:tcW w:w="922" w:type="dxa"/>
            <w:tcBorders>
              <w:tl2br w:val="nil"/>
              <w:tr2bl w:val="nil"/>
            </w:tcBorders>
            <w:noWrap w:val="0"/>
            <w:vAlign w:val="center"/>
          </w:tcPr>
          <w:p w14:paraId="2DAFAE8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w:t>
            </w:r>
          </w:p>
        </w:tc>
      </w:tr>
      <w:tr w14:paraId="21C5A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10434136">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7290A8C3">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4066CCB4">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资源开发利用效率</w:t>
            </w:r>
          </w:p>
        </w:tc>
        <w:tc>
          <w:tcPr>
            <w:tcW w:w="7590" w:type="dxa"/>
            <w:tcBorders>
              <w:tl2br w:val="nil"/>
              <w:tr2bl w:val="nil"/>
            </w:tcBorders>
            <w:noWrap w:val="0"/>
            <w:vAlign w:val="center"/>
          </w:tcPr>
          <w:p w14:paraId="507C96DB">
            <w:pPr>
              <w:pStyle w:val="82"/>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eastAsia="宋体" w:cs="Times New Roman"/>
                <w:color w:val="auto"/>
                <w:kern w:val="2"/>
                <w:sz w:val="21"/>
                <w:szCs w:val="24"/>
                <w:highlight w:val="none"/>
                <w:vertAlign w:val="baseline"/>
                <w:lang w:val="en-US" w:eastAsia="zh-CN" w:bidi="ar-SA"/>
              </w:rPr>
              <w:t>/</w:t>
            </w:r>
          </w:p>
        </w:tc>
        <w:tc>
          <w:tcPr>
            <w:tcW w:w="1737" w:type="dxa"/>
            <w:tcBorders>
              <w:tl2br w:val="nil"/>
              <w:tr2bl w:val="nil"/>
            </w:tcBorders>
            <w:noWrap w:val="0"/>
            <w:vAlign w:val="center"/>
          </w:tcPr>
          <w:p w14:paraId="48F4FF4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w:t>
            </w:r>
          </w:p>
        </w:tc>
        <w:tc>
          <w:tcPr>
            <w:tcW w:w="922" w:type="dxa"/>
            <w:tcBorders>
              <w:tl2br w:val="nil"/>
              <w:tr2bl w:val="nil"/>
            </w:tcBorders>
            <w:noWrap w:val="0"/>
            <w:vAlign w:val="center"/>
          </w:tcPr>
          <w:p w14:paraId="5B801F9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w:t>
            </w:r>
          </w:p>
        </w:tc>
      </w:tr>
      <w:tr w14:paraId="68D26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restart"/>
            <w:tcBorders>
              <w:tl2br w:val="nil"/>
              <w:tr2bl w:val="nil"/>
            </w:tcBorders>
            <w:noWrap w:val="0"/>
            <w:vAlign w:val="center"/>
          </w:tcPr>
          <w:p w14:paraId="75293BB3">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Style w:val="25"/>
                <w:rFonts w:hint="default" w:ascii="Times New Roman" w:hAnsi="Times New Roman" w:eastAsia="宋体" w:cs="Times New Roman"/>
                <w:color w:val="auto"/>
                <w:kern w:val="2"/>
                <w:sz w:val="21"/>
                <w:szCs w:val="21"/>
                <w:highlight w:val="none"/>
                <w:lang w:val="en-US" w:eastAsia="zh-CN" w:bidi="ar-SA"/>
              </w:rPr>
              <w:t>YS5109232530001大英县城镇开发边界</w:t>
            </w:r>
          </w:p>
        </w:tc>
        <w:tc>
          <w:tcPr>
            <w:tcW w:w="682" w:type="dxa"/>
            <w:vMerge w:val="restart"/>
            <w:tcBorders>
              <w:tl2br w:val="nil"/>
              <w:tr2bl w:val="nil"/>
            </w:tcBorders>
            <w:noWrap w:val="0"/>
            <w:vAlign w:val="center"/>
          </w:tcPr>
          <w:p w14:paraId="6317E39E">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vertAlign w:val="baseline"/>
                <w:lang w:val="en-US" w:eastAsia="zh-CN"/>
              </w:rPr>
              <w:t>单元级</w:t>
            </w:r>
            <w:r>
              <w:rPr>
                <w:rFonts w:hint="default" w:ascii="Times New Roman" w:hAnsi="Times New Roman" w:cs="Times New Roman"/>
                <w:color w:val="auto"/>
                <w:highlight w:val="none"/>
                <w:vertAlign w:val="baseline"/>
                <w:lang w:eastAsia="zh-CN"/>
              </w:rPr>
              <w:t>清单管控要求</w:t>
            </w:r>
          </w:p>
        </w:tc>
        <w:tc>
          <w:tcPr>
            <w:tcW w:w="1650" w:type="dxa"/>
            <w:tcBorders>
              <w:tl2br w:val="nil"/>
              <w:tr2bl w:val="nil"/>
            </w:tcBorders>
            <w:noWrap w:val="0"/>
            <w:vAlign w:val="center"/>
          </w:tcPr>
          <w:p w14:paraId="2E98F3B2">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空间布局约束</w:t>
            </w:r>
          </w:p>
        </w:tc>
        <w:tc>
          <w:tcPr>
            <w:tcW w:w="7590" w:type="dxa"/>
            <w:tcBorders>
              <w:tl2br w:val="nil"/>
              <w:tr2bl w:val="nil"/>
            </w:tcBorders>
            <w:noWrap w:val="0"/>
            <w:vAlign w:val="center"/>
          </w:tcPr>
          <w:p w14:paraId="283CD432">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1737" w:type="dxa"/>
            <w:tcBorders>
              <w:tl2br w:val="nil"/>
              <w:tr2bl w:val="nil"/>
            </w:tcBorders>
            <w:noWrap w:val="0"/>
            <w:vAlign w:val="center"/>
          </w:tcPr>
          <w:p w14:paraId="1B2A765B">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本项目在</w:t>
            </w:r>
            <w:r>
              <w:rPr>
                <w:rFonts w:hint="eastAsia" w:cs="Times New Roman"/>
                <w:color w:val="auto"/>
                <w:highlight w:val="none"/>
                <w:vertAlign w:val="baseline"/>
                <w:lang w:val="en-US" w:eastAsia="zh-CN"/>
              </w:rPr>
              <w:t>公司既有</w:t>
            </w:r>
            <w:r>
              <w:rPr>
                <w:rFonts w:hint="default" w:ascii="Times New Roman" w:hAnsi="Times New Roman" w:cs="Times New Roman"/>
                <w:color w:val="auto"/>
                <w:highlight w:val="none"/>
                <w:vertAlign w:val="baseline"/>
                <w:lang w:val="en-US" w:eastAsia="zh-CN"/>
              </w:rPr>
              <w:t>厂房</w:t>
            </w:r>
            <w:r>
              <w:rPr>
                <w:rFonts w:hint="eastAsia" w:cs="Times New Roman"/>
                <w:color w:val="auto"/>
                <w:highlight w:val="none"/>
                <w:vertAlign w:val="baseline"/>
                <w:lang w:val="en-US" w:eastAsia="zh-CN"/>
              </w:rPr>
              <w:t>内</w:t>
            </w:r>
            <w:r>
              <w:rPr>
                <w:rFonts w:hint="default" w:ascii="Times New Roman" w:hAnsi="Times New Roman" w:cs="Times New Roman"/>
                <w:color w:val="auto"/>
                <w:highlight w:val="none"/>
                <w:vertAlign w:val="baseline"/>
                <w:lang w:val="en-US" w:eastAsia="zh-CN"/>
              </w:rPr>
              <w:t>建设，项目地点满足空间布局约束要求</w:t>
            </w:r>
          </w:p>
        </w:tc>
        <w:tc>
          <w:tcPr>
            <w:tcW w:w="922" w:type="dxa"/>
            <w:tcBorders>
              <w:tl2br w:val="nil"/>
              <w:tr2bl w:val="nil"/>
            </w:tcBorders>
            <w:noWrap w:val="0"/>
            <w:vAlign w:val="center"/>
          </w:tcPr>
          <w:p w14:paraId="71FDA6F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val="en-US" w:eastAsia="zh-CN"/>
              </w:rPr>
              <w:t>符合</w:t>
            </w:r>
          </w:p>
        </w:tc>
      </w:tr>
      <w:tr w14:paraId="58C53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209C7570">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56150F40">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459D83A4">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污染物排放管控</w:t>
            </w:r>
          </w:p>
        </w:tc>
        <w:tc>
          <w:tcPr>
            <w:tcW w:w="7590" w:type="dxa"/>
            <w:tcBorders>
              <w:tl2br w:val="nil"/>
              <w:tr2bl w:val="nil"/>
            </w:tcBorders>
            <w:noWrap w:val="0"/>
            <w:vAlign w:val="center"/>
          </w:tcPr>
          <w:p w14:paraId="5F339B27">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37" w:type="dxa"/>
            <w:tcBorders>
              <w:tl2br w:val="nil"/>
              <w:tr2bl w:val="nil"/>
            </w:tcBorders>
            <w:noWrap w:val="0"/>
            <w:vAlign w:val="center"/>
          </w:tcPr>
          <w:p w14:paraId="11C19B9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val="en-US" w:eastAsia="zh-CN"/>
              </w:rPr>
              <w:t>无实质要求</w:t>
            </w:r>
          </w:p>
        </w:tc>
        <w:tc>
          <w:tcPr>
            <w:tcW w:w="922" w:type="dxa"/>
            <w:tcBorders>
              <w:tl2br w:val="nil"/>
              <w:tr2bl w:val="nil"/>
            </w:tcBorders>
            <w:noWrap w:val="0"/>
            <w:vAlign w:val="center"/>
          </w:tcPr>
          <w:p w14:paraId="6B0E752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eastAsia="宋体" w:cs="Times New Roman"/>
                <w:color w:val="auto"/>
                <w:kern w:val="2"/>
                <w:sz w:val="21"/>
                <w:szCs w:val="24"/>
                <w:highlight w:val="none"/>
                <w:vertAlign w:val="baseline"/>
                <w:lang w:val="en-US" w:eastAsia="zh-CN" w:bidi="ar-SA"/>
              </w:rPr>
              <w:t>/</w:t>
            </w:r>
          </w:p>
        </w:tc>
      </w:tr>
      <w:tr w14:paraId="736B0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0F6EB016">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449E777C">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0CC21D04">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环境风险管控</w:t>
            </w:r>
          </w:p>
        </w:tc>
        <w:tc>
          <w:tcPr>
            <w:tcW w:w="7590" w:type="dxa"/>
            <w:tcBorders>
              <w:tl2br w:val="nil"/>
              <w:tr2bl w:val="nil"/>
            </w:tcBorders>
            <w:noWrap w:val="0"/>
            <w:vAlign w:val="center"/>
          </w:tcPr>
          <w:p w14:paraId="7A4D07D9">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37" w:type="dxa"/>
            <w:tcBorders>
              <w:tl2br w:val="nil"/>
              <w:tr2bl w:val="nil"/>
            </w:tcBorders>
            <w:noWrap w:val="0"/>
            <w:vAlign w:val="center"/>
          </w:tcPr>
          <w:p w14:paraId="76137FD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val="en-US" w:eastAsia="zh-CN"/>
              </w:rPr>
              <w:t>无实质要求</w:t>
            </w:r>
          </w:p>
        </w:tc>
        <w:tc>
          <w:tcPr>
            <w:tcW w:w="922" w:type="dxa"/>
            <w:tcBorders>
              <w:tl2br w:val="nil"/>
              <w:tr2bl w:val="nil"/>
            </w:tcBorders>
            <w:noWrap w:val="0"/>
            <w:vAlign w:val="center"/>
          </w:tcPr>
          <w:p w14:paraId="25AE83A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eastAsia="宋体" w:cs="Times New Roman"/>
                <w:color w:val="auto"/>
                <w:kern w:val="2"/>
                <w:sz w:val="21"/>
                <w:szCs w:val="24"/>
                <w:highlight w:val="none"/>
                <w:vertAlign w:val="baseline"/>
                <w:lang w:val="en-US" w:eastAsia="zh-CN" w:bidi="ar-SA"/>
              </w:rPr>
              <w:t>/</w:t>
            </w:r>
          </w:p>
        </w:tc>
      </w:tr>
      <w:tr w14:paraId="04B8A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12536F40">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6E399F68">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696329AE">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资源开发利用效率</w:t>
            </w:r>
          </w:p>
        </w:tc>
        <w:tc>
          <w:tcPr>
            <w:tcW w:w="7590" w:type="dxa"/>
            <w:tcBorders>
              <w:tl2br w:val="nil"/>
              <w:tr2bl w:val="nil"/>
            </w:tcBorders>
            <w:noWrap w:val="0"/>
            <w:vAlign w:val="center"/>
          </w:tcPr>
          <w:p w14:paraId="23D39432">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土地资源开发效率要求</w:t>
            </w:r>
          </w:p>
          <w:p w14:paraId="0F30FD2F">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土地资源开发利用量不得超过土地资源利用上线控制性指标。</w:t>
            </w:r>
          </w:p>
          <w:p w14:paraId="085243CC">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能源资源开发效率要求</w:t>
            </w:r>
          </w:p>
          <w:p w14:paraId="46EBAAEE">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0E0ABFE0">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其他资源开发效率要求</w:t>
            </w:r>
          </w:p>
          <w:p w14:paraId="7FE9FEC1">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37" w:type="dxa"/>
            <w:tcBorders>
              <w:tl2br w:val="nil"/>
              <w:tr2bl w:val="nil"/>
            </w:tcBorders>
            <w:noWrap w:val="0"/>
            <w:vAlign w:val="center"/>
          </w:tcPr>
          <w:p w14:paraId="435DC6D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本项目在既有工业厂房内建设，不新增占地</w:t>
            </w:r>
          </w:p>
        </w:tc>
        <w:tc>
          <w:tcPr>
            <w:tcW w:w="922" w:type="dxa"/>
            <w:tcBorders>
              <w:tl2br w:val="nil"/>
              <w:tr2bl w:val="nil"/>
            </w:tcBorders>
            <w:noWrap w:val="0"/>
            <w:vAlign w:val="center"/>
          </w:tcPr>
          <w:p w14:paraId="10A3D30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符合</w:t>
            </w:r>
          </w:p>
        </w:tc>
      </w:tr>
      <w:tr w14:paraId="23184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restart"/>
            <w:tcBorders>
              <w:tl2br w:val="nil"/>
              <w:tr2bl w:val="nil"/>
            </w:tcBorders>
            <w:noWrap w:val="0"/>
            <w:vAlign w:val="center"/>
          </w:tcPr>
          <w:p w14:paraId="42913F5A">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Style w:val="25"/>
                <w:rFonts w:hint="default" w:ascii="Times New Roman" w:hAnsi="Times New Roman" w:eastAsia="宋体" w:cs="Times New Roman"/>
                <w:color w:val="auto"/>
                <w:kern w:val="2"/>
                <w:sz w:val="21"/>
                <w:szCs w:val="21"/>
                <w:highlight w:val="none"/>
                <w:lang w:val="en-US" w:eastAsia="zh-CN" w:bidi="ar-SA"/>
              </w:rPr>
              <w:t>YS5109232540002四川大英经济开发区</w:t>
            </w:r>
          </w:p>
        </w:tc>
        <w:tc>
          <w:tcPr>
            <w:tcW w:w="682" w:type="dxa"/>
            <w:vMerge w:val="restart"/>
            <w:tcBorders>
              <w:tl2br w:val="nil"/>
              <w:tr2bl w:val="nil"/>
            </w:tcBorders>
            <w:noWrap w:val="0"/>
            <w:vAlign w:val="center"/>
          </w:tcPr>
          <w:p w14:paraId="37816B51">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vertAlign w:val="baseline"/>
                <w:lang w:val="en-US" w:eastAsia="zh-CN"/>
              </w:rPr>
              <w:t>单元级</w:t>
            </w:r>
            <w:r>
              <w:rPr>
                <w:rFonts w:hint="default" w:ascii="Times New Roman" w:hAnsi="Times New Roman" w:cs="Times New Roman"/>
                <w:color w:val="auto"/>
                <w:highlight w:val="none"/>
                <w:vertAlign w:val="baseline"/>
                <w:lang w:eastAsia="zh-CN"/>
              </w:rPr>
              <w:t>清单管控要求</w:t>
            </w:r>
          </w:p>
        </w:tc>
        <w:tc>
          <w:tcPr>
            <w:tcW w:w="1650" w:type="dxa"/>
            <w:tcBorders>
              <w:tl2br w:val="nil"/>
              <w:tr2bl w:val="nil"/>
            </w:tcBorders>
            <w:noWrap w:val="0"/>
            <w:vAlign w:val="center"/>
          </w:tcPr>
          <w:p w14:paraId="454CFC61">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空间布局约束</w:t>
            </w:r>
          </w:p>
        </w:tc>
        <w:tc>
          <w:tcPr>
            <w:tcW w:w="7590" w:type="dxa"/>
            <w:tcBorders>
              <w:tl2br w:val="nil"/>
              <w:tr2bl w:val="nil"/>
            </w:tcBorders>
            <w:noWrap w:val="0"/>
            <w:vAlign w:val="center"/>
          </w:tcPr>
          <w:p w14:paraId="7079289F">
            <w:pPr>
              <w:pStyle w:val="82"/>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坚决遏制“两高一低”项目盲目发展</w:t>
            </w:r>
          </w:p>
        </w:tc>
        <w:tc>
          <w:tcPr>
            <w:tcW w:w="1737" w:type="dxa"/>
            <w:tcBorders>
              <w:tl2br w:val="nil"/>
              <w:tr2bl w:val="nil"/>
            </w:tcBorders>
            <w:noWrap w:val="0"/>
            <w:vAlign w:val="center"/>
          </w:tcPr>
          <w:p w14:paraId="2D7B50B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本项目不属于两高一低项目</w:t>
            </w:r>
          </w:p>
        </w:tc>
        <w:tc>
          <w:tcPr>
            <w:tcW w:w="922" w:type="dxa"/>
            <w:tcBorders>
              <w:tl2br w:val="nil"/>
              <w:tr2bl w:val="nil"/>
            </w:tcBorders>
            <w:noWrap w:val="0"/>
            <w:vAlign w:val="center"/>
          </w:tcPr>
          <w:p w14:paraId="7C7919F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val="en-US" w:eastAsia="zh-CN"/>
              </w:rPr>
              <w:t>符合</w:t>
            </w:r>
          </w:p>
        </w:tc>
      </w:tr>
      <w:tr w14:paraId="7AADC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2C550689">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551C23B5">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0C71F35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污染物排放管控</w:t>
            </w:r>
          </w:p>
        </w:tc>
        <w:tc>
          <w:tcPr>
            <w:tcW w:w="7590" w:type="dxa"/>
            <w:tcBorders>
              <w:tl2br w:val="nil"/>
              <w:tr2bl w:val="nil"/>
            </w:tcBorders>
            <w:noWrap w:val="0"/>
            <w:vAlign w:val="center"/>
          </w:tcPr>
          <w:p w14:paraId="7F9A3237">
            <w:pPr>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eastAsia="宋体" w:cs="Times New Roman"/>
                <w:color w:val="auto"/>
                <w:kern w:val="2"/>
                <w:sz w:val="21"/>
                <w:szCs w:val="24"/>
                <w:highlight w:val="none"/>
                <w:vertAlign w:val="baseline"/>
                <w:lang w:val="en-US" w:eastAsia="zh-CN" w:bidi="ar-SA"/>
              </w:rPr>
              <w:t>/</w:t>
            </w:r>
          </w:p>
        </w:tc>
        <w:tc>
          <w:tcPr>
            <w:tcW w:w="1737" w:type="dxa"/>
            <w:tcBorders>
              <w:tl2br w:val="nil"/>
              <w:tr2bl w:val="nil"/>
            </w:tcBorders>
            <w:noWrap w:val="0"/>
            <w:vAlign w:val="center"/>
          </w:tcPr>
          <w:p w14:paraId="1B3B715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eastAsia="宋体" w:cs="Times New Roman"/>
                <w:color w:val="auto"/>
                <w:kern w:val="2"/>
                <w:sz w:val="21"/>
                <w:szCs w:val="24"/>
                <w:highlight w:val="none"/>
                <w:vertAlign w:val="baseline"/>
                <w:lang w:val="en-US" w:eastAsia="zh-CN" w:bidi="ar-SA"/>
              </w:rPr>
              <w:t>/</w:t>
            </w:r>
          </w:p>
        </w:tc>
        <w:tc>
          <w:tcPr>
            <w:tcW w:w="922" w:type="dxa"/>
            <w:tcBorders>
              <w:tl2br w:val="nil"/>
              <w:tr2bl w:val="nil"/>
            </w:tcBorders>
            <w:noWrap w:val="0"/>
            <w:vAlign w:val="center"/>
          </w:tcPr>
          <w:p w14:paraId="090C162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eastAsia="宋体" w:cs="Times New Roman"/>
                <w:color w:val="auto"/>
                <w:kern w:val="2"/>
                <w:sz w:val="21"/>
                <w:szCs w:val="24"/>
                <w:highlight w:val="none"/>
                <w:vertAlign w:val="baseline"/>
                <w:lang w:val="en-US" w:eastAsia="zh-CN" w:bidi="ar-SA"/>
              </w:rPr>
              <w:t>/</w:t>
            </w:r>
          </w:p>
        </w:tc>
      </w:tr>
      <w:tr w14:paraId="13B22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090DB41E">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3B86453E">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54A93EF2">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环境风险管控</w:t>
            </w:r>
          </w:p>
        </w:tc>
        <w:tc>
          <w:tcPr>
            <w:tcW w:w="7590" w:type="dxa"/>
            <w:tcBorders>
              <w:tl2br w:val="nil"/>
              <w:tr2bl w:val="nil"/>
            </w:tcBorders>
            <w:noWrap w:val="0"/>
            <w:vAlign w:val="center"/>
          </w:tcPr>
          <w:p w14:paraId="2650D5A1">
            <w:pPr>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eastAsia="宋体" w:cs="Times New Roman"/>
                <w:color w:val="auto"/>
                <w:kern w:val="2"/>
                <w:sz w:val="21"/>
                <w:szCs w:val="24"/>
                <w:highlight w:val="none"/>
                <w:vertAlign w:val="baseline"/>
                <w:lang w:val="en-US" w:eastAsia="zh-CN" w:bidi="ar-SA"/>
              </w:rPr>
              <w:t>/</w:t>
            </w:r>
          </w:p>
        </w:tc>
        <w:tc>
          <w:tcPr>
            <w:tcW w:w="1737" w:type="dxa"/>
            <w:tcBorders>
              <w:tl2br w:val="nil"/>
              <w:tr2bl w:val="nil"/>
            </w:tcBorders>
            <w:noWrap w:val="0"/>
            <w:vAlign w:val="center"/>
          </w:tcPr>
          <w:p w14:paraId="20FE867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eastAsia="宋体" w:cs="Times New Roman"/>
                <w:color w:val="auto"/>
                <w:kern w:val="2"/>
                <w:sz w:val="21"/>
                <w:szCs w:val="24"/>
                <w:highlight w:val="none"/>
                <w:vertAlign w:val="baseline"/>
                <w:lang w:val="en-US" w:eastAsia="zh-CN" w:bidi="ar-SA"/>
              </w:rPr>
              <w:t>/</w:t>
            </w:r>
          </w:p>
        </w:tc>
        <w:tc>
          <w:tcPr>
            <w:tcW w:w="922" w:type="dxa"/>
            <w:tcBorders>
              <w:tl2br w:val="nil"/>
              <w:tr2bl w:val="nil"/>
            </w:tcBorders>
            <w:noWrap w:val="0"/>
            <w:vAlign w:val="center"/>
          </w:tcPr>
          <w:p w14:paraId="4B294EA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eastAsia="宋体" w:cs="Times New Roman"/>
                <w:color w:val="auto"/>
                <w:kern w:val="2"/>
                <w:sz w:val="21"/>
                <w:szCs w:val="24"/>
                <w:highlight w:val="none"/>
                <w:vertAlign w:val="baseline"/>
                <w:lang w:val="en-US" w:eastAsia="zh-CN" w:bidi="ar-SA"/>
              </w:rPr>
              <w:t>/</w:t>
            </w:r>
          </w:p>
        </w:tc>
      </w:tr>
      <w:tr w14:paraId="6C73E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5D820A94">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59F9C326">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4DBCB885">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资源开发利用效率</w:t>
            </w:r>
          </w:p>
        </w:tc>
        <w:tc>
          <w:tcPr>
            <w:tcW w:w="7590" w:type="dxa"/>
            <w:tcBorders>
              <w:tl2br w:val="nil"/>
              <w:tr2bl w:val="nil"/>
            </w:tcBorders>
            <w:noWrap w:val="0"/>
            <w:vAlign w:val="center"/>
          </w:tcPr>
          <w:p w14:paraId="255F97ED">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土地资源开发效率要求</w:t>
            </w:r>
          </w:p>
          <w:p w14:paraId="3873A6DF">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p w14:paraId="561B041E">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能源资源开发效率要求</w:t>
            </w:r>
          </w:p>
          <w:p w14:paraId="7FEC3463">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能源消耗、污染物排放不得超过能源利用上线控制性指标。</w:t>
            </w:r>
          </w:p>
          <w:p w14:paraId="3C4AF277">
            <w:pPr>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其他资源开发效率要求</w:t>
            </w:r>
          </w:p>
        </w:tc>
        <w:tc>
          <w:tcPr>
            <w:tcW w:w="1737" w:type="dxa"/>
            <w:tcBorders>
              <w:tl2br w:val="nil"/>
              <w:tr2bl w:val="nil"/>
            </w:tcBorders>
            <w:noWrap w:val="0"/>
            <w:vAlign w:val="center"/>
          </w:tcPr>
          <w:p w14:paraId="717BB74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Style w:val="25"/>
                <w:rFonts w:hint="eastAsia" w:ascii="Times New Roman" w:hAnsi="Times New Roman" w:eastAsia="宋体" w:cs="Times New Roman"/>
                <w:color w:val="auto"/>
                <w:kern w:val="2"/>
                <w:sz w:val="21"/>
                <w:szCs w:val="21"/>
                <w:highlight w:val="none"/>
                <w:lang w:val="en-US" w:eastAsia="zh-CN" w:bidi="ar-SA"/>
              </w:rPr>
              <w:t>本项目</w:t>
            </w:r>
            <w:r>
              <w:rPr>
                <w:rStyle w:val="25"/>
                <w:rFonts w:hint="default" w:ascii="Times New Roman" w:hAnsi="Times New Roman" w:eastAsia="宋体" w:cs="Times New Roman"/>
                <w:color w:val="auto"/>
                <w:kern w:val="2"/>
                <w:sz w:val="21"/>
                <w:szCs w:val="21"/>
                <w:highlight w:val="none"/>
                <w:lang w:val="en-US" w:eastAsia="zh-CN" w:bidi="ar-SA"/>
              </w:rPr>
              <w:t>能源消耗、污染物排放不得超过能源利用</w:t>
            </w:r>
            <w:r>
              <w:rPr>
                <w:rStyle w:val="25"/>
                <w:rFonts w:hint="eastAsia" w:cs="Times New Roman"/>
                <w:color w:val="auto"/>
                <w:kern w:val="2"/>
                <w:sz w:val="21"/>
                <w:szCs w:val="21"/>
                <w:highlight w:val="none"/>
                <w:lang w:val="en-US" w:eastAsia="zh-CN" w:bidi="ar-SA"/>
              </w:rPr>
              <w:t>上限</w:t>
            </w:r>
            <w:r>
              <w:rPr>
                <w:rStyle w:val="25"/>
                <w:rFonts w:hint="default" w:ascii="Times New Roman" w:hAnsi="Times New Roman" w:eastAsia="宋体" w:cs="Times New Roman"/>
                <w:color w:val="auto"/>
                <w:kern w:val="2"/>
                <w:sz w:val="21"/>
                <w:szCs w:val="21"/>
                <w:highlight w:val="none"/>
                <w:lang w:val="en-US" w:eastAsia="zh-CN" w:bidi="ar-SA"/>
              </w:rPr>
              <w:t>控制性指标</w:t>
            </w:r>
          </w:p>
        </w:tc>
        <w:tc>
          <w:tcPr>
            <w:tcW w:w="922" w:type="dxa"/>
            <w:tcBorders>
              <w:tl2br w:val="nil"/>
              <w:tr2bl w:val="nil"/>
            </w:tcBorders>
            <w:noWrap w:val="0"/>
            <w:vAlign w:val="center"/>
          </w:tcPr>
          <w:p w14:paraId="72B024B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eastAsia="宋体" w:cs="Times New Roman"/>
                <w:color w:val="auto"/>
                <w:kern w:val="2"/>
                <w:sz w:val="21"/>
                <w:szCs w:val="24"/>
                <w:highlight w:val="none"/>
                <w:vertAlign w:val="baseline"/>
                <w:lang w:val="en-US" w:eastAsia="zh-CN" w:bidi="ar-SA"/>
              </w:rPr>
              <w:t>/</w:t>
            </w:r>
          </w:p>
        </w:tc>
      </w:tr>
      <w:tr w14:paraId="015B2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restart"/>
            <w:tcBorders>
              <w:tl2br w:val="nil"/>
              <w:tr2bl w:val="nil"/>
            </w:tcBorders>
            <w:noWrap w:val="0"/>
            <w:vAlign w:val="center"/>
          </w:tcPr>
          <w:p w14:paraId="5CA762A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Style w:val="25"/>
                <w:rFonts w:hint="default" w:ascii="Times New Roman" w:hAnsi="Times New Roman" w:eastAsia="宋体" w:cs="Times New Roman"/>
                <w:color w:val="auto"/>
                <w:kern w:val="2"/>
                <w:sz w:val="21"/>
                <w:szCs w:val="21"/>
                <w:highlight w:val="none"/>
                <w:lang w:val="en-US" w:eastAsia="zh-CN" w:bidi="ar-SA"/>
              </w:rPr>
              <w:t>YS5109232550001大英县自然资源重点管控区</w:t>
            </w:r>
          </w:p>
        </w:tc>
        <w:tc>
          <w:tcPr>
            <w:tcW w:w="682" w:type="dxa"/>
            <w:vMerge w:val="restart"/>
            <w:tcBorders>
              <w:tl2br w:val="nil"/>
              <w:tr2bl w:val="nil"/>
            </w:tcBorders>
            <w:noWrap w:val="0"/>
            <w:vAlign w:val="center"/>
          </w:tcPr>
          <w:p w14:paraId="785A7735">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vertAlign w:val="baseline"/>
                <w:lang w:val="en-US" w:eastAsia="zh-CN"/>
              </w:rPr>
              <w:t>单元级</w:t>
            </w:r>
            <w:r>
              <w:rPr>
                <w:rFonts w:hint="default" w:ascii="Times New Roman" w:hAnsi="Times New Roman" w:cs="Times New Roman"/>
                <w:color w:val="auto"/>
                <w:highlight w:val="none"/>
                <w:vertAlign w:val="baseline"/>
                <w:lang w:eastAsia="zh-CN"/>
              </w:rPr>
              <w:t>清单管控要求</w:t>
            </w:r>
          </w:p>
        </w:tc>
        <w:tc>
          <w:tcPr>
            <w:tcW w:w="1650" w:type="dxa"/>
            <w:tcBorders>
              <w:tl2br w:val="nil"/>
              <w:tr2bl w:val="nil"/>
            </w:tcBorders>
            <w:noWrap w:val="0"/>
            <w:vAlign w:val="center"/>
          </w:tcPr>
          <w:p w14:paraId="1FF5951C">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空间布局约束</w:t>
            </w:r>
          </w:p>
        </w:tc>
        <w:tc>
          <w:tcPr>
            <w:tcW w:w="7590" w:type="dxa"/>
            <w:tcBorders>
              <w:tl2br w:val="nil"/>
              <w:tr2bl w:val="nil"/>
            </w:tcBorders>
            <w:noWrap w:val="0"/>
            <w:vAlign w:val="center"/>
          </w:tcPr>
          <w:p w14:paraId="0317D70F">
            <w:pPr>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kern w:val="2"/>
                <w:sz w:val="21"/>
                <w:szCs w:val="24"/>
                <w:highlight w:val="none"/>
                <w:vertAlign w:val="baseline"/>
                <w:lang w:val="en-US" w:eastAsia="zh-CN" w:bidi="ar-SA"/>
              </w:rPr>
              <w:t>/</w:t>
            </w:r>
          </w:p>
        </w:tc>
        <w:tc>
          <w:tcPr>
            <w:tcW w:w="1737" w:type="dxa"/>
            <w:tcBorders>
              <w:tl2br w:val="nil"/>
              <w:tr2bl w:val="nil"/>
            </w:tcBorders>
            <w:noWrap w:val="0"/>
            <w:vAlign w:val="center"/>
          </w:tcPr>
          <w:p w14:paraId="6E31734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eastAsia="宋体" w:cs="Times New Roman"/>
                <w:color w:val="auto"/>
                <w:kern w:val="2"/>
                <w:sz w:val="21"/>
                <w:szCs w:val="24"/>
                <w:highlight w:val="none"/>
                <w:vertAlign w:val="baseline"/>
                <w:lang w:val="en-US" w:eastAsia="zh-CN" w:bidi="ar-SA"/>
              </w:rPr>
              <w:t>/</w:t>
            </w:r>
          </w:p>
        </w:tc>
        <w:tc>
          <w:tcPr>
            <w:tcW w:w="922" w:type="dxa"/>
            <w:tcBorders>
              <w:tl2br w:val="nil"/>
              <w:tr2bl w:val="nil"/>
            </w:tcBorders>
            <w:noWrap w:val="0"/>
            <w:vAlign w:val="center"/>
          </w:tcPr>
          <w:p w14:paraId="7B863A2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eastAsia="宋体" w:cs="Times New Roman"/>
                <w:color w:val="auto"/>
                <w:kern w:val="2"/>
                <w:sz w:val="21"/>
                <w:szCs w:val="24"/>
                <w:highlight w:val="none"/>
                <w:vertAlign w:val="baseline"/>
                <w:lang w:val="en-US" w:eastAsia="zh-CN" w:bidi="ar-SA"/>
              </w:rPr>
              <w:t>/</w:t>
            </w:r>
          </w:p>
        </w:tc>
      </w:tr>
      <w:tr w14:paraId="7B378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4EB47B59">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2413AD33">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4C430194">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污染物排放管控</w:t>
            </w:r>
          </w:p>
        </w:tc>
        <w:tc>
          <w:tcPr>
            <w:tcW w:w="7590" w:type="dxa"/>
            <w:tcBorders>
              <w:tl2br w:val="nil"/>
              <w:tr2bl w:val="nil"/>
            </w:tcBorders>
            <w:noWrap w:val="0"/>
            <w:vAlign w:val="center"/>
          </w:tcPr>
          <w:p w14:paraId="09F84EA0">
            <w:pPr>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kern w:val="2"/>
                <w:sz w:val="21"/>
                <w:szCs w:val="24"/>
                <w:highlight w:val="none"/>
                <w:vertAlign w:val="baseline"/>
                <w:lang w:val="en-US" w:eastAsia="zh-CN" w:bidi="ar-SA"/>
              </w:rPr>
              <w:t>/</w:t>
            </w:r>
          </w:p>
        </w:tc>
        <w:tc>
          <w:tcPr>
            <w:tcW w:w="1737" w:type="dxa"/>
            <w:tcBorders>
              <w:tl2br w:val="nil"/>
              <w:tr2bl w:val="nil"/>
            </w:tcBorders>
            <w:noWrap w:val="0"/>
            <w:vAlign w:val="center"/>
          </w:tcPr>
          <w:p w14:paraId="49A12C9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eastAsia="宋体" w:cs="Times New Roman"/>
                <w:color w:val="auto"/>
                <w:kern w:val="2"/>
                <w:sz w:val="21"/>
                <w:szCs w:val="24"/>
                <w:highlight w:val="none"/>
                <w:vertAlign w:val="baseline"/>
                <w:lang w:val="en-US" w:eastAsia="zh-CN" w:bidi="ar-SA"/>
              </w:rPr>
              <w:t>/</w:t>
            </w:r>
          </w:p>
        </w:tc>
        <w:tc>
          <w:tcPr>
            <w:tcW w:w="922" w:type="dxa"/>
            <w:tcBorders>
              <w:tl2br w:val="nil"/>
              <w:tr2bl w:val="nil"/>
            </w:tcBorders>
            <w:noWrap w:val="0"/>
            <w:vAlign w:val="center"/>
          </w:tcPr>
          <w:p w14:paraId="7CB569D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eastAsia="宋体" w:cs="Times New Roman"/>
                <w:color w:val="auto"/>
                <w:kern w:val="2"/>
                <w:sz w:val="21"/>
                <w:szCs w:val="24"/>
                <w:highlight w:val="none"/>
                <w:vertAlign w:val="baseline"/>
                <w:lang w:val="en-US" w:eastAsia="zh-CN" w:bidi="ar-SA"/>
              </w:rPr>
              <w:t>/</w:t>
            </w:r>
          </w:p>
        </w:tc>
      </w:tr>
      <w:tr w14:paraId="3C29D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712AA961">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10826B89">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5C9A696F">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环境风险管控</w:t>
            </w:r>
          </w:p>
        </w:tc>
        <w:tc>
          <w:tcPr>
            <w:tcW w:w="7590" w:type="dxa"/>
            <w:tcBorders>
              <w:tl2br w:val="nil"/>
              <w:tr2bl w:val="nil"/>
            </w:tcBorders>
            <w:noWrap w:val="0"/>
            <w:vAlign w:val="center"/>
          </w:tcPr>
          <w:p w14:paraId="6F681936">
            <w:pPr>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kern w:val="2"/>
                <w:sz w:val="21"/>
                <w:szCs w:val="24"/>
                <w:highlight w:val="none"/>
                <w:vertAlign w:val="baseline"/>
                <w:lang w:val="en-US" w:eastAsia="zh-CN" w:bidi="ar-SA"/>
              </w:rPr>
              <w:t>/</w:t>
            </w:r>
          </w:p>
        </w:tc>
        <w:tc>
          <w:tcPr>
            <w:tcW w:w="1737" w:type="dxa"/>
            <w:tcBorders>
              <w:tl2br w:val="nil"/>
              <w:tr2bl w:val="nil"/>
            </w:tcBorders>
            <w:noWrap w:val="0"/>
            <w:vAlign w:val="center"/>
          </w:tcPr>
          <w:p w14:paraId="4D35406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eastAsia="宋体" w:cs="Times New Roman"/>
                <w:color w:val="auto"/>
                <w:kern w:val="2"/>
                <w:sz w:val="21"/>
                <w:szCs w:val="24"/>
                <w:highlight w:val="none"/>
                <w:vertAlign w:val="baseline"/>
                <w:lang w:val="en-US" w:eastAsia="zh-CN" w:bidi="ar-SA"/>
              </w:rPr>
              <w:t>/</w:t>
            </w:r>
          </w:p>
        </w:tc>
        <w:tc>
          <w:tcPr>
            <w:tcW w:w="922" w:type="dxa"/>
            <w:tcBorders>
              <w:tl2br w:val="nil"/>
              <w:tr2bl w:val="nil"/>
            </w:tcBorders>
            <w:noWrap w:val="0"/>
            <w:vAlign w:val="center"/>
          </w:tcPr>
          <w:p w14:paraId="6101D64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eastAsia="宋体" w:cs="Times New Roman"/>
                <w:color w:val="auto"/>
                <w:kern w:val="2"/>
                <w:sz w:val="21"/>
                <w:szCs w:val="24"/>
                <w:highlight w:val="none"/>
                <w:vertAlign w:val="baseline"/>
                <w:lang w:val="en-US" w:eastAsia="zh-CN" w:bidi="ar-SA"/>
              </w:rPr>
              <w:t>/</w:t>
            </w:r>
          </w:p>
        </w:tc>
      </w:tr>
      <w:tr w14:paraId="2E863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7EE2FA14">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0A64639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7A3833B8">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资源开发利用效率</w:t>
            </w:r>
          </w:p>
        </w:tc>
        <w:tc>
          <w:tcPr>
            <w:tcW w:w="7590" w:type="dxa"/>
            <w:tcBorders>
              <w:tl2br w:val="nil"/>
              <w:tr2bl w:val="nil"/>
            </w:tcBorders>
            <w:noWrap w:val="0"/>
            <w:vAlign w:val="center"/>
          </w:tcPr>
          <w:p w14:paraId="21440D80">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土地资源开发效率要求</w:t>
            </w:r>
          </w:p>
          <w:p w14:paraId="0702FFD6">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能源资源开发效率要求</w:t>
            </w:r>
          </w:p>
          <w:p w14:paraId="34E1A34F">
            <w:pPr>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其他资源开发效率要求</w:t>
            </w:r>
          </w:p>
        </w:tc>
        <w:tc>
          <w:tcPr>
            <w:tcW w:w="1737" w:type="dxa"/>
            <w:tcBorders>
              <w:tl2br w:val="nil"/>
              <w:tr2bl w:val="nil"/>
            </w:tcBorders>
            <w:noWrap w:val="0"/>
            <w:vAlign w:val="center"/>
          </w:tcPr>
          <w:p w14:paraId="209421E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eastAsia="宋体" w:cs="Times New Roman"/>
                <w:color w:val="auto"/>
                <w:kern w:val="2"/>
                <w:sz w:val="21"/>
                <w:szCs w:val="24"/>
                <w:highlight w:val="none"/>
                <w:vertAlign w:val="baseline"/>
                <w:lang w:val="en-US" w:eastAsia="zh-CN" w:bidi="ar-SA"/>
              </w:rPr>
              <w:t>/</w:t>
            </w:r>
          </w:p>
        </w:tc>
        <w:tc>
          <w:tcPr>
            <w:tcW w:w="922" w:type="dxa"/>
            <w:tcBorders>
              <w:tl2br w:val="nil"/>
              <w:tr2bl w:val="nil"/>
            </w:tcBorders>
            <w:noWrap w:val="0"/>
            <w:vAlign w:val="center"/>
          </w:tcPr>
          <w:p w14:paraId="66B3612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eastAsia="宋体" w:cs="Times New Roman"/>
                <w:color w:val="auto"/>
                <w:kern w:val="2"/>
                <w:sz w:val="21"/>
                <w:szCs w:val="24"/>
                <w:highlight w:val="none"/>
                <w:vertAlign w:val="baseline"/>
                <w:lang w:val="en-US" w:eastAsia="zh-CN" w:bidi="ar-SA"/>
              </w:rPr>
              <w:t>/</w:t>
            </w:r>
          </w:p>
        </w:tc>
      </w:tr>
      <w:tr w14:paraId="7B182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restart"/>
            <w:tcBorders>
              <w:tl2br w:val="nil"/>
              <w:tr2bl w:val="nil"/>
            </w:tcBorders>
            <w:noWrap w:val="0"/>
            <w:vAlign w:val="center"/>
          </w:tcPr>
          <w:p w14:paraId="4B26899B">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Style w:val="25"/>
                <w:rFonts w:hint="default" w:ascii="Times New Roman" w:hAnsi="Times New Roman" w:eastAsia="宋体" w:cs="Times New Roman"/>
                <w:color w:val="auto"/>
                <w:kern w:val="2"/>
                <w:sz w:val="21"/>
                <w:szCs w:val="21"/>
                <w:highlight w:val="none"/>
                <w:lang w:val="en-US" w:eastAsia="zh-CN" w:bidi="ar-SA"/>
              </w:rPr>
              <w:t>YS5109232210002郪江-大英县-郪江口-控制单元</w:t>
            </w:r>
          </w:p>
        </w:tc>
        <w:tc>
          <w:tcPr>
            <w:tcW w:w="682" w:type="dxa"/>
            <w:vMerge w:val="restart"/>
            <w:tcBorders>
              <w:tl2br w:val="nil"/>
              <w:tr2bl w:val="nil"/>
            </w:tcBorders>
            <w:noWrap w:val="0"/>
            <w:vAlign w:val="center"/>
          </w:tcPr>
          <w:p w14:paraId="59AAFAC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vertAlign w:val="baseline"/>
                <w:lang w:val="en-US" w:eastAsia="zh-CN"/>
              </w:rPr>
              <w:t>单元级</w:t>
            </w:r>
            <w:r>
              <w:rPr>
                <w:rFonts w:hint="default" w:ascii="Times New Roman" w:hAnsi="Times New Roman" w:cs="Times New Roman"/>
                <w:color w:val="auto"/>
                <w:highlight w:val="none"/>
                <w:vertAlign w:val="baseline"/>
                <w:lang w:eastAsia="zh-CN"/>
              </w:rPr>
              <w:t>清单管控要求</w:t>
            </w:r>
          </w:p>
        </w:tc>
        <w:tc>
          <w:tcPr>
            <w:tcW w:w="1650" w:type="dxa"/>
            <w:tcBorders>
              <w:tl2br w:val="nil"/>
              <w:tr2bl w:val="nil"/>
            </w:tcBorders>
            <w:noWrap w:val="0"/>
            <w:vAlign w:val="center"/>
          </w:tcPr>
          <w:p w14:paraId="637FC2CC">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空间布局约束</w:t>
            </w:r>
          </w:p>
        </w:tc>
        <w:tc>
          <w:tcPr>
            <w:tcW w:w="7590" w:type="dxa"/>
            <w:tcBorders>
              <w:tl2br w:val="nil"/>
              <w:tr2bl w:val="nil"/>
            </w:tcBorders>
            <w:noWrap w:val="0"/>
            <w:vAlign w:val="center"/>
          </w:tcPr>
          <w:p w14:paraId="1FD8E04D">
            <w:pPr>
              <w:pStyle w:val="82"/>
              <w:widowControl/>
              <w:shd w:val="clear" w:color="auto" w:fill="FFFFFF"/>
              <w:spacing w:line="240" w:lineRule="auto"/>
              <w:ind w:firstLine="0" w:firstLineChars="0"/>
              <w:jc w:val="left"/>
              <w:rPr>
                <w:rStyle w:val="25"/>
                <w:rFonts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禁止开发建设活动的要求</w:t>
            </w:r>
          </w:p>
          <w:p w14:paraId="6856AB7E">
            <w:pPr>
              <w:pStyle w:val="82"/>
              <w:widowControl/>
              <w:shd w:val="clear" w:color="auto" w:fill="FFFFFF"/>
              <w:spacing w:line="240" w:lineRule="auto"/>
              <w:ind w:firstLine="0" w:firstLineChars="0"/>
              <w:jc w:val="left"/>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限制开发建设活动的要求</w:t>
            </w:r>
          </w:p>
          <w:p w14:paraId="14294177">
            <w:pPr>
              <w:pStyle w:val="82"/>
              <w:widowControl/>
              <w:shd w:val="clear" w:color="auto" w:fill="FFFFFF"/>
              <w:spacing w:line="240" w:lineRule="auto"/>
              <w:ind w:firstLine="0" w:firstLineChars="0"/>
              <w:jc w:val="left"/>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严控磷铵、黄磷等产业违规新增产能加快退出不符合产业政策和环保要求、不满足安全生产条件的涉磷企业</w:t>
            </w:r>
          </w:p>
          <w:p w14:paraId="2FD2B3DA">
            <w:pPr>
              <w:pStyle w:val="82"/>
              <w:widowControl/>
              <w:shd w:val="clear" w:color="auto" w:fill="FFFFFF"/>
              <w:spacing w:line="240" w:lineRule="auto"/>
              <w:ind w:firstLine="0" w:firstLineChars="0"/>
              <w:jc w:val="left"/>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允许开发建设活动的要求</w:t>
            </w:r>
          </w:p>
          <w:p w14:paraId="5A9F648F">
            <w:pPr>
              <w:pStyle w:val="82"/>
              <w:widowControl/>
              <w:shd w:val="clear" w:color="auto" w:fill="FFFFFF"/>
              <w:spacing w:line="240" w:lineRule="auto"/>
              <w:ind w:firstLine="0" w:firstLineChars="0"/>
              <w:jc w:val="left"/>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不符合空间布局要求活动的退出要求</w:t>
            </w:r>
          </w:p>
          <w:p w14:paraId="5853D25D">
            <w:pPr>
              <w:widowControl w:val="0"/>
              <w:spacing w:line="360" w:lineRule="auto"/>
              <w:ind w:firstLine="0" w:firstLineChars="0"/>
              <w:jc w:val="both"/>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ascii="宋体" w:hAnsi="宋体" w:eastAsia="宋体" w:cs="Times New Roman"/>
                <w:kern w:val="2"/>
                <w:sz w:val="21"/>
                <w:szCs w:val="21"/>
                <w:lang w:val="en-US" w:eastAsia="zh-CN" w:bidi="ar-SA"/>
              </w:rPr>
              <w:t>其他空间布局约束要求</w:t>
            </w:r>
          </w:p>
        </w:tc>
        <w:tc>
          <w:tcPr>
            <w:tcW w:w="1737" w:type="dxa"/>
            <w:tcBorders>
              <w:tl2br w:val="nil"/>
              <w:tr2bl w:val="nil"/>
            </w:tcBorders>
            <w:noWrap w:val="0"/>
            <w:vAlign w:val="center"/>
          </w:tcPr>
          <w:p w14:paraId="56D48ED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eastAsia="zh-CN"/>
              </w:rPr>
              <w:t>本项目属于</w:t>
            </w:r>
            <w:r>
              <w:rPr>
                <w:rFonts w:hint="eastAsia" w:cs="Times New Roman"/>
                <w:color w:val="auto"/>
                <w:sz w:val="21"/>
                <w:szCs w:val="21"/>
                <w:highlight w:val="none"/>
                <w:shd w:val="clear" w:color="auto" w:fill="FFFFFF"/>
                <w:lang w:val="en-US" w:eastAsia="zh-CN"/>
              </w:rPr>
              <w:t>橡胶制品制造项目</w:t>
            </w:r>
            <w:r>
              <w:rPr>
                <w:rStyle w:val="25"/>
                <w:rFonts w:hint="default" w:ascii="Times New Roman" w:hAnsi="Times New Roman" w:eastAsia="宋体" w:cs="Times New Roman"/>
                <w:color w:val="auto"/>
                <w:kern w:val="0"/>
                <w:sz w:val="21"/>
                <w:szCs w:val="21"/>
                <w:highlight w:val="none"/>
                <w:lang w:val="en-US" w:eastAsia="zh-CN" w:bidi="ar-SA"/>
              </w:rPr>
              <w:t>，项目的建设不属于禁止和限制开发情况，因此项目的建设符合空间布局约束要求。</w:t>
            </w:r>
          </w:p>
        </w:tc>
        <w:tc>
          <w:tcPr>
            <w:tcW w:w="922" w:type="dxa"/>
            <w:tcBorders>
              <w:tl2br w:val="nil"/>
              <w:tr2bl w:val="nil"/>
            </w:tcBorders>
            <w:noWrap w:val="0"/>
            <w:vAlign w:val="center"/>
          </w:tcPr>
          <w:p w14:paraId="5B30485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ascii="Times New Roman" w:hAnsi="Times New Roman" w:cs="Times New Roman"/>
                <w:color w:val="auto"/>
                <w:kern w:val="2"/>
                <w:sz w:val="21"/>
                <w:szCs w:val="24"/>
                <w:highlight w:val="none"/>
                <w:vertAlign w:val="baseline"/>
                <w:lang w:val="en-US" w:eastAsia="zh-CN" w:bidi="ar-SA"/>
              </w:rPr>
              <w:t>符合</w:t>
            </w:r>
          </w:p>
        </w:tc>
      </w:tr>
      <w:tr w14:paraId="6EC95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28A8545E">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28E31F02">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7466C163">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污染物排放管控</w:t>
            </w:r>
          </w:p>
        </w:tc>
        <w:tc>
          <w:tcPr>
            <w:tcW w:w="7590" w:type="dxa"/>
            <w:tcBorders>
              <w:tl2br w:val="nil"/>
              <w:tr2bl w:val="nil"/>
            </w:tcBorders>
            <w:noWrap w:val="0"/>
            <w:vAlign w:val="center"/>
          </w:tcPr>
          <w:p w14:paraId="25680389">
            <w:pPr>
              <w:pStyle w:val="82"/>
              <w:widowControl/>
              <w:shd w:val="clear" w:color="auto" w:fill="FFFFFF"/>
              <w:spacing w:line="240" w:lineRule="auto"/>
              <w:ind w:firstLine="0" w:firstLineChars="0"/>
              <w:jc w:val="left"/>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工业废水污染控制措施要求</w:t>
            </w:r>
          </w:p>
          <w:p w14:paraId="5D73886C">
            <w:pPr>
              <w:pStyle w:val="82"/>
              <w:widowControl/>
              <w:shd w:val="clear" w:color="auto" w:fill="FFFFFF"/>
              <w:spacing w:line="240" w:lineRule="auto"/>
              <w:ind w:firstLine="0" w:firstLineChars="0"/>
              <w:jc w:val="left"/>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1.深入实施工业企业污水处理设施升级改造，全面实现工业废水达标排放。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3、化工园区应按照分类收集，分质处理的要求，配备专业化工生产废水集中处理设施（独立建设或依托骨干企业）及专管或明管输送的配套管网，化工生产废水纳管率达到100%；入河排污口设置应符合相关规定。4、加强工业园区集中污水处理设施运行监管，加强企业废水预处理和排水管理，鼓励纳管企业与园区污水处理厂运营单位通过签订委托处理合同等方式协同处理废水。5、加强新化学物质环境管理，严格执行《新化学物质环境管理登记办法》，落实企业新化学物质环境风险防控主体责任。落实国家《优先控制化学品名录（第一批）》《优先控制化学品名录（第二批）》《重点管控新污染物清单（2023年版）》环境风险管控措施。</w:t>
            </w:r>
          </w:p>
          <w:p w14:paraId="3AA66ADD">
            <w:pPr>
              <w:pStyle w:val="82"/>
              <w:widowControl/>
              <w:shd w:val="clear" w:color="auto" w:fill="FFFFFF"/>
              <w:spacing w:line="240" w:lineRule="auto"/>
              <w:ind w:firstLine="0" w:firstLineChars="0"/>
              <w:jc w:val="left"/>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农业面源水污染控制措施要求</w:t>
            </w:r>
          </w:p>
          <w:p w14:paraId="23BD9458">
            <w:pPr>
              <w:pStyle w:val="82"/>
              <w:widowControl/>
              <w:shd w:val="clear" w:color="auto" w:fill="FFFFFF"/>
              <w:spacing w:line="240" w:lineRule="auto"/>
              <w:ind w:firstLine="0" w:firstLineChars="0"/>
              <w:jc w:val="left"/>
              <w:rPr>
                <w:rStyle w:val="25"/>
                <w:rFonts w:hint="eastAsia" w:ascii="宋体" w:hAnsi="宋体" w:eastAsia="宋体" w:cs="Times New Roman"/>
                <w:kern w:val="2"/>
                <w:sz w:val="21"/>
                <w:szCs w:val="21"/>
                <w:lang w:val="en-US" w:eastAsia="zh-CN" w:bidi="ar-SA"/>
              </w:rPr>
            </w:pPr>
            <w:r>
              <w:rPr>
                <w:rStyle w:val="25"/>
                <w:rFonts w:hint="eastAsia" w:ascii="宋体" w:hAnsi="宋体" w:eastAsia="宋体" w:cs="Times New Roman"/>
                <w:kern w:val="2"/>
                <w:sz w:val="21"/>
                <w:szCs w:val="21"/>
                <w:lang w:val="en-US" w:eastAsia="zh-CN" w:bidi="ar-SA"/>
              </w:rPr>
              <w:t>船舶港口水污染控制措施要求</w:t>
            </w:r>
          </w:p>
          <w:p w14:paraId="1C30B7EC">
            <w:pPr>
              <w:widowControl w:val="0"/>
              <w:spacing w:line="360" w:lineRule="auto"/>
              <w:ind w:firstLine="0" w:firstLineChars="0"/>
              <w:jc w:val="both"/>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ascii="宋体" w:hAnsi="宋体" w:eastAsia="宋体" w:cs="Times New Roman"/>
                <w:kern w:val="2"/>
                <w:sz w:val="21"/>
                <w:szCs w:val="21"/>
                <w:lang w:val="en-US" w:eastAsia="zh-CN" w:bidi="ar-SA"/>
              </w:rPr>
              <w:t>饮用水水源和</w:t>
            </w:r>
            <w:r>
              <w:rPr>
                <w:rStyle w:val="25"/>
                <w:rFonts w:hint="eastAsia" w:ascii="宋体" w:hAnsi="宋体" w:cs="Times New Roman"/>
                <w:kern w:val="2"/>
                <w:sz w:val="21"/>
                <w:szCs w:val="21"/>
                <w:lang w:val="en-US" w:eastAsia="zh-CN" w:bidi="ar-SA"/>
              </w:rPr>
              <w:t>其他</w:t>
            </w:r>
            <w:r>
              <w:rPr>
                <w:rStyle w:val="25"/>
                <w:rFonts w:hint="eastAsia" w:ascii="宋体" w:hAnsi="宋体" w:eastAsia="宋体" w:cs="Times New Roman"/>
                <w:kern w:val="2"/>
                <w:sz w:val="21"/>
                <w:szCs w:val="21"/>
                <w:lang w:val="en-US" w:eastAsia="zh-CN" w:bidi="ar-SA"/>
              </w:rPr>
              <w:t>特殊水体保护要求</w:t>
            </w:r>
          </w:p>
        </w:tc>
        <w:tc>
          <w:tcPr>
            <w:tcW w:w="1737" w:type="dxa"/>
            <w:tcBorders>
              <w:tl2br w:val="nil"/>
              <w:tr2bl w:val="nil"/>
            </w:tcBorders>
            <w:noWrap w:val="0"/>
            <w:vAlign w:val="center"/>
          </w:tcPr>
          <w:p w14:paraId="563DB7D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cs="Times New Roman"/>
                <w:color w:val="auto"/>
                <w:highlight w:val="none"/>
                <w:vertAlign w:val="baseline"/>
                <w:lang w:val="en-US" w:eastAsia="zh-CN"/>
              </w:rPr>
              <w:t>本项目污水经处理后排入市政污水管网送大英县工业污水处理厂处理，项目的建设符合污染物排放管控要求</w:t>
            </w:r>
          </w:p>
        </w:tc>
        <w:tc>
          <w:tcPr>
            <w:tcW w:w="922" w:type="dxa"/>
            <w:tcBorders>
              <w:tl2br w:val="nil"/>
              <w:tr2bl w:val="nil"/>
            </w:tcBorders>
            <w:noWrap w:val="0"/>
            <w:vAlign w:val="center"/>
          </w:tcPr>
          <w:p w14:paraId="06143AD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eastAsia="宋体" w:cs="Times New Roman"/>
                <w:color w:val="auto"/>
                <w:kern w:val="2"/>
                <w:sz w:val="21"/>
                <w:szCs w:val="24"/>
                <w:highlight w:val="none"/>
                <w:vertAlign w:val="baseline"/>
                <w:lang w:val="en-US" w:eastAsia="zh-CN" w:bidi="ar-SA"/>
              </w:rPr>
              <w:t>/</w:t>
            </w:r>
          </w:p>
        </w:tc>
      </w:tr>
      <w:tr w14:paraId="0411D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575AA030">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36CE1AF0">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390A58AC">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环境风险管控</w:t>
            </w:r>
          </w:p>
        </w:tc>
        <w:tc>
          <w:tcPr>
            <w:tcW w:w="7590" w:type="dxa"/>
            <w:tcBorders>
              <w:tl2br w:val="nil"/>
              <w:tr2bl w:val="nil"/>
            </w:tcBorders>
            <w:noWrap w:val="0"/>
            <w:vAlign w:val="center"/>
          </w:tcPr>
          <w:p w14:paraId="7059EF06">
            <w:pPr>
              <w:widowControl w:val="0"/>
              <w:spacing w:line="360" w:lineRule="auto"/>
              <w:ind w:firstLine="0" w:firstLineChars="0"/>
              <w:jc w:val="both"/>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ascii="宋体" w:hAnsi="宋体" w:eastAsia="宋体" w:cs="Times New Roman"/>
                <w:kern w:val="2"/>
                <w:sz w:val="21"/>
                <w:szCs w:val="21"/>
                <w:lang w:val="en-US" w:eastAsia="zh-CN" w:bidi="ar-SA"/>
              </w:rPr>
              <w:t>禁止在长江干支流岸线一公里范围内新建、扩建化工园区和化工项目。按要求设置生态隔离带，建设相应的防护工程。合理设置与抗风险能力相匹配的事故调蓄设施和环境应急措施；化工园区应建设园区事故废水防控系统，做好事故废水的收集、暂存和处理，并在污水处理厂排口下游配置水质自动监测设施等预警设施，强化风险预警。强化工业园区环境风险防控工作，突出全防全控，完善各项环境风险防范制度，确保将风险防范纳入日常环境管理制度体系。加强执法监督，实现对工业园区、重点工矿企业和主要环境风险类型的动态监控。</w:t>
            </w:r>
          </w:p>
        </w:tc>
        <w:tc>
          <w:tcPr>
            <w:tcW w:w="1737" w:type="dxa"/>
            <w:tcBorders>
              <w:tl2br w:val="nil"/>
              <w:tr2bl w:val="nil"/>
            </w:tcBorders>
            <w:noWrap w:val="0"/>
            <w:vAlign w:val="center"/>
          </w:tcPr>
          <w:p w14:paraId="3179770C">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cs="Times New Roman"/>
                <w:color w:val="auto"/>
                <w:highlight w:val="none"/>
                <w:vertAlign w:val="baseline"/>
                <w:lang w:val="en-US" w:eastAsia="zh-CN"/>
              </w:rPr>
              <w:t>本项目所在位置，不属于长江干支流。</w:t>
            </w:r>
          </w:p>
        </w:tc>
        <w:tc>
          <w:tcPr>
            <w:tcW w:w="922" w:type="dxa"/>
            <w:tcBorders>
              <w:tl2br w:val="nil"/>
              <w:tr2bl w:val="nil"/>
            </w:tcBorders>
            <w:noWrap w:val="0"/>
            <w:vAlign w:val="center"/>
          </w:tcPr>
          <w:p w14:paraId="350D6A5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cs="Times New Roman"/>
                <w:color w:val="auto"/>
                <w:kern w:val="2"/>
                <w:sz w:val="21"/>
                <w:szCs w:val="24"/>
                <w:highlight w:val="none"/>
                <w:vertAlign w:val="baseline"/>
                <w:lang w:val="en-US" w:eastAsia="zh-CN" w:bidi="ar-SA"/>
              </w:rPr>
              <w:t>符合</w:t>
            </w:r>
          </w:p>
        </w:tc>
      </w:tr>
      <w:tr w14:paraId="5B255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0E326253">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2CBEBABB">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138F08F8">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资源开发利用效率</w:t>
            </w:r>
          </w:p>
        </w:tc>
        <w:tc>
          <w:tcPr>
            <w:tcW w:w="7590" w:type="dxa"/>
            <w:tcBorders>
              <w:tl2br w:val="nil"/>
              <w:tr2bl w:val="nil"/>
            </w:tcBorders>
            <w:noWrap w:val="0"/>
            <w:vAlign w:val="center"/>
          </w:tcPr>
          <w:p w14:paraId="25754719">
            <w:pPr>
              <w:widowControl w:val="0"/>
              <w:spacing w:line="360" w:lineRule="auto"/>
              <w:ind w:firstLine="0" w:firstLineChars="0"/>
              <w:jc w:val="both"/>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ascii="宋体" w:hAnsi="宋体" w:eastAsia="宋体" w:cs="Times New Roman"/>
                <w:kern w:val="2"/>
                <w:sz w:val="21"/>
                <w:szCs w:val="21"/>
                <w:lang w:val="en-US" w:eastAsia="zh-CN" w:bidi="ar-SA"/>
              </w:rPr>
              <w:t>加强高耗水行业用水定额管理，以水定产，严格控制高耗水新建、改建、扩建项目。</w:t>
            </w:r>
          </w:p>
        </w:tc>
        <w:tc>
          <w:tcPr>
            <w:tcW w:w="1737" w:type="dxa"/>
            <w:tcBorders>
              <w:tl2br w:val="nil"/>
              <w:tr2bl w:val="nil"/>
            </w:tcBorders>
            <w:noWrap w:val="0"/>
            <w:vAlign w:val="center"/>
          </w:tcPr>
          <w:p w14:paraId="1B718568">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ascii="Times New Roman" w:hAnsi="Times New Roman" w:cs="Times New Roman"/>
                <w:color w:val="auto"/>
                <w:kern w:val="2"/>
                <w:sz w:val="21"/>
                <w:szCs w:val="24"/>
                <w:highlight w:val="none"/>
                <w:vertAlign w:val="baseline"/>
                <w:lang w:val="en-US" w:eastAsia="zh-CN" w:bidi="ar-SA"/>
              </w:rPr>
              <w:t>本项目不属于高耗水行业</w:t>
            </w:r>
          </w:p>
        </w:tc>
        <w:tc>
          <w:tcPr>
            <w:tcW w:w="922" w:type="dxa"/>
            <w:tcBorders>
              <w:tl2br w:val="nil"/>
              <w:tr2bl w:val="nil"/>
            </w:tcBorders>
            <w:noWrap w:val="0"/>
            <w:vAlign w:val="center"/>
          </w:tcPr>
          <w:p w14:paraId="26B3838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cs="Times New Roman"/>
                <w:color w:val="auto"/>
                <w:kern w:val="2"/>
                <w:sz w:val="21"/>
                <w:szCs w:val="24"/>
                <w:highlight w:val="none"/>
                <w:vertAlign w:val="baseline"/>
                <w:lang w:val="en-US" w:eastAsia="zh-CN" w:bidi="ar-SA"/>
              </w:rPr>
              <w:t>符合</w:t>
            </w:r>
          </w:p>
        </w:tc>
      </w:tr>
      <w:tr w14:paraId="1279E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restart"/>
            <w:tcBorders>
              <w:tl2br w:val="nil"/>
              <w:tr2bl w:val="nil"/>
            </w:tcBorders>
            <w:noWrap w:val="0"/>
            <w:vAlign w:val="center"/>
          </w:tcPr>
          <w:p w14:paraId="030E077C">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Style w:val="25"/>
                <w:rFonts w:hint="default" w:ascii="Times New Roman" w:hAnsi="Times New Roman" w:eastAsia="宋体" w:cs="Times New Roman"/>
                <w:color w:val="auto"/>
                <w:kern w:val="2"/>
                <w:sz w:val="21"/>
                <w:szCs w:val="21"/>
                <w:highlight w:val="none"/>
                <w:lang w:val="en-US" w:eastAsia="zh-CN" w:bidi="ar-SA"/>
              </w:rPr>
              <w:t>ZH51092320002大英县工业集中发展区(含经开区)</w:t>
            </w:r>
          </w:p>
        </w:tc>
        <w:tc>
          <w:tcPr>
            <w:tcW w:w="682" w:type="dxa"/>
            <w:vMerge w:val="restart"/>
            <w:tcBorders>
              <w:tl2br w:val="nil"/>
              <w:tr2bl w:val="nil"/>
            </w:tcBorders>
            <w:noWrap w:val="0"/>
            <w:vAlign w:val="center"/>
          </w:tcPr>
          <w:p w14:paraId="7287D9BF">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vertAlign w:val="baseline"/>
                <w:lang w:val="en-US" w:eastAsia="zh-CN"/>
              </w:rPr>
              <w:t>单元级</w:t>
            </w:r>
            <w:r>
              <w:rPr>
                <w:rFonts w:hint="default" w:ascii="Times New Roman" w:hAnsi="Times New Roman" w:cs="Times New Roman"/>
                <w:color w:val="auto"/>
                <w:highlight w:val="none"/>
                <w:vertAlign w:val="baseline"/>
                <w:lang w:eastAsia="zh-CN"/>
              </w:rPr>
              <w:t>清单管控要求</w:t>
            </w:r>
          </w:p>
        </w:tc>
        <w:tc>
          <w:tcPr>
            <w:tcW w:w="1650" w:type="dxa"/>
            <w:tcBorders>
              <w:tl2br w:val="nil"/>
              <w:tr2bl w:val="nil"/>
            </w:tcBorders>
            <w:noWrap w:val="0"/>
            <w:vAlign w:val="center"/>
          </w:tcPr>
          <w:p w14:paraId="23F9D6EA">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空间布局约束</w:t>
            </w:r>
          </w:p>
        </w:tc>
        <w:tc>
          <w:tcPr>
            <w:tcW w:w="7590" w:type="dxa"/>
            <w:tcBorders>
              <w:tl2br w:val="nil"/>
              <w:tr2bl w:val="nil"/>
            </w:tcBorders>
            <w:noWrap w:val="0"/>
            <w:vAlign w:val="center"/>
          </w:tcPr>
          <w:p w14:paraId="3FA00E05">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禁止开发建设活动的要求</w:t>
            </w:r>
          </w:p>
          <w:p w14:paraId="266B2F53">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1.禁止新建纯碱、PVC项目</w:t>
            </w:r>
          </w:p>
          <w:p w14:paraId="6A0EC04A">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2.禁止扩大合成氨或实施扩建氮肥项目</w:t>
            </w:r>
          </w:p>
          <w:p w14:paraId="2C8A2D8E">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3.禁止新引入涉及印染、染整、脱胶工序或产生缫丝、精炼废水的项目</w:t>
            </w:r>
          </w:p>
          <w:p w14:paraId="25C967AB">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4.禁止引入印制电路板、集成电路制造、平板及柔性显示器件制造等耗、排水量大的项目</w:t>
            </w:r>
          </w:p>
          <w:p w14:paraId="4ACF9CF2">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5.禁止引进和新建涉及喷漆工艺家具制造（木制品加工）生产项目（使用粉末喷涂、水性涂料及UV涂料以及进入共享喷涂中心除外）</w:t>
            </w:r>
          </w:p>
          <w:p w14:paraId="026E1D19">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6.禁止新建燃煤火电、金属冶炼、制浆（含废纸制浆）、屠宰、皮革鞣制、铅蓄电池制造、原油炼制、煤化工及发酵制药项目</w:t>
            </w:r>
          </w:p>
          <w:p w14:paraId="2B1B147C">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7.梨子坝、马家坝片区禁止新引入化工项目片区铅蓄电池生产企业限制发展，待远期条件成熟时，实现铅、汞、镉、铬、砷重金属污染物“零排放”或搬迁出园区</w:t>
            </w:r>
          </w:p>
          <w:p w14:paraId="0D6EC5B9">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8.规划区内郪江两侧自防洪堤</w:t>
            </w:r>
            <w:r>
              <w:rPr>
                <w:rStyle w:val="25"/>
                <w:rFonts w:hint="eastAsia" w:eastAsia="宋体" w:cs="Times New Roman"/>
                <w:color w:val="auto"/>
                <w:kern w:val="2"/>
                <w:sz w:val="21"/>
                <w:szCs w:val="21"/>
                <w:highlight w:val="none"/>
                <w:lang w:val="en-US" w:eastAsia="zh-CN" w:bidi="ar-SA"/>
              </w:rPr>
              <w:t>外缘</w:t>
            </w:r>
            <w:r>
              <w:rPr>
                <w:rStyle w:val="25"/>
                <w:rFonts w:hint="default" w:ascii="Times New Roman" w:hAnsi="Times New Roman" w:eastAsia="宋体" w:cs="Times New Roman"/>
                <w:color w:val="auto"/>
                <w:kern w:val="2"/>
                <w:sz w:val="21"/>
                <w:szCs w:val="21"/>
                <w:highlight w:val="none"/>
                <w:lang w:val="en-US" w:eastAsia="zh-CN" w:bidi="ar-SA"/>
              </w:rPr>
              <w:t>控制线起50m区域纳入生态保护范围，禁止开展采矿、挖沙取土或工业活动</w:t>
            </w:r>
          </w:p>
          <w:p w14:paraId="5C6FE5FD">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9.其他参照遂宁市总体准入要求-工业重点管控单元</w:t>
            </w:r>
          </w:p>
          <w:p w14:paraId="51FC39AF">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限制开发建设活动的要求</w:t>
            </w:r>
          </w:p>
          <w:p w14:paraId="6B9BF5D4">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1.严格限制钢铁、水泥、平板玻璃、有色金属冶炼等高污染、高耗能项目</w:t>
            </w:r>
          </w:p>
          <w:p w14:paraId="52AC9FEA">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2.限制引进和新建涉及有机溶剂使用和挥发性有机物排放的低固份油性涂料生产、沥青类防水材料生产、人造板生产等项目；</w:t>
            </w:r>
          </w:p>
          <w:p w14:paraId="5EDF42CE">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3.限制高耗水、高污染企业入驻，严控入河污染物</w:t>
            </w:r>
          </w:p>
          <w:p w14:paraId="677511DF">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4.其他参照遂宁市总体准入要求-工业重点管控单元</w:t>
            </w:r>
          </w:p>
          <w:p w14:paraId="0BCFA251">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允许开发建设活动的要求</w:t>
            </w:r>
          </w:p>
          <w:p w14:paraId="355DDC54">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3699C71B">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不符合空间布局要求活动的退出要求</w:t>
            </w:r>
          </w:p>
          <w:p w14:paraId="6C3F0578">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1.岸线一公里范围内的化工企业：（1）根据《中华人民共和国长江保护法》，禁止在长江干支流岸线一公里范围内新建、扩建化工项目（2）现存化工企业，符合所在法定保护地管理规定、具有合法手续且污染物排放及环境风险满足管理要求，可继续保留</w:t>
            </w:r>
          </w:p>
          <w:p w14:paraId="328926A4">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2.其他参照遂宁市总体准入要求-工业重点管控单元</w:t>
            </w:r>
          </w:p>
          <w:p w14:paraId="4244DE3C">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其他空间布局约束要求</w:t>
            </w:r>
          </w:p>
          <w:p w14:paraId="42D73341">
            <w:pPr>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37" w:type="dxa"/>
            <w:tcBorders>
              <w:tl2br w:val="nil"/>
              <w:tr2bl w:val="nil"/>
            </w:tcBorders>
            <w:noWrap w:val="0"/>
            <w:vAlign w:val="center"/>
          </w:tcPr>
          <w:p w14:paraId="15D261D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本项目属于</w:t>
            </w:r>
            <w:r>
              <w:rPr>
                <w:rFonts w:hint="eastAsia" w:cs="Times New Roman"/>
                <w:color w:val="auto"/>
                <w:sz w:val="21"/>
                <w:szCs w:val="21"/>
                <w:highlight w:val="none"/>
                <w:shd w:val="clear" w:color="auto" w:fill="FFFFFF"/>
                <w:lang w:val="en-US" w:eastAsia="zh-CN"/>
              </w:rPr>
              <w:t>橡胶制品制造项目</w:t>
            </w:r>
            <w:r>
              <w:rPr>
                <w:rFonts w:hint="eastAsia" w:cs="Times New Roman"/>
                <w:color w:val="auto"/>
                <w:highlight w:val="none"/>
                <w:vertAlign w:val="baseline"/>
                <w:lang w:val="en-US" w:eastAsia="zh-CN"/>
              </w:rPr>
              <w:t>，项目的建设不属于空间布局约束中的禁止类和限制类，因此项目的建设符合空间布局约束要求。</w:t>
            </w:r>
          </w:p>
        </w:tc>
        <w:tc>
          <w:tcPr>
            <w:tcW w:w="922" w:type="dxa"/>
            <w:tcBorders>
              <w:tl2br w:val="nil"/>
              <w:tr2bl w:val="nil"/>
            </w:tcBorders>
            <w:noWrap w:val="0"/>
            <w:vAlign w:val="center"/>
          </w:tcPr>
          <w:p w14:paraId="740122A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cs="Times New Roman"/>
                <w:color w:val="auto"/>
                <w:kern w:val="2"/>
                <w:sz w:val="21"/>
                <w:szCs w:val="24"/>
                <w:highlight w:val="none"/>
                <w:vertAlign w:val="baseline"/>
                <w:lang w:val="en-US" w:eastAsia="zh-CN" w:bidi="ar-SA"/>
              </w:rPr>
              <w:t>符合</w:t>
            </w:r>
          </w:p>
        </w:tc>
      </w:tr>
      <w:tr w14:paraId="2D020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20CF31CD">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5FC47371">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55C5C9D6">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污染物排放管控</w:t>
            </w:r>
          </w:p>
        </w:tc>
        <w:tc>
          <w:tcPr>
            <w:tcW w:w="7590" w:type="dxa"/>
            <w:tcBorders>
              <w:tl2br w:val="nil"/>
              <w:tr2bl w:val="nil"/>
            </w:tcBorders>
            <w:noWrap w:val="0"/>
            <w:vAlign w:val="center"/>
          </w:tcPr>
          <w:p w14:paraId="7457150F">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现有源提标升级改造</w:t>
            </w:r>
          </w:p>
          <w:p w14:paraId="2BF854AF">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1.燃煤热电锅炉完成超低排放改造，规模在20蒸吨/时及以上的现有大中型燃煤锅炉应全部实施脱硫，脱硫效率达到70%以上。</w:t>
            </w:r>
          </w:p>
          <w:p w14:paraId="4F2D472D">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2.新建化工项目必须配套建设高效脱硫、脱硝、除尘设施，脱硝效率不低于70%。</w:t>
            </w:r>
          </w:p>
          <w:p w14:paraId="36FD0A40">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3.加强中水回用，逐步将工业污水处理厂中水回用于工业企业的冷却用水等生产性用水，远期回用率达到30%；</w:t>
            </w:r>
          </w:p>
          <w:p w14:paraId="53392ADD">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4.其他参照遂宁市总体准入要求-工业重点管控单元。</w:t>
            </w:r>
          </w:p>
          <w:p w14:paraId="154C0330">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新增源等量或倍量替代</w:t>
            </w:r>
          </w:p>
          <w:p w14:paraId="05DE0F53">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参照遂宁市总体准入要求-工业重点管控单元。</w:t>
            </w:r>
          </w:p>
          <w:p w14:paraId="6B18089C">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新增源排放标准限值</w:t>
            </w:r>
          </w:p>
          <w:p w14:paraId="35F169D2">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1.项目产生的生产废水由企业自行处理达到《污水综合排放标准》三级或相应的行业排放标准后排入园区污水处理厂处理</w:t>
            </w:r>
            <w:r>
              <w:rPr>
                <w:rStyle w:val="25"/>
                <w:rFonts w:hint="eastAsia" w:eastAsia="宋体" w:cs="Times New Roman"/>
                <w:color w:val="auto"/>
                <w:kern w:val="2"/>
                <w:sz w:val="21"/>
                <w:szCs w:val="21"/>
                <w:highlight w:val="none"/>
                <w:lang w:val="en-US" w:eastAsia="zh-CN" w:bidi="ar-SA"/>
              </w:rPr>
              <w:t>达到</w:t>
            </w:r>
            <w:r>
              <w:rPr>
                <w:rStyle w:val="25"/>
                <w:rFonts w:hint="default" w:ascii="Times New Roman" w:hAnsi="Times New Roman" w:eastAsia="宋体" w:cs="Times New Roman"/>
                <w:color w:val="auto"/>
                <w:kern w:val="2"/>
                <w:sz w:val="21"/>
                <w:szCs w:val="21"/>
                <w:highlight w:val="none"/>
                <w:lang w:val="en-US" w:eastAsia="zh-CN" w:bidi="ar-SA"/>
              </w:rPr>
              <w:t>《城镇污水处理厂污染物排放标准》一级A标或更严格标准后排放。</w:t>
            </w:r>
          </w:p>
          <w:p w14:paraId="75CA8133">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2.其他参照遂宁市总体准入要求-工业重点管控单元。</w:t>
            </w:r>
          </w:p>
          <w:p w14:paraId="78F2817C">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污染物排放绩效水平准入要求</w:t>
            </w:r>
          </w:p>
          <w:p w14:paraId="58AFD38A">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参照遂宁市总体准入要求-工业重点管控单元。</w:t>
            </w:r>
          </w:p>
          <w:p w14:paraId="36E52BD3">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其他污染物排放管控要求</w:t>
            </w:r>
          </w:p>
          <w:p w14:paraId="2D3995D3">
            <w:pPr>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37" w:type="dxa"/>
            <w:tcBorders>
              <w:tl2br w:val="nil"/>
              <w:tr2bl w:val="nil"/>
            </w:tcBorders>
            <w:noWrap w:val="0"/>
            <w:vAlign w:val="center"/>
          </w:tcPr>
          <w:p w14:paraId="091DE03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本项目污水经处理后排入市政污水管网送大英县工业污水处理厂处理，项目的建设符合污染物排放管控要求</w:t>
            </w:r>
          </w:p>
        </w:tc>
        <w:tc>
          <w:tcPr>
            <w:tcW w:w="922" w:type="dxa"/>
            <w:tcBorders>
              <w:tl2br w:val="nil"/>
              <w:tr2bl w:val="nil"/>
            </w:tcBorders>
            <w:noWrap w:val="0"/>
            <w:vAlign w:val="center"/>
          </w:tcPr>
          <w:p w14:paraId="49293FC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cs="Times New Roman"/>
                <w:color w:val="auto"/>
                <w:kern w:val="2"/>
                <w:sz w:val="21"/>
                <w:szCs w:val="24"/>
                <w:highlight w:val="none"/>
                <w:vertAlign w:val="baseline"/>
                <w:lang w:val="en-US" w:eastAsia="zh-CN" w:bidi="ar-SA"/>
              </w:rPr>
              <w:t>符合</w:t>
            </w:r>
          </w:p>
        </w:tc>
      </w:tr>
      <w:tr w14:paraId="5F9C8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6CB70346">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5E269AD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5A120E95">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环境风险管控</w:t>
            </w:r>
          </w:p>
        </w:tc>
        <w:tc>
          <w:tcPr>
            <w:tcW w:w="7590" w:type="dxa"/>
            <w:tcBorders>
              <w:tl2br w:val="nil"/>
              <w:tr2bl w:val="nil"/>
            </w:tcBorders>
            <w:noWrap w:val="0"/>
            <w:vAlign w:val="center"/>
          </w:tcPr>
          <w:p w14:paraId="7A682C7F">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严格管控类农用地管控要求</w:t>
            </w:r>
          </w:p>
          <w:p w14:paraId="34745C3D">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参照遂宁市总体准入要求-工业重点管控单元</w:t>
            </w:r>
          </w:p>
          <w:p w14:paraId="0B9AC938">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安全利用类农用地管控要求</w:t>
            </w:r>
          </w:p>
          <w:p w14:paraId="30F8269C">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参照遂宁市总体准入要求-工业重点管控单元</w:t>
            </w:r>
          </w:p>
          <w:p w14:paraId="4ED12A7D">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污染地块管控要求</w:t>
            </w:r>
          </w:p>
          <w:p w14:paraId="2E1FABB3">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参照遂宁市总体准入要求-工业重点管控单元</w:t>
            </w:r>
          </w:p>
          <w:p w14:paraId="32E71E30">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园区环境风险防控要求</w:t>
            </w:r>
          </w:p>
          <w:p w14:paraId="130776AE">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1.距城区500m范围内禁止引入环境风险潜势等级III级及以上的建设项目。</w:t>
            </w:r>
          </w:p>
          <w:p w14:paraId="646FA8AB">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2.其他参照遂宁市总体准入要求-工业重点管控单元</w:t>
            </w:r>
          </w:p>
          <w:p w14:paraId="69D93ABE">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企业环境风险防控要求</w:t>
            </w:r>
          </w:p>
          <w:p w14:paraId="6D1D8096">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参照遂宁市总体准入要求-工业重点管控单元</w:t>
            </w:r>
          </w:p>
          <w:p w14:paraId="1007304B">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其他环境风险防控要求</w:t>
            </w:r>
          </w:p>
          <w:p w14:paraId="65547124">
            <w:pPr>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37" w:type="dxa"/>
            <w:tcBorders>
              <w:tl2br w:val="nil"/>
              <w:tr2bl w:val="nil"/>
            </w:tcBorders>
            <w:noWrap w:val="0"/>
            <w:vAlign w:val="center"/>
          </w:tcPr>
          <w:p w14:paraId="3E2CA0C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本项目属于</w:t>
            </w:r>
            <w:r>
              <w:rPr>
                <w:rFonts w:hint="eastAsia" w:cs="Times New Roman"/>
                <w:color w:val="auto"/>
                <w:sz w:val="21"/>
                <w:szCs w:val="21"/>
                <w:highlight w:val="none"/>
                <w:shd w:val="clear" w:color="auto" w:fill="FFFFFF"/>
                <w:lang w:val="en-US" w:eastAsia="zh-CN"/>
              </w:rPr>
              <w:t>橡胶制品制造项目</w:t>
            </w:r>
            <w:r>
              <w:rPr>
                <w:rFonts w:hint="eastAsia" w:cs="Times New Roman"/>
                <w:color w:val="auto"/>
                <w:highlight w:val="none"/>
                <w:vertAlign w:val="baseline"/>
                <w:lang w:val="en-US" w:eastAsia="zh-CN"/>
              </w:rPr>
              <w:t>，</w:t>
            </w:r>
            <w:r>
              <w:rPr>
                <w:rFonts w:hint="eastAsia"/>
                <w:color w:val="auto"/>
                <w:highlight w:val="none"/>
                <w:vertAlign w:val="baseline"/>
                <w:lang w:eastAsia="zh-CN"/>
              </w:rPr>
              <w:t>项目</w:t>
            </w:r>
            <w:r>
              <w:rPr>
                <w:rFonts w:hint="eastAsia"/>
                <w:color w:val="auto"/>
                <w:highlight w:val="none"/>
                <w:vertAlign w:val="baseline"/>
                <w:lang w:val="en-US" w:eastAsia="zh-CN"/>
              </w:rPr>
              <w:t>环境风险潜势为I级，属于低风险项目，项目</w:t>
            </w:r>
            <w:r>
              <w:rPr>
                <w:rFonts w:hint="eastAsia"/>
                <w:color w:val="auto"/>
                <w:highlight w:val="none"/>
                <w:vertAlign w:val="baseline"/>
                <w:lang w:eastAsia="zh-CN"/>
              </w:rPr>
              <w:t>的建设满足环境风险管控要求</w:t>
            </w:r>
          </w:p>
        </w:tc>
        <w:tc>
          <w:tcPr>
            <w:tcW w:w="922" w:type="dxa"/>
            <w:tcBorders>
              <w:tl2br w:val="nil"/>
              <w:tr2bl w:val="nil"/>
            </w:tcBorders>
            <w:noWrap w:val="0"/>
            <w:vAlign w:val="center"/>
          </w:tcPr>
          <w:p w14:paraId="3D850BF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cs="Times New Roman"/>
                <w:color w:val="auto"/>
                <w:kern w:val="2"/>
                <w:sz w:val="21"/>
                <w:szCs w:val="24"/>
                <w:highlight w:val="none"/>
                <w:vertAlign w:val="baseline"/>
                <w:lang w:val="en-US" w:eastAsia="zh-CN" w:bidi="ar-SA"/>
              </w:rPr>
              <w:t>符合</w:t>
            </w:r>
          </w:p>
        </w:tc>
      </w:tr>
      <w:tr w14:paraId="2E480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1D66CC06">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682" w:type="dxa"/>
            <w:vMerge w:val="continue"/>
            <w:tcBorders>
              <w:tl2br w:val="nil"/>
              <w:tr2bl w:val="nil"/>
            </w:tcBorders>
            <w:noWrap w:val="0"/>
            <w:vAlign w:val="center"/>
          </w:tcPr>
          <w:p w14:paraId="1063083A">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rPr>
            </w:pPr>
          </w:p>
        </w:tc>
        <w:tc>
          <w:tcPr>
            <w:tcW w:w="1650" w:type="dxa"/>
            <w:tcBorders>
              <w:tl2br w:val="nil"/>
              <w:tr2bl w:val="nil"/>
            </w:tcBorders>
            <w:noWrap w:val="0"/>
            <w:vAlign w:val="center"/>
          </w:tcPr>
          <w:p w14:paraId="66F1898D">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资源开发利用效率</w:t>
            </w:r>
          </w:p>
        </w:tc>
        <w:tc>
          <w:tcPr>
            <w:tcW w:w="7590" w:type="dxa"/>
            <w:tcBorders>
              <w:tl2br w:val="nil"/>
              <w:tr2bl w:val="nil"/>
            </w:tcBorders>
            <w:noWrap w:val="0"/>
            <w:vAlign w:val="center"/>
          </w:tcPr>
          <w:p w14:paraId="567627C9">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水资源利用效率要求</w:t>
            </w:r>
          </w:p>
          <w:p w14:paraId="4861DC20">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参照遂宁市总体准入要求-工业重点管控单元</w:t>
            </w:r>
          </w:p>
          <w:p w14:paraId="5A76F703">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地下水开采要求</w:t>
            </w:r>
          </w:p>
          <w:p w14:paraId="450F6B83">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（1）大英县2030年地下水开采</w:t>
            </w:r>
            <w:r>
              <w:rPr>
                <w:rStyle w:val="25"/>
                <w:rFonts w:hint="eastAsia" w:eastAsia="宋体" w:cs="Times New Roman"/>
                <w:color w:val="auto"/>
                <w:kern w:val="2"/>
                <w:sz w:val="21"/>
                <w:szCs w:val="21"/>
                <w:highlight w:val="none"/>
                <w:lang w:val="en-US" w:eastAsia="zh-CN" w:bidi="ar-SA"/>
              </w:rPr>
              <w:t>控制</w:t>
            </w:r>
            <w:r>
              <w:rPr>
                <w:rStyle w:val="25"/>
                <w:rFonts w:hint="default" w:ascii="Times New Roman" w:hAnsi="Times New Roman" w:eastAsia="宋体" w:cs="Times New Roman"/>
                <w:color w:val="auto"/>
                <w:kern w:val="2"/>
                <w:sz w:val="21"/>
                <w:szCs w:val="21"/>
                <w:highlight w:val="none"/>
                <w:lang w:val="en-US" w:eastAsia="zh-CN" w:bidi="ar-SA"/>
              </w:rPr>
              <w:t>量保持在0.06亿m</w:t>
            </w:r>
            <w:r>
              <w:rPr>
                <w:rStyle w:val="25"/>
                <w:rFonts w:hint="default" w:ascii="Times New Roman" w:hAnsi="Times New Roman" w:eastAsia="宋体" w:cs="Times New Roman"/>
                <w:color w:val="auto"/>
                <w:kern w:val="2"/>
                <w:sz w:val="21"/>
                <w:szCs w:val="21"/>
                <w:highlight w:val="none"/>
                <w:vertAlign w:val="superscript"/>
                <w:lang w:val="en-US" w:eastAsia="zh-CN" w:bidi="ar-SA"/>
              </w:rPr>
              <w:t>3</w:t>
            </w:r>
            <w:r>
              <w:rPr>
                <w:rStyle w:val="25"/>
                <w:rFonts w:hint="default" w:ascii="Times New Roman" w:hAnsi="Times New Roman" w:eastAsia="宋体" w:cs="Times New Roman"/>
                <w:color w:val="auto"/>
                <w:kern w:val="2"/>
                <w:sz w:val="21"/>
                <w:szCs w:val="21"/>
                <w:highlight w:val="none"/>
                <w:lang w:val="en-US" w:eastAsia="zh-CN" w:bidi="ar-SA"/>
              </w:rPr>
              <w:t>以内。（2）全面建设节水型社会，达到合理高效用水。</w:t>
            </w:r>
          </w:p>
          <w:p w14:paraId="176C9448">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能源利用效率要求</w:t>
            </w:r>
          </w:p>
          <w:p w14:paraId="60DDBD60">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参照遂宁市总体准入要求-工业重点管控单元</w:t>
            </w:r>
          </w:p>
          <w:p w14:paraId="0FC35D85">
            <w:pPr>
              <w:pStyle w:val="82"/>
              <w:widowControl/>
              <w:shd w:val="clear" w:color="auto" w:fill="FFFFFF"/>
              <w:spacing w:line="240" w:lineRule="auto"/>
              <w:ind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其他资源利用效率要求</w:t>
            </w:r>
          </w:p>
          <w:p w14:paraId="2D134F35">
            <w:pPr>
              <w:widowControl w:val="0"/>
              <w:spacing w:line="360" w:lineRule="auto"/>
              <w:ind w:firstLine="0" w:firstLineChars="0"/>
              <w:jc w:val="both"/>
              <w:rPr>
                <w:rFonts w:hint="default" w:ascii="Times New Roman" w:hAnsi="Times New Roman" w:eastAsia="宋体" w:cs="Times New Roman"/>
                <w:color w:val="auto"/>
                <w:kern w:val="2"/>
                <w:sz w:val="21"/>
                <w:szCs w:val="24"/>
                <w:highlight w:val="none"/>
                <w:vertAlign w:val="baseli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禁燃区管控要求：参照遂宁市总体准入要求-工业重点管控单元</w:t>
            </w:r>
          </w:p>
        </w:tc>
        <w:tc>
          <w:tcPr>
            <w:tcW w:w="1737" w:type="dxa"/>
            <w:tcBorders>
              <w:tl2br w:val="nil"/>
              <w:tr2bl w:val="nil"/>
            </w:tcBorders>
            <w:noWrap w:val="0"/>
            <w:vAlign w:val="center"/>
          </w:tcPr>
          <w:p w14:paraId="0FDC070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eastAsia" w:cs="Times New Roman"/>
                <w:color w:val="auto"/>
                <w:highlight w:val="none"/>
                <w:vertAlign w:val="baseline"/>
                <w:lang w:val="en-US" w:eastAsia="zh-CN"/>
              </w:rPr>
              <w:t>本项目不开采地下水，项目的建设符合资源开发利用效率要求。</w:t>
            </w:r>
          </w:p>
        </w:tc>
        <w:tc>
          <w:tcPr>
            <w:tcW w:w="922" w:type="dxa"/>
            <w:tcBorders>
              <w:tl2br w:val="nil"/>
              <w:tr2bl w:val="nil"/>
            </w:tcBorders>
            <w:noWrap w:val="0"/>
            <w:vAlign w:val="center"/>
          </w:tcPr>
          <w:p w14:paraId="559F36D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cs="Times New Roman"/>
                <w:color w:val="auto"/>
                <w:kern w:val="2"/>
                <w:sz w:val="21"/>
                <w:szCs w:val="24"/>
                <w:highlight w:val="none"/>
                <w:vertAlign w:val="baseline"/>
                <w:lang w:val="en-US" w:eastAsia="zh-CN" w:bidi="ar-SA"/>
              </w:rPr>
              <w:t>符合</w:t>
            </w:r>
          </w:p>
        </w:tc>
      </w:tr>
    </w:tbl>
    <w:p w14:paraId="6D48B2C7">
      <w:pPr>
        <w:keepNext w:val="0"/>
        <w:keepLines w:val="0"/>
        <w:pageBreakBefore w:val="0"/>
        <w:widowControl w:val="0"/>
        <w:kinsoku/>
        <w:wordWrap/>
        <w:overflowPunct/>
        <w:topLinePunct w:val="0"/>
        <w:autoSpaceDE/>
        <w:autoSpaceDN/>
        <w:bidi w:val="0"/>
        <w:adjustRightInd/>
        <w:snapToGrid/>
        <w:spacing w:before="157" w:beforeLines="50" w:line="42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根据以上分析，本项目的建设满足生态环境分区管控的相关要求。</w:t>
      </w:r>
    </w:p>
    <w:p w14:paraId="10203C17">
      <w:pPr>
        <w:spacing w:line="360" w:lineRule="auto"/>
        <w:outlineLvl w:val="0"/>
        <w:rPr>
          <w:rFonts w:hint="default" w:ascii="Times New Roman" w:hAnsi="Times New Roman" w:eastAsia="黑体" w:cs="Times New Roman"/>
          <w:color w:val="auto"/>
          <w:sz w:val="30"/>
          <w:highlight w:val="none"/>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F93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noWrap w:val="0"/>
            <w:vAlign w:val="top"/>
          </w:tcPr>
          <w:p w14:paraId="026C2FB9">
            <w:pPr>
              <w:pStyle w:val="43"/>
              <w:bidi w:val="0"/>
              <w:rPr>
                <w:rFonts w:hint="default"/>
                <w:color w:val="auto"/>
                <w:highlight w:val="none"/>
                <w:lang w:val="en-US" w:eastAsia="zh-CN"/>
              </w:rPr>
            </w:pPr>
          </w:p>
          <w:p w14:paraId="6C4E648E">
            <w:pPr>
              <w:pStyle w:val="42"/>
              <w:bidi w:val="0"/>
              <w:rPr>
                <w:rFonts w:hint="default" w:ascii="Times New Roman" w:hAnsi="Times New Roman" w:cs="Times New Roman"/>
                <w:b/>
                <w:bCs/>
                <w:color w:val="auto"/>
                <w:highlight w:val="none"/>
                <w:lang w:val="zh-CN"/>
              </w:rPr>
            </w:pPr>
            <w:r>
              <w:rPr>
                <w:rFonts w:hint="default" w:ascii="Times New Roman" w:hAnsi="Times New Roman" w:cs="Times New Roman"/>
                <w:b/>
                <w:bCs/>
                <w:color w:val="auto"/>
                <w:highlight w:val="none"/>
                <w:lang w:val="zh-CN"/>
              </w:rPr>
              <w:t>（</w:t>
            </w:r>
            <w:r>
              <w:rPr>
                <w:rFonts w:hint="default"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lang w:val="zh-CN"/>
              </w:rPr>
              <w:t>）</w:t>
            </w:r>
            <w:r>
              <w:rPr>
                <w:rFonts w:hint="default" w:ascii="Times New Roman" w:hAnsi="Times New Roman" w:cs="Times New Roman"/>
                <w:b/>
                <w:bCs/>
                <w:color w:val="auto"/>
                <w:highlight w:val="none"/>
              </w:rPr>
              <w:t>与大气污染防治等相关规划符合性分析</w:t>
            </w:r>
          </w:p>
          <w:p w14:paraId="6751E447">
            <w:pPr>
              <w:pStyle w:val="4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本项目与</w:t>
            </w:r>
            <w:r>
              <w:rPr>
                <w:rFonts w:hint="eastAsia" w:ascii="Times New Roman" w:hAnsi="Times New Roman" w:cs="Times New Roman"/>
                <w:color w:val="auto"/>
                <w:highlight w:val="none"/>
                <w:lang w:eastAsia="zh-CN"/>
              </w:rPr>
              <w:t>《</w:t>
            </w:r>
            <w:r>
              <w:rPr>
                <w:rFonts w:hint="default" w:ascii="Times New Roman" w:hAnsi="Times New Roman" w:cs="Times New Roman"/>
                <w:color w:val="auto"/>
                <w:szCs w:val="21"/>
                <w:highlight w:val="none"/>
              </w:rPr>
              <w:t>中华人民共和国大气污染防治法</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 w:val="24"/>
                <w:highlight w:val="none"/>
                <w:lang w:eastAsia="zh-CN"/>
              </w:rPr>
              <w:t>四川省深入打好重污染天气消除、臭氧污染防治和柴油货车污染治理攻坚战实施方案》（川环发〔2023〕4号）、</w:t>
            </w:r>
            <w:r>
              <w:rPr>
                <w:rFonts w:hint="eastAsia" w:ascii="Times New Roman" w:hAnsi="Times New Roman" w:eastAsia="宋体" w:cs="Times New Roman"/>
                <w:color w:val="auto"/>
                <w:kern w:val="0"/>
                <w:szCs w:val="21"/>
                <w:highlight w:val="none"/>
                <w:lang w:eastAsia="zh-CN"/>
              </w:rPr>
              <w:t>《四川省空气质量持续改善行动计划实施方案》（川府发〔2024〕15号）</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sz w:val="24"/>
                <w:highlight w:val="none"/>
                <w:lang w:eastAsia="zh-CN"/>
              </w:rPr>
              <w:t>《遂宁市“十四五”节能减排综合实施方案》（遂府函〔2022〕173号）</w:t>
            </w:r>
            <w:r>
              <w:rPr>
                <w:rFonts w:hint="default" w:ascii="Times New Roman" w:hAnsi="Times New Roman" w:cs="Times New Roman"/>
                <w:color w:val="auto"/>
                <w:highlight w:val="none"/>
              </w:rPr>
              <w:t>等文件的符合性如下：</w:t>
            </w:r>
          </w:p>
          <w:p w14:paraId="53064B87">
            <w:pPr>
              <w:spacing w:line="360" w:lineRule="auto"/>
              <w:jc w:val="center"/>
              <w:rPr>
                <w:b/>
                <w:bCs/>
                <w:color w:val="auto"/>
                <w:sz w:val="24"/>
                <w:highlight w:val="none"/>
              </w:rPr>
            </w:pPr>
            <w:r>
              <w:rPr>
                <w:rFonts w:hint="default" w:ascii="Times New Roman" w:hAnsi="Times New Roman" w:cs="Times New Roman"/>
                <w:b/>
                <w:bCs/>
                <w:color w:val="auto"/>
                <w:sz w:val="24"/>
                <w:szCs w:val="24"/>
                <w:highlight w:val="none"/>
              </w:rPr>
              <w:t>表1-</w:t>
            </w:r>
            <w:r>
              <w:rPr>
                <w:rFonts w:hint="eastAsia" w:cs="Times New Roman"/>
                <w:b/>
                <w:bCs/>
                <w:color w:val="auto"/>
                <w:sz w:val="24"/>
                <w:szCs w:val="24"/>
                <w:highlight w:val="none"/>
                <w:lang w:val="en-US" w:eastAsia="zh-CN"/>
              </w:rPr>
              <w:t>8</w:t>
            </w:r>
            <w:r>
              <w:rPr>
                <w:b/>
                <w:bCs/>
                <w:color w:val="auto"/>
                <w:sz w:val="24"/>
                <w:highlight w:val="none"/>
              </w:rPr>
              <w:t>项目与大气污染防治相关政策规划符合性一览表</w:t>
            </w:r>
          </w:p>
          <w:tbl>
            <w:tblPr>
              <w:tblStyle w:val="2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78"/>
              <w:gridCol w:w="3693"/>
              <w:gridCol w:w="2358"/>
              <w:gridCol w:w="475"/>
            </w:tblGrid>
            <w:tr w14:paraId="3B570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978" w:type="dxa"/>
                  <w:noWrap w:val="0"/>
                  <w:vAlign w:val="center"/>
                </w:tcPr>
                <w:p w14:paraId="702556F4">
                  <w:pPr>
                    <w:ind w:left="-99" w:leftChars="-47" w:right="-160" w:rightChars="-76"/>
                    <w:jc w:val="center"/>
                    <w:rPr>
                      <w:b/>
                      <w:bCs/>
                      <w:color w:val="auto"/>
                      <w:szCs w:val="21"/>
                      <w:highlight w:val="none"/>
                    </w:rPr>
                  </w:pPr>
                  <w:r>
                    <w:rPr>
                      <w:b/>
                      <w:bCs/>
                      <w:color w:val="auto"/>
                      <w:szCs w:val="21"/>
                      <w:highlight w:val="none"/>
                    </w:rPr>
                    <w:t>名称</w:t>
                  </w:r>
                </w:p>
              </w:tc>
              <w:tc>
                <w:tcPr>
                  <w:tcW w:w="3693" w:type="dxa"/>
                  <w:noWrap w:val="0"/>
                  <w:vAlign w:val="center"/>
                </w:tcPr>
                <w:p w14:paraId="2A2F13E2">
                  <w:pPr>
                    <w:jc w:val="center"/>
                    <w:rPr>
                      <w:b/>
                      <w:bCs/>
                      <w:color w:val="auto"/>
                      <w:szCs w:val="21"/>
                      <w:highlight w:val="none"/>
                    </w:rPr>
                  </w:pPr>
                  <w:r>
                    <w:rPr>
                      <w:b/>
                      <w:bCs/>
                      <w:color w:val="auto"/>
                      <w:szCs w:val="21"/>
                      <w:highlight w:val="none"/>
                    </w:rPr>
                    <w:t>政策要求</w:t>
                  </w:r>
                </w:p>
              </w:tc>
              <w:tc>
                <w:tcPr>
                  <w:tcW w:w="2358" w:type="dxa"/>
                  <w:noWrap w:val="0"/>
                  <w:vAlign w:val="center"/>
                </w:tcPr>
                <w:p w14:paraId="798DE92F">
                  <w:pPr>
                    <w:jc w:val="center"/>
                    <w:rPr>
                      <w:b/>
                      <w:bCs/>
                      <w:color w:val="auto"/>
                      <w:szCs w:val="21"/>
                      <w:highlight w:val="none"/>
                    </w:rPr>
                  </w:pPr>
                  <w:r>
                    <w:rPr>
                      <w:b/>
                      <w:bCs/>
                      <w:color w:val="auto"/>
                      <w:szCs w:val="21"/>
                      <w:highlight w:val="none"/>
                    </w:rPr>
                    <w:t>项目情况</w:t>
                  </w:r>
                </w:p>
              </w:tc>
              <w:tc>
                <w:tcPr>
                  <w:tcW w:w="475" w:type="dxa"/>
                  <w:noWrap w:val="0"/>
                  <w:vAlign w:val="center"/>
                </w:tcPr>
                <w:p w14:paraId="56A3FCF1">
                  <w:pPr>
                    <w:jc w:val="center"/>
                    <w:rPr>
                      <w:b/>
                      <w:bCs/>
                      <w:color w:val="auto"/>
                      <w:szCs w:val="21"/>
                      <w:highlight w:val="none"/>
                    </w:rPr>
                  </w:pPr>
                  <w:r>
                    <w:rPr>
                      <w:b/>
                      <w:bCs/>
                      <w:color w:val="auto"/>
                      <w:szCs w:val="21"/>
                      <w:highlight w:val="none"/>
                    </w:rPr>
                    <w:t>符合性</w:t>
                  </w:r>
                </w:p>
              </w:tc>
            </w:tr>
            <w:tr w14:paraId="40C9C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78" w:type="dxa"/>
                  <w:noWrap w:val="0"/>
                  <w:vAlign w:val="center"/>
                </w:tcPr>
                <w:p w14:paraId="02D639A8">
                  <w:pPr>
                    <w:spacing w:line="360" w:lineRule="auto"/>
                    <w:jc w:val="center"/>
                    <w:rPr>
                      <w:b/>
                      <w:bCs/>
                      <w:color w:val="auto"/>
                      <w:szCs w:val="21"/>
                      <w:highlight w:val="none"/>
                    </w:rPr>
                  </w:pPr>
                  <w:r>
                    <w:rPr>
                      <w:rFonts w:hint="default" w:ascii="Times New Roman" w:hAnsi="Times New Roman" w:cs="Times New Roman"/>
                      <w:color w:val="auto"/>
                      <w:szCs w:val="21"/>
                      <w:highlight w:val="none"/>
                    </w:rPr>
                    <w:t>中华人民共和国大气污染防治法</w:t>
                  </w:r>
                </w:p>
              </w:tc>
              <w:tc>
                <w:tcPr>
                  <w:tcW w:w="3693" w:type="dxa"/>
                  <w:noWrap w:val="0"/>
                  <w:vAlign w:val="top"/>
                </w:tcPr>
                <w:p w14:paraId="11469DB2">
                  <w:pPr>
                    <w:spacing w:line="360" w:lineRule="auto"/>
                    <w:ind w:firstLine="420" w:firstLineChars="200"/>
                    <w:rPr>
                      <w:b/>
                      <w:bCs/>
                      <w:color w:val="auto"/>
                      <w:szCs w:val="21"/>
                      <w:highlight w:val="none"/>
                    </w:rPr>
                  </w:pPr>
                  <w:r>
                    <w:rPr>
                      <w:rFonts w:hint="default"/>
                      <w:b w:val="0"/>
                      <w:bCs w:val="0"/>
                      <w:color w:val="auto"/>
                      <w:szCs w:val="21"/>
                      <w:highlight w:val="none"/>
                    </w:rPr>
                    <w:t>产生含挥发性有机物废气的生产和服务活动，应当在密闭空间或者设备中进行，并按照规定安装、使用污染防治设施；无法密闭的，应当采取措施减少废气排放。</w:t>
                  </w:r>
                </w:p>
              </w:tc>
              <w:tc>
                <w:tcPr>
                  <w:tcW w:w="2358" w:type="dxa"/>
                  <w:noWrap w:val="0"/>
                  <w:vAlign w:val="center"/>
                </w:tcPr>
                <w:p w14:paraId="07E6C9F1">
                  <w:pPr>
                    <w:spacing w:line="360" w:lineRule="auto"/>
                    <w:ind w:firstLine="420" w:firstLineChars="200"/>
                    <w:jc w:val="both"/>
                    <w:rPr>
                      <w:rFonts w:hint="eastAsia" w:eastAsia="宋体"/>
                      <w:b/>
                      <w:bCs/>
                      <w:color w:val="auto"/>
                      <w:szCs w:val="21"/>
                      <w:highlight w:val="none"/>
                      <w:lang w:val="en-US" w:eastAsia="zh-CN"/>
                    </w:rPr>
                  </w:pPr>
                  <w:r>
                    <w:rPr>
                      <w:rFonts w:hint="default" w:ascii="Times New Roman" w:hAnsi="Times New Roman" w:cs="Times New Roman"/>
                      <w:color w:val="auto"/>
                      <w:szCs w:val="21"/>
                      <w:highlight w:val="none"/>
                    </w:rPr>
                    <w:t>本项目</w:t>
                  </w:r>
                  <w:r>
                    <w:rPr>
                      <w:rFonts w:hint="eastAsia" w:cs="Times New Roman"/>
                      <w:color w:val="auto"/>
                      <w:szCs w:val="21"/>
                      <w:highlight w:val="none"/>
                      <w:lang w:val="en-US" w:eastAsia="zh-CN"/>
                    </w:rPr>
                    <w:t>生产过程中会产生一定量的挥发性有机物，项目已按规定</w:t>
                  </w:r>
                  <w:r>
                    <w:rPr>
                      <w:rFonts w:hint="default" w:ascii="Times New Roman" w:hAnsi="Times New Roman" w:cs="Times New Roman"/>
                      <w:b w:val="0"/>
                      <w:bCs w:val="0"/>
                      <w:color w:val="auto"/>
                      <w:szCs w:val="21"/>
                      <w:highlight w:val="none"/>
                    </w:rPr>
                    <w:t>安装、使用污染防治设施</w:t>
                  </w:r>
                  <w:r>
                    <w:rPr>
                      <w:rFonts w:hint="eastAsia" w:ascii="Times New Roman" w:hAnsi="Times New Roman" w:cs="Times New Roman"/>
                      <w:b w:val="0"/>
                      <w:bCs w:val="0"/>
                      <w:color w:val="auto"/>
                      <w:szCs w:val="21"/>
                      <w:highlight w:val="none"/>
                      <w:lang w:eastAsia="zh-CN"/>
                    </w:rPr>
                    <w:t>。</w:t>
                  </w:r>
                </w:p>
              </w:tc>
              <w:tc>
                <w:tcPr>
                  <w:tcW w:w="475" w:type="dxa"/>
                  <w:noWrap w:val="0"/>
                  <w:vAlign w:val="center"/>
                </w:tcPr>
                <w:p w14:paraId="71280850">
                  <w:pPr>
                    <w:jc w:val="center"/>
                    <w:rPr>
                      <w:rFonts w:hint="eastAsia" w:eastAsia="宋体"/>
                      <w:b/>
                      <w:bCs/>
                      <w:color w:val="auto"/>
                      <w:szCs w:val="21"/>
                      <w:highlight w:val="none"/>
                      <w:lang w:val="en-US" w:eastAsia="zh-CN"/>
                    </w:rPr>
                  </w:pPr>
                  <w:r>
                    <w:rPr>
                      <w:rFonts w:hint="eastAsia"/>
                      <w:b w:val="0"/>
                      <w:bCs w:val="0"/>
                      <w:color w:val="auto"/>
                      <w:szCs w:val="21"/>
                      <w:highlight w:val="none"/>
                      <w:lang w:val="en-US" w:eastAsia="zh-CN"/>
                    </w:rPr>
                    <w:t>符合</w:t>
                  </w:r>
                </w:p>
              </w:tc>
            </w:tr>
            <w:tr w14:paraId="2BBC6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978" w:type="dxa"/>
                  <w:noWrap w:val="0"/>
                  <w:vAlign w:val="center"/>
                </w:tcPr>
                <w:p w14:paraId="3C6222B9">
                  <w:pPr>
                    <w:spacing w:line="312" w:lineRule="auto"/>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《四川省打赢蓝天保卫战实施方案》川府发〔2019〕4号</w:t>
                  </w:r>
                </w:p>
              </w:tc>
              <w:tc>
                <w:tcPr>
                  <w:tcW w:w="3693" w:type="dxa"/>
                  <w:noWrap w:val="0"/>
                  <w:vAlign w:val="top"/>
                </w:tcPr>
                <w:p w14:paraId="3D1F014F">
                  <w:pPr>
                    <w:spacing w:line="312" w:lineRule="auto"/>
                    <w:ind w:firstLine="420" w:firstLineChars="200"/>
                    <w:rPr>
                      <w:color w:val="auto"/>
                      <w:kern w:val="0"/>
                      <w:szCs w:val="21"/>
                      <w:highlight w:val="none"/>
                    </w:rPr>
                  </w:pPr>
                  <w:r>
                    <w:rPr>
                      <w:color w:val="auto"/>
                      <w:kern w:val="0"/>
                      <w:szCs w:val="21"/>
                      <w:highlight w:val="none"/>
                    </w:rPr>
                    <w:t>《四川省打赢蓝天保卫战实施方案》</w:t>
                  </w:r>
                </w:p>
                <w:p w14:paraId="12B42820">
                  <w:pPr>
                    <w:spacing w:line="312" w:lineRule="auto"/>
                    <w:ind w:firstLine="420" w:firstLineChars="200"/>
                    <w:rPr>
                      <w:color w:val="auto"/>
                      <w:kern w:val="0"/>
                      <w:szCs w:val="21"/>
                      <w:highlight w:val="none"/>
                    </w:rPr>
                  </w:pPr>
                  <w:r>
                    <w:rPr>
                      <w:color w:val="auto"/>
                      <w:kern w:val="0"/>
                      <w:szCs w:val="21"/>
                      <w:highlight w:val="none"/>
                    </w:rPr>
                    <w:t>三、重点任务</w:t>
                  </w:r>
                </w:p>
                <w:p w14:paraId="6C19CB3E">
                  <w:pPr>
                    <w:spacing w:line="312" w:lineRule="auto"/>
                    <w:ind w:firstLine="420" w:firstLineChars="200"/>
                    <w:rPr>
                      <w:color w:val="auto"/>
                      <w:kern w:val="0"/>
                      <w:szCs w:val="21"/>
                      <w:highlight w:val="none"/>
                    </w:rPr>
                  </w:pPr>
                  <w:r>
                    <w:rPr>
                      <w:color w:val="auto"/>
                      <w:kern w:val="0"/>
                      <w:szCs w:val="21"/>
                      <w:highlight w:val="none"/>
                    </w:rPr>
                    <w:t>（一）调整产业结构，深化工业污染治理。</w:t>
                  </w:r>
                </w:p>
                <w:p w14:paraId="453692D2">
                  <w:pPr>
                    <w:spacing w:line="312" w:lineRule="auto"/>
                    <w:ind w:firstLine="420" w:firstLineChars="200"/>
                    <w:rPr>
                      <w:rFonts w:hint="default" w:ascii="Times New Roman" w:hAnsi="Times New Roman" w:eastAsia="宋体" w:cs="Times New Roman"/>
                      <w:color w:val="auto"/>
                      <w:sz w:val="21"/>
                      <w:szCs w:val="21"/>
                      <w:highlight w:val="none"/>
                      <w:lang w:eastAsia="zh-CN"/>
                    </w:rPr>
                  </w:pPr>
                  <w:r>
                    <w:rPr>
                      <w:color w:val="auto"/>
                      <w:kern w:val="0"/>
                      <w:szCs w:val="21"/>
                      <w:highlight w:val="none"/>
                    </w:rPr>
                    <w:t>…强化挥发性有机物综合治理。严格涉及VOCs排放的建设项目环境准入，加强源头控制。提高涉及VOCs排放行业环保准入门槛，新建涉及VOCs排放的工业企业入驻园区。</w:t>
                  </w:r>
                </w:p>
              </w:tc>
              <w:tc>
                <w:tcPr>
                  <w:tcW w:w="2358" w:type="dxa"/>
                  <w:noWrap w:val="0"/>
                  <w:vAlign w:val="center"/>
                </w:tcPr>
                <w:p w14:paraId="436C8136">
                  <w:pPr>
                    <w:spacing w:line="312" w:lineRule="auto"/>
                    <w:ind w:firstLine="420" w:firstLineChars="200"/>
                    <w:rPr>
                      <w:rFonts w:hint="default"/>
                      <w:color w:val="auto"/>
                      <w:kern w:val="0"/>
                      <w:szCs w:val="21"/>
                      <w:highlight w:val="none"/>
                      <w:lang w:val="en-US"/>
                    </w:rPr>
                  </w:pPr>
                  <w:r>
                    <w:rPr>
                      <w:color w:val="auto"/>
                      <w:kern w:val="0"/>
                      <w:szCs w:val="21"/>
                      <w:highlight w:val="none"/>
                    </w:rPr>
                    <w:t>本项目生产过程中涉及VOCs排放，项目位于</w:t>
                  </w:r>
                  <w:r>
                    <w:rPr>
                      <w:rFonts w:hint="eastAsia"/>
                      <w:color w:val="auto"/>
                      <w:kern w:val="0"/>
                      <w:szCs w:val="21"/>
                      <w:highlight w:val="none"/>
                      <w:lang w:val="en-US" w:eastAsia="zh-CN"/>
                    </w:rPr>
                    <w:t>大英经开区工业园内</w:t>
                  </w:r>
                  <w:r>
                    <w:rPr>
                      <w:color w:val="auto"/>
                      <w:kern w:val="0"/>
                      <w:szCs w:val="21"/>
                      <w:highlight w:val="none"/>
                    </w:rPr>
                    <w:t>，属于入园项目，符合政策要求。</w:t>
                  </w:r>
                </w:p>
              </w:tc>
              <w:tc>
                <w:tcPr>
                  <w:tcW w:w="475" w:type="dxa"/>
                  <w:noWrap w:val="0"/>
                  <w:vAlign w:val="center"/>
                </w:tcPr>
                <w:p w14:paraId="6BDFA3F7">
                  <w:pPr>
                    <w:rPr>
                      <w:rFonts w:hint="eastAsia" w:eastAsia="宋体"/>
                      <w:color w:val="auto"/>
                      <w:kern w:val="0"/>
                      <w:szCs w:val="21"/>
                      <w:highlight w:val="none"/>
                      <w:lang w:val="en-US" w:eastAsia="zh-CN"/>
                    </w:rPr>
                  </w:pPr>
                  <w:r>
                    <w:rPr>
                      <w:color w:val="auto"/>
                      <w:kern w:val="0"/>
                      <w:szCs w:val="21"/>
                      <w:highlight w:val="none"/>
                    </w:rPr>
                    <w:t>符合</w:t>
                  </w:r>
                </w:p>
              </w:tc>
            </w:tr>
            <w:tr w14:paraId="2971F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978" w:type="dxa"/>
                  <w:noWrap w:val="0"/>
                  <w:vAlign w:val="center"/>
                </w:tcPr>
                <w:p w14:paraId="49DE7D80">
                  <w:pPr>
                    <w:spacing w:line="312" w:lineRule="auto"/>
                    <w:jc w:val="both"/>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《四川省空气质量持续改善行动计划实施方案》（川府发〔2024〕15号）</w:t>
                  </w:r>
                </w:p>
              </w:tc>
              <w:tc>
                <w:tcPr>
                  <w:tcW w:w="3693" w:type="dxa"/>
                  <w:noWrap w:val="0"/>
                  <w:vAlign w:val="center"/>
                </w:tcPr>
                <w:p w14:paraId="652FB466">
                  <w:pPr>
                    <w:spacing w:line="312" w:lineRule="auto"/>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加强含VOCs原辅材料源头管控</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严格控制生产和使用高VOCs含量涂料、油墨、胶粘剂、清洗剂等建设项目</w:t>
                  </w:r>
                  <w:r>
                    <w:rPr>
                      <w:rFonts w:hint="eastAsia" w:cs="Times New Roman"/>
                      <w:color w:val="auto"/>
                      <w:sz w:val="21"/>
                      <w:szCs w:val="21"/>
                      <w:lang w:eastAsia="zh-CN"/>
                    </w:rPr>
                    <w:t>。</w:t>
                  </w:r>
                </w:p>
              </w:tc>
              <w:tc>
                <w:tcPr>
                  <w:tcW w:w="2358" w:type="dxa"/>
                  <w:noWrap w:val="0"/>
                  <w:vAlign w:val="center"/>
                </w:tcPr>
                <w:p w14:paraId="49A1E0E8">
                  <w:pPr>
                    <w:spacing w:line="312" w:lineRule="auto"/>
                    <w:ind w:firstLine="420" w:firstLineChars="200"/>
                    <w:jc w:val="both"/>
                    <w:rPr>
                      <w:rFonts w:hint="default"/>
                      <w:color w:val="auto"/>
                      <w:kern w:val="0"/>
                      <w:szCs w:val="21"/>
                      <w:highlight w:val="none"/>
                      <w:lang w:val="en-US" w:eastAsia="zh-CN"/>
                    </w:rPr>
                  </w:pPr>
                  <w:r>
                    <w:rPr>
                      <w:rFonts w:hint="eastAsia"/>
                      <w:color w:val="auto"/>
                      <w:kern w:val="0"/>
                      <w:szCs w:val="21"/>
                      <w:highlight w:val="none"/>
                      <w:lang w:val="en-US" w:eastAsia="zh-CN"/>
                    </w:rPr>
                    <w:t>本项目不涉及高VOCs原料使用</w:t>
                  </w:r>
                </w:p>
              </w:tc>
              <w:tc>
                <w:tcPr>
                  <w:tcW w:w="475" w:type="dxa"/>
                  <w:noWrap w:val="0"/>
                  <w:vAlign w:val="center"/>
                </w:tcPr>
                <w:p w14:paraId="56F954F5">
                  <w:pPr>
                    <w:jc w:val="both"/>
                    <w:rPr>
                      <w:rFonts w:hint="default"/>
                      <w:color w:val="auto"/>
                      <w:kern w:val="0"/>
                      <w:szCs w:val="21"/>
                      <w:highlight w:val="none"/>
                      <w:lang w:val="en-US" w:eastAsia="zh-CN"/>
                    </w:rPr>
                  </w:pPr>
                  <w:r>
                    <w:rPr>
                      <w:rFonts w:hint="eastAsia"/>
                      <w:color w:val="auto"/>
                      <w:kern w:val="0"/>
                      <w:szCs w:val="21"/>
                      <w:highlight w:val="none"/>
                      <w:lang w:val="en-US" w:eastAsia="zh-CN"/>
                    </w:rPr>
                    <w:t>符合</w:t>
                  </w:r>
                </w:p>
              </w:tc>
            </w:tr>
            <w:tr w14:paraId="7EDB3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978" w:type="dxa"/>
                  <w:noWrap w:val="0"/>
                  <w:vAlign w:val="center"/>
                </w:tcPr>
                <w:p w14:paraId="1DC452F7">
                  <w:pPr>
                    <w:spacing w:line="312" w:lineRule="auto"/>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《遂宁市“十四五”节能减排综合实施方案》（遂府函〔2022〕173号）</w:t>
                  </w:r>
                </w:p>
              </w:tc>
              <w:tc>
                <w:tcPr>
                  <w:tcW w:w="3693" w:type="dxa"/>
                  <w:noWrap w:val="0"/>
                  <w:vAlign w:val="top"/>
                </w:tcPr>
                <w:p w14:paraId="02DC9362">
                  <w:pPr>
                    <w:spacing w:line="312" w:lineRule="auto"/>
                    <w:ind w:firstLine="420" w:firstLineChars="200"/>
                    <w:rPr>
                      <w:rFonts w:hint="eastAsia" w:ascii="Times New Roman" w:hAnsi="Times New Roman" w:eastAsia="宋体" w:cs="Times New Roman"/>
                      <w:color w:val="auto"/>
                      <w:sz w:val="21"/>
                      <w:szCs w:val="21"/>
                      <w:highlight w:val="none"/>
                      <w:lang w:eastAsia="zh-CN"/>
                    </w:rPr>
                  </w:pPr>
                  <w:r>
                    <w:rPr>
                      <w:rFonts w:hint="eastAsia" w:ascii="宋体" w:hAnsi="宋体" w:eastAsia="宋体" w:cs="宋体"/>
                      <w:color w:val="auto"/>
                      <w:sz w:val="21"/>
                      <w:szCs w:val="21"/>
                    </w:rPr>
                    <w:t>（九）挥发性有机物综合整治工程。推进原辅材料和产品源头替代工程，实施全过程污染物治理。推动涉挥发性有机物行业落后产能淘汰、产业集群整合升级，以工业涂装、包装印刷、家具制造、汽修等行业为重点，推动使用低（无）挥发性有机物含量的涂料、油墨、胶粘剂、清洗剂，推广建设绿色汽修钣喷中心等。</w:t>
                  </w:r>
                </w:p>
              </w:tc>
              <w:tc>
                <w:tcPr>
                  <w:tcW w:w="2358" w:type="dxa"/>
                  <w:noWrap w:val="0"/>
                  <w:vAlign w:val="center"/>
                </w:tcPr>
                <w:p w14:paraId="51AF73FB">
                  <w:pPr>
                    <w:spacing w:line="312" w:lineRule="auto"/>
                    <w:ind w:firstLine="420" w:firstLineChars="200"/>
                    <w:rPr>
                      <w:rFonts w:hint="default" w:eastAsia="宋体"/>
                      <w:color w:val="auto"/>
                      <w:kern w:val="0"/>
                      <w:szCs w:val="21"/>
                      <w:highlight w:val="none"/>
                      <w:lang w:val="en-US" w:eastAsia="zh-CN"/>
                    </w:rPr>
                  </w:pPr>
                  <w:r>
                    <w:rPr>
                      <w:rFonts w:hint="eastAsia"/>
                      <w:color w:val="auto"/>
                      <w:kern w:val="0"/>
                      <w:szCs w:val="21"/>
                      <w:highlight w:val="none"/>
                      <w:lang w:val="en-US" w:eastAsia="zh-CN"/>
                    </w:rPr>
                    <w:t>本</w:t>
                  </w:r>
                  <w:r>
                    <w:rPr>
                      <w:rFonts w:hint="default" w:ascii="Times New Roman" w:hAnsi="Times New Roman" w:cs="Times New Roman"/>
                      <w:color w:val="auto"/>
                      <w:szCs w:val="21"/>
                      <w:highlight w:val="none"/>
                    </w:rPr>
                    <w:t>项目</w:t>
                  </w:r>
                  <w:r>
                    <w:rPr>
                      <w:rFonts w:hint="eastAsia" w:cs="Times New Roman"/>
                      <w:color w:val="auto"/>
                      <w:szCs w:val="21"/>
                      <w:highlight w:val="none"/>
                      <w:lang w:val="en-US" w:eastAsia="zh-CN"/>
                    </w:rPr>
                    <w:t>生产过程会产生一定量的挥发性有机物，但项目所用原料均属于低挥发性有机物原料。</w:t>
                  </w:r>
                </w:p>
              </w:tc>
              <w:tc>
                <w:tcPr>
                  <w:tcW w:w="475" w:type="dxa"/>
                  <w:noWrap w:val="0"/>
                  <w:vAlign w:val="center"/>
                </w:tcPr>
                <w:p w14:paraId="195FAF42">
                  <w:pPr>
                    <w:rPr>
                      <w:rFonts w:hint="default"/>
                      <w:color w:val="auto"/>
                      <w:kern w:val="0"/>
                      <w:szCs w:val="21"/>
                      <w:highlight w:val="none"/>
                      <w:lang w:val="en-US" w:eastAsia="zh-CN"/>
                    </w:rPr>
                  </w:pPr>
                  <w:r>
                    <w:rPr>
                      <w:rFonts w:hint="eastAsia"/>
                      <w:color w:val="auto"/>
                      <w:kern w:val="0"/>
                      <w:szCs w:val="21"/>
                      <w:highlight w:val="none"/>
                      <w:lang w:val="en-US" w:eastAsia="zh-CN"/>
                    </w:rPr>
                    <w:t>符合</w:t>
                  </w:r>
                </w:p>
              </w:tc>
            </w:tr>
          </w:tbl>
          <w:p w14:paraId="2D93E9ED">
            <w:pPr>
              <w:pStyle w:val="4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根据以上分析，本项目的建设符合</w:t>
            </w:r>
            <w:r>
              <w:rPr>
                <w:rFonts w:hint="eastAsia" w:ascii="Times New Roman" w:hAnsi="Times New Roman" w:cs="Times New Roman"/>
                <w:color w:val="auto"/>
                <w:highlight w:val="none"/>
                <w:lang w:val="zh-CN"/>
              </w:rPr>
              <w:t>《</w:t>
            </w:r>
            <w:r>
              <w:rPr>
                <w:rFonts w:hint="default" w:ascii="Times New Roman" w:hAnsi="Times New Roman" w:cs="Times New Roman"/>
                <w:color w:val="auto"/>
                <w:szCs w:val="21"/>
                <w:highlight w:val="none"/>
              </w:rPr>
              <w:t>中华人民共和国大气污染防治法</w:t>
            </w:r>
            <w:r>
              <w:rPr>
                <w:rFonts w:hint="eastAsia" w:ascii="Times New Roman" w:hAnsi="Times New Roman" w:cs="Times New Roman"/>
                <w:color w:val="auto"/>
                <w:highlight w:val="none"/>
                <w:lang w:val="zh-CN"/>
              </w:rPr>
              <w:t>》</w:t>
            </w:r>
            <w:r>
              <w:rPr>
                <w:rFonts w:ascii="Times New Roman" w:hAnsi="Times New Roman" w:eastAsia="宋体" w:cs="Times New Roman"/>
                <w:color w:val="auto"/>
                <w:kern w:val="0"/>
                <w:szCs w:val="21"/>
                <w:highlight w:val="none"/>
              </w:rPr>
              <w:t>《四川省打赢蓝天保卫战实施方案》</w:t>
            </w:r>
            <w:r>
              <w:rPr>
                <w:rFonts w:hint="eastAsia" w:ascii="Times New Roman" w:hAnsi="Times New Roman" w:eastAsia="宋体" w:cs="Times New Roman"/>
                <w:color w:val="auto"/>
                <w:kern w:val="0"/>
                <w:szCs w:val="21"/>
                <w:highlight w:val="none"/>
                <w:lang w:eastAsia="zh-CN"/>
              </w:rPr>
              <w:t>（</w:t>
            </w:r>
            <w:r>
              <w:rPr>
                <w:rFonts w:ascii="Times New Roman" w:hAnsi="Times New Roman" w:eastAsia="宋体" w:cs="Times New Roman"/>
                <w:color w:val="auto"/>
                <w:kern w:val="0"/>
                <w:szCs w:val="21"/>
                <w:highlight w:val="none"/>
              </w:rPr>
              <w:t>川府发〔2019〕4号</w:t>
            </w:r>
            <w:r>
              <w:rPr>
                <w:rFonts w:hint="eastAsia" w:ascii="Times New Roman" w:hAnsi="Times New Roman" w:eastAsia="宋体" w:cs="Times New Roman"/>
                <w:color w:val="auto"/>
                <w:kern w:val="0"/>
                <w:szCs w:val="21"/>
                <w:highlight w:val="none"/>
                <w:lang w:eastAsia="zh-CN"/>
              </w:rPr>
              <w:t>）</w:t>
            </w:r>
            <w:r>
              <w:rPr>
                <w:rFonts w:hint="default" w:ascii="Times New Roman" w:hAnsi="Times New Roman" w:cs="Times New Roman"/>
                <w:color w:val="auto"/>
                <w:sz w:val="24"/>
                <w:highlight w:val="none"/>
                <w:lang w:eastAsia="zh-CN"/>
              </w:rPr>
              <w:t>、</w:t>
            </w:r>
            <w:r>
              <w:rPr>
                <w:rFonts w:hint="eastAsia" w:ascii="Times New Roman" w:hAnsi="Times New Roman" w:eastAsia="宋体" w:cs="Times New Roman"/>
                <w:color w:val="auto"/>
                <w:kern w:val="0"/>
                <w:szCs w:val="21"/>
                <w:highlight w:val="none"/>
                <w:lang w:eastAsia="zh-CN"/>
              </w:rPr>
              <w:t>《四川省空气质量持续改善行动计划实施方案》（川府发〔2024〕15号）</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sz w:val="24"/>
                <w:highlight w:val="none"/>
                <w:lang w:eastAsia="zh-CN"/>
              </w:rPr>
              <w:t>《遂宁市“十四五”节能减排综合实施方案》（遂府函〔2022〕173号）</w:t>
            </w:r>
            <w:r>
              <w:rPr>
                <w:rFonts w:hint="default" w:ascii="Times New Roman" w:hAnsi="Times New Roman" w:cs="Times New Roman"/>
                <w:color w:val="auto"/>
                <w:highlight w:val="none"/>
                <w:lang w:val="zh-CN"/>
              </w:rPr>
              <w:t>的政策要求。</w:t>
            </w:r>
          </w:p>
          <w:p w14:paraId="3AEF6BCE">
            <w:pPr>
              <w:pStyle w:val="42"/>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rPr>
              <w:t>）与水污染防治符合性</w:t>
            </w:r>
          </w:p>
          <w:p w14:paraId="5240088B">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项目与《国务院关于印发水污染防治行动计划的通知》（国发〔2015〕17号）、《涪江流域（遂宁段）水环境治理工作方案（试行）》（遂府函〔201</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〕155号）和《关于印发四川省打赢蓝天保卫战等九个实施方案的通知》川府发〔2019〕4号的符合性分析如下：</w:t>
            </w:r>
          </w:p>
          <w:p w14:paraId="56ED7187">
            <w:pPr>
              <w:pStyle w:val="4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表1-</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与水污染防治符合性</w:t>
            </w:r>
          </w:p>
          <w:tbl>
            <w:tblPr>
              <w:tblStyle w:val="2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78"/>
              <w:gridCol w:w="4835"/>
              <w:gridCol w:w="1898"/>
              <w:gridCol w:w="793"/>
            </w:tblGrid>
            <w:tr w14:paraId="3B2BF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jc w:val="center"/>
              </w:trPr>
              <w:tc>
                <w:tcPr>
                  <w:tcW w:w="978" w:type="dxa"/>
                  <w:noWrap w:val="0"/>
                  <w:vAlign w:val="center"/>
                </w:tcPr>
                <w:p w14:paraId="5BE6E680">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水污染防治文件</w:t>
                  </w:r>
                </w:p>
              </w:tc>
              <w:tc>
                <w:tcPr>
                  <w:tcW w:w="4835" w:type="dxa"/>
                  <w:noWrap w:val="0"/>
                  <w:vAlign w:val="center"/>
                </w:tcPr>
                <w:p w14:paraId="256D6BCA">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政策要求</w:t>
                  </w:r>
                </w:p>
              </w:tc>
              <w:tc>
                <w:tcPr>
                  <w:tcW w:w="1898" w:type="dxa"/>
                  <w:noWrap w:val="0"/>
                  <w:vAlign w:val="center"/>
                </w:tcPr>
                <w:p w14:paraId="033445DD">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本项目情况</w:t>
                  </w:r>
                </w:p>
              </w:tc>
              <w:tc>
                <w:tcPr>
                  <w:tcW w:w="793" w:type="dxa"/>
                  <w:noWrap w:val="0"/>
                  <w:vAlign w:val="center"/>
                </w:tcPr>
                <w:p w14:paraId="274BEF2E">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符合性</w:t>
                  </w:r>
                </w:p>
              </w:tc>
            </w:tr>
            <w:tr w14:paraId="4C376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78" w:type="dxa"/>
                  <w:vMerge w:val="restart"/>
                  <w:noWrap w:val="0"/>
                  <w:vAlign w:val="center"/>
                </w:tcPr>
                <w:p w14:paraId="60EA74F5">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国务院关于印发水污染防治行动计划的通知“国发</w:t>
                  </w:r>
                  <w:r>
                    <w:rPr>
                      <w:rFonts w:hint="default" w:ascii="Times New Roman" w:hAnsi="Times New Roman"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rPr>
                    <w:t>2015</w:t>
                  </w:r>
                  <w:r>
                    <w:rPr>
                      <w:rFonts w:hint="default" w:ascii="Times New Roman" w:hAnsi="Times New Roman"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rPr>
                    <w:t>17号”</w:t>
                  </w:r>
                </w:p>
              </w:tc>
              <w:tc>
                <w:tcPr>
                  <w:tcW w:w="4835" w:type="dxa"/>
                  <w:noWrap w:val="0"/>
                  <w:vAlign w:val="center"/>
                </w:tcPr>
                <w:p w14:paraId="140AE282">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一）狠抓工业污染防治。取缔“十小”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1898" w:type="dxa"/>
                  <w:noWrap w:val="0"/>
                  <w:vAlign w:val="center"/>
                </w:tcPr>
                <w:p w14:paraId="0355875B">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项目均不属于“十小”企业，不属于取缔项目</w:t>
                  </w:r>
                </w:p>
              </w:tc>
              <w:tc>
                <w:tcPr>
                  <w:tcW w:w="793" w:type="dxa"/>
                  <w:noWrap w:val="0"/>
                  <w:vAlign w:val="center"/>
                </w:tcPr>
                <w:p w14:paraId="32CF9500">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符合</w:t>
                  </w:r>
                </w:p>
              </w:tc>
            </w:tr>
            <w:tr w14:paraId="6FB5A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78" w:type="dxa"/>
                  <w:vMerge w:val="continue"/>
                  <w:noWrap w:val="0"/>
                  <w:vAlign w:val="center"/>
                </w:tcPr>
                <w:p w14:paraId="2D4BD64E">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highlight w:val="none"/>
                    </w:rPr>
                  </w:pPr>
                </w:p>
              </w:tc>
              <w:tc>
                <w:tcPr>
                  <w:tcW w:w="4835" w:type="dxa"/>
                  <w:noWrap w:val="0"/>
                  <w:vAlign w:val="center"/>
                </w:tcPr>
                <w:p w14:paraId="12F7D86B">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六）优化空间布局。合理确定发展布局、结构和规模。充分考虑水资源、水环境承载能力，以水定城、以水定地、以水定人、以水定产。重大项目原则上布局在优化开发区和重点开发区，并符合城乡规划和土地利用总体规划</w:t>
                  </w:r>
                  <w:r>
                    <w:rPr>
                      <w:rFonts w:hint="eastAsia"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rPr>
                    <w:t>严格控制缺水地区、水污染严重地区和敏感区域高耗水、高污染行业发展，新建、改建、扩建重点行业建设项目实行</w:t>
                  </w:r>
                  <w:r>
                    <w:rPr>
                      <w:rFonts w:hint="eastAsia" w:cs="Times New Roman"/>
                      <w:bCs/>
                      <w:color w:val="auto"/>
                      <w:kern w:val="0"/>
                      <w:sz w:val="21"/>
                      <w:szCs w:val="21"/>
                      <w:highlight w:val="none"/>
                      <w:lang w:eastAsia="zh-CN"/>
                    </w:rPr>
                    <w:t>主要污染物排放量</w:t>
                  </w:r>
                  <w:r>
                    <w:rPr>
                      <w:rFonts w:hint="default" w:ascii="Times New Roman" w:hAnsi="Times New Roman" w:cs="Times New Roman"/>
                      <w:bCs/>
                      <w:color w:val="auto"/>
                      <w:kern w:val="0"/>
                      <w:sz w:val="21"/>
                      <w:szCs w:val="21"/>
                      <w:highlight w:val="none"/>
                    </w:rPr>
                    <w:t>置换。七大重点流域干流沿岸，要严格控制石油加工、化学原料和化学制品制造、医药制造、化学纤维制造、有色金属冶炼、纺织印染等项目环境风险，合理布局生产装置及危险化学品仓储等设施。</w:t>
                  </w:r>
                </w:p>
              </w:tc>
              <w:tc>
                <w:tcPr>
                  <w:tcW w:w="1898" w:type="dxa"/>
                  <w:noWrap w:val="0"/>
                  <w:vAlign w:val="center"/>
                </w:tcPr>
                <w:p w14:paraId="40A7BC8B">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项目厂址所在区域不属于缺水地区、水污染严重地区和敏感区域；项目属于</w:t>
                  </w:r>
                  <w:r>
                    <w:rPr>
                      <w:rFonts w:hint="eastAsia" w:cs="Times New Roman"/>
                      <w:color w:val="auto"/>
                      <w:sz w:val="21"/>
                      <w:szCs w:val="21"/>
                      <w:highlight w:val="none"/>
                      <w:shd w:val="clear" w:color="auto" w:fill="FFFFFF"/>
                      <w:lang w:val="en-US" w:eastAsia="zh-CN"/>
                    </w:rPr>
                    <w:t>橡胶制品制造项目</w:t>
                  </w:r>
                  <w:r>
                    <w:rPr>
                      <w:rFonts w:hint="default" w:ascii="Times New Roman" w:hAnsi="Times New Roman" w:cs="Times New Roman"/>
                      <w:bCs/>
                      <w:color w:val="auto"/>
                      <w:kern w:val="0"/>
                      <w:sz w:val="21"/>
                      <w:szCs w:val="21"/>
                      <w:highlight w:val="none"/>
                    </w:rPr>
                    <w:t>，位于四川大英经济开发区，不属于七大重点流域干流沿岸</w:t>
                  </w:r>
                </w:p>
              </w:tc>
              <w:tc>
                <w:tcPr>
                  <w:tcW w:w="793" w:type="dxa"/>
                  <w:noWrap w:val="0"/>
                  <w:vAlign w:val="center"/>
                </w:tcPr>
                <w:p w14:paraId="28F2634A">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符合</w:t>
                  </w:r>
                </w:p>
              </w:tc>
            </w:tr>
            <w:tr w14:paraId="2A82F1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78" w:type="dxa"/>
                  <w:noWrap w:val="0"/>
                  <w:vAlign w:val="center"/>
                </w:tcPr>
                <w:p w14:paraId="44A83704">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《涪江流域（遂宁段）水环境治理工作方案（试行）》（遂府函</w:t>
                  </w:r>
                  <w:r>
                    <w:rPr>
                      <w:rFonts w:hint="default" w:ascii="Times New Roman" w:hAnsi="Times New Roman"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rPr>
                    <w:t>2017</w:t>
                  </w:r>
                  <w:r>
                    <w:rPr>
                      <w:rFonts w:hint="default" w:ascii="Times New Roman" w:hAnsi="Times New Roman"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rPr>
                    <w:t>155号）</w:t>
                  </w:r>
                </w:p>
              </w:tc>
              <w:tc>
                <w:tcPr>
                  <w:tcW w:w="4835" w:type="dxa"/>
                  <w:noWrap w:val="0"/>
                  <w:vAlign w:val="center"/>
                </w:tcPr>
                <w:p w14:paraId="5777B033">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eastAsia" w:cs="Times New Roman"/>
                      <w:bCs/>
                      <w:color w:val="auto"/>
                      <w:kern w:val="0"/>
                      <w:sz w:val="21"/>
                      <w:szCs w:val="21"/>
                      <w:highlight w:val="none"/>
                      <w:lang w:eastAsia="zh-CN"/>
                    </w:rPr>
                    <w:t>7.</w:t>
                  </w:r>
                  <w:r>
                    <w:rPr>
                      <w:rFonts w:hint="default" w:ascii="Times New Roman" w:hAnsi="Times New Roman" w:cs="Times New Roman"/>
                      <w:bCs/>
                      <w:color w:val="auto"/>
                      <w:kern w:val="0"/>
                      <w:sz w:val="21"/>
                      <w:szCs w:val="21"/>
                      <w:highlight w:val="none"/>
                    </w:rPr>
                    <w:t>狠抓工业企业污染防治。……（2）大力实施工业园区及涉水工业企业污染治理。加快推进全市工业园区污水处理设施建设，确保工业园区实现污水处理设施全覆盖。……到2020年底前，全市工业用水重复利用率达到70%以上。……</w:t>
                  </w:r>
                </w:p>
              </w:tc>
              <w:tc>
                <w:tcPr>
                  <w:tcW w:w="1898" w:type="dxa"/>
                  <w:noWrap w:val="0"/>
                  <w:vAlign w:val="center"/>
                </w:tcPr>
                <w:p w14:paraId="038461AD">
                  <w:pPr>
                    <w:widowControl/>
                    <w:adjustRightInd w:val="0"/>
                    <w:snapToGrid w:val="0"/>
                    <w:spacing w:line="360" w:lineRule="auto"/>
                    <w:ind w:firstLine="0" w:firstLineChars="0"/>
                    <w:jc w:val="left"/>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rPr>
                    <w:t>项目</w:t>
                  </w:r>
                  <w:r>
                    <w:rPr>
                      <w:rFonts w:hint="eastAsia" w:cs="Times New Roman"/>
                      <w:bCs/>
                      <w:color w:val="auto"/>
                      <w:kern w:val="0"/>
                      <w:sz w:val="21"/>
                      <w:szCs w:val="21"/>
                      <w:highlight w:val="none"/>
                      <w:lang w:val="en-US" w:eastAsia="zh-CN"/>
                    </w:rPr>
                    <w:t>污水</w:t>
                  </w:r>
                  <w:r>
                    <w:rPr>
                      <w:rFonts w:hint="default" w:ascii="Times New Roman" w:hAnsi="Times New Roman" w:cs="Times New Roman"/>
                      <w:bCs/>
                      <w:color w:val="auto"/>
                      <w:kern w:val="0"/>
                      <w:sz w:val="21"/>
                      <w:szCs w:val="21"/>
                      <w:highlight w:val="none"/>
                      <w:lang w:eastAsia="zh-CN"/>
                    </w:rPr>
                    <w:t>排入市政</w:t>
                  </w:r>
                  <w:r>
                    <w:rPr>
                      <w:rFonts w:hint="default" w:ascii="Times New Roman" w:hAnsi="Times New Roman" w:cs="Times New Roman"/>
                      <w:bCs/>
                      <w:color w:val="auto"/>
                      <w:kern w:val="0"/>
                      <w:sz w:val="21"/>
                      <w:szCs w:val="21"/>
                      <w:highlight w:val="none"/>
                    </w:rPr>
                    <w:t>污水管网送</w:t>
                  </w:r>
                  <w:r>
                    <w:rPr>
                      <w:rFonts w:hint="default" w:ascii="Times New Roman" w:hAnsi="Times New Roman" w:cs="Times New Roman"/>
                      <w:bCs/>
                      <w:color w:val="auto"/>
                      <w:kern w:val="0"/>
                      <w:sz w:val="21"/>
                      <w:szCs w:val="21"/>
                      <w:highlight w:val="none"/>
                      <w:lang w:eastAsia="zh-CN"/>
                    </w:rPr>
                    <w:t>大英县工业</w:t>
                  </w:r>
                  <w:r>
                    <w:rPr>
                      <w:rFonts w:hint="default" w:ascii="Times New Roman" w:hAnsi="Times New Roman" w:cs="Times New Roman"/>
                      <w:bCs/>
                      <w:color w:val="auto"/>
                      <w:kern w:val="0"/>
                      <w:sz w:val="21"/>
                      <w:szCs w:val="21"/>
                      <w:highlight w:val="none"/>
                    </w:rPr>
                    <w:t>污水处理厂处理，污水</w:t>
                  </w:r>
                  <w:r>
                    <w:rPr>
                      <w:rFonts w:hint="default" w:ascii="Times New Roman" w:hAnsi="Times New Roman" w:cs="Times New Roman"/>
                      <w:bCs/>
                      <w:color w:val="auto"/>
                      <w:kern w:val="0"/>
                      <w:sz w:val="21"/>
                      <w:szCs w:val="21"/>
                      <w:highlight w:val="none"/>
                      <w:lang w:eastAsia="zh-CN"/>
                    </w:rPr>
                    <w:t>收水</w:t>
                  </w:r>
                  <w:r>
                    <w:rPr>
                      <w:rFonts w:hint="default" w:ascii="Times New Roman" w:hAnsi="Times New Roman" w:cs="Times New Roman"/>
                      <w:bCs/>
                      <w:color w:val="auto"/>
                      <w:kern w:val="0"/>
                      <w:sz w:val="21"/>
                      <w:szCs w:val="21"/>
                      <w:highlight w:val="none"/>
                    </w:rPr>
                    <w:t>管网已覆盖项目区域。</w:t>
                  </w:r>
                  <w:r>
                    <w:rPr>
                      <w:rFonts w:hint="default" w:ascii="Times New Roman" w:hAnsi="Times New Roman" w:cs="Times New Roman"/>
                      <w:bCs/>
                      <w:color w:val="auto"/>
                      <w:kern w:val="0"/>
                      <w:sz w:val="21"/>
                      <w:szCs w:val="21"/>
                      <w:highlight w:val="none"/>
                      <w:lang w:eastAsia="zh-CN"/>
                    </w:rPr>
                    <w:t>大英县工业</w:t>
                  </w:r>
                  <w:r>
                    <w:rPr>
                      <w:rFonts w:hint="default" w:ascii="Times New Roman" w:hAnsi="Times New Roman" w:cs="Times New Roman"/>
                      <w:bCs/>
                      <w:color w:val="auto"/>
                      <w:kern w:val="0"/>
                      <w:sz w:val="21"/>
                      <w:szCs w:val="21"/>
                      <w:highlight w:val="none"/>
                    </w:rPr>
                    <w:t>污水处理厂</w:t>
                  </w:r>
                  <w:r>
                    <w:rPr>
                      <w:rFonts w:hint="default" w:ascii="Times New Roman" w:hAnsi="Times New Roman" w:cs="Times New Roman"/>
                      <w:bCs/>
                      <w:color w:val="auto"/>
                      <w:kern w:val="0"/>
                      <w:sz w:val="21"/>
                      <w:szCs w:val="21"/>
                      <w:highlight w:val="none"/>
                      <w:lang w:eastAsia="zh-CN"/>
                    </w:rPr>
                    <w:t>已于</w:t>
                  </w:r>
                  <w:r>
                    <w:rPr>
                      <w:rFonts w:hint="default" w:ascii="Times New Roman" w:hAnsi="Times New Roman" w:cs="Times New Roman"/>
                      <w:bCs/>
                      <w:color w:val="auto"/>
                      <w:kern w:val="0"/>
                      <w:sz w:val="21"/>
                      <w:szCs w:val="21"/>
                      <w:highlight w:val="none"/>
                      <w:lang w:val="en-US" w:eastAsia="zh-CN"/>
                    </w:rPr>
                    <w:t>2020年底投入运行。</w:t>
                  </w:r>
                </w:p>
              </w:tc>
              <w:tc>
                <w:tcPr>
                  <w:tcW w:w="793" w:type="dxa"/>
                  <w:noWrap w:val="0"/>
                  <w:vAlign w:val="center"/>
                </w:tcPr>
                <w:p w14:paraId="54821A76">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符合</w:t>
                  </w:r>
                </w:p>
              </w:tc>
            </w:tr>
            <w:tr w14:paraId="46BA8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78" w:type="dxa"/>
                  <w:noWrap w:val="0"/>
                  <w:vAlign w:val="center"/>
                </w:tcPr>
                <w:p w14:paraId="11BC2854">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《关于印发四川省打赢蓝天保卫战等九个实施方案的通知》川府发〔2019〕4号</w:t>
                  </w:r>
                </w:p>
              </w:tc>
              <w:tc>
                <w:tcPr>
                  <w:tcW w:w="4835" w:type="dxa"/>
                  <w:noWrap w:val="0"/>
                  <w:vAlign w:val="center"/>
                </w:tcPr>
                <w:p w14:paraId="06007AA6">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《四川省打赢碧水保卫战实施方案》</w:t>
                  </w:r>
                </w:p>
                <w:p w14:paraId="0416AA6B">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三、重点任务</w:t>
                  </w:r>
                </w:p>
                <w:p w14:paraId="42012420">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（三）实施工业污染治理工程。</w:t>
                  </w:r>
                </w:p>
                <w:p w14:paraId="0F5DA5AB">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实施园区工业废水达标整治。落实《四川省工业园区（工业集聚区）工业废水处理设施建设三年行动计划》，倒排工期，落实责任，按照属地管理、辖区负责的原则，省直相关部门按照管理权限督促指导各地加快推进工业园区（工业集聚区）污水处理设施建设，确保污水处理设施按期建成投入使用和正常运行。…</w:t>
                  </w:r>
                </w:p>
                <w:p w14:paraId="44F78856">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《四川省打好长江保护修复攻坚战实施方案》</w:t>
                  </w:r>
                </w:p>
              </w:tc>
              <w:tc>
                <w:tcPr>
                  <w:tcW w:w="1898" w:type="dxa"/>
                  <w:noWrap w:val="0"/>
                  <w:vAlign w:val="center"/>
                </w:tcPr>
                <w:p w14:paraId="6C6BAC1E">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项目</w:t>
                  </w:r>
                  <w:r>
                    <w:rPr>
                      <w:rFonts w:hint="eastAsia" w:cs="Times New Roman"/>
                      <w:bCs/>
                      <w:color w:val="auto"/>
                      <w:kern w:val="0"/>
                      <w:sz w:val="21"/>
                      <w:szCs w:val="21"/>
                      <w:highlight w:val="none"/>
                      <w:lang w:eastAsia="zh-CN"/>
                    </w:rPr>
                    <w:t>污水</w:t>
                  </w:r>
                  <w:r>
                    <w:rPr>
                      <w:rFonts w:hint="default" w:ascii="Times New Roman" w:hAnsi="Times New Roman" w:cs="Times New Roman"/>
                      <w:bCs/>
                      <w:color w:val="auto"/>
                      <w:kern w:val="0"/>
                      <w:sz w:val="21"/>
                      <w:szCs w:val="21"/>
                      <w:highlight w:val="none"/>
                      <w:lang w:eastAsia="zh-CN"/>
                    </w:rPr>
                    <w:t>排入市政</w:t>
                  </w:r>
                  <w:r>
                    <w:rPr>
                      <w:rFonts w:hint="default" w:ascii="Times New Roman" w:hAnsi="Times New Roman" w:cs="Times New Roman"/>
                      <w:bCs/>
                      <w:color w:val="auto"/>
                      <w:kern w:val="0"/>
                      <w:sz w:val="21"/>
                      <w:szCs w:val="21"/>
                      <w:highlight w:val="none"/>
                    </w:rPr>
                    <w:t>污水管网送</w:t>
                  </w:r>
                  <w:r>
                    <w:rPr>
                      <w:rFonts w:hint="default" w:ascii="Times New Roman" w:hAnsi="Times New Roman" w:cs="Times New Roman"/>
                      <w:bCs/>
                      <w:color w:val="auto"/>
                      <w:kern w:val="0"/>
                      <w:sz w:val="21"/>
                      <w:szCs w:val="21"/>
                      <w:highlight w:val="none"/>
                      <w:lang w:eastAsia="zh-CN"/>
                    </w:rPr>
                    <w:t>大英县工业</w:t>
                  </w:r>
                  <w:r>
                    <w:rPr>
                      <w:rFonts w:hint="default" w:ascii="Times New Roman" w:hAnsi="Times New Roman" w:cs="Times New Roman"/>
                      <w:bCs/>
                      <w:color w:val="auto"/>
                      <w:kern w:val="0"/>
                      <w:sz w:val="21"/>
                      <w:szCs w:val="21"/>
                      <w:highlight w:val="none"/>
                    </w:rPr>
                    <w:t>污水处理厂处理，污水</w:t>
                  </w:r>
                  <w:r>
                    <w:rPr>
                      <w:rFonts w:hint="default" w:ascii="Times New Roman" w:hAnsi="Times New Roman" w:cs="Times New Roman"/>
                      <w:bCs/>
                      <w:color w:val="auto"/>
                      <w:kern w:val="0"/>
                      <w:sz w:val="21"/>
                      <w:szCs w:val="21"/>
                      <w:highlight w:val="none"/>
                      <w:lang w:eastAsia="zh-CN"/>
                    </w:rPr>
                    <w:t>收水</w:t>
                  </w:r>
                  <w:r>
                    <w:rPr>
                      <w:rFonts w:hint="default" w:ascii="Times New Roman" w:hAnsi="Times New Roman" w:cs="Times New Roman"/>
                      <w:bCs/>
                      <w:color w:val="auto"/>
                      <w:kern w:val="0"/>
                      <w:sz w:val="21"/>
                      <w:szCs w:val="21"/>
                      <w:highlight w:val="none"/>
                    </w:rPr>
                    <w:t>管网已覆盖项目区域。</w:t>
                  </w:r>
                  <w:r>
                    <w:rPr>
                      <w:rFonts w:hint="default" w:ascii="Times New Roman" w:hAnsi="Times New Roman" w:cs="Times New Roman"/>
                      <w:bCs/>
                      <w:color w:val="auto"/>
                      <w:kern w:val="0"/>
                      <w:sz w:val="21"/>
                      <w:szCs w:val="21"/>
                      <w:highlight w:val="none"/>
                      <w:lang w:eastAsia="zh-CN"/>
                    </w:rPr>
                    <w:t>大英县工业</w:t>
                  </w:r>
                  <w:r>
                    <w:rPr>
                      <w:rFonts w:hint="default" w:ascii="Times New Roman" w:hAnsi="Times New Roman" w:cs="Times New Roman"/>
                      <w:bCs/>
                      <w:color w:val="auto"/>
                      <w:kern w:val="0"/>
                      <w:sz w:val="21"/>
                      <w:szCs w:val="21"/>
                      <w:highlight w:val="none"/>
                    </w:rPr>
                    <w:t>污水处理厂</w:t>
                  </w:r>
                  <w:r>
                    <w:rPr>
                      <w:rFonts w:hint="default" w:ascii="Times New Roman" w:hAnsi="Times New Roman" w:cs="Times New Roman"/>
                      <w:bCs/>
                      <w:color w:val="auto"/>
                      <w:kern w:val="0"/>
                      <w:sz w:val="21"/>
                      <w:szCs w:val="21"/>
                      <w:highlight w:val="none"/>
                      <w:lang w:eastAsia="zh-CN"/>
                    </w:rPr>
                    <w:t>已于</w:t>
                  </w:r>
                  <w:r>
                    <w:rPr>
                      <w:rFonts w:hint="default" w:ascii="Times New Roman" w:hAnsi="Times New Roman" w:cs="Times New Roman"/>
                      <w:bCs/>
                      <w:color w:val="auto"/>
                      <w:kern w:val="0"/>
                      <w:sz w:val="21"/>
                      <w:szCs w:val="21"/>
                      <w:highlight w:val="none"/>
                      <w:lang w:val="en-US" w:eastAsia="zh-CN"/>
                    </w:rPr>
                    <w:t>2020年底投入运行。</w:t>
                  </w:r>
                </w:p>
              </w:tc>
              <w:tc>
                <w:tcPr>
                  <w:tcW w:w="793" w:type="dxa"/>
                  <w:noWrap w:val="0"/>
                  <w:vAlign w:val="center"/>
                </w:tcPr>
                <w:p w14:paraId="5B414377">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符合</w:t>
                  </w:r>
                </w:p>
              </w:tc>
            </w:tr>
          </w:tbl>
          <w:p w14:paraId="080B8385">
            <w:pPr>
              <w:pStyle w:val="4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综上所述，项目与《国务院关于印发水污染防治行动计划的通知》（国发〔2015〕17号）、《涪江流域（遂宁段）水环境治理工作方案（试行）》（遂府函〔201</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〕155号）和《关于印发四川省打赢蓝天保卫战等九个实施方案的通知》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川府发〔2019〕4号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要求相符。</w:t>
            </w:r>
          </w:p>
          <w:p w14:paraId="145CB9E6">
            <w:pPr>
              <w:pStyle w:val="42"/>
              <w:bidi w:val="0"/>
              <w:ind w:firstLine="720"/>
              <w:rPr>
                <w:rFonts w:hint="default" w:ascii="Times New Roman" w:hAnsi="Times New Roman" w:eastAsia="宋体" w:cs="Times New Roman"/>
                <w:color w:val="auto"/>
                <w:kern w:val="2"/>
                <w:sz w:val="24"/>
                <w:szCs w:val="21"/>
                <w:highlight w:val="none"/>
                <w:lang w:val="zh-CN" w:eastAsia="zh-CN" w:bidi="ar-SA"/>
              </w:rPr>
            </w:pPr>
            <w:r>
              <w:rPr>
                <w:rFonts w:hint="default" w:ascii="Times New Roman" w:hAnsi="Times New Roman" w:eastAsia="宋体" w:cs="Times New Roman"/>
                <w:b/>
                <w:bCs/>
                <w:color w:val="auto"/>
                <w:kern w:val="2"/>
                <w:sz w:val="24"/>
                <w:szCs w:val="21"/>
                <w:highlight w:val="none"/>
                <w:lang w:val="zh-CN" w:eastAsia="zh-CN" w:bidi="ar-SA"/>
              </w:rPr>
              <w:t>（</w:t>
            </w:r>
            <w:r>
              <w:rPr>
                <w:rFonts w:hint="default" w:ascii="Times New Roman" w:hAnsi="Times New Roman" w:cs="Times New Roman"/>
                <w:b/>
                <w:bCs/>
                <w:color w:val="auto"/>
                <w:kern w:val="2"/>
                <w:sz w:val="24"/>
                <w:szCs w:val="21"/>
                <w:highlight w:val="none"/>
                <w:lang w:val="en-US" w:eastAsia="zh-CN" w:bidi="ar-SA"/>
              </w:rPr>
              <w:t>6</w:t>
            </w:r>
            <w:r>
              <w:rPr>
                <w:rFonts w:hint="default" w:ascii="Times New Roman" w:hAnsi="Times New Roman" w:eastAsia="宋体" w:cs="Times New Roman"/>
                <w:b/>
                <w:bCs/>
                <w:color w:val="auto"/>
                <w:kern w:val="2"/>
                <w:sz w:val="24"/>
                <w:szCs w:val="21"/>
                <w:highlight w:val="none"/>
                <w:lang w:val="zh-CN" w:eastAsia="zh-CN" w:bidi="ar-SA"/>
              </w:rPr>
              <w:t>）项目与《土壤污染防治行动计划》“国发〔2016〕31号”符合性如下</w:t>
            </w:r>
            <w:r>
              <w:rPr>
                <w:rFonts w:hint="default" w:ascii="Times New Roman" w:hAnsi="Times New Roman" w:eastAsia="宋体" w:cs="Times New Roman"/>
                <w:color w:val="auto"/>
                <w:kern w:val="2"/>
                <w:sz w:val="24"/>
                <w:szCs w:val="21"/>
                <w:highlight w:val="none"/>
                <w:lang w:val="zh-CN" w:eastAsia="zh-CN" w:bidi="ar-SA"/>
              </w:rPr>
              <w:t>：</w:t>
            </w:r>
          </w:p>
          <w:p w14:paraId="7B32DC52">
            <w:pPr>
              <w:pStyle w:val="4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表1-</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与土壤污染防治行动计划符合性</w:t>
            </w:r>
          </w:p>
          <w:tbl>
            <w:tblPr>
              <w:tblStyle w:val="2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84"/>
              <w:gridCol w:w="4942"/>
              <w:gridCol w:w="1802"/>
              <w:gridCol w:w="576"/>
            </w:tblGrid>
            <w:tr w14:paraId="5755A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4" w:type="dxa"/>
                  <w:noWrap w:val="0"/>
                  <w:vAlign w:val="center"/>
                </w:tcPr>
                <w:p w14:paraId="6E2470DF">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土壤污染防治行动计划</w:t>
                  </w:r>
                </w:p>
              </w:tc>
              <w:tc>
                <w:tcPr>
                  <w:tcW w:w="4942" w:type="dxa"/>
                  <w:noWrap w:val="0"/>
                  <w:vAlign w:val="center"/>
                </w:tcPr>
                <w:p w14:paraId="46CB3555">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相关要求</w:t>
                  </w:r>
                </w:p>
              </w:tc>
              <w:tc>
                <w:tcPr>
                  <w:tcW w:w="1802" w:type="dxa"/>
                  <w:noWrap w:val="0"/>
                  <w:vAlign w:val="center"/>
                </w:tcPr>
                <w:p w14:paraId="233D485B">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本项目情况</w:t>
                  </w:r>
                </w:p>
              </w:tc>
              <w:tc>
                <w:tcPr>
                  <w:tcW w:w="576" w:type="dxa"/>
                  <w:noWrap w:val="0"/>
                  <w:vAlign w:val="center"/>
                </w:tcPr>
                <w:p w14:paraId="24D9BE2D">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符合性</w:t>
                  </w:r>
                </w:p>
              </w:tc>
            </w:tr>
            <w:tr w14:paraId="72A12C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4" w:type="dxa"/>
                  <w:vMerge w:val="restart"/>
                  <w:noWrap w:val="0"/>
                  <w:vAlign w:val="center"/>
                </w:tcPr>
                <w:p w14:paraId="33C23582">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土壤污染防治行动计划“国发〔2016〕31号”</w:t>
                  </w:r>
                </w:p>
              </w:tc>
              <w:tc>
                <w:tcPr>
                  <w:tcW w:w="4942" w:type="dxa"/>
                  <w:noWrap w:val="0"/>
                  <w:vAlign w:val="center"/>
                </w:tcPr>
                <w:p w14:paraId="00CEEBAF">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（八）切实加大保护力度。</w:t>
                  </w:r>
                </w:p>
                <w:p w14:paraId="40EA636D">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防控企业污染。严格控制在优先保护类耕地集中区域新建有色金属冶炼、石油加工、化工、焦化、电镀、制革等行业企业，现有相关行业企业要采用新技术、新工艺，加快提标升级改造+步伐。</w:t>
                  </w:r>
                </w:p>
              </w:tc>
              <w:tc>
                <w:tcPr>
                  <w:tcW w:w="1802" w:type="dxa"/>
                  <w:noWrap w:val="0"/>
                  <w:vAlign w:val="center"/>
                </w:tcPr>
                <w:p w14:paraId="3FBB1A69">
                  <w:pPr>
                    <w:widowControl/>
                    <w:adjustRightInd w:val="0"/>
                    <w:snapToGrid w:val="0"/>
                    <w:spacing w:line="360" w:lineRule="auto"/>
                    <w:ind w:firstLine="0" w:firstLineChars="0"/>
                    <w:jc w:val="left"/>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cs="Times New Roman"/>
                      <w:bCs/>
                      <w:color w:val="auto"/>
                      <w:kern w:val="0"/>
                      <w:sz w:val="21"/>
                      <w:szCs w:val="21"/>
                      <w:highlight w:val="none"/>
                    </w:rPr>
                    <w:t>项目为</w:t>
                  </w:r>
                  <w:r>
                    <w:rPr>
                      <w:rFonts w:hint="eastAsia" w:cs="Times New Roman"/>
                      <w:color w:val="auto"/>
                      <w:sz w:val="21"/>
                      <w:szCs w:val="21"/>
                      <w:highlight w:val="none"/>
                      <w:shd w:val="clear" w:color="auto" w:fill="FFFFFF"/>
                      <w:lang w:val="en-US" w:eastAsia="zh-CN"/>
                    </w:rPr>
                    <w:t>橡胶制品制造项目</w:t>
                  </w:r>
                  <w:r>
                    <w:rPr>
                      <w:rFonts w:hint="default" w:ascii="Times New Roman" w:hAnsi="Times New Roman" w:cs="Times New Roman"/>
                      <w:bCs/>
                      <w:color w:val="auto"/>
                      <w:kern w:val="0"/>
                      <w:sz w:val="21"/>
                      <w:szCs w:val="21"/>
                      <w:highlight w:val="none"/>
                    </w:rPr>
                    <w:t>，位于四川大英经济开发区，用地属于工业用地</w:t>
                  </w:r>
                  <w:r>
                    <w:rPr>
                      <w:rFonts w:hint="default" w:ascii="Times New Roman" w:hAnsi="Times New Roman" w:cs="Times New Roman"/>
                      <w:bCs/>
                      <w:color w:val="auto"/>
                      <w:kern w:val="0"/>
                      <w:sz w:val="21"/>
                      <w:szCs w:val="21"/>
                      <w:highlight w:val="none"/>
                      <w:lang w:eastAsia="zh-CN"/>
                    </w:rPr>
                    <w:t>，项目不占用耕地</w:t>
                  </w:r>
                </w:p>
              </w:tc>
              <w:tc>
                <w:tcPr>
                  <w:tcW w:w="576" w:type="dxa"/>
                  <w:noWrap w:val="0"/>
                  <w:vAlign w:val="center"/>
                </w:tcPr>
                <w:p w14:paraId="5156E0EB">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符合</w:t>
                  </w:r>
                </w:p>
              </w:tc>
            </w:tr>
            <w:tr w14:paraId="58199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4" w:type="dxa"/>
                  <w:vMerge w:val="continue"/>
                  <w:noWrap w:val="0"/>
                  <w:vAlign w:val="center"/>
                </w:tcPr>
                <w:p w14:paraId="70CF3431">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p>
              </w:tc>
              <w:tc>
                <w:tcPr>
                  <w:tcW w:w="4942" w:type="dxa"/>
                  <w:noWrap w:val="0"/>
                  <w:vAlign w:val="center"/>
                </w:tcPr>
                <w:p w14:paraId="7AC11AC3">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十六）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1802" w:type="dxa"/>
                  <w:noWrap w:val="0"/>
                  <w:vAlign w:val="center"/>
                </w:tcPr>
                <w:p w14:paraId="3C05390A">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本项目排放常规污染物，不排放重点污染物。</w:t>
                  </w:r>
                </w:p>
              </w:tc>
              <w:tc>
                <w:tcPr>
                  <w:tcW w:w="576" w:type="dxa"/>
                  <w:noWrap w:val="0"/>
                  <w:vAlign w:val="center"/>
                </w:tcPr>
                <w:p w14:paraId="0F3AF206">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符合</w:t>
                  </w:r>
                </w:p>
              </w:tc>
            </w:tr>
            <w:tr w14:paraId="66B75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4" w:type="dxa"/>
                  <w:vMerge w:val="continue"/>
                  <w:noWrap w:val="0"/>
                  <w:vAlign w:val="center"/>
                </w:tcPr>
                <w:p w14:paraId="1964BEF2">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p>
              </w:tc>
              <w:tc>
                <w:tcPr>
                  <w:tcW w:w="4942" w:type="dxa"/>
                  <w:noWrap w:val="0"/>
                  <w:vAlign w:val="center"/>
                </w:tcPr>
                <w:p w14:paraId="16A9AD17">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十七）强化空间布局管控。……严格执行相关行业企业布局选址要求，禁止在居民区、学校、医疗和养老机构等周边新建有色金属冶炼、焦化等行业企业；结合区域功能定位和土壤污染防治需要，科学布局生活垃圾处理、危险废物处置、废旧资源再生利用等设施和场所，合理确定畜禽养殖布局和规模。</w:t>
                  </w:r>
                </w:p>
              </w:tc>
              <w:tc>
                <w:tcPr>
                  <w:tcW w:w="1802" w:type="dxa"/>
                  <w:noWrap w:val="0"/>
                  <w:vAlign w:val="center"/>
                </w:tcPr>
                <w:p w14:paraId="79FCEA48">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本项目位于四川大英经济开发区，</w:t>
                  </w:r>
                  <w:r>
                    <w:rPr>
                      <w:rFonts w:hint="default" w:ascii="Times New Roman" w:hAnsi="Times New Roman" w:cs="Times New Roman"/>
                      <w:bCs/>
                      <w:color w:val="auto"/>
                      <w:kern w:val="0"/>
                      <w:sz w:val="21"/>
                      <w:szCs w:val="21"/>
                      <w:highlight w:val="none"/>
                      <w:lang w:eastAsia="zh-CN"/>
                    </w:rPr>
                    <w:t>不属于</w:t>
                  </w:r>
                  <w:r>
                    <w:rPr>
                      <w:rFonts w:hint="default" w:ascii="Times New Roman" w:hAnsi="Times New Roman" w:cs="Times New Roman"/>
                      <w:bCs/>
                      <w:color w:val="auto"/>
                      <w:kern w:val="0"/>
                      <w:sz w:val="21"/>
                      <w:szCs w:val="21"/>
                      <w:highlight w:val="none"/>
                    </w:rPr>
                    <w:t>有色金属冶炼、焦化</w:t>
                  </w:r>
                  <w:r>
                    <w:rPr>
                      <w:rFonts w:hint="default" w:ascii="Times New Roman" w:hAnsi="Times New Roman" w:cs="Times New Roman"/>
                      <w:bCs/>
                      <w:color w:val="auto"/>
                      <w:kern w:val="0"/>
                      <w:sz w:val="21"/>
                      <w:szCs w:val="21"/>
                      <w:highlight w:val="none"/>
                      <w:lang w:eastAsia="zh-CN"/>
                    </w:rPr>
                    <w:t>类项目</w:t>
                  </w:r>
                  <w:r>
                    <w:rPr>
                      <w:rFonts w:hint="default" w:ascii="Times New Roman" w:hAnsi="Times New Roman" w:cs="Times New Roman"/>
                      <w:bCs/>
                      <w:color w:val="auto"/>
                      <w:kern w:val="0"/>
                      <w:sz w:val="21"/>
                      <w:szCs w:val="21"/>
                      <w:highlight w:val="none"/>
                    </w:rPr>
                    <w:t>。</w:t>
                  </w:r>
                </w:p>
              </w:tc>
              <w:tc>
                <w:tcPr>
                  <w:tcW w:w="576" w:type="dxa"/>
                  <w:noWrap w:val="0"/>
                  <w:vAlign w:val="center"/>
                </w:tcPr>
                <w:p w14:paraId="3AAF6ACF">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符合</w:t>
                  </w:r>
                </w:p>
              </w:tc>
            </w:tr>
          </w:tbl>
          <w:p w14:paraId="08B92731">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综上所述，本项目的建设符合土壤污染防治行动计划的要求。</w:t>
            </w:r>
          </w:p>
          <w:p w14:paraId="7AA5FC0F">
            <w:pPr>
              <w:pStyle w:val="42"/>
              <w:bidi w:val="0"/>
              <w:rPr>
                <w:rFonts w:hint="default" w:ascii="Times New Roman" w:hAnsi="Times New Roman" w:cs="Times New Roman"/>
                <w:b/>
                <w:bCs/>
                <w:color w:val="auto"/>
                <w:highlight w:val="none"/>
                <w:lang w:val="zh-CN"/>
              </w:rPr>
            </w:pPr>
            <w:r>
              <w:rPr>
                <w:rFonts w:hint="default" w:ascii="Times New Roman" w:hAnsi="Times New Roman" w:cs="Times New Roman"/>
                <w:b/>
                <w:bCs/>
                <w:color w:val="auto"/>
                <w:highlight w:val="none"/>
                <w:lang w:val="zh-CN"/>
              </w:rPr>
              <w:t>（</w:t>
            </w:r>
            <w:r>
              <w:rPr>
                <w:rFonts w:hint="default" w:ascii="Times New Roman" w:hAnsi="Times New Roman" w:cs="Times New Roman"/>
                <w:b/>
                <w:bCs/>
                <w:color w:val="auto"/>
                <w:highlight w:val="none"/>
                <w:lang w:val="en-US" w:eastAsia="zh-CN"/>
              </w:rPr>
              <w:t>7</w:t>
            </w:r>
            <w:r>
              <w:rPr>
                <w:rFonts w:hint="default" w:ascii="Times New Roman" w:hAnsi="Times New Roman" w:cs="Times New Roman"/>
                <w:b/>
                <w:bCs/>
                <w:color w:val="auto"/>
                <w:highlight w:val="none"/>
                <w:lang w:val="zh-CN"/>
              </w:rPr>
              <w:t>）郪江黄颡鱼国家级水产种质资源保护区关系</w:t>
            </w:r>
          </w:p>
          <w:p w14:paraId="4901DC53">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据</w:t>
            </w:r>
            <w:r>
              <w:rPr>
                <w:rFonts w:hint="eastAsia" w:ascii="Times New Roman" w:hAnsi="Times New Roman" w:cs="Times New Roman"/>
                <w:color w:val="auto"/>
                <w:highlight w:val="none"/>
                <w:lang w:eastAsia="zh-CN"/>
              </w:rPr>
              <w:t>农业农村部</w:t>
            </w:r>
            <w:r>
              <w:rPr>
                <w:rFonts w:hint="default" w:ascii="Times New Roman" w:hAnsi="Times New Roman" w:cs="Times New Roman"/>
                <w:color w:val="auto"/>
                <w:highlight w:val="none"/>
              </w:rPr>
              <w:t>办公厅《关于调整郪江黄颡鱼等2处国家级水产种质资源保护区面积范围和功能分区的通知》（农办长渔〔201</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〕2号）：郪江黄颡鱼国家级水产种质资源保护区总面积520公顷，其中核心区面积431.25公顷，实验区面积88.75公顷，范围在</w:t>
            </w:r>
            <w:r>
              <w:rPr>
                <w:rFonts w:hint="default" w:ascii="Times New Roman" w:hAnsi="Times New Roman" w:cs="Times New Roman"/>
                <w:color w:val="auto"/>
                <w:highlight w:val="none"/>
                <w:lang w:eastAsia="zh-CN"/>
              </w:rPr>
              <w:t>东经</w:t>
            </w:r>
            <w:r>
              <w:rPr>
                <w:rFonts w:hint="default" w:ascii="Times New Roman" w:hAnsi="Times New Roman" w:cs="Times New Roman"/>
                <w:color w:val="auto"/>
                <w:highlight w:val="none"/>
              </w:rPr>
              <w:t>105°04′23.15″~105°16′3.30″，北纬30°33′8.46″~30°45′49.57″之间。根据分区原则结合郪江具体情况将保护区划分为核心区、实验区</w:t>
            </w:r>
            <w:r>
              <w:rPr>
                <w:rFonts w:hint="eastAsia" w:ascii="Times New Roman" w:hAnsi="Times New Roman" w:cs="Times New Roman"/>
                <w:color w:val="auto"/>
                <w:highlight w:val="none"/>
                <w:lang w:eastAsia="zh-CN"/>
              </w:rPr>
              <w:t>两个</w:t>
            </w:r>
            <w:r>
              <w:rPr>
                <w:rFonts w:hint="default" w:ascii="Times New Roman" w:hAnsi="Times New Roman" w:cs="Times New Roman"/>
                <w:color w:val="auto"/>
                <w:highlight w:val="none"/>
              </w:rPr>
              <w:t>功能区。保护区位于四川省遂宁市大英县和德阳市中江县郪江干流联合镇会仙桥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蓬莱镇康家咀</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蓬莱镇张家堰及其支流寸塘口河蓬莱镇赵家湾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窝窝店</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寸塘口河河口全长74km，该水产种质资源保护区主要保护对象为黄颡鱼、鳜鱼、中华鳖，</w:t>
            </w:r>
            <w:r>
              <w:rPr>
                <w:rFonts w:hint="default" w:ascii="Times New Roman" w:hAnsi="Times New Roman" w:cs="Times New Roman"/>
                <w:color w:val="auto"/>
                <w:highlight w:val="none"/>
                <w:lang w:eastAsia="zh-CN"/>
              </w:rPr>
              <w:t>其他</w:t>
            </w:r>
            <w:r>
              <w:rPr>
                <w:rFonts w:hint="default" w:ascii="Times New Roman" w:hAnsi="Times New Roman" w:cs="Times New Roman"/>
                <w:color w:val="auto"/>
                <w:highlight w:val="none"/>
              </w:rPr>
              <w:t>保护物种包括黄颡鱼、鳜、长吻鮠、中华鳖等。</w:t>
            </w:r>
          </w:p>
          <w:p w14:paraId="689EAFFB">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本项目位于郪江黄颡鱼国家级水产种质资源保护区实验区张家堰</w:t>
            </w:r>
            <w:r>
              <w:rPr>
                <w:rFonts w:hint="default" w:ascii="Times New Roman" w:hAnsi="Times New Roman" w:cs="Times New Roman"/>
                <w:color w:val="auto"/>
                <w:highlight w:val="none"/>
                <w:lang w:eastAsia="zh-CN"/>
              </w:rPr>
              <w:t>橡胶大坝（实验区终点）</w:t>
            </w:r>
            <w:r>
              <w:rPr>
                <w:rFonts w:hint="eastAsia" w:ascii="Times New Roman" w:hAnsi="Times New Roman" w:cs="Times New Roman"/>
                <w:color w:val="auto"/>
                <w:highlight w:val="none"/>
                <w:lang w:eastAsia="zh-CN"/>
              </w:rPr>
              <w:t>下游</w:t>
            </w:r>
            <w:r>
              <w:rPr>
                <w:rFonts w:hint="default" w:ascii="Times New Roman" w:hAnsi="Times New Roman" w:cs="Times New Roman"/>
                <w:color w:val="auto"/>
                <w:highlight w:val="none"/>
                <w:lang w:eastAsia="zh-CN"/>
              </w:rPr>
              <w:t>约</w:t>
            </w:r>
            <w:r>
              <w:rPr>
                <w:rFonts w:hint="eastAsia" w:ascii="Times New Roman" w:hAnsi="Times New Roman" w:cs="Times New Roman"/>
                <w:color w:val="auto"/>
                <w:highlight w:val="none"/>
                <w:lang w:val="en-US" w:eastAsia="zh-CN"/>
              </w:rPr>
              <w:t>1.5k</w:t>
            </w:r>
            <w:r>
              <w:rPr>
                <w:rFonts w:hint="default" w:ascii="Times New Roman" w:hAnsi="Times New Roman" w:cs="Times New Roman"/>
                <w:color w:val="auto"/>
                <w:highlight w:val="none"/>
                <w:lang w:val="en-US" w:eastAsia="zh-CN"/>
              </w:rPr>
              <w:t>m</w:t>
            </w:r>
            <w:r>
              <w:rPr>
                <w:rFonts w:hint="eastAsia" w:ascii="Times New Roman" w:hAnsi="Times New Roman" w:cs="Times New Roman"/>
                <w:color w:val="auto"/>
                <w:highlight w:val="none"/>
                <w:lang w:val="en-US" w:eastAsia="zh-CN"/>
              </w:rPr>
              <w:t>南侧</w:t>
            </w:r>
            <w:r>
              <w:rPr>
                <w:rFonts w:hint="default" w:ascii="Times New Roman" w:hAnsi="Times New Roman" w:cs="Times New Roman"/>
                <w:color w:val="auto"/>
                <w:highlight w:val="none"/>
              </w:rPr>
              <w:t>，项目建设区域不在郪江黄颡鱼国家级水产种质资源保护区范围内。</w:t>
            </w:r>
          </w:p>
          <w:p w14:paraId="6D56C863">
            <w:pPr>
              <w:pStyle w:val="42"/>
              <w:bidi w:val="0"/>
              <w:rPr>
                <w:rFonts w:hint="default" w:ascii="Times New Roman" w:hAnsi="Times New Roman" w:cs="Times New Roman"/>
                <w:color w:val="auto"/>
                <w:highlight w:val="none"/>
              </w:rPr>
            </w:pPr>
          </w:p>
          <w:p w14:paraId="6DD51024">
            <w:pPr>
              <w:pStyle w:val="42"/>
              <w:bidi w:val="0"/>
              <w:rPr>
                <w:rFonts w:hint="default" w:ascii="Times New Roman" w:hAnsi="Times New Roman" w:cs="Times New Roman"/>
                <w:color w:val="auto"/>
                <w:highlight w:val="none"/>
              </w:rPr>
            </w:pPr>
          </w:p>
          <w:p w14:paraId="4A422CB4">
            <w:pPr>
              <w:pStyle w:val="42"/>
              <w:bidi w:val="0"/>
              <w:rPr>
                <w:rFonts w:hint="default" w:ascii="Times New Roman" w:hAnsi="Times New Roman" w:cs="Times New Roman"/>
                <w:color w:val="auto"/>
                <w:highlight w:val="none"/>
              </w:rPr>
            </w:pPr>
          </w:p>
          <w:p w14:paraId="67509D3E">
            <w:pPr>
              <w:pStyle w:val="42"/>
              <w:bidi w:val="0"/>
              <w:rPr>
                <w:rFonts w:hint="default" w:ascii="Times New Roman" w:hAnsi="Times New Roman" w:cs="Times New Roman"/>
                <w:color w:val="auto"/>
                <w:highlight w:val="none"/>
              </w:rPr>
            </w:pPr>
          </w:p>
          <w:p w14:paraId="5AEB1E81">
            <w:pPr>
              <w:pStyle w:val="42"/>
              <w:bidi w:val="0"/>
              <w:rPr>
                <w:rFonts w:hint="default" w:ascii="Times New Roman" w:hAnsi="Times New Roman" w:cs="Times New Roman"/>
                <w:color w:val="auto"/>
                <w:highlight w:val="none"/>
              </w:rPr>
            </w:pPr>
          </w:p>
          <w:p w14:paraId="1A386500">
            <w:pPr>
              <w:pStyle w:val="42"/>
              <w:bidi w:val="0"/>
              <w:rPr>
                <w:rFonts w:hint="default" w:ascii="Times New Roman" w:hAnsi="Times New Roman" w:cs="Times New Roman"/>
                <w:color w:val="auto"/>
                <w:highlight w:val="none"/>
              </w:rPr>
            </w:pPr>
          </w:p>
          <w:p w14:paraId="098C53A5">
            <w:pPr>
              <w:pStyle w:val="42"/>
              <w:bidi w:val="0"/>
              <w:rPr>
                <w:rFonts w:hint="default" w:ascii="Times New Roman" w:hAnsi="Times New Roman" w:cs="Times New Roman"/>
                <w:color w:val="auto"/>
                <w:highlight w:val="none"/>
              </w:rPr>
            </w:pPr>
          </w:p>
          <w:p w14:paraId="10F99655">
            <w:pPr>
              <w:pStyle w:val="42"/>
              <w:bidi w:val="0"/>
              <w:rPr>
                <w:rFonts w:hint="default" w:ascii="Times New Roman" w:hAnsi="Times New Roman" w:cs="Times New Roman"/>
                <w:color w:val="auto"/>
                <w:highlight w:val="none"/>
              </w:rPr>
            </w:pPr>
          </w:p>
          <w:p w14:paraId="2940F2DD">
            <w:pPr>
              <w:pStyle w:val="42"/>
              <w:bidi w:val="0"/>
              <w:rPr>
                <w:rFonts w:hint="default" w:ascii="Times New Roman" w:hAnsi="Times New Roman" w:cs="Times New Roman"/>
                <w:color w:val="auto"/>
                <w:highlight w:val="none"/>
              </w:rPr>
            </w:pPr>
          </w:p>
          <w:p w14:paraId="4A7B8814">
            <w:pPr>
              <w:pStyle w:val="42"/>
              <w:bidi w:val="0"/>
              <w:rPr>
                <w:rFonts w:hint="default" w:ascii="Times New Roman" w:hAnsi="Times New Roman" w:cs="Times New Roman"/>
                <w:color w:val="auto"/>
                <w:highlight w:val="none"/>
              </w:rPr>
            </w:pPr>
          </w:p>
          <w:p w14:paraId="5BF6C5B6">
            <w:pPr>
              <w:pStyle w:val="42"/>
              <w:bidi w:val="0"/>
              <w:rPr>
                <w:rFonts w:hint="default" w:ascii="Times New Roman" w:hAnsi="Times New Roman" w:cs="Times New Roman"/>
                <w:color w:val="auto"/>
                <w:highlight w:val="none"/>
              </w:rPr>
            </w:pPr>
          </w:p>
          <w:p w14:paraId="57BBF773">
            <w:pPr>
              <w:pStyle w:val="42"/>
              <w:bidi w:val="0"/>
              <w:rPr>
                <w:rFonts w:hint="default" w:ascii="Times New Roman" w:hAnsi="Times New Roman" w:cs="Times New Roman"/>
                <w:color w:val="auto"/>
                <w:highlight w:val="none"/>
              </w:rPr>
            </w:pPr>
          </w:p>
          <w:p w14:paraId="61839F7D">
            <w:pPr>
              <w:pStyle w:val="42"/>
              <w:bidi w:val="0"/>
              <w:rPr>
                <w:rFonts w:hint="default" w:ascii="Times New Roman" w:hAnsi="Times New Roman" w:cs="Times New Roman"/>
                <w:color w:val="auto"/>
                <w:highlight w:val="none"/>
              </w:rPr>
            </w:pPr>
          </w:p>
          <w:p w14:paraId="7A3D1D53">
            <w:pPr>
              <w:pStyle w:val="42"/>
              <w:bidi w:val="0"/>
              <w:rPr>
                <w:rFonts w:hint="default" w:ascii="Times New Roman" w:hAnsi="Times New Roman" w:cs="Times New Roman"/>
                <w:color w:val="auto"/>
                <w:highlight w:val="none"/>
              </w:rPr>
            </w:pPr>
          </w:p>
          <w:p w14:paraId="5195B055">
            <w:pPr>
              <w:pStyle w:val="42"/>
              <w:bidi w:val="0"/>
              <w:rPr>
                <w:rFonts w:hint="default" w:ascii="Times New Roman" w:hAnsi="Times New Roman" w:cs="Times New Roman"/>
                <w:color w:val="auto"/>
                <w:highlight w:val="none"/>
              </w:rPr>
            </w:pPr>
          </w:p>
          <w:p w14:paraId="34CBC777">
            <w:pPr>
              <w:pStyle w:val="42"/>
              <w:bidi w:val="0"/>
              <w:rPr>
                <w:rFonts w:hint="default" w:ascii="Times New Roman" w:hAnsi="Times New Roman" w:cs="Times New Roman"/>
                <w:color w:val="auto"/>
                <w:highlight w:val="none"/>
              </w:rPr>
            </w:pPr>
          </w:p>
          <w:p w14:paraId="1E3ACFB0">
            <w:pPr>
              <w:pStyle w:val="42"/>
              <w:bidi w:val="0"/>
              <w:rPr>
                <w:rFonts w:hint="default" w:ascii="Times New Roman" w:hAnsi="Times New Roman" w:cs="Times New Roman"/>
                <w:color w:val="auto"/>
                <w:highlight w:val="none"/>
              </w:rPr>
            </w:pPr>
          </w:p>
          <w:p w14:paraId="2008295A">
            <w:pPr>
              <w:pStyle w:val="42"/>
              <w:bidi w:val="0"/>
              <w:rPr>
                <w:rFonts w:hint="default" w:ascii="Times New Roman" w:hAnsi="Times New Roman" w:cs="Times New Roman"/>
                <w:color w:val="auto"/>
                <w:highlight w:val="none"/>
              </w:rPr>
            </w:pPr>
          </w:p>
          <w:p w14:paraId="54E10635">
            <w:pPr>
              <w:pStyle w:val="42"/>
              <w:bidi w:val="0"/>
              <w:rPr>
                <w:rFonts w:hint="default" w:ascii="Times New Roman" w:hAnsi="Times New Roman" w:cs="Times New Roman"/>
                <w:color w:val="auto"/>
                <w:highlight w:val="none"/>
              </w:rPr>
            </w:pPr>
          </w:p>
          <w:p w14:paraId="6C47133A">
            <w:pPr>
              <w:spacing w:line="360" w:lineRule="auto"/>
              <w:outlineLvl w:val="0"/>
              <w:rPr>
                <w:rFonts w:hint="default" w:ascii="Times New Roman" w:hAnsi="Times New Roman" w:eastAsia="黑体" w:cs="Times New Roman"/>
                <w:color w:val="auto"/>
                <w:sz w:val="30"/>
                <w:highlight w:val="none"/>
                <w:vertAlign w:val="baseline"/>
              </w:rPr>
            </w:pPr>
          </w:p>
        </w:tc>
      </w:tr>
    </w:tbl>
    <w:p w14:paraId="3FFBC417">
      <w:pPr>
        <w:spacing w:line="360" w:lineRule="auto"/>
        <w:outlineLvl w:val="0"/>
        <w:rPr>
          <w:rFonts w:hint="default" w:ascii="Times New Roman" w:hAnsi="Times New Roman" w:eastAsia="黑体" w:cs="Times New Roman"/>
          <w:color w:val="auto"/>
          <w:sz w:val="30"/>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16F294D5">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09"/>
      </w:tblGrid>
      <w:tr w14:paraId="3A17C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 w:type="dxa"/>
            <w:noWrap w:val="0"/>
            <w:vAlign w:val="center"/>
          </w:tcPr>
          <w:p w14:paraId="3F19B473">
            <w:pPr>
              <w:pStyle w:val="20"/>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4"/>
                <w:szCs w:val="24"/>
                <w:highlight w:val="none"/>
              </w:rPr>
              <w:t>建设内容</w:t>
            </w:r>
          </w:p>
        </w:tc>
        <w:tc>
          <w:tcPr>
            <w:tcW w:w="8609" w:type="dxa"/>
            <w:noWrap w:val="0"/>
            <w:vAlign w:val="top"/>
          </w:tcPr>
          <w:p w14:paraId="46B91EEA">
            <w:pPr>
              <w:pStyle w:val="42"/>
              <w:keepNext w:val="0"/>
              <w:keepLines w:val="0"/>
              <w:pageBreakBefore w:val="0"/>
              <w:widowControl w:val="0"/>
              <w:kinsoku/>
              <w:wordWrap/>
              <w:overflowPunct/>
              <w:topLinePunct w:val="0"/>
              <w:autoSpaceDE/>
              <w:autoSpaceDN/>
              <w:bidi w:val="0"/>
              <w:adjustRightInd w:val="0"/>
              <w:snapToGrid w:val="0"/>
              <w:ind w:left="0" w:leftChars="0" w:right="0" w:rightChars="0" w:firstLine="482" w:firstLineChars="200"/>
              <w:jc w:val="both"/>
              <w:textAlignment w:val="auto"/>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项目背景：</w:t>
            </w:r>
          </w:p>
          <w:p w14:paraId="40D1F92E">
            <w:pPr>
              <w:pStyle w:val="42"/>
              <w:keepNext w:val="0"/>
              <w:keepLines w:val="0"/>
              <w:pageBreakBefore w:val="0"/>
              <w:widowControl w:val="0"/>
              <w:kinsoku/>
              <w:wordWrap/>
              <w:overflowPunct/>
              <w:topLinePunct w:val="0"/>
              <w:autoSpaceDE/>
              <w:autoSpaceDN/>
              <w:bidi w:val="0"/>
              <w:adjustRightInd w:val="0"/>
              <w:snapToGrid w:val="0"/>
              <w:ind w:left="0" w:leftChars="0" w:right="0" w:rightChars="0" w:firstLine="480" w:firstLineChars="200"/>
              <w:jc w:val="both"/>
              <w:textAlignment w:val="auto"/>
              <w:rPr>
                <w:rFonts w:hint="default" w:ascii="Times New Roman" w:hAnsi="Times New Roman" w:cs="Times New Roman"/>
                <w:color w:val="auto"/>
                <w:kern w:val="2"/>
                <w:sz w:val="24"/>
                <w:szCs w:val="21"/>
                <w:highlight w:val="none"/>
                <w:lang w:val="en-US" w:eastAsia="zh-CN" w:bidi="ar-SA"/>
              </w:rPr>
            </w:pPr>
            <w:r>
              <w:rPr>
                <w:rFonts w:hint="eastAsia" w:ascii="Times New Roman" w:hAnsi="Times New Roman" w:cs="Times New Roman"/>
                <w:color w:val="auto"/>
                <w:kern w:val="2"/>
                <w:sz w:val="24"/>
                <w:szCs w:val="21"/>
                <w:highlight w:val="none"/>
                <w:lang w:val="en-US" w:eastAsia="zh-CN" w:bidi="ar-SA"/>
              </w:rPr>
              <w:t>遂宁森帝汽配制造有限责任公司，成立于2011年，公司主要从事汽车用橡胶流体管道、橡胶减振垫、硅胶管道及金属管道生产。2025年因公司客户群增多，公司决定对现有橡胶流体管道生产线进行扩建，将橡胶流体管道产能从1280t/a提升至2780t/a。</w:t>
            </w:r>
          </w:p>
          <w:p w14:paraId="26EFB08B">
            <w:pPr>
              <w:pStyle w:val="42"/>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lang w:eastAsia="zh-CN"/>
              </w:rPr>
              <w:t>1.</w:t>
            </w:r>
            <w:r>
              <w:rPr>
                <w:rFonts w:hint="default" w:ascii="Times New Roman" w:hAnsi="Times New Roman" w:cs="Times New Roman"/>
                <w:b/>
                <w:bCs/>
                <w:color w:val="auto"/>
                <w:highlight w:val="none"/>
              </w:rPr>
              <w:t>项目名称、建设性质、建设单位、建设地点、建设投资</w:t>
            </w:r>
          </w:p>
          <w:p w14:paraId="4CCDB2D0">
            <w:pPr>
              <w:pStyle w:val="4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项目名称：</w:t>
            </w:r>
            <w:r>
              <w:rPr>
                <w:rFonts w:hint="eastAsia" w:ascii="Times New Roman" w:hAnsi="Times New Roman" w:cs="Times New Roman"/>
                <w:color w:val="auto"/>
                <w:highlight w:val="none"/>
                <w:lang w:eastAsia="zh-CN"/>
              </w:rPr>
              <w:t>流体管道生产扩建项目</w:t>
            </w:r>
          </w:p>
          <w:p w14:paraId="531CC725">
            <w:pPr>
              <w:pStyle w:val="42"/>
              <w:bidi w:val="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建设性质：</w:t>
            </w:r>
            <w:r>
              <w:rPr>
                <w:rFonts w:hint="eastAsia" w:ascii="Times New Roman" w:hAnsi="Times New Roman" w:cs="Times New Roman"/>
                <w:color w:val="auto"/>
                <w:highlight w:val="none"/>
                <w:lang w:val="en-US" w:eastAsia="zh-CN"/>
              </w:rPr>
              <w:t>扩建</w:t>
            </w:r>
          </w:p>
          <w:p w14:paraId="68997E38">
            <w:pPr>
              <w:pStyle w:val="4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建设单位：</w:t>
            </w:r>
            <w:r>
              <w:rPr>
                <w:rFonts w:hint="eastAsia" w:ascii="Times New Roman" w:hAnsi="Times New Roman" w:cs="Times New Roman"/>
                <w:color w:val="auto"/>
                <w:highlight w:val="none"/>
                <w:lang w:eastAsia="zh-CN"/>
              </w:rPr>
              <w:t>遂宁森帝汽配制造有限责任公司</w:t>
            </w:r>
          </w:p>
          <w:p w14:paraId="4E6003B9">
            <w:pPr>
              <w:pStyle w:val="42"/>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highlight w:val="none"/>
              </w:rPr>
              <w:t>建设地点：</w:t>
            </w:r>
            <w:r>
              <w:rPr>
                <w:rFonts w:hint="eastAsia" w:cs="Times New Roman"/>
                <w:color w:val="auto"/>
                <w:sz w:val="24"/>
                <w:szCs w:val="24"/>
                <w:highlight w:val="none"/>
                <w:lang w:val="en-US" w:eastAsia="zh-CN"/>
              </w:rPr>
              <w:t>四川省大英经济开发区郪江东路687号</w:t>
            </w:r>
          </w:p>
          <w:p w14:paraId="7696B5E1">
            <w:pPr>
              <w:pStyle w:val="42"/>
              <w:bidi w:val="0"/>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lang w:eastAsia="zh-CN"/>
              </w:rPr>
              <w:t>2.</w:t>
            </w:r>
            <w:r>
              <w:rPr>
                <w:rFonts w:hint="default" w:ascii="Times New Roman" w:hAnsi="Times New Roman" w:cs="Times New Roman"/>
                <w:b/>
                <w:bCs/>
                <w:color w:val="auto"/>
                <w:highlight w:val="none"/>
              </w:rPr>
              <w:t>建设内容及规模</w:t>
            </w:r>
          </w:p>
          <w:p w14:paraId="03CEB0CA">
            <w:pPr>
              <w:pStyle w:val="42"/>
              <w:bidi w:val="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w:t>
            </w:r>
            <w:r>
              <w:rPr>
                <w:rFonts w:hint="eastAsia" w:ascii="Times New Roman" w:hAnsi="Times New Roman" w:cs="Times New Roman"/>
                <w:color w:val="auto"/>
                <w:highlight w:val="none"/>
                <w:lang w:eastAsia="zh-CN"/>
              </w:rPr>
              <w:t>遂宁森帝汽配制造有限责任公司</w:t>
            </w:r>
            <w:r>
              <w:rPr>
                <w:rFonts w:hint="default" w:ascii="Times New Roman" w:hAnsi="Times New Roman" w:cs="Times New Roman"/>
                <w:color w:val="auto"/>
                <w:highlight w:val="none"/>
              </w:rPr>
              <w:t>现有车间内</w:t>
            </w:r>
            <w:r>
              <w:rPr>
                <w:rFonts w:hint="eastAsia" w:ascii="Times New Roman" w:hAnsi="Times New Roman" w:cs="Times New Roman"/>
                <w:color w:val="auto"/>
                <w:highlight w:val="none"/>
                <w:lang w:val="en-US" w:eastAsia="zh-CN"/>
              </w:rPr>
              <w:t>新增设备扩建现有橡胶流体管道生产线</w:t>
            </w:r>
            <w:r>
              <w:rPr>
                <w:rFonts w:hint="default" w:ascii="Times New Roman" w:hAnsi="Times New Roman" w:cs="Times New Roman"/>
                <w:color w:val="auto"/>
                <w:highlight w:val="none"/>
              </w:rPr>
              <w:t>，项目主要</w:t>
            </w:r>
            <w:r>
              <w:rPr>
                <w:rFonts w:hint="eastAsia" w:ascii="Times New Roman" w:hAnsi="Times New Roman" w:cs="Times New Roman"/>
                <w:color w:val="auto"/>
                <w:highlight w:val="none"/>
                <w:lang w:val="en-US" w:eastAsia="zh-CN"/>
              </w:rPr>
              <w:t>新增</w:t>
            </w:r>
            <w:r>
              <w:rPr>
                <w:rFonts w:hint="default" w:ascii="Times New Roman" w:hAnsi="Times New Roman" w:cs="Times New Roman"/>
                <w:color w:val="auto"/>
                <w:highlight w:val="none"/>
              </w:rPr>
              <w:t>全自动配料机、橡胶捏炼机、挤出机、硫化罐等，项目建成后</w:t>
            </w:r>
            <w:r>
              <w:rPr>
                <w:rFonts w:hint="eastAsia" w:ascii="Times New Roman" w:hAnsi="Times New Roman" w:cs="Times New Roman"/>
                <w:color w:val="auto"/>
                <w:highlight w:val="none"/>
                <w:lang w:val="en-US" w:eastAsia="zh-CN"/>
              </w:rPr>
              <w:t>橡胶流体管道产能提升至2780</w:t>
            </w:r>
            <w:r>
              <w:rPr>
                <w:rFonts w:hint="default" w:ascii="Times New Roman" w:hAnsi="Times New Roman" w:cs="Times New Roman"/>
                <w:color w:val="auto"/>
                <w:highlight w:val="none"/>
              </w:rPr>
              <w:t>t/a</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其他产品产能不变</w:t>
            </w:r>
            <w:r>
              <w:rPr>
                <w:rFonts w:hint="default" w:ascii="Times New Roman" w:hAnsi="Times New Roman" w:cs="Times New Roman"/>
                <w:color w:val="auto"/>
                <w:highlight w:val="none"/>
              </w:rPr>
              <w:t>。</w:t>
            </w:r>
          </w:p>
          <w:p w14:paraId="63800A07">
            <w:pPr>
              <w:pStyle w:val="42"/>
              <w:bidi w:val="0"/>
              <w:rPr>
                <w:rFonts w:hint="eastAsia" w:ascii="Times New Roman" w:hAnsi="Times New Roman" w:eastAsia="宋体" w:cs="Times New Roman"/>
                <w:b/>
                <w:bCs/>
                <w:color w:val="auto"/>
                <w:highlight w:val="none"/>
                <w:lang w:eastAsia="zh-CN"/>
              </w:rPr>
            </w:pPr>
            <w:r>
              <w:rPr>
                <w:rFonts w:hint="eastAsia" w:ascii="Times New Roman" w:hAnsi="Times New Roman" w:cs="Times New Roman"/>
                <w:b/>
                <w:bCs/>
                <w:color w:val="auto"/>
                <w:highlight w:val="none"/>
                <w:lang w:eastAsia="zh-CN"/>
              </w:rPr>
              <w:t>3.</w:t>
            </w:r>
            <w:r>
              <w:rPr>
                <w:rFonts w:hint="default" w:ascii="Times New Roman" w:hAnsi="Times New Roman" w:cs="Times New Roman"/>
                <w:b/>
                <w:bCs/>
                <w:color w:val="auto"/>
                <w:highlight w:val="none"/>
              </w:rPr>
              <w:t>项目组成及主要环境问题</w:t>
            </w:r>
          </w:p>
          <w:p w14:paraId="03A15CC9">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本项目建设内容及项目组成见表</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w:t>
            </w:r>
          </w:p>
          <w:p w14:paraId="222AC1B9">
            <w:pPr>
              <w:pStyle w:val="4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rPr>
              <w:t>组成一览表</w:t>
            </w:r>
          </w:p>
          <w:tbl>
            <w:tblPr>
              <w:tblStyle w:val="23"/>
              <w:tblW w:w="85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46"/>
              <w:gridCol w:w="4300"/>
              <w:gridCol w:w="974"/>
              <w:gridCol w:w="858"/>
              <w:gridCol w:w="1326"/>
            </w:tblGrid>
            <w:tr w14:paraId="11EBEA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exact"/>
                <w:jc w:val="center"/>
              </w:trPr>
              <w:tc>
                <w:tcPr>
                  <w:tcW w:w="1046" w:type="dxa"/>
                  <w:vMerge w:val="restart"/>
                  <w:noWrap w:val="0"/>
                  <w:vAlign w:val="center"/>
                </w:tcPr>
                <w:p w14:paraId="682685AE">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工程类别</w:t>
                  </w:r>
                </w:p>
              </w:tc>
              <w:tc>
                <w:tcPr>
                  <w:tcW w:w="4300" w:type="dxa"/>
                  <w:vMerge w:val="restart"/>
                  <w:noWrap w:val="0"/>
                  <w:vAlign w:val="center"/>
                </w:tcPr>
                <w:p w14:paraId="4438E437">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建设内容及规模</w:t>
                  </w:r>
                </w:p>
              </w:tc>
              <w:tc>
                <w:tcPr>
                  <w:tcW w:w="1832" w:type="dxa"/>
                  <w:gridSpan w:val="2"/>
                  <w:noWrap w:val="0"/>
                  <w:vAlign w:val="center"/>
                </w:tcPr>
                <w:p w14:paraId="66804088">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可能产生的环境问题</w:t>
                  </w:r>
                </w:p>
              </w:tc>
              <w:tc>
                <w:tcPr>
                  <w:tcW w:w="1326" w:type="dxa"/>
                  <w:vMerge w:val="restart"/>
                  <w:noWrap w:val="0"/>
                  <w:vAlign w:val="center"/>
                </w:tcPr>
                <w:p w14:paraId="08ED3ACA">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备注</w:t>
                  </w:r>
                </w:p>
              </w:tc>
            </w:tr>
            <w:tr w14:paraId="2EFECD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exact"/>
                <w:jc w:val="center"/>
              </w:trPr>
              <w:tc>
                <w:tcPr>
                  <w:tcW w:w="1046" w:type="dxa"/>
                  <w:vMerge w:val="continue"/>
                  <w:noWrap w:val="0"/>
                  <w:vAlign w:val="center"/>
                </w:tcPr>
                <w:p w14:paraId="6E273059">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color w:val="auto"/>
                      <w:kern w:val="0"/>
                      <w:sz w:val="21"/>
                      <w:szCs w:val="21"/>
                      <w:highlight w:val="none"/>
                      <w:lang w:val="en-GB"/>
                    </w:rPr>
                  </w:pPr>
                </w:p>
              </w:tc>
              <w:tc>
                <w:tcPr>
                  <w:tcW w:w="4300" w:type="dxa"/>
                  <w:vMerge w:val="continue"/>
                  <w:noWrap w:val="0"/>
                  <w:vAlign w:val="center"/>
                </w:tcPr>
                <w:p w14:paraId="1D1E572D">
                  <w:pPr>
                    <w:keepNext w:val="0"/>
                    <w:keepLines w:val="0"/>
                    <w:pageBreakBefore w:val="0"/>
                    <w:widowControl w:val="0"/>
                    <w:kinsoku/>
                    <w:wordWrap/>
                    <w:overflowPunct/>
                    <w:topLinePunct w:val="0"/>
                    <w:autoSpaceDE/>
                    <w:autoSpaceDN/>
                    <w:bidi w:val="0"/>
                    <w:adjustRightInd/>
                    <w:snapToGrid/>
                    <w:spacing w:line="312" w:lineRule="auto"/>
                    <w:ind w:firstLine="0" w:firstLineChars="0"/>
                    <w:textAlignment w:val="auto"/>
                    <w:rPr>
                      <w:rFonts w:hint="default" w:ascii="Times New Roman" w:hAnsi="Times New Roman" w:cs="Times New Roman"/>
                      <w:b/>
                      <w:color w:val="auto"/>
                      <w:kern w:val="0"/>
                      <w:sz w:val="21"/>
                      <w:szCs w:val="21"/>
                      <w:highlight w:val="none"/>
                    </w:rPr>
                  </w:pPr>
                </w:p>
              </w:tc>
              <w:tc>
                <w:tcPr>
                  <w:tcW w:w="974" w:type="dxa"/>
                  <w:noWrap w:val="0"/>
                  <w:vAlign w:val="center"/>
                </w:tcPr>
                <w:p w14:paraId="088E291A">
                  <w:pPr>
                    <w:keepNext w:val="0"/>
                    <w:keepLines w:val="0"/>
                    <w:pageBreakBefore w:val="0"/>
                    <w:widowControl w:val="0"/>
                    <w:kinsoku/>
                    <w:wordWrap/>
                    <w:overflowPunct/>
                    <w:topLinePunct w:val="0"/>
                    <w:autoSpaceDE/>
                    <w:autoSpaceDN/>
                    <w:bidi w:val="0"/>
                    <w:adjustRightInd/>
                    <w:snapToGrid/>
                    <w:spacing w:line="312" w:lineRule="auto"/>
                    <w:ind w:firstLine="0" w:firstLineChars="0"/>
                    <w:textAlignment w:val="auto"/>
                    <w:rPr>
                      <w:rFonts w:hint="default" w:ascii="Times New Roman" w:hAnsi="Times New Roman" w:cs="Times New Roman"/>
                      <w:b/>
                      <w:color w:val="auto"/>
                      <w:sz w:val="21"/>
                      <w:highlight w:val="none"/>
                      <w:lang w:val="en-GB"/>
                    </w:rPr>
                  </w:pPr>
                  <w:r>
                    <w:rPr>
                      <w:rFonts w:hint="default" w:ascii="Times New Roman" w:hAnsi="Times New Roman" w:cs="Times New Roman"/>
                      <w:b/>
                      <w:color w:val="auto"/>
                      <w:sz w:val="21"/>
                      <w:highlight w:val="none"/>
                      <w:lang w:val="en-GB"/>
                    </w:rPr>
                    <w:t>施工期</w:t>
                  </w:r>
                </w:p>
              </w:tc>
              <w:tc>
                <w:tcPr>
                  <w:tcW w:w="858" w:type="dxa"/>
                  <w:noWrap w:val="0"/>
                  <w:vAlign w:val="center"/>
                </w:tcPr>
                <w:p w14:paraId="7041AC06">
                  <w:pPr>
                    <w:keepNext w:val="0"/>
                    <w:keepLines w:val="0"/>
                    <w:pageBreakBefore w:val="0"/>
                    <w:widowControl w:val="0"/>
                    <w:kinsoku/>
                    <w:wordWrap/>
                    <w:overflowPunct/>
                    <w:topLinePunct w:val="0"/>
                    <w:autoSpaceDE/>
                    <w:autoSpaceDN/>
                    <w:bidi w:val="0"/>
                    <w:adjustRightInd/>
                    <w:snapToGrid/>
                    <w:spacing w:line="312" w:lineRule="auto"/>
                    <w:ind w:firstLine="0" w:firstLineChars="0"/>
                    <w:textAlignment w:val="auto"/>
                    <w:rPr>
                      <w:rFonts w:hint="default" w:ascii="Times New Roman" w:hAnsi="Times New Roman" w:cs="Times New Roman"/>
                      <w:b/>
                      <w:color w:val="auto"/>
                      <w:sz w:val="21"/>
                      <w:highlight w:val="none"/>
                      <w:lang w:val="en-GB"/>
                    </w:rPr>
                  </w:pPr>
                  <w:r>
                    <w:rPr>
                      <w:rFonts w:hint="default" w:ascii="Times New Roman" w:hAnsi="Times New Roman" w:cs="Times New Roman"/>
                      <w:b/>
                      <w:color w:val="auto"/>
                      <w:sz w:val="21"/>
                      <w:highlight w:val="none"/>
                      <w:lang w:val="en-GB"/>
                    </w:rPr>
                    <w:t>营运期</w:t>
                  </w:r>
                </w:p>
              </w:tc>
              <w:tc>
                <w:tcPr>
                  <w:tcW w:w="1326" w:type="dxa"/>
                  <w:vMerge w:val="continue"/>
                  <w:noWrap w:val="0"/>
                  <w:vAlign w:val="center"/>
                </w:tcPr>
                <w:p w14:paraId="08F54B8C">
                  <w:pPr>
                    <w:keepNext w:val="0"/>
                    <w:keepLines w:val="0"/>
                    <w:pageBreakBefore w:val="0"/>
                    <w:widowControl w:val="0"/>
                    <w:kinsoku/>
                    <w:wordWrap/>
                    <w:overflowPunct/>
                    <w:topLinePunct w:val="0"/>
                    <w:autoSpaceDE/>
                    <w:autoSpaceDN/>
                    <w:bidi w:val="0"/>
                    <w:adjustRightInd/>
                    <w:snapToGrid/>
                    <w:spacing w:line="312" w:lineRule="auto"/>
                    <w:ind w:firstLine="0" w:firstLineChars="0"/>
                    <w:textAlignment w:val="auto"/>
                    <w:rPr>
                      <w:rFonts w:hint="default" w:ascii="Times New Roman" w:hAnsi="Times New Roman" w:cs="Times New Roman"/>
                      <w:b/>
                      <w:color w:val="auto"/>
                      <w:sz w:val="21"/>
                      <w:highlight w:val="none"/>
                      <w:lang w:val="en-GB"/>
                    </w:rPr>
                  </w:pPr>
                </w:p>
              </w:tc>
            </w:tr>
            <w:tr w14:paraId="7D4AEC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79" w:hRule="atLeast"/>
                <w:jc w:val="center"/>
              </w:trPr>
              <w:tc>
                <w:tcPr>
                  <w:tcW w:w="1046" w:type="dxa"/>
                  <w:noWrap w:val="0"/>
                  <w:vAlign w:val="center"/>
                </w:tcPr>
                <w:p w14:paraId="071800E9">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color w:val="auto"/>
                      <w:sz w:val="21"/>
                      <w:highlight w:val="none"/>
                      <w:lang w:val="en-GB"/>
                    </w:rPr>
                  </w:pPr>
                  <w:r>
                    <w:rPr>
                      <w:rFonts w:hint="default" w:ascii="Times New Roman" w:hAnsi="Times New Roman" w:cs="Times New Roman"/>
                      <w:b/>
                      <w:color w:val="auto"/>
                      <w:sz w:val="21"/>
                      <w:highlight w:val="none"/>
                      <w:lang w:val="en-GB"/>
                    </w:rPr>
                    <w:t>主体工程</w:t>
                  </w:r>
                </w:p>
              </w:tc>
              <w:tc>
                <w:tcPr>
                  <w:tcW w:w="4300" w:type="dxa"/>
                  <w:noWrap w:val="0"/>
                  <w:vAlign w:val="center"/>
                </w:tcPr>
                <w:p w14:paraId="30E2C665">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依托现有生产厂房，通过调整设备布局，新增</w:t>
                  </w:r>
                  <w:r>
                    <w:rPr>
                      <w:rFonts w:hint="default" w:ascii="Times New Roman" w:hAnsi="Times New Roman" w:cs="Times New Roman"/>
                      <w:color w:val="auto"/>
                      <w:highlight w:val="none"/>
                    </w:rPr>
                    <w:t>全自动配料机、橡胶捏炼机、挤出机、硫化罐等</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提升橡胶</w:t>
                  </w:r>
                  <w:r>
                    <w:rPr>
                      <w:rFonts w:hint="eastAsia" w:cs="Times New Roman"/>
                      <w:color w:val="auto"/>
                      <w:highlight w:val="none"/>
                      <w:lang w:val="en-US" w:eastAsia="zh-CN"/>
                    </w:rPr>
                    <w:t>流体</w:t>
                  </w:r>
                  <w:r>
                    <w:rPr>
                      <w:rFonts w:hint="eastAsia" w:ascii="Times New Roman" w:hAnsi="Times New Roman" w:cs="Times New Roman"/>
                      <w:color w:val="auto"/>
                      <w:highlight w:val="none"/>
                      <w:lang w:val="en-US" w:eastAsia="zh-CN"/>
                    </w:rPr>
                    <w:t>管</w:t>
                  </w:r>
                  <w:r>
                    <w:rPr>
                      <w:rFonts w:hint="eastAsia" w:cs="Times New Roman"/>
                      <w:color w:val="auto"/>
                      <w:highlight w:val="none"/>
                      <w:lang w:val="en-US" w:eastAsia="zh-CN"/>
                    </w:rPr>
                    <w:t>道</w:t>
                  </w:r>
                  <w:r>
                    <w:rPr>
                      <w:rFonts w:hint="eastAsia" w:ascii="Times New Roman" w:hAnsi="Times New Roman" w:cs="Times New Roman"/>
                      <w:color w:val="auto"/>
                      <w:highlight w:val="none"/>
                      <w:lang w:val="en-US" w:eastAsia="zh-CN"/>
                    </w:rPr>
                    <w:t>产品产能。</w:t>
                  </w:r>
                </w:p>
              </w:tc>
              <w:tc>
                <w:tcPr>
                  <w:tcW w:w="974" w:type="dxa"/>
                  <w:vMerge w:val="restart"/>
                  <w:noWrap w:val="0"/>
                  <w:vAlign w:val="center"/>
                </w:tcPr>
                <w:p w14:paraId="32E85C3D">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default" w:ascii="Times New Roman" w:hAnsi="Times New Roman" w:cs="Times New Roman"/>
                      <w:color w:val="auto"/>
                      <w:sz w:val="21"/>
                      <w:szCs w:val="21"/>
                      <w:highlight w:val="none"/>
                    </w:rPr>
                  </w:pPr>
                  <w:r>
                    <w:rPr>
                      <w:rFonts w:hint="eastAsia" w:cs="Times New Roman"/>
                      <w:color w:val="auto"/>
                      <w:sz w:val="21"/>
                      <w:highlight w:val="none"/>
                      <w:lang w:val="en-US" w:eastAsia="zh-CN"/>
                    </w:rPr>
                    <w:t>施工</w:t>
                  </w:r>
                  <w:r>
                    <w:rPr>
                      <w:rFonts w:hint="default" w:ascii="Times New Roman" w:hAnsi="Times New Roman" w:cs="Times New Roman"/>
                      <w:color w:val="auto"/>
                      <w:sz w:val="21"/>
                      <w:highlight w:val="none"/>
                      <w:lang w:val="en-GB"/>
                    </w:rPr>
                    <w:t>固废，噪声、废气</w:t>
                  </w:r>
                </w:p>
              </w:tc>
              <w:tc>
                <w:tcPr>
                  <w:tcW w:w="858" w:type="dxa"/>
                  <w:noWrap w:val="0"/>
                  <w:vAlign w:val="center"/>
                </w:tcPr>
                <w:p w14:paraId="60431B77">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eastAsia="宋体" w:cs="Times New Roman"/>
                      <w:color w:val="auto"/>
                      <w:sz w:val="21"/>
                      <w:highlight w:val="none"/>
                      <w:lang w:val="en-GB" w:eastAsia="zh-CN"/>
                    </w:rPr>
                  </w:pPr>
                  <w:r>
                    <w:rPr>
                      <w:rFonts w:hint="default" w:ascii="Times New Roman" w:hAnsi="Times New Roman" w:cs="Times New Roman"/>
                      <w:color w:val="auto"/>
                      <w:sz w:val="21"/>
                      <w:highlight w:val="none"/>
                    </w:rPr>
                    <w:t>固废、废气、噪声</w:t>
                  </w:r>
                </w:p>
              </w:tc>
              <w:tc>
                <w:tcPr>
                  <w:tcW w:w="1326" w:type="dxa"/>
                  <w:noWrap w:val="0"/>
                  <w:vAlign w:val="center"/>
                </w:tcPr>
                <w:p w14:paraId="7F759639">
                  <w:pPr>
                    <w:keepNext w:val="0"/>
                    <w:keepLines w:val="0"/>
                    <w:pageBreakBefore w:val="0"/>
                    <w:widowControl w:val="0"/>
                    <w:kinsoku/>
                    <w:wordWrap/>
                    <w:overflowPunct/>
                    <w:topLinePunct w:val="0"/>
                    <w:autoSpaceDE/>
                    <w:autoSpaceDN/>
                    <w:bidi w:val="0"/>
                    <w:adjustRightInd/>
                    <w:snapToGrid/>
                    <w:spacing w:line="312" w:lineRule="auto"/>
                    <w:ind w:firstLine="0" w:firstLineChars="0"/>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rPr>
                    <w:t>厂房依托，</w:t>
                  </w:r>
                  <w:r>
                    <w:rPr>
                      <w:rFonts w:hint="default" w:ascii="Times New Roman" w:hAnsi="Times New Roman" w:cs="Times New Roman"/>
                      <w:color w:val="auto"/>
                      <w:sz w:val="21"/>
                      <w:highlight w:val="none"/>
                      <w:lang w:eastAsia="zh-CN"/>
                    </w:rPr>
                    <w:t>设备新建</w:t>
                  </w:r>
                </w:p>
              </w:tc>
            </w:tr>
            <w:tr w14:paraId="3F1688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79" w:hRule="atLeast"/>
                <w:jc w:val="center"/>
              </w:trPr>
              <w:tc>
                <w:tcPr>
                  <w:tcW w:w="1046" w:type="dxa"/>
                  <w:vMerge w:val="restart"/>
                  <w:noWrap w:val="0"/>
                  <w:vAlign w:val="center"/>
                </w:tcPr>
                <w:p w14:paraId="4608C6C1">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b/>
                      <w:color w:val="auto"/>
                      <w:sz w:val="21"/>
                      <w:highlight w:val="none"/>
                      <w:lang w:val="en-GB" w:eastAsia="zh-CN"/>
                    </w:rPr>
                    <w:t>仓储工程</w:t>
                  </w:r>
                </w:p>
              </w:tc>
              <w:tc>
                <w:tcPr>
                  <w:tcW w:w="4300" w:type="dxa"/>
                  <w:noWrap w:val="0"/>
                  <w:vAlign w:val="center"/>
                </w:tcPr>
                <w:p w14:paraId="6379DE98">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cs="Times New Roman"/>
                      <w:color w:val="000000" w:themeColor="text1"/>
                      <w:sz w:val="21"/>
                      <w:highlight w:val="none"/>
                      <w:lang w:val="en-US" w:eastAsia="zh-CN"/>
                      <w14:textFill>
                        <w14:solidFill>
                          <w14:schemeClr w14:val="tx1"/>
                        </w14:solidFill>
                      </w14:textFill>
                    </w:rPr>
                    <w:t>新增成品暂存库一处，位于橡胶制品车间架空层。</w:t>
                  </w:r>
                </w:p>
              </w:tc>
              <w:tc>
                <w:tcPr>
                  <w:tcW w:w="974" w:type="dxa"/>
                  <w:vMerge w:val="continue"/>
                  <w:noWrap w:val="0"/>
                  <w:vAlign w:val="center"/>
                </w:tcPr>
                <w:p w14:paraId="6494153E">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default" w:ascii="Times New Roman" w:hAnsi="Times New Roman" w:cs="Times New Roman"/>
                      <w:color w:val="auto"/>
                      <w:sz w:val="21"/>
                      <w:highlight w:val="none"/>
                      <w:lang w:val="en-GB"/>
                    </w:rPr>
                  </w:pPr>
                </w:p>
              </w:tc>
              <w:tc>
                <w:tcPr>
                  <w:tcW w:w="858" w:type="dxa"/>
                  <w:noWrap w:val="0"/>
                  <w:vAlign w:val="center"/>
                </w:tcPr>
                <w:p w14:paraId="75527E5A">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c>
                <w:tcPr>
                  <w:tcW w:w="1326" w:type="dxa"/>
                  <w:noWrap w:val="0"/>
                  <w:vAlign w:val="center"/>
                </w:tcPr>
                <w:p w14:paraId="59493C7D">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新建</w:t>
                  </w:r>
                </w:p>
              </w:tc>
            </w:tr>
            <w:tr w14:paraId="297A77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79" w:hRule="atLeast"/>
                <w:jc w:val="center"/>
              </w:trPr>
              <w:tc>
                <w:tcPr>
                  <w:tcW w:w="1046" w:type="dxa"/>
                  <w:vMerge w:val="continue"/>
                  <w:noWrap w:val="0"/>
                  <w:vAlign w:val="center"/>
                </w:tcPr>
                <w:p w14:paraId="14C8C388">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宋体" w:cs="Times New Roman"/>
                      <w:b/>
                      <w:color w:val="auto"/>
                      <w:sz w:val="21"/>
                      <w:highlight w:val="none"/>
                      <w:lang w:val="en-GB" w:eastAsia="zh-CN"/>
                    </w:rPr>
                  </w:pPr>
                </w:p>
              </w:tc>
              <w:tc>
                <w:tcPr>
                  <w:tcW w:w="4300" w:type="dxa"/>
                  <w:noWrap w:val="0"/>
                  <w:vAlign w:val="center"/>
                </w:tcPr>
                <w:p w14:paraId="3F6D8EF9">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lang w:val="en-US" w:eastAsia="zh-CN"/>
                      <w14:textFill>
                        <w14:solidFill>
                          <w14:schemeClr w14:val="tx1"/>
                        </w14:solidFill>
                      </w14:textFill>
                    </w:rPr>
                    <w:t>依托成品仓库一处，位于森帝厂区东侧，建筑面积约500平方米，1F，钢框架结构。</w:t>
                  </w:r>
                </w:p>
              </w:tc>
              <w:tc>
                <w:tcPr>
                  <w:tcW w:w="974" w:type="dxa"/>
                  <w:vMerge w:val="continue"/>
                  <w:noWrap w:val="0"/>
                  <w:vAlign w:val="center"/>
                </w:tcPr>
                <w:p w14:paraId="5DC70D2B">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default" w:ascii="Times New Roman" w:hAnsi="Times New Roman" w:cs="Times New Roman"/>
                      <w:color w:val="auto"/>
                      <w:sz w:val="21"/>
                      <w:highlight w:val="none"/>
                      <w:lang w:val="en-GB"/>
                    </w:rPr>
                  </w:pPr>
                </w:p>
              </w:tc>
              <w:tc>
                <w:tcPr>
                  <w:tcW w:w="858" w:type="dxa"/>
                  <w:noWrap w:val="0"/>
                  <w:vAlign w:val="center"/>
                </w:tcPr>
                <w:p w14:paraId="1AEEFD6F">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w:t>
                  </w:r>
                </w:p>
              </w:tc>
              <w:tc>
                <w:tcPr>
                  <w:tcW w:w="1326" w:type="dxa"/>
                  <w:noWrap w:val="0"/>
                  <w:vAlign w:val="center"/>
                </w:tcPr>
                <w:p w14:paraId="12A23DE7">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lang w:eastAsia="zh-CN"/>
                    </w:rPr>
                  </w:pPr>
                  <w:r>
                    <w:rPr>
                      <w:rFonts w:hint="eastAsia" w:cs="Times New Roman"/>
                      <w:color w:val="auto"/>
                      <w:sz w:val="21"/>
                      <w:highlight w:val="none"/>
                      <w:lang w:val="en-US" w:eastAsia="zh-CN"/>
                    </w:rPr>
                    <w:t>依托</w:t>
                  </w:r>
                </w:p>
              </w:tc>
            </w:tr>
            <w:tr w14:paraId="6CCDDE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74" w:hRule="atLeast"/>
                <w:jc w:val="center"/>
              </w:trPr>
              <w:tc>
                <w:tcPr>
                  <w:tcW w:w="1046" w:type="dxa"/>
                  <w:vMerge w:val="restart"/>
                  <w:noWrap w:val="0"/>
                  <w:vAlign w:val="center"/>
                </w:tcPr>
                <w:p w14:paraId="177B17A8">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color w:val="auto"/>
                      <w:sz w:val="21"/>
                      <w:highlight w:val="none"/>
                      <w:lang w:val="en-GB"/>
                    </w:rPr>
                  </w:pPr>
                  <w:r>
                    <w:rPr>
                      <w:rFonts w:hint="default" w:ascii="Times New Roman" w:hAnsi="Times New Roman" w:cs="Times New Roman"/>
                      <w:b/>
                      <w:color w:val="auto"/>
                      <w:sz w:val="21"/>
                      <w:highlight w:val="none"/>
                      <w:lang w:val="en-GB"/>
                    </w:rPr>
                    <w:t>公用</w:t>
                  </w:r>
                  <w:r>
                    <w:rPr>
                      <w:rFonts w:hint="default" w:ascii="Times New Roman" w:hAnsi="Times New Roman" w:cs="Times New Roman"/>
                      <w:b/>
                      <w:color w:val="auto"/>
                      <w:sz w:val="21"/>
                      <w:highlight w:val="none"/>
                      <w:lang w:val="en-GB" w:eastAsia="zh-CN"/>
                    </w:rPr>
                    <w:t>及辅助</w:t>
                  </w:r>
                  <w:r>
                    <w:rPr>
                      <w:rFonts w:hint="default" w:ascii="Times New Roman" w:hAnsi="Times New Roman" w:cs="Times New Roman"/>
                      <w:b/>
                      <w:color w:val="auto"/>
                      <w:sz w:val="21"/>
                      <w:highlight w:val="none"/>
                      <w:lang w:val="en-GB"/>
                    </w:rPr>
                    <w:t>工程</w:t>
                  </w:r>
                </w:p>
              </w:tc>
              <w:tc>
                <w:tcPr>
                  <w:tcW w:w="4300" w:type="dxa"/>
                  <w:noWrap w:val="0"/>
                  <w:vAlign w:val="center"/>
                </w:tcPr>
                <w:p w14:paraId="6E793080">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供电：园区市政电网供电</w:t>
                  </w:r>
                </w:p>
              </w:tc>
              <w:tc>
                <w:tcPr>
                  <w:tcW w:w="974" w:type="dxa"/>
                  <w:noWrap w:val="0"/>
                  <w:vAlign w:val="center"/>
                </w:tcPr>
                <w:p w14:paraId="17D4E0EB">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lang w:val="en-GB"/>
                    </w:rPr>
                  </w:pPr>
                  <w:r>
                    <w:rPr>
                      <w:rFonts w:hint="default" w:ascii="Times New Roman" w:hAnsi="Times New Roman" w:cs="Times New Roman"/>
                      <w:color w:val="auto"/>
                      <w:sz w:val="21"/>
                      <w:highlight w:val="none"/>
                    </w:rPr>
                    <w:t>/</w:t>
                  </w:r>
                </w:p>
              </w:tc>
              <w:tc>
                <w:tcPr>
                  <w:tcW w:w="858" w:type="dxa"/>
                  <w:noWrap w:val="0"/>
                  <w:vAlign w:val="center"/>
                </w:tcPr>
                <w:p w14:paraId="03D9B66F">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val="en-US" w:eastAsia="zh-CN"/>
                    </w:rPr>
                    <w:t>/</w:t>
                  </w:r>
                </w:p>
              </w:tc>
              <w:tc>
                <w:tcPr>
                  <w:tcW w:w="1326" w:type="dxa"/>
                  <w:noWrap w:val="0"/>
                  <w:vAlign w:val="center"/>
                </w:tcPr>
                <w:p w14:paraId="1135C112">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依托</w:t>
                  </w:r>
                </w:p>
              </w:tc>
            </w:tr>
            <w:tr w14:paraId="177D3C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74" w:hRule="atLeast"/>
                <w:jc w:val="center"/>
              </w:trPr>
              <w:tc>
                <w:tcPr>
                  <w:tcW w:w="1046" w:type="dxa"/>
                  <w:vMerge w:val="continue"/>
                  <w:noWrap w:val="0"/>
                  <w:vAlign w:val="center"/>
                </w:tcPr>
                <w:p w14:paraId="60755E23">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Times New Roman" w:hAnsi="Times New Roman" w:eastAsia="宋体" w:cs="Times New Roman"/>
                      <w:b/>
                      <w:color w:val="auto"/>
                      <w:sz w:val="21"/>
                      <w:highlight w:val="none"/>
                      <w:lang w:val="en-US" w:eastAsia="zh-CN"/>
                    </w:rPr>
                  </w:pPr>
                  <w:r>
                    <w:rPr>
                      <w:rFonts w:hint="eastAsia" w:cs="Times New Roman"/>
                      <w:b/>
                      <w:color w:val="auto"/>
                      <w:sz w:val="21"/>
                      <w:highlight w:val="none"/>
                      <w:lang w:val="en-US" w:eastAsia="zh-CN"/>
                    </w:rPr>
                    <w:t>Banging</w:t>
                  </w:r>
                </w:p>
              </w:tc>
              <w:tc>
                <w:tcPr>
                  <w:tcW w:w="4300" w:type="dxa"/>
                  <w:noWrap w:val="0"/>
                  <w:vAlign w:val="center"/>
                </w:tcPr>
                <w:p w14:paraId="6CF1022B">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办公：依托现有办公区一处，位于厂区西南侧，共计4层。</w:t>
                  </w:r>
                </w:p>
              </w:tc>
              <w:tc>
                <w:tcPr>
                  <w:tcW w:w="974" w:type="dxa"/>
                  <w:noWrap w:val="0"/>
                  <w:vAlign w:val="center"/>
                </w:tcPr>
                <w:p w14:paraId="520E1034">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rPr>
                  </w:pPr>
                </w:p>
              </w:tc>
              <w:tc>
                <w:tcPr>
                  <w:tcW w:w="858" w:type="dxa"/>
                  <w:noWrap w:val="0"/>
                  <w:vAlign w:val="center"/>
                </w:tcPr>
                <w:p w14:paraId="79DCA2D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固废、噪声</w:t>
                  </w:r>
                </w:p>
              </w:tc>
              <w:tc>
                <w:tcPr>
                  <w:tcW w:w="1326" w:type="dxa"/>
                  <w:noWrap w:val="0"/>
                  <w:vAlign w:val="center"/>
                </w:tcPr>
                <w:p w14:paraId="23947BD1">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依托</w:t>
                  </w:r>
                </w:p>
              </w:tc>
            </w:tr>
            <w:tr w14:paraId="0D41F3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1046" w:type="dxa"/>
                  <w:vMerge w:val="continue"/>
                  <w:noWrap w:val="0"/>
                  <w:vAlign w:val="center"/>
                </w:tcPr>
                <w:p w14:paraId="2620A394">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color w:val="auto"/>
                      <w:sz w:val="21"/>
                      <w:highlight w:val="none"/>
                      <w:lang w:val="en-GB"/>
                    </w:rPr>
                  </w:pPr>
                </w:p>
              </w:tc>
              <w:tc>
                <w:tcPr>
                  <w:tcW w:w="4300" w:type="dxa"/>
                  <w:noWrap w:val="0"/>
                  <w:vAlign w:val="center"/>
                </w:tcPr>
                <w:p w14:paraId="334A517D">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生活污水处理</w:t>
                  </w:r>
                  <w:r>
                    <w:rPr>
                      <w:rFonts w:hint="default" w:ascii="Times New Roman" w:hAnsi="Times New Roman" w:cs="Times New Roman"/>
                      <w:color w:val="auto"/>
                      <w:sz w:val="21"/>
                      <w:szCs w:val="21"/>
                      <w:highlight w:val="none"/>
                    </w:rPr>
                    <w:t>系统：</w:t>
                  </w:r>
                  <w:r>
                    <w:rPr>
                      <w:rFonts w:hint="eastAsia" w:cs="Times New Roman"/>
                      <w:color w:val="auto"/>
                      <w:sz w:val="21"/>
                      <w:szCs w:val="21"/>
                      <w:highlight w:val="none"/>
                      <w:lang w:eastAsia="zh-CN"/>
                    </w:rPr>
                    <w:t>生活污水</w:t>
                  </w:r>
                  <w:r>
                    <w:rPr>
                      <w:rFonts w:hint="default" w:ascii="Times New Roman" w:hAnsi="Times New Roman" w:cs="Times New Roman"/>
                      <w:color w:val="auto"/>
                      <w:sz w:val="21"/>
                      <w:szCs w:val="21"/>
                      <w:highlight w:val="none"/>
                    </w:rPr>
                    <w:t>经过既有的</w:t>
                  </w:r>
                  <w:r>
                    <w:rPr>
                      <w:rFonts w:hint="eastAsia" w:cs="Times New Roman"/>
                      <w:color w:val="auto"/>
                      <w:sz w:val="21"/>
                      <w:szCs w:val="21"/>
                      <w:highlight w:val="none"/>
                      <w:lang w:eastAsia="zh-CN"/>
                    </w:rPr>
                    <w:t>化粪池</w:t>
                  </w:r>
                  <w:r>
                    <w:rPr>
                      <w:rFonts w:hint="default" w:ascii="Times New Roman" w:hAnsi="Times New Roman" w:cs="Times New Roman"/>
                      <w:color w:val="auto"/>
                      <w:sz w:val="21"/>
                      <w:szCs w:val="21"/>
                      <w:highlight w:val="none"/>
                    </w:rPr>
                    <w:t>处理后排入市政污水管网送</w:t>
                  </w:r>
                  <w:r>
                    <w:rPr>
                      <w:rFonts w:hint="default" w:ascii="Times New Roman" w:hAnsi="Times New Roman" w:cs="Times New Roman"/>
                      <w:color w:val="auto"/>
                      <w:sz w:val="21"/>
                      <w:szCs w:val="21"/>
                      <w:highlight w:val="none"/>
                      <w:lang w:eastAsia="zh-CN"/>
                    </w:rPr>
                    <w:t>大英县工业污水处理厂</w:t>
                  </w:r>
                  <w:r>
                    <w:rPr>
                      <w:rFonts w:hint="default" w:ascii="Times New Roman" w:hAnsi="Times New Roman" w:cs="Times New Roman"/>
                      <w:color w:val="auto"/>
                      <w:sz w:val="21"/>
                      <w:szCs w:val="21"/>
                      <w:highlight w:val="none"/>
                    </w:rPr>
                    <w:t>处理。</w:t>
                  </w:r>
                </w:p>
              </w:tc>
              <w:tc>
                <w:tcPr>
                  <w:tcW w:w="974" w:type="dxa"/>
                  <w:noWrap w:val="0"/>
                  <w:vAlign w:val="center"/>
                </w:tcPr>
                <w:p w14:paraId="4D646675">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c>
                <w:tcPr>
                  <w:tcW w:w="858" w:type="dxa"/>
                  <w:noWrap w:val="0"/>
                  <w:vAlign w:val="center"/>
                </w:tcPr>
                <w:p w14:paraId="3E35E74A">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生活污水</w:t>
                  </w:r>
                </w:p>
              </w:tc>
              <w:tc>
                <w:tcPr>
                  <w:tcW w:w="1326" w:type="dxa"/>
                  <w:noWrap w:val="0"/>
                  <w:vAlign w:val="center"/>
                </w:tcPr>
                <w:p w14:paraId="6C317D3D">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依托</w:t>
                  </w:r>
                </w:p>
              </w:tc>
            </w:tr>
            <w:tr w14:paraId="131FE3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1046" w:type="dxa"/>
                  <w:vMerge w:val="continue"/>
                  <w:noWrap w:val="0"/>
                  <w:vAlign w:val="center"/>
                </w:tcPr>
                <w:p w14:paraId="0BEE8E3E">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color w:val="auto"/>
                      <w:sz w:val="21"/>
                      <w:highlight w:val="none"/>
                      <w:lang w:val="en-GB"/>
                    </w:rPr>
                  </w:pPr>
                </w:p>
              </w:tc>
              <w:tc>
                <w:tcPr>
                  <w:tcW w:w="4300" w:type="dxa"/>
                  <w:noWrap w:val="0"/>
                  <w:vAlign w:val="center"/>
                </w:tcPr>
                <w:p w14:paraId="21875665">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循环冷却水池：</w:t>
                  </w:r>
                  <w:r>
                    <w:rPr>
                      <w:rFonts w:hint="default" w:ascii="Times New Roman" w:hAnsi="Times New Roman" w:cs="Times New Roman"/>
                      <w:color w:val="000000" w:themeColor="text1"/>
                      <w:lang w:eastAsia="zh-CN"/>
                      <w14:textFill>
                        <w14:solidFill>
                          <w14:schemeClr w14:val="tx1"/>
                        </w14:solidFill>
                      </w14:textFill>
                    </w:rPr>
                    <w:t>设置循环冷却水池</w:t>
                  </w:r>
                  <w:r>
                    <w:rPr>
                      <w:rFonts w:hint="default" w:ascii="Times New Roman" w:hAnsi="Times New Roman" w:cs="Times New Roman"/>
                      <w:color w:val="000000" w:themeColor="text1"/>
                      <w:lang w:val="en-US" w:eastAsia="zh-CN"/>
                      <w14:textFill>
                        <w14:solidFill>
                          <w14:schemeClr w14:val="tx1"/>
                        </w14:solidFill>
                      </w14:textFill>
                    </w:rPr>
                    <w:t>1处，容积约</w:t>
                  </w:r>
                  <w:r>
                    <w:rPr>
                      <w:rFonts w:hint="eastAsia" w:ascii="Times New Roman" w:hAnsi="Times New Roman" w:cs="Times New Roman"/>
                      <w:color w:val="000000" w:themeColor="text1"/>
                      <w:lang w:val="en-US" w:eastAsia="zh-CN"/>
                      <w14:textFill>
                        <w14:solidFill>
                          <w14:schemeClr w14:val="tx1"/>
                        </w14:solidFill>
                      </w14:textFill>
                    </w:rPr>
                    <w:t>200m³</w:t>
                  </w:r>
                  <w:r>
                    <w:rPr>
                      <w:rFonts w:hint="default" w:ascii="Times New Roman" w:hAnsi="Times New Roman" w:cs="Times New Roman"/>
                      <w:color w:val="000000" w:themeColor="text1"/>
                      <w:lang w:val="en-US" w:eastAsia="zh-CN"/>
                      <w14:textFill>
                        <w14:solidFill>
                          <w14:schemeClr w14:val="tx1"/>
                        </w14:solidFill>
                      </w14:textFill>
                    </w:rPr>
                    <w:t>，用于收集开炼机间接冷却水，收集后循环使用不排放。</w:t>
                  </w:r>
                </w:p>
              </w:tc>
              <w:tc>
                <w:tcPr>
                  <w:tcW w:w="974" w:type="dxa"/>
                  <w:noWrap w:val="0"/>
                  <w:vAlign w:val="center"/>
                </w:tcPr>
                <w:p w14:paraId="1BE77770">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c>
                <w:tcPr>
                  <w:tcW w:w="858" w:type="dxa"/>
                  <w:noWrap w:val="0"/>
                  <w:vAlign w:val="center"/>
                </w:tcPr>
                <w:p w14:paraId="6BC2E0DB">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cs="Times New Roman"/>
                      <w:color w:val="auto"/>
                      <w:sz w:val="21"/>
                      <w:highlight w:val="none"/>
                      <w:lang w:val="en-US" w:eastAsia="zh-CN"/>
                    </w:rPr>
                  </w:pPr>
                </w:p>
              </w:tc>
              <w:tc>
                <w:tcPr>
                  <w:tcW w:w="1326" w:type="dxa"/>
                  <w:noWrap w:val="0"/>
                  <w:vAlign w:val="center"/>
                </w:tcPr>
                <w:p w14:paraId="45BB0D1A">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依托</w:t>
                  </w:r>
                </w:p>
              </w:tc>
            </w:tr>
            <w:tr w14:paraId="6A1A7B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1046" w:type="dxa"/>
                  <w:vMerge w:val="continue"/>
                  <w:noWrap w:val="0"/>
                  <w:vAlign w:val="center"/>
                </w:tcPr>
                <w:p w14:paraId="6B23CE4B">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color w:val="auto"/>
                      <w:sz w:val="21"/>
                      <w:highlight w:val="none"/>
                      <w:lang w:val="en-GB"/>
                    </w:rPr>
                  </w:pPr>
                </w:p>
              </w:tc>
              <w:tc>
                <w:tcPr>
                  <w:tcW w:w="4300" w:type="dxa"/>
                  <w:noWrap w:val="0"/>
                  <w:vAlign w:val="center"/>
                </w:tcPr>
                <w:p w14:paraId="023FBD97">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生产废水：设置橡胶流体管道清洗废水循环沉淀池一个，有效容积150</w:t>
                  </w:r>
                  <w:r>
                    <w:rPr>
                      <w:rFonts w:hint="default" w:ascii="Times New Roman" w:hAnsi="Times New Roman" w:cs="Times New Roman"/>
                      <w:color w:val="auto"/>
                      <w:sz w:val="21"/>
                      <w:szCs w:val="21"/>
                      <w:highlight w:val="none"/>
                      <w:lang w:val="en-US" w:eastAsia="zh-CN"/>
                    </w:rPr>
                    <w:t>m³</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清洗废水经沉淀池处理后循环使用1个月后更新排入市政污水管网送</w:t>
                  </w:r>
                  <w:r>
                    <w:rPr>
                      <w:rFonts w:hint="default" w:ascii="Times New Roman" w:hAnsi="Times New Roman" w:cs="Times New Roman"/>
                      <w:color w:val="auto"/>
                      <w:sz w:val="21"/>
                      <w:szCs w:val="21"/>
                      <w:highlight w:val="none"/>
                      <w:lang w:eastAsia="zh-CN"/>
                    </w:rPr>
                    <w:t>大英县工业污水处理厂</w:t>
                  </w:r>
                  <w:r>
                    <w:rPr>
                      <w:rFonts w:hint="default" w:ascii="Times New Roman" w:hAnsi="Times New Roman" w:cs="Times New Roman"/>
                      <w:color w:val="auto"/>
                      <w:sz w:val="21"/>
                      <w:szCs w:val="21"/>
                      <w:highlight w:val="none"/>
                    </w:rPr>
                    <w:t>处理。</w:t>
                  </w:r>
                </w:p>
              </w:tc>
              <w:tc>
                <w:tcPr>
                  <w:tcW w:w="974" w:type="dxa"/>
                  <w:noWrap w:val="0"/>
                  <w:vAlign w:val="center"/>
                </w:tcPr>
                <w:p w14:paraId="45FD3B68">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施工粉尘、固废</w:t>
                  </w:r>
                </w:p>
              </w:tc>
              <w:tc>
                <w:tcPr>
                  <w:tcW w:w="858" w:type="dxa"/>
                  <w:noWrap w:val="0"/>
                  <w:vAlign w:val="center"/>
                </w:tcPr>
                <w:p w14:paraId="3F89EF4A">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循环水</w:t>
                  </w:r>
                </w:p>
              </w:tc>
              <w:tc>
                <w:tcPr>
                  <w:tcW w:w="1326" w:type="dxa"/>
                  <w:noWrap w:val="0"/>
                  <w:vAlign w:val="center"/>
                </w:tcPr>
                <w:p w14:paraId="6B9CBF7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lang w:val="en-US"/>
                    </w:rPr>
                  </w:pPr>
                  <w:r>
                    <w:rPr>
                      <w:rFonts w:hint="eastAsia" w:cs="Times New Roman"/>
                      <w:color w:val="auto"/>
                      <w:sz w:val="21"/>
                      <w:highlight w:val="none"/>
                      <w:lang w:val="en-US" w:eastAsia="zh-CN"/>
                    </w:rPr>
                    <w:t>改</w:t>
                  </w:r>
                  <w:r>
                    <w:rPr>
                      <w:rFonts w:hint="default" w:cs="Times New Roman"/>
                      <w:color w:val="auto"/>
                      <w:sz w:val="21"/>
                      <w:highlight w:val="none"/>
                      <w:lang w:val="en-US" w:eastAsia="zh-CN"/>
                    </w:rPr>
                    <w:t>建，容积从</w:t>
                  </w:r>
                  <w:r>
                    <w:rPr>
                      <w:rFonts w:hint="eastAsia" w:cs="Times New Roman"/>
                      <w:color w:val="auto"/>
                      <w:sz w:val="21"/>
                      <w:highlight w:val="none"/>
                      <w:lang w:val="en-US" w:eastAsia="zh-CN"/>
                    </w:rPr>
                    <w:t>10</w:t>
                  </w:r>
                  <w:r>
                    <w:rPr>
                      <w:rFonts w:hint="default" w:cs="Times New Roman"/>
                      <w:color w:val="auto"/>
                      <w:sz w:val="21"/>
                      <w:highlight w:val="none"/>
                      <w:lang w:val="en-US" w:eastAsia="zh-CN"/>
                    </w:rPr>
                    <w:t>0m³扩展至150m³</w:t>
                  </w:r>
                </w:p>
              </w:tc>
            </w:tr>
            <w:tr w14:paraId="4AC10D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4" w:hRule="atLeast"/>
                <w:jc w:val="center"/>
              </w:trPr>
              <w:tc>
                <w:tcPr>
                  <w:tcW w:w="1046" w:type="dxa"/>
                  <w:vMerge w:val="continue"/>
                  <w:noWrap w:val="0"/>
                  <w:vAlign w:val="center"/>
                </w:tcPr>
                <w:p w14:paraId="11E2532E">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color w:val="auto"/>
                      <w:sz w:val="21"/>
                      <w:highlight w:val="none"/>
                      <w:lang w:val="en-GB"/>
                    </w:rPr>
                  </w:pPr>
                </w:p>
              </w:tc>
              <w:tc>
                <w:tcPr>
                  <w:tcW w:w="4300" w:type="dxa"/>
                  <w:noWrap w:val="0"/>
                  <w:vAlign w:val="center"/>
                </w:tcPr>
                <w:p w14:paraId="45CEBA8C">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供</w:t>
                  </w:r>
                  <w:r>
                    <w:rPr>
                      <w:rFonts w:hint="default" w:ascii="Times New Roman" w:hAnsi="Times New Roman" w:cs="Times New Roman"/>
                      <w:color w:val="auto"/>
                      <w:sz w:val="21"/>
                      <w:szCs w:val="21"/>
                      <w:highlight w:val="none"/>
                      <w:lang w:eastAsia="zh-CN"/>
                    </w:rPr>
                    <w:t>水</w:t>
                  </w:r>
                  <w:r>
                    <w:rPr>
                      <w:rFonts w:hint="default" w:ascii="Times New Roman" w:hAnsi="Times New Roman" w:cs="Times New Roman"/>
                      <w:color w:val="auto"/>
                      <w:sz w:val="21"/>
                      <w:szCs w:val="21"/>
                      <w:highlight w:val="none"/>
                    </w:rPr>
                    <w:t>：园区市政</w:t>
                  </w:r>
                  <w:r>
                    <w:rPr>
                      <w:rFonts w:hint="default" w:ascii="Times New Roman" w:hAnsi="Times New Roman" w:cs="Times New Roman"/>
                      <w:color w:val="auto"/>
                      <w:sz w:val="21"/>
                      <w:szCs w:val="21"/>
                      <w:highlight w:val="none"/>
                      <w:lang w:eastAsia="zh-CN"/>
                    </w:rPr>
                    <w:t>供水管</w:t>
                  </w:r>
                  <w:r>
                    <w:rPr>
                      <w:rFonts w:hint="default" w:ascii="Times New Roman" w:hAnsi="Times New Roman" w:cs="Times New Roman"/>
                      <w:color w:val="auto"/>
                      <w:sz w:val="21"/>
                      <w:szCs w:val="21"/>
                      <w:highlight w:val="none"/>
                    </w:rPr>
                    <w:t>网供</w:t>
                  </w:r>
                  <w:r>
                    <w:rPr>
                      <w:rFonts w:hint="default" w:ascii="Times New Roman" w:hAnsi="Times New Roman" w:cs="Times New Roman"/>
                      <w:color w:val="auto"/>
                      <w:sz w:val="21"/>
                      <w:szCs w:val="21"/>
                      <w:highlight w:val="none"/>
                      <w:lang w:eastAsia="zh-CN"/>
                    </w:rPr>
                    <w:t>水</w:t>
                  </w:r>
                </w:p>
              </w:tc>
              <w:tc>
                <w:tcPr>
                  <w:tcW w:w="974" w:type="dxa"/>
                  <w:noWrap w:val="0"/>
                  <w:vAlign w:val="center"/>
                </w:tcPr>
                <w:p w14:paraId="03D5118D">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c>
                <w:tcPr>
                  <w:tcW w:w="858" w:type="dxa"/>
                  <w:noWrap w:val="0"/>
                  <w:vAlign w:val="center"/>
                </w:tcPr>
                <w:p w14:paraId="12A41438">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c>
                <w:tcPr>
                  <w:tcW w:w="1326" w:type="dxa"/>
                  <w:noWrap w:val="0"/>
                  <w:vAlign w:val="center"/>
                </w:tcPr>
                <w:p w14:paraId="7E84C28E">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依托</w:t>
                  </w:r>
                </w:p>
              </w:tc>
            </w:tr>
            <w:tr w14:paraId="6174CD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1046" w:type="dxa"/>
                  <w:vMerge w:val="continue"/>
                  <w:noWrap w:val="0"/>
                  <w:vAlign w:val="center"/>
                </w:tcPr>
                <w:p w14:paraId="0C8DCDFF">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color w:val="auto"/>
                      <w:sz w:val="21"/>
                      <w:highlight w:val="none"/>
                      <w:lang w:val="en-GB"/>
                    </w:rPr>
                  </w:pPr>
                </w:p>
              </w:tc>
              <w:tc>
                <w:tcPr>
                  <w:tcW w:w="4300" w:type="dxa"/>
                  <w:noWrap w:val="0"/>
                  <w:vAlign w:val="center"/>
                </w:tcPr>
                <w:p w14:paraId="138347F3">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道路交通：厂区</w:t>
                  </w:r>
                  <w:r>
                    <w:rPr>
                      <w:rFonts w:hint="eastAsia" w:cs="Times New Roman"/>
                      <w:color w:val="auto"/>
                      <w:sz w:val="21"/>
                      <w:szCs w:val="21"/>
                      <w:highlight w:val="none"/>
                      <w:lang w:eastAsia="zh-CN"/>
                    </w:rPr>
                    <w:t>已建设</w:t>
                  </w:r>
                  <w:r>
                    <w:rPr>
                      <w:rFonts w:hint="default" w:ascii="Times New Roman" w:hAnsi="Times New Roman" w:cs="Times New Roman"/>
                      <w:color w:val="auto"/>
                      <w:sz w:val="21"/>
                      <w:szCs w:val="21"/>
                      <w:highlight w:val="none"/>
                    </w:rPr>
                    <w:t>硬化道路</w:t>
                  </w:r>
                </w:p>
              </w:tc>
              <w:tc>
                <w:tcPr>
                  <w:tcW w:w="974" w:type="dxa"/>
                  <w:noWrap w:val="0"/>
                  <w:vAlign w:val="center"/>
                </w:tcPr>
                <w:p w14:paraId="1F38F5F7">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c>
                <w:tcPr>
                  <w:tcW w:w="858" w:type="dxa"/>
                  <w:noWrap w:val="0"/>
                  <w:vAlign w:val="center"/>
                </w:tcPr>
                <w:p w14:paraId="1CAABD51">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val="en-GB" w:eastAsia="zh-CN"/>
                    </w:rPr>
                    <w:t>粉尘</w:t>
                  </w:r>
                </w:p>
              </w:tc>
              <w:tc>
                <w:tcPr>
                  <w:tcW w:w="1326" w:type="dxa"/>
                  <w:noWrap w:val="0"/>
                  <w:vAlign w:val="center"/>
                </w:tcPr>
                <w:p w14:paraId="11E6EF62">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依托</w:t>
                  </w:r>
                </w:p>
              </w:tc>
            </w:tr>
            <w:tr w14:paraId="0161F6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67" w:hRule="atLeast"/>
                <w:jc w:val="center"/>
              </w:trPr>
              <w:tc>
                <w:tcPr>
                  <w:tcW w:w="1046" w:type="dxa"/>
                  <w:vMerge w:val="restart"/>
                  <w:noWrap w:val="0"/>
                  <w:vAlign w:val="center"/>
                </w:tcPr>
                <w:p w14:paraId="5C9A7108">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color w:val="auto"/>
                      <w:sz w:val="21"/>
                      <w:highlight w:val="none"/>
                      <w:lang w:val="en-GB"/>
                    </w:rPr>
                  </w:pPr>
                  <w:r>
                    <w:rPr>
                      <w:rFonts w:hint="default" w:ascii="Times New Roman" w:hAnsi="Times New Roman" w:cs="Times New Roman"/>
                      <w:b/>
                      <w:color w:val="auto"/>
                      <w:sz w:val="21"/>
                      <w:highlight w:val="none"/>
                      <w:lang w:val="en-GB"/>
                    </w:rPr>
                    <w:t>环保工程</w:t>
                  </w:r>
                </w:p>
              </w:tc>
              <w:tc>
                <w:tcPr>
                  <w:tcW w:w="4300" w:type="dxa"/>
                  <w:noWrap w:val="0"/>
                  <w:vAlign w:val="center"/>
                </w:tcPr>
                <w:p w14:paraId="0CA14015">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p w14:paraId="7B25A721">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①</w:t>
                  </w:r>
                  <w:r>
                    <w:rPr>
                      <w:rFonts w:hint="eastAsia" w:cs="Times New Roman"/>
                      <w:color w:val="auto"/>
                      <w:sz w:val="21"/>
                      <w:szCs w:val="21"/>
                      <w:highlight w:val="none"/>
                      <w:lang w:val="en-US" w:eastAsia="zh-CN"/>
                    </w:rPr>
                    <w:t>炼胶废气</w:t>
                  </w:r>
                  <w:r>
                    <w:rPr>
                      <w:rFonts w:hint="default" w:ascii="Times New Roman" w:hAnsi="Times New Roman" w:cs="Times New Roman"/>
                      <w:color w:val="auto"/>
                      <w:sz w:val="21"/>
                      <w:szCs w:val="21"/>
                      <w:highlight w:val="none"/>
                      <w:lang w:val="en-US" w:eastAsia="zh-CN"/>
                    </w:rPr>
                    <w:t>：</w:t>
                  </w:r>
                </w:p>
                <w:p w14:paraId="3DDE5D29">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原料上料粉尘及橡胶炼胶废气经布袋除尘器+二级活性炭吸附装置处理后经15m高的排气筒排放（DA002）</w:t>
                  </w:r>
                  <w:r>
                    <w:rPr>
                      <w:rFonts w:hint="default" w:ascii="Times New Roman" w:hAnsi="Times New Roman" w:cs="Times New Roman"/>
                      <w:color w:val="auto"/>
                      <w:sz w:val="21"/>
                      <w:szCs w:val="21"/>
                      <w:highlight w:val="none"/>
                      <w:lang w:val="en-US" w:eastAsia="zh-CN"/>
                    </w:rPr>
                    <w:t>。</w:t>
                  </w:r>
                </w:p>
                <w:p w14:paraId="0D3B2AC6">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w:t>
                  </w:r>
                  <w:r>
                    <w:rPr>
                      <w:rFonts w:hint="eastAsia" w:cs="Times New Roman"/>
                      <w:color w:val="auto"/>
                      <w:sz w:val="21"/>
                      <w:szCs w:val="21"/>
                      <w:highlight w:val="none"/>
                      <w:lang w:val="en-US" w:eastAsia="zh-CN"/>
                    </w:rPr>
                    <w:t>硫化废气</w:t>
                  </w:r>
                  <w:r>
                    <w:rPr>
                      <w:rFonts w:hint="default" w:ascii="Times New Roman" w:hAnsi="Times New Roman" w:cs="Times New Roman"/>
                      <w:color w:val="auto"/>
                      <w:sz w:val="21"/>
                      <w:szCs w:val="21"/>
                      <w:highlight w:val="none"/>
                      <w:lang w:val="en-US" w:eastAsia="zh-CN"/>
                    </w:rPr>
                    <w:t>：</w:t>
                  </w:r>
                </w:p>
                <w:p w14:paraId="5298B3CB">
                  <w:pPr>
                    <w:spacing w:line="312" w:lineRule="auto"/>
                    <w:ind w:firstLine="0" w:firstLineChars="0"/>
                    <w:jc w:val="left"/>
                    <w:rPr>
                      <w:rFonts w:hint="default" w:ascii="Times New Roman" w:hAnsi="Times New Roman" w:cs="Times New Roman"/>
                      <w:color w:val="auto"/>
                      <w:sz w:val="21"/>
                      <w:szCs w:val="21"/>
                      <w:highlight w:val="none"/>
                      <w:lang w:val="en-US" w:eastAsia="zh-CN"/>
                    </w:rPr>
                  </w:pPr>
                  <w:r>
                    <w:rPr>
                      <w:rFonts w:hint="eastAsia"/>
                      <w:color w:val="auto"/>
                      <w:lang w:val="en-US" w:eastAsia="zh-CN"/>
                    </w:rPr>
                    <w:t>橡胶硫</w:t>
                  </w:r>
                  <w:r>
                    <w:rPr>
                      <w:rFonts w:hint="default"/>
                      <w:color w:val="auto"/>
                      <w:szCs w:val="21"/>
                      <w:highlight w:val="none"/>
                      <w:lang w:val="en-US" w:eastAsia="zh-CN"/>
                    </w:rPr>
                    <w:t>化废气经干湿过滤+二级活性炭吸附处理后离地15m排放</w:t>
                  </w:r>
                  <w:r>
                    <w:rPr>
                      <w:rFonts w:hint="default" w:cs="Times New Roman"/>
                      <w:color w:val="auto"/>
                      <w:sz w:val="21"/>
                      <w:szCs w:val="21"/>
                      <w:highlight w:val="none"/>
                      <w:lang w:val="en-US" w:eastAsia="zh-CN"/>
                    </w:rPr>
                    <w:t>（DA00</w:t>
                  </w:r>
                  <w:r>
                    <w:rPr>
                      <w:rFonts w:hint="eastAsia" w:cs="Times New Roman"/>
                      <w:color w:val="auto"/>
                      <w:sz w:val="21"/>
                      <w:szCs w:val="21"/>
                      <w:highlight w:val="none"/>
                      <w:lang w:val="en-US" w:eastAsia="zh-CN"/>
                    </w:rPr>
                    <w:t>1</w:t>
                  </w:r>
                  <w:r>
                    <w:rPr>
                      <w:rFonts w:hint="default"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w:t>
                  </w:r>
                </w:p>
                <w:p w14:paraId="6A8B7427">
                  <w:pPr>
                    <w:spacing w:line="312" w:lineRule="auto"/>
                    <w:jc w:val="lef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③锅炉废气：</w:t>
                  </w:r>
                </w:p>
                <w:p w14:paraId="07A1EBF0">
                  <w:pPr>
                    <w:spacing w:line="312" w:lineRule="auto"/>
                    <w:jc w:val="left"/>
                    <w:rPr>
                      <w:rFonts w:hint="default"/>
                      <w:color w:val="auto"/>
                      <w:szCs w:val="21"/>
                      <w:highlight w:val="none"/>
                      <w:lang w:val="en-US" w:eastAsia="zh-CN"/>
                    </w:rPr>
                  </w:pPr>
                  <w:r>
                    <w:rPr>
                      <w:rFonts w:hint="default" w:cs="Times New Roman"/>
                      <w:color w:val="auto"/>
                      <w:sz w:val="21"/>
                      <w:szCs w:val="21"/>
                      <w:highlight w:val="none"/>
                      <w:lang w:val="en-US" w:eastAsia="zh-CN"/>
                    </w:rPr>
                    <w:t>天然气锅炉经低氮燃烧机燃烧后离地</w:t>
                  </w:r>
                  <w:r>
                    <w:rPr>
                      <w:rFonts w:hint="eastAsia" w:cs="Times New Roman"/>
                      <w:color w:val="auto"/>
                      <w:sz w:val="21"/>
                      <w:szCs w:val="21"/>
                      <w:highlight w:val="none"/>
                      <w:lang w:val="en-US" w:eastAsia="zh-CN"/>
                    </w:rPr>
                    <w:t>12m</w:t>
                  </w:r>
                  <w:r>
                    <w:rPr>
                      <w:rFonts w:hint="default" w:cs="Times New Roman"/>
                      <w:color w:val="auto"/>
                      <w:sz w:val="21"/>
                      <w:szCs w:val="21"/>
                      <w:highlight w:val="none"/>
                      <w:lang w:val="en-US" w:eastAsia="zh-CN"/>
                    </w:rPr>
                    <w:t>排放</w:t>
                  </w:r>
                  <w:r>
                    <w:rPr>
                      <w:rFonts w:hint="eastAsia" w:cs="Times New Roman"/>
                      <w:color w:val="auto"/>
                      <w:sz w:val="21"/>
                      <w:szCs w:val="21"/>
                      <w:highlight w:val="none"/>
                      <w:lang w:val="en-US" w:eastAsia="zh-CN"/>
                    </w:rPr>
                    <w:t>。(DA008)</w:t>
                  </w:r>
                </w:p>
              </w:tc>
              <w:tc>
                <w:tcPr>
                  <w:tcW w:w="974" w:type="dxa"/>
                  <w:noWrap w:val="0"/>
                  <w:vAlign w:val="center"/>
                </w:tcPr>
                <w:p w14:paraId="0D57C62F">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rPr>
                  </w:pPr>
                  <w:r>
                    <w:rPr>
                      <w:rFonts w:hint="eastAsia" w:cs="Times New Roman"/>
                      <w:color w:val="auto"/>
                      <w:sz w:val="21"/>
                      <w:highlight w:val="none"/>
                      <w:lang w:val="en-US" w:eastAsia="zh-CN"/>
                    </w:rPr>
                    <w:t>施工</w:t>
                  </w:r>
                  <w:r>
                    <w:rPr>
                      <w:rFonts w:hint="default" w:ascii="Times New Roman" w:hAnsi="Times New Roman" w:cs="Times New Roman"/>
                      <w:color w:val="auto"/>
                      <w:sz w:val="21"/>
                      <w:highlight w:val="none"/>
                      <w:lang w:val="en-GB"/>
                    </w:rPr>
                    <w:t>固废</w:t>
                  </w:r>
                  <w:r>
                    <w:rPr>
                      <w:rFonts w:hint="eastAsia" w:cs="Times New Roman"/>
                      <w:color w:val="auto"/>
                      <w:sz w:val="21"/>
                      <w:highlight w:val="none"/>
                      <w:lang w:val="en-GB" w:eastAsia="zh-CN"/>
                    </w:rPr>
                    <w:t>、</w:t>
                  </w:r>
                  <w:r>
                    <w:rPr>
                      <w:rFonts w:hint="default" w:ascii="Times New Roman" w:hAnsi="Times New Roman" w:cs="Times New Roman"/>
                      <w:color w:val="auto"/>
                      <w:sz w:val="21"/>
                      <w:highlight w:val="none"/>
                      <w:lang w:val="en-GB"/>
                    </w:rPr>
                    <w:t>噪声</w:t>
                  </w:r>
                </w:p>
              </w:tc>
              <w:tc>
                <w:tcPr>
                  <w:tcW w:w="858" w:type="dxa"/>
                  <w:noWrap w:val="0"/>
                  <w:vAlign w:val="center"/>
                </w:tcPr>
                <w:p w14:paraId="5B98E566">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val="en-GB"/>
                    </w:rPr>
                    <w:t>废气、噪声、</w:t>
                  </w:r>
                  <w:r>
                    <w:rPr>
                      <w:rFonts w:hint="default" w:ascii="Times New Roman" w:hAnsi="Times New Roman" w:cs="Times New Roman"/>
                      <w:color w:val="auto"/>
                      <w:sz w:val="21"/>
                      <w:highlight w:val="none"/>
                      <w:lang w:val="en-GB" w:eastAsia="zh-CN"/>
                    </w:rPr>
                    <w:t>固废</w:t>
                  </w:r>
                </w:p>
              </w:tc>
              <w:tc>
                <w:tcPr>
                  <w:tcW w:w="1326" w:type="dxa"/>
                  <w:noWrap w:val="0"/>
                  <w:vAlign w:val="center"/>
                </w:tcPr>
                <w:p w14:paraId="6717A545">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改建，将现有硫化废气处理设备由光氧升级改造为干湿过滤+二级活性炭</w:t>
                  </w:r>
                </w:p>
              </w:tc>
            </w:tr>
            <w:tr w14:paraId="7BE64F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9" w:hRule="atLeast"/>
                <w:jc w:val="center"/>
              </w:trPr>
              <w:tc>
                <w:tcPr>
                  <w:tcW w:w="1046" w:type="dxa"/>
                  <w:vMerge w:val="continue"/>
                  <w:noWrap w:val="0"/>
                  <w:vAlign w:val="center"/>
                </w:tcPr>
                <w:p w14:paraId="52DF35ED">
                  <w:pPr>
                    <w:keepNext w:val="0"/>
                    <w:keepLines w:val="0"/>
                    <w:pageBreakBefore w:val="0"/>
                    <w:widowControl w:val="0"/>
                    <w:kinsoku/>
                    <w:wordWrap/>
                    <w:overflowPunct/>
                    <w:topLinePunct w:val="0"/>
                    <w:autoSpaceDE/>
                    <w:autoSpaceDN/>
                    <w:bidi w:val="0"/>
                    <w:adjustRightInd/>
                    <w:snapToGrid/>
                    <w:spacing w:line="312" w:lineRule="auto"/>
                    <w:ind w:firstLine="0" w:firstLineChars="0"/>
                    <w:textAlignment w:val="auto"/>
                    <w:rPr>
                      <w:rFonts w:hint="default" w:ascii="Times New Roman" w:hAnsi="Times New Roman" w:cs="Times New Roman"/>
                      <w:b/>
                      <w:color w:val="auto"/>
                      <w:sz w:val="21"/>
                      <w:highlight w:val="none"/>
                      <w:lang w:val="en-GB"/>
                    </w:rPr>
                  </w:pPr>
                </w:p>
              </w:tc>
              <w:tc>
                <w:tcPr>
                  <w:tcW w:w="4300" w:type="dxa"/>
                  <w:noWrap w:val="0"/>
                  <w:vAlign w:val="center"/>
                </w:tcPr>
                <w:p w14:paraId="37C67FA1">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废水</w:t>
                  </w:r>
                  <w:r>
                    <w:rPr>
                      <w:rFonts w:hint="default" w:ascii="Times New Roman" w:hAnsi="Times New Roman" w:cs="Times New Roman"/>
                      <w:color w:val="auto"/>
                      <w:sz w:val="21"/>
                      <w:szCs w:val="21"/>
                      <w:highlight w:val="none"/>
                    </w:rPr>
                    <w:t>：</w:t>
                  </w:r>
                </w:p>
                <w:p w14:paraId="564605B9">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auto"/>
                    <w:rPr>
                      <w:rFonts w:hint="default" w:ascii="Times New Roman" w:hAnsi="Times New Roman" w:cs="Times New Roman"/>
                      <w:color w:val="auto"/>
                      <w:sz w:val="21"/>
                      <w:szCs w:val="21"/>
                      <w:highlight w:val="none"/>
                    </w:rPr>
                  </w:pPr>
                  <w:r>
                    <w:rPr>
                      <w:rFonts w:hint="default" w:cs="Times New Roman"/>
                      <w:color w:val="auto"/>
                      <w:sz w:val="21"/>
                      <w:szCs w:val="21"/>
                      <w:highlight w:val="none"/>
                      <w:lang w:val="en-US" w:eastAsia="zh-CN"/>
                    </w:rPr>
                    <w:t>①</w:t>
                  </w:r>
                  <w:r>
                    <w:rPr>
                      <w:rFonts w:hint="default" w:cs="Times New Roman"/>
                      <w:color w:val="auto"/>
                      <w:sz w:val="21"/>
                      <w:szCs w:val="21"/>
                      <w:highlight w:val="none"/>
                      <w:lang w:eastAsia="zh-CN"/>
                    </w:rPr>
                    <w:t>生活污水</w:t>
                  </w:r>
                  <w:r>
                    <w:rPr>
                      <w:rFonts w:hint="default" w:ascii="Times New Roman" w:hAnsi="Times New Roman" w:cs="Times New Roman"/>
                      <w:color w:val="auto"/>
                      <w:sz w:val="21"/>
                      <w:szCs w:val="21"/>
                      <w:highlight w:val="none"/>
                    </w:rPr>
                    <w:t>依托既有</w:t>
                  </w:r>
                  <w:r>
                    <w:rPr>
                      <w:rFonts w:hint="default" w:cs="Times New Roman"/>
                      <w:color w:val="auto"/>
                      <w:sz w:val="21"/>
                      <w:szCs w:val="21"/>
                      <w:highlight w:val="none"/>
                      <w:lang w:eastAsia="zh-CN"/>
                    </w:rPr>
                    <w:t>化粪池</w:t>
                  </w:r>
                  <w:r>
                    <w:rPr>
                      <w:rFonts w:hint="default" w:ascii="Times New Roman" w:hAnsi="Times New Roman" w:cs="Times New Roman"/>
                      <w:color w:val="auto"/>
                      <w:sz w:val="21"/>
                      <w:szCs w:val="21"/>
                      <w:highlight w:val="none"/>
                    </w:rPr>
                    <w:t>处理后排入市政污水管网送</w:t>
                  </w:r>
                  <w:r>
                    <w:rPr>
                      <w:rFonts w:hint="default" w:cs="Times New Roman"/>
                      <w:color w:val="auto"/>
                      <w:sz w:val="21"/>
                      <w:szCs w:val="21"/>
                      <w:highlight w:val="none"/>
                      <w:lang w:eastAsia="zh-CN"/>
                    </w:rPr>
                    <w:t>大英县工业污水处理厂</w:t>
                  </w:r>
                  <w:r>
                    <w:rPr>
                      <w:rFonts w:hint="default" w:ascii="Times New Roman" w:hAnsi="Times New Roman" w:cs="Times New Roman"/>
                      <w:color w:val="auto"/>
                      <w:sz w:val="21"/>
                      <w:szCs w:val="21"/>
                      <w:highlight w:val="none"/>
                    </w:rPr>
                    <w:t>处理。</w:t>
                  </w:r>
                </w:p>
                <w:p w14:paraId="0C7B7ACD">
                  <w:pPr>
                    <w:keepNext w:val="0"/>
                    <w:keepLines w:val="0"/>
                    <w:pageBreakBefore w:val="0"/>
                    <w:widowControl w:val="0"/>
                    <w:kinsoku/>
                    <w:wordWrap/>
                    <w:overflowPunct/>
                    <w:topLinePunct w:val="0"/>
                    <w:autoSpaceDE/>
                    <w:autoSpaceDN/>
                    <w:bidi w:val="0"/>
                    <w:adjustRightInd/>
                    <w:snapToGrid/>
                    <w:spacing w:line="312" w:lineRule="auto"/>
                    <w:ind w:firstLine="210" w:firstLineChars="100"/>
                    <w:jc w:val="left"/>
                    <w:textAlignment w:val="auto"/>
                    <w:rPr>
                      <w:rFonts w:hint="default" w:ascii="Times New Roman" w:hAnsi="Times New Roman" w:cs="Times New Roman"/>
                      <w:color w:val="auto"/>
                      <w:sz w:val="21"/>
                      <w:szCs w:val="21"/>
                      <w:highlight w:val="none"/>
                      <w:lang w:val="en-US" w:eastAsia="zh-CN"/>
                    </w:rPr>
                  </w:pPr>
                  <w:r>
                    <w:rPr>
                      <w:rFonts w:hint="default" w:cs="Times New Roman"/>
                      <w:color w:val="auto"/>
                      <w:sz w:val="21"/>
                      <w:szCs w:val="21"/>
                      <w:highlight w:val="none"/>
                      <w:lang w:val="en-US" w:eastAsia="zh-CN"/>
                    </w:rPr>
                    <w:t>②橡胶流体管道清洗废水</w:t>
                  </w:r>
                  <w:r>
                    <w:rPr>
                      <w:rFonts w:hint="eastAsia" w:ascii="Times New Roman" w:hAnsi="Times New Roman" w:eastAsia="宋体" w:cs="Times New Roman"/>
                      <w:color w:val="auto"/>
                      <w:sz w:val="21"/>
                      <w:szCs w:val="21"/>
                      <w:highlight w:val="none"/>
                      <w:lang w:val="en-US" w:eastAsia="zh-CN"/>
                    </w:rPr>
                    <w:t>：</w:t>
                  </w:r>
                  <w:r>
                    <w:rPr>
                      <w:rFonts w:hint="default" w:cs="Times New Roman"/>
                      <w:color w:val="auto"/>
                      <w:sz w:val="21"/>
                      <w:szCs w:val="21"/>
                      <w:highlight w:val="none"/>
                      <w:lang w:val="en-US" w:eastAsia="zh-CN"/>
                    </w:rPr>
                    <w:t>经沉淀池处理后循环使用1个月</w:t>
                  </w:r>
                  <w:r>
                    <w:rPr>
                      <w:rFonts w:hint="eastAsia" w:cs="Times New Roman"/>
                      <w:color w:val="auto"/>
                      <w:sz w:val="21"/>
                      <w:szCs w:val="21"/>
                      <w:highlight w:val="none"/>
                      <w:lang w:val="en-US" w:eastAsia="zh-CN"/>
                    </w:rPr>
                    <w:t>后</w:t>
                  </w:r>
                  <w:r>
                    <w:rPr>
                      <w:rFonts w:hint="default" w:cs="Times New Roman"/>
                      <w:color w:val="auto"/>
                      <w:sz w:val="21"/>
                      <w:szCs w:val="21"/>
                      <w:highlight w:val="none"/>
                      <w:lang w:val="en-US" w:eastAsia="zh-CN"/>
                    </w:rPr>
                    <w:t>更新排入市政污水</w:t>
                  </w:r>
                  <w:r>
                    <w:rPr>
                      <w:rFonts w:hint="eastAsia" w:cs="Times New Roman"/>
                      <w:color w:val="auto"/>
                      <w:sz w:val="21"/>
                      <w:szCs w:val="21"/>
                      <w:highlight w:val="none"/>
                      <w:lang w:val="en-US" w:eastAsia="zh-CN"/>
                    </w:rPr>
                    <w:t>管网</w:t>
                  </w:r>
                  <w:r>
                    <w:rPr>
                      <w:rFonts w:hint="default" w:cs="Times New Roman"/>
                      <w:color w:val="auto"/>
                      <w:sz w:val="21"/>
                      <w:szCs w:val="21"/>
                      <w:highlight w:val="none"/>
                      <w:lang w:val="en-US" w:eastAsia="zh-CN"/>
                    </w:rPr>
                    <w:t>送</w:t>
                  </w:r>
                  <w:r>
                    <w:rPr>
                      <w:rFonts w:hint="default" w:ascii="Times New Roman" w:hAnsi="Times New Roman" w:cs="Times New Roman"/>
                      <w:color w:val="auto"/>
                      <w:sz w:val="21"/>
                      <w:szCs w:val="21"/>
                      <w:highlight w:val="none"/>
                      <w:lang w:eastAsia="zh-CN"/>
                    </w:rPr>
                    <w:t>大英县工业污水处理厂</w:t>
                  </w:r>
                  <w:r>
                    <w:rPr>
                      <w:rFonts w:hint="default" w:ascii="Times New Roman" w:hAnsi="Times New Roman" w:cs="Times New Roman"/>
                      <w:color w:val="auto"/>
                      <w:sz w:val="21"/>
                      <w:szCs w:val="21"/>
                      <w:highlight w:val="none"/>
                    </w:rPr>
                    <w:t>处理</w:t>
                  </w:r>
                  <w:r>
                    <w:rPr>
                      <w:rFonts w:hint="default" w:ascii="Times New Roman" w:hAnsi="Times New Roman" w:cs="Times New Roman"/>
                      <w:color w:val="auto"/>
                      <w:sz w:val="21"/>
                      <w:szCs w:val="21"/>
                      <w:highlight w:val="none"/>
                      <w:lang w:val="en-US" w:eastAsia="zh-CN"/>
                    </w:rPr>
                    <w:t>。</w:t>
                  </w:r>
                </w:p>
                <w:p w14:paraId="0DE5AF4C">
                  <w:pPr>
                    <w:spacing w:line="312" w:lineRule="auto"/>
                    <w:ind w:firstLine="210" w:firstLineChars="100"/>
                    <w:jc w:val="left"/>
                    <w:rPr>
                      <w:rFonts w:hint="default"/>
                      <w:lang w:val="en-US" w:eastAsia="zh-CN"/>
                    </w:rPr>
                  </w:pPr>
                  <w:r>
                    <w:rPr>
                      <w:rFonts w:hint="default" w:ascii="Times New Roman" w:hAnsi="Times New Roman" w:eastAsia="宋体" w:cs="Times New Roman"/>
                      <w:color w:val="auto"/>
                      <w:sz w:val="21"/>
                      <w:szCs w:val="21"/>
                      <w:highlight w:val="none"/>
                      <w:lang w:val="en-US" w:eastAsia="zh-CN"/>
                    </w:rPr>
                    <w:t>③炼胶循环冷却水：炼胶冷却水经循环池处理后循环使用不排放</w:t>
                  </w:r>
                </w:p>
              </w:tc>
              <w:tc>
                <w:tcPr>
                  <w:tcW w:w="974" w:type="dxa"/>
                  <w:noWrap w:val="0"/>
                  <w:vAlign w:val="center"/>
                </w:tcPr>
                <w:p w14:paraId="0ED1AEB5">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lang w:val="en-GB"/>
                    </w:rPr>
                  </w:pPr>
                  <w:r>
                    <w:rPr>
                      <w:rFonts w:hint="default" w:ascii="Times New Roman" w:hAnsi="Times New Roman" w:cs="Times New Roman"/>
                      <w:color w:val="auto"/>
                      <w:sz w:val="21"/>
                      <w:highlight w:val="none"/>
                    </w:rPr>
                    <w:t>/</w:t>
                  </w:r>
                </w:p>
              </w:tc>
              <w:tc>
                <w:tcPr>
                  <w:tcW w:w="858" w:type="dxa"/>
                  <w:noWrap w:val="0"/>
                  <w:vAlign w:val="center"/>
                </w:tcPr>
                <w:p w14:paraId="0A63F72C">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lang w:val="en-GB"/>
                    </w:rPr>
                  </w:pPr>
                  <w:r>
                    <w:rPr>
                      <w:rFonts w:hint="default" w:ascii="Times New Roman" w:hAnsi="Times New Roman" w:cs="Times New Roman"/>
                      <w:color w:val="auto"/>
                      <w:sz w:val="21"/>
                      <w:highlight w:val="none"/>
                      <w:lang w:val="en-GB"/>
                    </w:rPr>
                    <w:t>废水</w:t>
                  </w:r>
                </w:p>
              </w:tc>
              <w:tc>
                <w:tcPr>
                  <w:tcW w:w="1326" w:type="dxa"/>
                  <w:noWrap w:val="0"/>
                  <w:vAlign w:val="center"/>
                </w:tcPr>
                <w:p w14:paraId="4AC8FE50">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lang w:val="en-US"/>
                    </w:rPr>
                  </w:pPr>
                  <w:r>
                    <w:rPr>
                      <w:rFonts w:hint="default" w:ascii="Times New Roman" w:hAnsi="Times New Roman" w:eastAsia="宋体" w:cs="Times New Roman"/>
                      <w:color w:val="auto"/>
                      <w:sz w:val="21"/>
                      <w:szCs w:val="21"/>
                      <w:highlight w:val="none"/>
                      <w:lang w:val="en-US" w:eastAsia="zh-CN"/>
                    </w:rPr>
                    <w:t>橡胶流体管道清洗废水</w:t>
                  </w:r>
                  <w:r>
                    <w:rPr>
                      <w:rFonts w:hint="eastAsia" w:cs="Times New Roman"/>
                      <w:color w:val="auto"/>
                      <w:sz w:val="21"/>
                      <w:szCs w:val="21"/>
                      <w:highlight w:val="none"/>
                      <w:lang w:val="en-US" w:eastAsia="zh-CN"/>
                    </w:rPr>
                    <w:t>、炼胶机间接冷却水</w:t>
                  </w:r>
                </w:p>
              </w:tc>
            </w:tr>
            <w:tr w14:paraId="3A0E08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6" w:type="dxa"/>
                  <w:vMerge w:val="continue"/>
                  <w:noWrap w:val="0"/>
                  <w:vAlign w:val="center"/>
                </w:tcPr>
                <w:p w14:paraId="1ADFF04F">
                  <w:pPr>
                    <w:keepNext w:val="0"/>
                    <w:keepLines w:val="0"/>
                    <w:pageBreakBefore w:val="0"/>
                    <w:widowControl w:val="0"/>
                    <w:kinsoku/>
                    <w:wordWrap/>
                    <w:overflowPunct/>
                    <w:topLinePunct w:val="0"/>
                    <w:autoSpaceDE/>
                    <w:autoSpaceDN/>
                    <w:bidi w:val="0"/>
                    <w:adjustRightInd/>
                    <w:snapToGrid/>
                    <w:spacing w:line="312" w:lineRule="auto"/>
                    <w:ind w:firstLine="0" w:firstLineChars="0"/>
                    <w:textAlignment w:val="auto"/>
                    <w:rPr>
                      <w:rFonts w:hint="default" w:ascii="Times New Roman" w:hAnsi="Times New Roman" w:cs="Times New Roman"/>
                      <w:color w:val="auto"/>
                      <w:sz w:val="21"/>
                      <w:highlight w:val="none"/>
                      <w:lang w:val="en-GB"/>
                    </w:rPr>
                  </w:pPr>
                </w:p>
              </w:tc>
              <w:tc>
                <w:tcPr>
                  <w:tcW w:w="4300" w:type="dxa"/>
                  <w:noWrap w:val="0"/>
                  <w:vAlign w:val="center"/>
                </w:tcPr>
                <w:p w14:paraId="73B7B318">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噪声：设置减震设施，合理总平面布局，利用建筑结构降低噪声对外环境的影响。</w:t>
                  </w:r>
                </w:p>
              </w:tc>
              <w:tc>
                <w:tcPr>
                  <w:tcW w:w="974" w:type="dxa"/>
                  <w:noWrap w:val="0"/>
                  <w:vAlign w:val="center"/>
                </w:tcPr>
                <w:p w14:paraId="181051FB">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858" w:type="dxa"/>
                  <w:noWrap w:val="0"/>
                  <w:vAlign w:val="center"/>
                </w:tcPr>
                <w:p w14:paraId="6E17DFDF">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GB"/>
                    </w:rPr>
                    <w:t>固废，噪声</w:t>
                  </w:r>
                </w:p>
              </w:tc>
              <w:tc>
                <w:tcPr>
                  <w:tcW w:w="1326" w:type="dxa"/>
                  <w:noWrap w:val="0"/>
                  <w:vAlign w:val="center"/>
                </w:tcPr>
                <w:p w14:paraId="3C5A4A1E">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新建</w:t>
                  </w:r>
                </w:p>
              </w:tc>
            </w:tr>
            <w:tr w14:paraId="5EA747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1046" w:type="dxa"/>
                  <w:vMerge w:val="continue"/>
                  <w:noWrap w:val="0"/>
                  <w:vAlign w:val="center"/>
                </w:tcPr>
                <w:p w14:paraId="762BFCCA">
                  <w:pPr>
                    <w:keepNext w:val="0"/>
                    <w:keepLines w:val="0"/>
                    <w:pageBreakBefore w:val="0"/>
                    <w:widowControl w:val="0"/>
                    <w:kinsoku/>
                    <w:wordWrap/>
                    <w:overflowPunct/>
                    <w:topLinePunct w:val="0"/>
                    <w:autoSpaceDE/>
                    <w:autoSpaceDN/>
                    <w:bidi w:val="0"/>
                    <w:adjustRightInd/>
                    <w:snapToGrid/>
                    <w:spacing w:line="312" w:lineRule="auto"/>
                    <w:ind w:firstLine="0" w:firstLineChars="0"/>
                    <w:textAlignment w:val="auto"/>
                    <w:rPr>
                      <w:rFonts w:hint="default" w:ascii="Times New Roman" w:hAnsi="Times New Roman" w:cs="Times New Roman"/>
                      <w:color w:val="auto"/>
                      <w:sz w:val="21"/>
                      <w:highlight w:val="none"/>
                      <w:lang w:val="en-GB"/>
                    </w:rPr>
                  </w:pPr>
                </w:p>
              </w:tc>
              <w:tc>
                <w:tcPr>
                  <w:tcW w:w="4300" w:type="dxa"/>
                  <w:noWrap w:val="0"/>
                  <w:vAlign w:val="center"/>
                </w:tcPr>
                <w:p w14:paraId="18FB199E">
                  <w:pPr>
                    <w:keepNext w:val="0"/>
                    <w:keepLines w:val="0"/>
                    <w:pageBreakBefore w:val="0"/>
                    <w:widowControl w:val="0"/>
                    <w:kinsoku/>
                    <w:wordWrap/>
                    <w:overflowPunct/>
                    <w:topLinePunct w:val="0"/>
                    <w:autoSpaceDE/>
                    <w:autoSpaceDN/>
                    <w:bidi w:val="0"/>
                    <w:adjustRightInd/>
                    <w:snapToGrid/>
                    <w:spacing w:line="312" w:lineRule="auto"/>
                    <w:ind w:firstLine="0" w:firstLineChars="0"/>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eastAsia="zh-CN"/>
                    </w:rPr>
                    <w:t>危险废物</w:t>
                  </w:r>
                  <w:r>
                    <w:rPr>
                      <w:rFonts w:hint="default" w:ascii="Times New Roman" w:hAnsi="Times New Roman" w:cs="Times New Roman"/>
                      <w:bCs/>
                      <w:color w:val="auto"/>
                      <w:sz w:val="21"/>
                      <w:szCs w:val="21"/>
                      <w:highlight w:val="none"/>
                    </w:rPr>
                    <w:t>：依托危险废物暂存间1处，面积约20平方米，位于森帝厂区西北厂界处，用于暂存本项目产生的危险废物。</w:t>
                  </w:r>
                </w:p>
                <w:p w14:paraId="4019C0DE">
                  <w:pPr>
                    <w:keepNext w:val="0"/>
                    <w:keepLines w:val="0"/>
                    <w:pageBreakBefore w:val="0"/>
                    <w:widowControl w:val="0"/>
                    <w:kinsoku/>
                    <w:wordWrap/>
                    <w:overflowPunct/>
                    <w:topLinePunct w:val="0"/>
                    <w:autoSpaceDE/>
                    <w:autoSpaceDN/>
                    <w:bidi w:val="0"/>
                    <w:adjustRightInd/>
                    <w:snapToGrid/>
                    <w:spacing w:line="312" w:lineRule="auto"/>
                    <w:ind w:firstLine="0" w:firstLineChars="0"/>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一般固废：依托一般固废暂存间1处，位于森帝厂区西北厂界处，面积约100平方米。</w:t>
                  </w:r>
                </w:p>
              </w:tc>
              <w:tc>
                <w:tcPr>
                  <w:tcW w:w="974" w:type="dxa"/>
                  <w:noWrap w:val="0"/>
                  <w:vAlign w:val="center"/>
                </w:tcPr>
                <w:p w14:paraId="633BDDD0">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58" w:type="dxa"/>
                  <w:noWrap w:val="0"/>
                  <w:vAlign w:val="center"/>
                </w:tcPr>
                <w:p w14:paraId="03EE98ED">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color w:val="auto"/>
                      <w:sz w:val="21"/>
                      <w:szCs w:val="21"/>
                      <w:highlight w:val="none"/>
                      <w:lang w:val="en-GB"/>
                    </w:rPr>
                    <w:t>固废</w:t>
                  </w:r>
                </w:p>
              </w:tc>
              <w:tc>
                <w:tcPr>
                  <w:tcW w:w="1326" w:type="dxa"/>
                  <w:noWrap w:val="0"/>
                  <w:vAlign w:val="center"/>
                </w:tcPr>
                <w:p w14:paraId="45400000">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eastAsia="宋体" w:cs="Times New Roman"/>
                      <w:bCs/>
                      <w:color w:val="auto"/>
                      <w:sz w:val="21"/>
                      <w:highlight w:val="none"/>
                      <w:lang w:eastAsia="zh-CN"/>
                    </w:rPr>
                  </w:pPr>
                  <w:r>
                    <w:rPr>
                      <w:rFonts w:hint="eastAsia" w:cs="Times New Roman"/>
                      <w:bCs/>
                      <w:color w:val="auto"/>
                      <w:sz w:val="21"/>
                      <w:highlight w:val="none"/>
                      <w:lang w:val="en-US" w:eastAsia="zh-CN"/>
                    </w:rPr>
                    <w:t>依托</w:t>
                  </w:r>
                </w:p>
              </w:tc>
            </w:tr>
          </w:tbl>
          <w:p w14:paraId="4BB964C5">
            <w:pPr>
              <w:pStyle w:val="42"/>
              <w:bidi w:val="0"/>
              <w:rPr>
                <w:rFonts w:hint="default" w:ascii="Times New Roman" w:hAnsi="Times New Roman" w:cs="Times New Roman"/>
                <w:color w:val="auto"/>
                <w:highlight w:val="none"/>
              </w:rPr>
            </w:pPr>
          </w:p>
          <w:p w14:paraId="7F7C9CC0">
            <w:pPr>
              <w:pStyle w:val="42"/>
              <w:bidi w:val="0"/>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t>主要设备清单</w:t>
            </w:r>
          </w:p>
          <w:p w14:paraId="6581228E">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eastAsia" w:ascii="Times New Roman" w:hAnsi="Times New Roman" w:cs="Times New Roman"/>
                <w:color w:val="auto"/>
                <w:highlight w:val="none"/>
                <w:lang w:eastAsia="zh-CN"/>
              </w:rPr>
              <w:t>主要</w:t>
            </w:r>
            <w:r>
              <w:rPr>
                <w:rFonts w:hint="eastAsia" w:ascii="Times New Roman" w:hAnsi="Times New Roman" w:cs="Times New Roman"/>
                <w:color w:val="auto"/>
                <w:highlight w:val="none"/>
                <w:lang w:val="en-US" w:eastAsia="zh-CN"/>
              </w:rPr>
              <w:t>对橡胶流体管道生产线进行扩建，扩建后橡胶流体管道生产线主要设备情况如下</w:t>
            </w:r>
            <w:r>
              <w:rPr>
                <w:rFonts w:hint="default" w:ascii="Times New Roman" w:hAnsi="Times New Roman" w:cs="Times New Roman"/>
                <w:color w:val="auto"/>
                <w:highlight w:val="none"/>
              </w:rPr>
              <w:t>：</w:t>
            </w:r>
          </w:p>
          <w:p w14:paraId="2F1B80AE">
            <w:pPr>
              <w:pStyle w:val="43"/>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表</w:t>
            </w:r>
            <w:r>
              <w:rPr>
                <w:rFonts w:hint="default" w:ascii="Times New Roman" w:hAnsi="Times New Roman" w:cs="Times New Roman"/>
                <w:color w:val="auto"/>
                <w:highlight w:val="none"/>
                <w:lang w:val="en-US" w:eastAsia="zh-CN"/>
              </w:rPr>
              <w:t>2-2</w:t>
            </w:r>
            <w:r>
              <w:rPr>
                <w:rFonts w:hint="eastAsia" w:ascii="Times New Roman" w:hAnsi="Times New Roman" w:cs="Times New Roman"/>
                <w:color w:val="auto"/>
                <w:highlight w:val="none"/>
                <w:lang w:val="en-US" w:eastAsia="zh-CN"/>
              </w:rPr>
              <w:t>扩建后</w:t>
            </w:r>
            <w:r>
              <w:rPr>
                <w:rFonts w:hint="default" w:ascii="Times New Roman" w:hAnsi="Times New Roman" w:cs="Times New Roman"/>
                <w:color w:val="auto"/>
                <w:highlight w:val="none"/>
                <w:lang w:val="zh-CN"/>
              </w:rPr>
              <w:t>主要生产设备明细表</w:t>
            </w:r>
          </w:p>
          <w:p w14:paraId="74839069">
            <w:pPr>
              <w:pStyle w:val="4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企业选择不公开</w:t>
            </w:r>
          </w:p>
          <w:p w14:paraId="356479FA">
            <w:pPr>
              <w:pStyle w:val="43"/>
              <w:bidi w:val="0"/>
              <w:rPr>
                <w:rFonts w:hint="default" w:ascii="Times New Roman" w:hAnsi="Times New Roman" w:cs="Times New Roman"/>
                <w:color w:val="auto"/>
                <w:highlight w:val="none"/>
                <w:lang w:val="zh-CN"/>
              </w:rPr>
            </w:pPr>
          </w:p>
          <w:p w14:paraId="666D0ED5">
            <w:pPr>
              <w:pStyle w:val="42"/>
              <w:bidi w:val="0"/>
              <w:rPr>
                <w:rFonts w:hint="eastAsia" w:ascii="仿宋" w:hAnsi="仿宋" w:eastAsia="仿宋" w:cs="仿宋"/>
                <w:b w:val="0"/>
                <w:bCs w:val="0"/>
                <w:color w:val="auto"/>
                <w:sz w:val="18"/>
                <w:szCs w:val="18"/>
                <w:highlight w:val="none"/>
                <w:lang w:val="en-US" w:eastAsia="zh-CN"/>
              </w:rPr>
            </w:pPr>
            <w:r>
              <w:rPr>
                <w:rFonts w:hint="eastAsia" w:ascii="仿宋" w:hAnsi="仿宋" w:eastAsia="仿宋" w:cs="仿宋"/>
                <w:b w:val="0"/>
                <w:bCs w:val="0"/>
                <w:color w:val="auto"/>
                <w:sz w:val="18"/>
                <w:szCs w:val="18"/>
                <w:highlight w:val="none"/>
                <w:lang w:val="en-US" w:eastAsia="zh-CN"/>
              </w:rPr>
              <w:t>备注：本项目设备无国家明令淘汰的设备或产品。</w:t>
            </w:r>
          </w:p>
          <w:p w14:paraId="57BE4235">
            <w:pPr>
              <w:pStyle w:val="42"/>
              <w:bidi w:val="0"/>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lang w:eastAsia="zh-CN"/>
              </w:rPr>
              <w:t>5.</w:t>
            </w:r>
            <w:r>
              <w:rPr>
                <w:rFonts w:hint="default" w:ascii="Times New Roman" w:hAnsi="Times New Roman" w:cs="Times New Roman"/>
                <w:b/>
                <w:bCs/>
                <w:color w:val="auto"/>
                <w:highlight w:val="none"/>
              </w:rPr>
              <w:t>项目主要</w:t>
            </w:r>
            <w:r>
              <w:rPr>
                <w:rFonts w:hint="default" w:ascii="Times New Roman" w:hAnsi="Times New Roman" w:cs="Times New Roman"/>
                <w:b/>
                <w:bCs/>
                <w:color w:val="auto"/>
                <w:highlight w:val="none"/>
                <w:lang w:eastAsia="zh-CN"/>
              </w:rPr>
              <w:t>原辅</w:t>
            </w:r>
            <w:r>
              <w:rPr>
                <w:rFonts w:hint="default" w:ascii="Times New Roman" w:hAnsi="Times New Roman" w:cs="Times New Roman"/>
                <w:b/>
                <w:bCs/>
                <w:color w:val="auto"/>
                <w:highlight w:val="none"/>
              </w:rPr>
              <w:t>材料</w:t>
            </w:r>
          </w:p>
          <w:p w14:paraId="04C1AAB9">
            <w:pPr>
              <w:pStyle w:val="42"/>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本项目</w:t>
            </w:r>
            <w:r>
              <w:rPr>
                <w:rFonts w:hint="eastAsia" w:ascii="Times New Roman" w:hAnsi="Times New Roman" w:cs="Times New Roman"/>
                <w:color w:val="auto"/>
                <w:highlight w:val="none"/>
                <w:lang w:eastAsia="zh-CN"/>
              </w:rPr>
              <w:t>主要</w:t>
            </w:r>
            <w:r>
              <w:rPr>
                <w:rFonts w:hint="eastAsia" w:ascii="Times New Roman" w:hAnsi="Times New Roman" w:cs="Times New Roman"/>
                <w:color w:val="auto"/>
                <w:highlight w:val="none"/>
                <w:lang w:val="en-US" w:eastAsia="zh-CN"/>
              </w:rPr>
              <w:t>对橡胶流体管道生产线进行扩建，扩建后橡胶流体管道产品生产所需</w:t>
            </w:r>
            <w:r>
              <w:rPr>
                <w:rFonts w:hint="default" w:ascii="Times New Roman" w:hAnsi="Times New Roman" w:cs="Times New Roman"/>
                <w:color w:val="auto"/>
                <w:highlight w:val="none"/>
              </w:rPr>
              <w:t>的主要原辅材料具体见下表。</w:t>
            </w:r>
          </w:p>
          <w:p w14:paraId="136F6E94">
            <w:pPr>
              <w:pStyle w:val="43"/>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表</w:t>
            </w:r>
            <w:r>
              <w:rPr>
                <w:rFonts w:hint="default" w:ascii="Times New Roman" w:hAnsi="Times New Roman" w:cs="Times New Roman"/>
                <w:color w:val="auto"/>
                <w:highlight w:val="none"/>
                <w:lang w:val="en-US" w:eastAsia="zh-CN"/>
              </w:rPr>
              <w:t>2-3</w:t>
            </w:r>
            <w:r>
              <w:rPr>
                <w:rFonts w:hint="default" w:ascii="Times New Roman" w:hAnsi="Times New Roman" w:cs="Times New Roman"/>
                <w:color w:val="auto"/>
                <w:highlight w:val="none"/>
                <w:lang w:val="zh-CN"/>
              </w:rPr>
              <w:t>主要原材料及能源消耗表</w:t>
            </w:r>
          </w:p>
          <w:p w14:paraId="15639088">
            <w:pPr>
              <w:pStyle w:val="4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企业选择不公开</w:t>
            </w:r>
          </w:p>
          <w:p w14:paraId="372B4B6D">
            <w:pPr>
              <w:pStyle w:val="42"/>
              <w:ind w:firstLine="482"/>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主要原辅材料性质：</w:t>
            </w:r>
          </w:p>
          <w:p w14:paraId="764F8F11">
            <w:pPr>
              <w:pStyle w:val="42"/>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default" w:ascii="Segoe UI" w:hAnsi="Segoe UI" w:eastAsia="宋体" w:cs="Segoe UI"/>
                <w:i w:val="0"/>
                <w:iCs w:val="0"/>
                <w:caps w:val="0"/>
                <w:spacing w:val="0"/>
                <w:sz w:val="24"/>
                <w:szCs w:val="24"/>
                <w:shd w:val="clear" w:fill="FFFFFF"/>
                <w:lang w:val="en-US" w:eastAsia="zh-CN"/>
              </w:rPr>
            </w:pPr>
            <w:r>
              <w:rPr>
                <w:rFonts w:hint="eastAsia" w:ascii="Segoe UI" w:hAnsi="Segoe UI" w:eastAsia="宋体" w:cs="Segoe UI"/>
                <w:i w:val="0"/>
                <w:iCs w:val="0"/>
                <w:caps w:val="0"/>
                <w:spacing w:val="0"/>
                <w:sz w:val="24"/>
                <w:szCs w:val="24"/>
                <w:shd w:val="clear" w:fill="FFFFFF"/>
                <w:lang w:val="en-US" w:eastAsia="zh-CN"/>
              </w:rPr>
              <w:t>企业不公开</w:t>
            </w:r>
          </w:p>
          <w:p w14:paraId="344953EE">
            <w:pPr>
              <w:pStyle w:val="42"/>
              <w:keepNext w:val="0"/>
              <w:keepLines w:val="0"/>
              <w:pageBreakBefore w:val="0"/>
              <w:widowControl w:val="0"/>
              <w:kinsoku/>
              <w:wordWrap/>
              <w:overflowPunct/>
              <w:topLinePunct w:val="0"/>
              <w:autoSpaceDE/>
              <w:autoSpaceDN/>
              <w:bidi w:val="0"/>
              <w:adjustRightInd w:val="0"/>
              <w:snapToGrid w:val="0"/>
              <w:ind w:left="0" w:leftChars="0" w:firstLine="482" w:firstLineChars="200"/>
              <w:jc w:val="both"/>
              <w:textAlignment w:val="auto"/>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lang w:val="en-US" w:eastAsia="zh-CN"/>
              </w:rPr>
              <w:t>产品方案</w:t>
            </w:r>
          </w:p>
          <w:p w14:paraId="52A79917">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w:t>
            </w:r>
            <w:r>
              <w:rPr>
                <w:rFonts w:hint="eastAsia" w:ascii="Times New Roman" w:hAnsi="Times New Roman" w:cs="Times New Roman"/>
                <w:color w:val="auto"/>
                <w:highlight w:val="none"/>
                <w:lang w:val="en-US" w:eastAsia="zh-CN"/>
              </w:rPr>
              <w:t>对橡胶流体管道产品生产线进行扩建</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lang w:eastAsia="zh-CN"/>
              </w:rPr>
              <w:t>项目</w:t>
            </w:r>
            <w:r>
              <w:rPr>
                <w:rFonts w:hint="eastAsia" w:ascii="Times New Roman" w:hAnsi="Times New Roman" w:cs="Times New Roman"/>
                <w:color w:val="auto"/>
                <w:highlight w:val="none"/>
                <w:lang w:eastAsia="zh-CN"/>
              </w:rPr>
              <w:t>建成后全厂产品方案</w:t>
            </w:r>
            <w:r>
              <w:rPr>
                <w:rFonts w:hint="default" w:ascii="Times New Roman" w:hAnsi="Times New Roman" w:cs="Times New Roman"/>
                <w:color w:val="auto"/>
                <w:highlight w:val="none"/>
              </w:rPr>
              <w:t>如下表所示：</w:t>
            </w:r>
          </w:p>
          <w:p w14:paraId="0AF8646C">
            <w:pPr>
              <w:pStyle w:val="43"/>
              <w:rPr>
                <w:rFonts w:hint="default" w:ascii="Times New Roman" w:hAnsi="Times New Roman"/>
                <w:color w:val="000000" w:themeColor="text1"/>
                <w:highlight w:val="none"/>
                <w14:textFill>
                  <w14:solidFill>
                    <w14:schemeClr w14:val="tx1"/>
                  </w14:solidFill>
                </w14:textFill>
              </w:rPr>
            </w:pPr>
            <w:r>
              <w:rPr>
                <w:rFonts w:hint="default" w:ascii="Times New Roman" w:hAnsi="Times New Roman"/>
                <w:color w:val="000000" w:themeColor="text1"/>
                <w:highlight w:val="none"/>
                <w14:textFill>
                  <w14:solidFill>
                    <w14:schemeClr w14:val="tx1"/>
                  </w14:solidFill>
                </w14:textFill>
              </w:rPr>
              <w:t>表2-</w:t>
            </w:r>
            <w:r>
              <w:rPr>
                <w:rFonts w:hint="eastAsia" w:ascii="Times New Roman" w:hAnsi="Times New Roman"/>
                <w:color w:val="000000" w:themeColor="text1"/>
                <w:highlight w:val="none"/>
                <w:lang w:val="en-US" w:eastAsia="zh-CN"/>
                <w14:textFill>
                  <w14:solidFill>
                    <w14:schemeClr w14:val="tx1"/>
                  </w14:solidFill>
                </w14:textFill>
              </w:rPr>
              <w:t>4</w:t>
            </w:r>
            <w:r>
              <w:rPr>
                <w:rFonts w:hint="eastAsia" w:ascii="Times New Roman" w:hAnsi="Times New Roman"/>
                <w:color w:val="000000" w:themeColor="text1"/>
                <w:highlight w:val="none"/>
                <w:lang w:eastAsia="zh-CN"/>
                <w14:textFill>
                  <w14:solidFill>
                    <w14:schemeClr w14:val="tx1"/>
                  </w14:solidFill>
                </w14:textFill>
              </w:rPr>
              <w:t>扩建后全厂</w:t>
            </w:r>
            <w:r>
              <w:rPr>
                <w:rFonts w:hint="default" w:ascii="Times New Roman" w:hAnsi="Times New Roman"/>
                <w:color w:val="000000" w:themeColor="text1"/>
                <w:highlight w:val="none"/>
                <w14:textFill>
                  <w14:solidFill>
                    <w14:schemeClr w14:val="tx1"/>
                  </w14:solidFill>
                </w14:textFill>
              </w:rPr>
              <w:t>产品方案表</w:t>
            </w:r>
          </w:p>
          <w:tbl>
            <w:tblPr>
              <w:tblStyle w:val="23"/>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694"/>
              <w:gridCol w:w="1550"/>
              <w:gridCol w:w="1587"/>
              <w:gridCol w:w="1700"/>
              <w:gridCol w:w="1028"/>
            </w:tblGrid>
            <w:tr w14:paraId="3F739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61" w:type="dxa"/>
                  <w:noWrap w:val="0"/>
                  <w:vAlign w:val="center"/>
                </w:tcPr>
                <w:p w14:paraId="01CBE8EB">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序号</w:t>
                  </w:r>
                </w:p>
              </w:tc>
              <w:tc>
                <w:tcPr>
                  <w:tcW w:w="1694" w:type="dxa"/>
                  <w:noWrap w:val="0"/>
                  <w:vAlign w:val="center"/>
                </w:tcPr>
                <w:p w14:paraId="2A3D254F">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产品名称</w:t>
                  </w:r>
                </w:p>
              </w:tc>
              <w:tc>
                <w:tcPr>
                  <w:tcW w:w="1550" w:type="dxa"/>
                  <w:noWrap w:val="0"/>
                  <w:vAlign w:val="center"/>
                </w:tcPr>
                <w:p w14:paraId="206AC17A">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扩建前</w:t>
                  </w:r>
                  <w:r>
                    <w:rPr>
                      <w:rFonts w:hint="eastAsia" w:ascii="Times New Roman" w:hAnsi="Times New Roman"/>
                      <w:color w:val="000000" w:themeColor="text1"/>
                      <w:sz w:val="21"/>
                      <w:szCs w:val="21"/>
                      <w:highlight w:val="none"/>
                      <w14:textFill>
                        <w14:solidFill>
                          <w14:schemeClr w14:val="tx1"/>
                        </w14:solidFill>
                      </w14:textFill>
                    </w:rPr>
                    <w:t>年产量</w:t>
                  </w:r>
                  <w:r>
                    <w:rPr>
                      <w:rFonts w:hint="eastAsia"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t/a</w:t>
                  </w:r>
                  <w:r>
                    <w:rPr>
                      <w:rFonts w:hint="eastAsia" w:ascii="Times New Roman" w:hAnsi="Times New Roman"/>
                      <w:color w:val="000000" w:themeColor="text1"/>
                      <w:sz w:val="21"/>
                      <w:szCs w:val="21"/>
                      <w:highlight w:val="none"/>
                      <w:lang w:eastAsia="zh-CN"/>
                      <w14:textFill>
                        <w14:solidFill>
                          <w14:schemeClr w14:val="tx1"/>
                        </w14:solidFill>
                      </w14:textFill>
                    </w:rPr>
                    <w:t>）</w:t>
                  </w:r>
                </w:p>
              </w:tc>
              <w:tc>
                <w:tcPr>
                  <w:tcW w:w="1587" w:type="dxa"/>
                  <w:noWrap w:val="0"/>
                  <w:vAlign w:val="center"/>
                </w:tcPr>
                <w:p w14:paraId="09719E17">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扩建新增产量（</w:t>
                  </w:r>
                  <w:r>
                    <w:rPr>
                      <w:rFonts w:hint="eastAsia" w:ascii="Times New Roman" w:hAnsi="Times New Roman"/>
                      <w:color w:val="000000" w:themeColor="text1"/>
                      <w:sz w:val="21"/>
                      <w:szCs w:val="21"/>
                      <w:highlight w:val="none"/>
                      <w:lang w:val="en-US" w:eastAsia="zh-CN"/>
                      <w14:textFill>
                        <w14:solidFill>
                          <w14:schemeClr w14:val="tx1"/>
                        </w14:solidFill>
                      </w14:textFill>
                    </w:rPr>
                    <w:t>t/a</w:t>
                  </w:r>
                  <w:r>
                    <w:rPr>
                      <w:rFonts w:hint="eastAsia" w:ascii="Times New Roman" w:hAnsi="Times New Roman"/>
                      <w:color w:val="000000" w:themeColor="text1"/>
                      <w:sz w:val="21"/>
                      <w:szCs w:val="21"/>
                      <w:highlight w:val="none"/>
                      <w:lang w:eastAsia="zh-CN"/>
                      <w14:textFill>
                        <w14:solidFill>
                          <w14:schemeClr w14:val="tx1"/>
                        </w14:solidFill>
                      </w14:textFill>
                    </w:rPr>
                    <w:t>）</w:t>
                  </w:r>
                </w:p>
              </w:tc>
              <w:tc>
                <w:tcPr>
                  <w:tcW w:w="1700" w:type="dxa"/>
                  <w:noWrap w:val="0"/>
                  <w:vAlign w:val="center"/>
                </w:tcPr>
                <w:p w14:paraId="64C804B2">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扩建完成后产量</w:t>
                  </w:r>
                  <w:r>
                    <w:rPr>
                      <w:rFonts w:hint="eastAsia"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t/a</w:t>
                  </w:r>
                  <w:r>
                    <w:rPr>
                      <w:rFonts w:hint="eastAsia" w:ascii="Times New Roman" w:hAnsi="Times New Roman"/>
                      <w:color w:val="000000" w:themeColor="text1"/>
                      <w:sz w:val="21"/>
                      <w:szCs w:val="21"/>
                      <w:highlight w:val="none"/>
                      <w:lang w:eastAsia="zh-CN"/>
                      <w14:textFill>
                        <w14:solidFill>
                          <w14:schemeClr w14:val="tx1"/>
                        </w14:solidFill>
                      </w14:textFill>
                    </w:rPr>
                    <w:t>）</w:t>
                  </w:r>
                </w:p>
              </w:tc>
              <w:tc>
                <w:tcPr>
                  <w:tcW w:w="1028" w:type="dxa"/>
                  <w:noWrap w:val="0"/>
                  <w:vAlign w:val="center"/>
                </w:tcPr>
                <w:p w14:paraId="253F8B16">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备注</w:t>
                  </w:r>
                </w:p>
              </w:tc>
            </w:tr>
            <w:tr w14:paraId="2FAF6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61" w:type="dxa"/>
                  <w:noWrap w:val="0"/>
                  <w:vAlign w:val="center"/>
                </w:tcPr>
                <w:p w14:paraId="7B8D9E4D">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1</w:t>
                  </w:r>
                </w:p>
              </w:tc>
              <w:tc>
                <w:tcPr>
                  <w:tcW w:w="1694" w:type="dxa"/>
                  <w:noWrap w:val="0"/>
                  <w:vAlign w:val="center"/>
                </w:tcPr>
                <w:p w14:paraId="1AE02856">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橡胶流体管道</w:t>
                  </w:r>
                </w:p>
              </w:tc>
              <w:tc>
                <w:tcPr>
                  <w:tcW w:w="1550" w:type="dxa"/>
                  <w:noWrap w:val="0"/>
                  <w:vAlign w:val="center"/>
                </w:tcPr>
                <w:p w14:paraId="1A7511D2">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1280</w:t>
                  </w:r>
                </w:p>
              </w:tc>
              <w:tc>
                <w:tcPr>
                  <w:tcW w:w="1587" w:type="dxa"/>
                  <w:noWrap w:val="0"/>
                  <w:vAlign w:val="center"/>
                </w:tcPr>
                <w:p w14:paraId="0811CFFA">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1500</w:t>
                  </w:r>
                </w:p>
              </w:tc>
              <w:tc>
                <w:tcPr>
                  <w:tcW w:w="1700" w:type="dxa"/>
                  <w:noWrap w:val="0"/>
                  <w:vAlign w:val="center"/>
                </w:tcPr>
                <w:p w14:paraId="0ECA9ED2">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2780</w:t>
                  </w:r>
                </w:p>
              </w:tc>
              <w:tc>
                <w:tcPr>
                  <w:tcW w:w="1028" w:type="dxa"/>
                  <w:noWrap w:val="0"/>
                  <w:vAlign w:val="center"/>
                </w:tcPr>
                <w:p w14:paraId="26EB3252">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本次扩产内容</w:t>
                  </w:r>
                </w:p>
              </w:tc>
            </w:tr>
            <w:tr w14:paraId="170DA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661" w:type="dxa"/>
                  <w:noWrap w:val="0"/>
                  <w:vAlign w:val="center"/>
                </w:tcPr>
                <w:p w14:paraId="6ACACF57">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2</w:t>
                  </w:r>
                </w:p>
              </w:tc>
              <w:tc>
                <w:tcPr>
                  <w:tcW w:w="1694" w:type="dxa"/>
                  <w:noWrap w:val="0"/>
                  <w:vAlign w:val="center"/>
                </w:tcPr>
                <w:p w14:paraId="0FE0D019">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橡胶减震垫</w:t>
                  </w:r>
                </w:p>
              </w:tc>
              <w:tc>
                <w:tcPr>
                  <w:tcW w:w="1550" w:type="dxa"/>
                  <w:noWrap w:val="0"/>
                  <w:vAlign w:val="center"/>
                </w:tcPr>
                <w:p w14:paraId="224998F5">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56</w:t>
                  </w:r>
                </w:p>
              </w:tc>
              <w:tc>
                <w:tcPr>
                  <w:tcW w:w="1587" w:type="dxa"/>
                  <w:noWrap w:val="0"/>
                  <w:vAlign w:val="center"/>
                </w:tcPr>
                <w:p w14:paraId="5D8F39DB">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0</w:t>
                  </w:r>
                </w:p>
              </w:tc>
              <w:tc>
                <w:tcPr>
                  <w:tcW w:w="1700" w:type="dxa"/>
                  <w:noWrap w:val="0"/>
                  <w:vAlign w:val="center"/>
                </w:tcPr>
                <w:p w14:paraId="4643AFB4">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56</w:t>
                  </w:r>
                </w:p>
              </w:tc>
              <w:tc>
                <w:tcPr>
                  <w:tcW w:w="1028" w:type="dxa"/>
                  <w:noWrap w:val="0"/>
                  <w:vAlign w:val="center"/>
                </w:tcPr>
                <w:p w14:paraId="2A1D1BA1">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w:t>
                  </w:r>
                </w:p>
              </w:tc>
            </w:tr>
            <w:tr w14:paraId="10326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61" w:type="dxa"/>
                  <w:noWrap w:val="0"/>
                  <w:vAlign w:val="center"/>
                </w:tcPr>
                <w:p w14:paraId="731A7A31">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1694" w:type="dxa"/>
                  <w:noWrap w:val="0"/>
                  <w:vAlign w:val="center"/>
                </w:tcPr>
                <w:p w14:paraId="461CF219">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硅胶管道</w:t>
                  </w:r>
                </w:p>
              </w:tc>
              <w:tc>
                <w:tcPr>
                  <w:tcW w:w="1550" w:type="dxa"/>
                  <w:noWrap w:val="0"/>
                  <w:vAlign w:val="center"/>
                </w:tcPr>
                <w:p w14:paraId="5B2D9866">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53</w:t>
                  </w:r>
                </w:p>
              </w:tc>
              <w:tc>
                <w:tcPr>
                  <w:tcW w:w="1587" w:type="dxa"/>
                  <w:noWrap w:val="0"/>
                  <w:vAlign w:val="center"/>
                </w:tcPr>
                <w:p w14:paraId="79779843">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0</w:t>
                  </w:r>
                </w:p>
              </w:tc>
              <w:tc>
                <w:tcPr>
                  <w:tcW w:w="1700" w:type="dxa"/>
                  <w:noWrap w:val="0"/>
                  <w:vAlign w:val="center"/>
                </w:tcPr>
                <w:p w14:paraId="5F633E7D">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53</w:t>
                  </w:r>
                </w:p>
              </w:tc>
              <w:tc>
                <w:tcPr>
                  <w:tcW w:w="1028" w:type="dxa"/>
                  <w:vMerge w:val="restart"/>
                  <w:noWrap w:val="0"/>
                  <w:vAlign w:val="center"/>
                </w:tcPr>
                <w:p w14:paraId="75B71867">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位于罗家湾厂房内生产</w:t>
                  </w:r>
                </w:p>
              </w:tc>
            </w:tr>
            <w:tr w14:paraId="524D8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61" w:type="dxa"/>
                  <w:noWrap w:val="0"/>
                  <w:vAlign w:val="center"/>
                </w:tcPr>
                <w:p w14:paraId="29AE917A">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c>
                <w:tcPr>
                  <w:tcW w:w="1694" w:type="dxa"/>
                  <w:noWrap w:val="0"/>
                  <w:vAlign w:val="center"/>
                </w:tcPr>
                <w:p w14:paraId="4DE0BBA1">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硬管</w:t>
                  </w:r>
                </w:p>
                <w:p w14:paraId="09E284FA">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（金属管道）</w:t>
                  </w:r>
                </w:p>
              </w:tc>
              <w:tc>
                <w:tcPr>
                  <w:tcW w:w="1550" w:type="dxa"/>
                  <w:noWrap w:val="0"/>
                  <w:vAlign w:val="center"/>
                </w:tcPr>
                <w:p w14:paraId="08FDB30C">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50</w:t>
                  </w:r>
                </w:p>
              </w:tc>
              <w:tc>
                <w:tcPr>
                  <w:tcW w:w="1587" w:type="dxa"/>
                  <w:noWrap w:val="0"/>
                  <w:vAlign w:val="center"/>
                </w:tcPr>
                <w:p w14:paraId="55E03354">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0</w:t>
                  </w:r>
                </w:p>
              </w:tc>
              <w:tc>
                <w:tcPr>
                  <w:tcW w:w="1700" w:type="dxa"/>
                  <w:noWrap w:val="0"/>
                  <w:vAlign w:val="center"/>
                </w:tcPr>
                <w:p w14:paraId="2934781D">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50</w:t>
                  </w:r>
                </w:p>
              </w:tc>
              <w:tc>
                <w:tcPr>
                  <w:tcW w:w="1028" w:type="dxa"/>
                  <w:vMerge w:val="continue"/>
                  <w:noWrap w:val="0"/>
                  <w:vAlign w:val="center"/>
                </w:tcPr>
                <w:p w14:paraId="63AE8DC1">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p>
              </w:tc>
            </w:tr>
          </w:tbl>
          <w:p w14:paraId="41186CC8">
            <w:pPr>
              <w:pStyle w:val="43"/>
              <w:rPr>
                <w:rFonts w:hint="default" w:ascii="Times New Roman" w:hAnsi="Times New Roman"/>
                <w:color w:val="000000" w:themeColor="text1"/>
                <w:highlight w:val="none"/>
                <w14:textFill>
                  <w14:solidFill>
                    <w14:schemeClr w14:val="tx1"/>
                  </w14:solidFill>
                </w14:textFill>
              </w:rPr>
            </w:pPr>
          </w:p>
          <w:p w14:paraId="6FEAAF58">
            <w:pPr>
              <w:pStyle w:val="42"/>
              <w:bidi w:val="0"/>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7.生产制度</w:t>
            </w:r>
          </w:p>
          <w:p w14:paraId="6D652702">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w:t>
            </w:r>
            <w:r>
              <w:rPr>
                <w:rFonts w:hint="eastAsia" w:ascii="Times New Roman" w:hAnsi="Times New Roman" w:cs="Times New Roman"/>
                <w:color w:val="auto"/>
                <w:highlight w:val="none"/>
                <w:lang w:val="en-US" w:eastAsia="zh-CN"/>
              </w:rPr>
              <w:t>项目实行2班制</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每天生产20小时</w:t>
            </w:r>
            <w:r>
              <w:rPr>
                <w:rFonts w:hint="default" w:ascii="Times New Roman" w:hAnsi="Times New Roman" w:cs="Times New Roman"/>
                <w:color w:val="auto"/>
                <w:highlight w:val="none"/>
              </w:rPr>
              <w:t>，生产</w:t>
            </w:r>
            <w:r>
              <w:rPr>
                <w:rFonts w:hint="eastAsia" w:ascii="Times New Roman" w:hAnsi="Times New Roman" w:cs="Times New Roman"/>
                <w:color w:val="auto"/>
                <w:highlight w:val="none"/>
                <w:lang w:val="en-US" w:eastAsia="zh-CN"/>
              </w:rPr>
              <w:t>330</w:t>
            </w:r>
            <w:r>
              <w:rPr>
                <w:rFonts w:hint="default" w:ascii="Times New Roman" w:hAnsi="Times New Roman" w:cs="Times New Roman"/>
                <w:color w:val="auto"/>
                <w:highlight w:val="none"/>
              </w:rPr>
              <w:t>天。</w:t>
            </w:r>
          </w:p>
          <w:p w14:paraId="58BDD046">
            <w:pPr>
              <w:pStyle w:val="42"/>
              <w:bidi w:val="0"/>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lang w:val="en-US" w:eastAsia="zh-CN"/>
              </w:rPr>
              <w:t>8.</w:t>
            </w:r>
            <w:r>
              <w:rPr>
                <w:rFonts w:hint="default" w:ascii="Times New Roman" w:hAnsi="Times New Roman" w:cs="Times New Roman"/>
                <w:b/>
                <w:bCs/>
                <w:color w:val="auto"/>
                <w:highlight w:val="none"/>
              </w:rPr>
              <w:t>公用工程及辅助工程</w:t>
            </w:r>
          </w:p>
          <w:p w14:paraId="7DF8DABF">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（1）给水</w:t>
            </w:r>
          </w:p>
          <w:p w14:paraId="34AA4DAC">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本项目生产用水及生活用水依托四川省大英经济开发区现有的市政管网供给。</w:t>
            </w:r>
          </w:p>
          <w:p w14:paraId="4B7D9EAD">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（2）排水</w:t>
            </w:r>
          </w:p>
          <w:p w14:paraId="632B0960">
            <w:pPr>
              <w:pStyle w:val="42"/>
              <w:bidi w:val="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w:t>
            </w:r>
            <w:r>
              <w:rPr>
                <w:rFonts w:hint="default" w:ascii="Times New Roman" w:hAnsi="Times New Roman" w:cs="Times New Roman"/>
                <w:color w:val="auto"/>
                <w:highlight w:val="none"/>
                <w:lang w:eastAsia="zh-CN"/>
              </w:rPr>
              <w:t>目生产废水</w:t>
            </w:r>
            <w:r>
              <w:rPr>
                <w:rFonts w:hint="eastAsia" w:ascii="Times New Roman" w:hAnsi="Times New Roman" w:cs="Times New Roman"/>
                <w:color w:val="auto"/>
                <w:highlight w:val="none"/>
                <w:lang w:val="en-US" w:eastAsia="zh-CN"/>
              </w:rPr>
              <w:t>经沉淀池处理后排入市政污水管网送大英工业污水处理厂处理</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eastAsia="zh-CN"/>
              </w:rPr>
              <w:t>生活污水</w:t>
            </w:r>
            <w:r>
              <w:rPr>
                <w:rFonts w:hint="default" w:ascii="Times New Roman" w:hAnsi="Times New Roman" w:cs="Times New Roman"/>
                <w:color w:val="auto"/>
                <w:highlight w:val="none"/>
                <w:lang w:eastAsia="zh-CN"/>
              </w:rPr>
              <w:t>经化粪池处理后</w:t>
            </w:r>
            <w:r>
              <w:rPr>
                <w:rFonts w:hint="default" w:ascii="Times New Roman" w:hAnsi="Times New Roman" w:cs="Times New Roman"/>
                <w:color w:val="auto"/>
                <w:highlight w:val="none"/>
              </w:rPr>
              <w:t>排入污水管网送</w:t>
            </w:r>
            <w:r>
              <w:rPr>
                <w:rFonts w:hint="default" w:ascii="Times New Roman" w:hAnsi="Times New Roman" w:cs="Times New Roman"/>
                <w:color w:val="auto"/>
                <w:highlight w:val="none"/>
                <w:lang w:eastAsia="zh-CN"/>
              </w:rPr>
              <w:t>大英县工业污水处理厂</w:t>
            </w:r>
            <w:r>
              <w:rPr>
                <w:rFonts w:hint="default" w:ascii="Times New Roman" w:hAnsi="Times New Roman" w:cs="Times New Roman"/>
                <w:color w:val="auto"/>
                <w:highlight w:val="none"/>
              </w:rPr>
              <w:t>处理达标后排放；</w:t>
            </w:r>
            <w:r>
              <w:rPr>
                <w:rFonts w:hint="default" w:ascii="Times New Roman" w:hAnsi="Times New Roman" w:cs="Times New Roman"/>
                <w:color w:val="auto"/>
                <w:highlight w:val="none"/>
                <w:lang w:eastAsia="zh-CN"/>
              </w:rPr>
              <w:t>雨水排入市政雨水管网排放</w:t>
            </w:r>
            <w:r>
              <w:rPr>
                <w:rFonts w:hint="default" w:ascii="Times New Roman" w:hAnsi="Times New Roman" w:cs="Times New Roman"/>
                <w:color w:val="auto"/>
                <w:highlight w:val="none"/>
              </w:rPr>
              <w:t>。</w:t>
            </w:r>
          </w:p>
          <w:p w14:paraId="675F55AF">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（3）供电</w:t>
            </w:r>
          </w:p>
          <w:p w14:paraId="2AA40EA9">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本项目依托四川省大英经济开发区已建设的市政供电设施供电。</w:t>
            </w:r>
          </w:p>
          <w:p w14:paraId="00D93771">
            <w:pPr>
              <w:pStyle w:val="42"/>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9.</w:t>
            </w:r>
            <w:r>
              <w:rPr>
                <w:rFonts w:hint="default" w:ascii="Times New Roman" w:hAnsi="Times New Roman" w:cs="Times New Roman"/>
                <w:b/>
                <w:bCs/>
                <w:color w:val="auto"/>
                <w:highlight w:val="none"/>
                <w:lang w:val="en-US" w:eastAsia="zh-CN"/>
              </w:rPr>
              <w:t>水平衡图</w:t>
            </w:r>
          </w:p>
          <w:p w14:paraId="4043BA2B">
            <w:pPr>
              <w:pStyle w:val="42"/>
              <w:bidi w:val="0"/>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①</w:t>
            </w:r>
            <w:r>
              <w:rPr>
                <w:rFonts w:hint="default" w:ascii="Times New Roman" w:hAnsi="Times New Roman" w:cs="Times New Roman"/>
                <w:color w:val="auto"/>
                <w:highlight w:val="none"/>
              </w:rPr>
              <w:t>生活污水：根据《四川省用水定额》</w:t>
            </w:r>
            <w:r>
              <w:rPr>
                <w:rFonts w:hint="default" w:ascii="Times New Roman" w:hAnsi="Times New Roman" w:cs="Times New Roman"/>
                <w:color w:val="auto"/>
                <w:highlight w:val="none"/>
                <w:lang w:eastAsia="zh-CN"/>
              </w:rPr>
              <w:t>（川府函〔</w:t>
            </w:r>
            <w:r>
              <w:rPr>
                <w:rFonts w:hint="default" w:ascii="Times New Roman" w:hAnsi="Times New Roman" w:cs="Times New Roman"/>
                <w:color w:val="auto"/>
                <w:highlight w:val="none"/>
                <w:lang w:val="en-US" w:eastAsia="zh-CN"/>
              </w:rPr>
              <w:t>2021〕8号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，结合遂宁市当地实际</w:t>
            </w:r>
            <w:r>
              <w:rPr>
                <w:rFonts w:hint="default" w:ascii="Times New Roman" w:hAnsi="Times New Roman" w:cs="Times New Roman"/>
                <w:color w:val="auto"/>
                <w:highlight w:val="none"/>
                <w:lang w:eastAsia="zh-CN"/>
              </w:rPr>
              <w:t>情况确定本项目办公生活用水定额为160L每人每日。项目定员</w:t>
            </w:r>
            <w:r>
              <w:rPr>
                <w:rFonts w:hint="eastAsia" w:ascii="Times New Roman" w:hAnsi="Times New Roman" w:cs="Times New Roman"/>
                <w:color w:val="auto"/>
                <w:highlight w:val="none"/>
                <w:lang w:val="en-US" w:eastAsia="zh-CN"/>
              </w:rPr>
              <w:t>400</w:t>
            </w:r>
            <w:r>
              <w:rPr>
                <w:rFonts w:hint="default" w:ascii="Times New Roman" w:hAnsi="Times New Roman" w:cs="Times New Roman"/>
                <w:color w:val="auto"/>
                <w:highlight w:val="none"/>
                <w:lang w:val="en-US" w:eastAsia="zh-CN"/>
              </w:rPr>
              <w:t>人</w:t>
            </w:r>
            <w:r>
              <w:rPr>
                <w:rFonts w:hint="eastAsia" w:ascii="Times New Roman" w:hAnsi="Times New Roman" w:cs="Times New Roman"/>
                <w:color w:val="auto"/>
                <w:highlight w:val="none"/>
                <w:lang w:val="en-US" w:eastAsia="zh-CN"/>
              </w:rPr>
              <w:t>（含新增约150人）</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据此本项目生活和办公用水的最大日用量为</w:t>
            </w:r>
            <w:r>
              <w:rPr>
                <w:rFonts w:hint="default" w:ascii="Times New Roman" w:hAnsi="Times New Roman" w:cs="Times New Roman"/>
                <w:color w:val="auto"/>
                <w:highlight w:val="none"/>
                <w:lang w:val="en-US" w:eastAsia="zh-CN"/>
              </w:rPr>
              <w:t>64.0</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/d。在使用过程中自然耗散</w:t>
            </w:r>
            <w:r>
              <w:rPr>
                <w:rFonts w:hint="eastAsia" w:ascii="Times New Roman" w:hAnsi="Times New Roman" w:cs="Times New Roman"/>
                <w:color w:val="auto"/>
                <w:highlight w:val="none"/>
                <w:lang w:eastAsia="zh-CN"/>
              </w:rPr>
              <w:t>1</w:t>
            </w:r>
            <w:r>
              <w:rPr>
                <w:rFonts w:hint="default" w:ascii="Times New Roman" w:hAnsi="Times New Roman" w:cs="Times New Roman"/>
                <w:color w:val="auto"/>
                <w:highlight w:val="none"/>
                <w:lang w:eastAsia="zh-CN"/>
              </w:rPr>
              <w:t>0%，则生活污水产生及排放量约</w:t>
            </w:r>
            <w:r>
              <w:rPr>
                <w:rFonts w:hint="eastAsia" w:ascii="Times New Roman" w:hAnsi="Times New Roman" w:cs="Times New Roman"/>
                <w:color w:val="auto"/>
                <w:highlight w:val="none"/>
                <w:lang w:val="en-US" w:eastAsia="zh-CN"/>
              </w:rPr>
              <w:t>57.6</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/d，项目生活废水经过厂区化粪池处理后排入市政污水管网送大英县工业污水处理厂处理。</w:t>
            </w:r>
          </w:p>
          <w:p w14:paraId="1F134BDB">
            <w:pPr>
              <w:ind w:left="0" w:leftChars="0" w:hanging="210" w:firstLineChars="0"/>
              <w:jc w:val="center"/>
              <w:rPr>
                <w:highlight w:val="none"/>
              </w:rPr>
            </w:pPr>
            <w:r>
              <w:rPr>
                <w:highlight w:val="none"/>
              </w:rPr>
              <w:drawing>
                <wp:inline distT="0" distB="0" distL="114300" distR="114300">
                  <wp:extent cx="5401945" cy="2343785"/>
                  <wp:effectExtent l="0" t="0" r="0" b="0"/>
                  <wp:docPr id="1" name="ECB019B1-382A-4266-B25C-5B523AA43C14-1" descr="C:/Users/Administrator/AppData/Local/Temp/wps.RZjFA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dministrator/AppData/Local/Temp/wps.RZjFAYwps"/>
                          <pic:cNvPicPr>
                            <a:picLocks noChangeAspect="1"/>
                          </pic:cNvPicPr>
                        </pic:nvPicPr>
                        <pic:blipFill>
                          <a:blip r:embed="rId10"/>
                          <a:srcRect t="6434" r="-384"/>
                          <a:stretch>
                            <a:fillRect/>
                          </a:stretch>
                        </pic:blipFill>
                        <pic:spPr>
                          <a:xfrm>
                            <a:off x="0" y="0"/>
                            <a:ext cx="5401945" cy="2343785"/>
                          </a:xfrm>
                          <a:prstGeom prst="rect">
                            <a:avLst/>
                          </a:prstGeom>
                        </pic:spPr>
                      </pic:pic>
                    </a:graphicData>
                  </a:graphic>
                </wp:inline>
              </w:drawing>
            </w:r>
          </w:p>
          <w:p w14:paraId="22B3C1C8">
            <w:pPr>
              <w:ind w:left="0" w:leftChars="0" w:hanging="210" w:firstLineChars="0"/>
              <w:jc w:val="center"/>
              <w:rPr>
                <w:rFonts w:hint="default" w:ascii="Times New Roman" w:hAnsi="Times New Roman" w:eastAsia="宋体" w:cs="Times New Roman"/>
                <w:b/>
                <w:bCs/>
                <w:color w:val="auto"/>
                <w:kern w:val="2"/>
                <w:sz w:val="24"/>
                <w:szCs w:val="22"/>
                <w:highlight w:val="none"/>
                <w:lang w:val="en-US" w:eastAsia="zh-CN" w:bidi="ar-SA"/>
              </w:rPr>
            </w:pPr>
            <w:r>
              <w:rPr>
                <w:rFonts w:hint="default" w:ascii="Times New Roman" w:hAnsi="Times New Roman" w:eastAsia="宋体" w:cs="Times New Roman"/>
                <w:b/>
                <w:bCs/>
                <w:color w:val="auto"/>
                <w:kern w:val="2"/>
                <w:sz w:val="24"/>
                <w:szCs w:val="22"/>
                <w:highlight w:val="none"/>
                <w:lang w:val="en-US" w:eastAsia="zh-CN" w:bidi="ar-SA"/>
              </w:rPr>
              <w:t>图2-</w:t>
            </w:r>
            <w:r>
              <w:rPr>
                <w:rFonts w:hint="eastAsia" w:cs="Times New Roman"/>
                <w:b/>
                <w:bCs/>
                <w:color w:val="auto"/>
                <w:kern w:val="2"/>
                <w:sz w:val="24"/>
                <w:szCs w:val="22"/>
                <w:highlight w:val="none"/>
                <w:lang w:val="en-US" w:eastAsia="zh-CN" w:bidi="ar-SA"/>
              </w:rPr>
              <w:t>1</w:t>
            </w:r>
            <w:r>
              <w:rPr>
                <w:rFonts w:hint="default" w:ascii="Times New Roman" w:hAnsi="Times New Roman" w:eastAsia="宋体" w:cs="Times New Roman"/>
                <w:b/>
                <w:bCs/>
                <w:color w:val="auto"/>
                <w:kern w:val="2"/>
                <w:sz w:val="24"/>
                <w:szCs w:val="22"/>
                <w:highlight w:val="none"/>
                <w:lang w:val="en-US" w:eastAsia="zh-CN" w:bidi="ar-SA"/>
              </w:rPr>
              <w:t>水平衡图（单位：m³/d）</w:t>
            </w:r>
          </w:p>
          <w:p w14:paraId="28BBF813">
            <w:pPr>
              <w:pStyle w:val="42"/>
              <w:bidi w:val="0"/>
              <w:rPr>
                <w:rFonts w:hint="default" w:ascii="Times New Roman" w:hAnsi="Times New Roman" w:cs="Times New Roman"/>
                <w:color w:val="auto"/>
                <w:highlight w:val="none"/>
                <w:lang w:eastAsia="zh-CN"/>
              </w:rPr>
            </w:pPr>
          </w:p>
          <w:p w14:paraId="2A4EF69D">
            <w:pPr>
              <w:pStyle w:val="42"/>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②</w:t>
            </w:r>
            <w:r>
              <w:rPr>
                <w:rFonts w:hint="default" w:ascii="Times New Roman" w:hAnsi="Times New Roman" w:cs="Times New Roman"/>
                <w:color w:val="auto"/>
                <w:highlight w:val="none"/>
              </w:rPr>
              <w:t>生产用水：</w:t>
            </w:r>
            <w:r>
              <w:rPr>
                <w:rFonts w:hint="default" w:ascii="Times New Roman" w:hAnsi="Times New Roman" w:cs="Times New Roman"/>
                <w:color w:val="auto"/>
                <w:highlight w:val="none"/>
                <w:lang w:val="en-US" w:eastAsia="zh-CN"/>
              </w:rPr>
              <w:t>本项目</w:t>
            </w:r>
            <w:r>
              <w:rPr>
                <w:rFonts w:hint="eastAsia" w:ascii="Times New Roman" w:hAnsi="Times New Roman" w:cs="Times New Roman"/>
                <w:color w:val="auto"/>
                <w:highlight w:val="none"/>
                <w:lang w:val="en-US" w:eastAsia="zh-CN"/>
              </w:rPr>
              <w:t>橡胶流体管道</w:t>
            </w:r>
            <w:r>
              <w:rPr>
                <w:rFonts w:hint="default" w:ascii="Times New Roman" w:hAnsi="Times New Roman" w:cs="Times New Roman"/>
                <w:color w:val="auto"/>
                <w:highlight w:val="none"/>
                <w:lang w:val="en-US" w:eastAsia="zh-CN"/>
              </w:rPr>
              <w:t>硫化后续进行清洗，</w:t>
            </w:r>
            <w:r>
              <w:rPr>
                <w:rFonts w:hint="eastAsia" w:ascii="Times New Roman" w:hAnsi="Times New Roman" w:cs="Times New Roman"/>
                <w:color w:val="auto"/>
                <w:highlight w:val="none"/>
                <w:lang w:val="en-US" w:eastAsia="zh-CN"/>
              </w:rPr>
              <w:t>产品清洗过程中损耗约0.5</w:t>
            </w:r>
            <w:r>
              <w:rPr>
                <w:rFonts w:hint="default" w:ascii="Times New Roman" w:hAnsi="Times New Roman" w:cs="Times New Roman"/>
                <w:color w:val="auto"/>
                <w:highlight w:val="none"/>
                <w:lang w:val="en-US" w:eastAsia="zh-CN"/>
              </w:rPr>
              <w:t>m³</w:t>
            </w:r>
            <w:r>
              <w:rPr>
                <w:rFonts w:hint="eastAsia" w:ascii="Times New Roman" w:hAnsi="Times New Roman" w:cs="Times New Roman"/>
                <w:color w:val="auto"/>
                <w:highlight w:val="none"/>
                <w:lang w:val="en-US" w:eastAsia="zh-CN"/>
              </w:rPr>
              <w:t>/d，</w:t>
            </w:r>
            <w:r>
              <w:rPr>
                <w:rFonts w:hint="default" w:ascii="Times New Roman" w:hAnsi="Times New Roman" w:cs="Times New Roman"/>
                <w:color w:val="auto"/>
                <w:highlight w:val="none"/>
                <w:lang w:val="en-US" w:eastAsia="zh-CN"/>
              </w:rPr>
              <w:t>清洗废水经循环池循</w:t>
            </w:r>
            <w:r>
              <w:rPr>
                <w:rFonts w:hint="eastAsia" w:ascii="Times New Roman" w:hAnsi="Times New Roman" w:cs="Times New Roman"/>
                <w:color w:val="auto"/>
                <w:highlight w:val="none"/>
                <w:lang w:val="en-US" w:eastAsia="zh-CN"/>
              </w:rPr>
              <w:t>(150m³）</w:t>
            </w:r>
            <w:r>
              <w:rPr>
                <w:rFonts w:hint="default" w:ascii="Times New Roman" w:hAnsi="Times New Roman" w:cs="Times New Roman"/>
                <w:color w:val="auto"/>
                <w:highlight w:val="none"/>
                <w:lang w:val="en-US" w:eastAsia="zh-CN"/>
              </w:rPr>
              <w:t>环使用1个月后更新排放一次，每次排放量约</w:t>
            </w:r>
            <w:r>
              <w:rPr>
                <w:rFonts w:hint="eastAsia" w:ascii="Times New Roman" w:hAnsi="Times New Roman" w:cs="Times New Roman"/>
                <w:color w:val="auto"/>
                <w:highlight w:val="none"/>
                <w:lang w:val="en-US" w:eastAsia="zh-CN"/>
              </w:rPr>
              <w:t>15</w:t>
            </w:r>
            <w:r>
              <w:rPr>
                <w:rFonts w:hint="default" w:ascii="Times New Roman" w:hAnsi="Times New Roman" w:cs="Times New Roman"/>
                <w:color w:val="auto"/>
                <w:highlight w:val="none"/>
                <w:lang w:val="en-US" w:eastAsia="zh-CN"/>
              </w:rPr>
              <w:t>0m³</w:t>
            </w:r>
            <w:r>
              <w:rPr>
                <w:rFonts w:hint="eastAsia" w:ascii="Times New Roman" w:hAnsi="Times New Roman" w:cs="Times New Roman"/>
                <w:color w:val="auto"/>
                <w:highlight w:val="none"/>
                <w:lang w:val="en-US" w:eastAsia="zh-CN"/>
              </w:rPr>
              <w:t>（平均后约5.0</w:t>
            </w:r>
            <w:r>
              <w:rPr>
                <w:rFonts w:hint="default" w:ascii="Times New Roman" w:hAnsi="Times New Roman" w:cs="Times New Roman"/>
                <w:color w:val="auto"/>
                <w:highlight w:val="none"/>
                <w:lang w:val="en-US" w:eastAsia="zh-CN"/>
              </w:rPr>
              <w:t>m³</w:t>
            </w:r>
            <w:r>
              <w:rPr>
                <w:rFonts w:hint="eastAsia" w:ascii="Times New Roman" w:hAnsi="Times New Roman" w:cs="Times New Roman"/>
                <w:color w:val="auto"/>
                <w:highlight w:val="none"/>
                <w:lang w:val="en-US" w:eastAsia="zh-CN"/>
              </w:rPr>
              <w:t>/d）</w:t>
            </w:r>
            <w:r>
              <w:rPr>
                <w:rFonts w:hint="default" w:ascii="Times New Roman" w:hAnsi="Times New Roman" w:cs="Times New Roman"/>
                <w:color w:val="auto"/>
                <w:highlight w:val="none"/>
              </w:rPr>
              <w:t>。</w:t>
            </w:r>
          </w:p>
          <w:p w14:paraId="1D4EB785">
            <w:pPr>
              <w:pStyle w:val="42"/>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③循环冷却水：项目炼胶机需采用水进行间接冷却，项目已在炼胶车间西侧设置了一处200m³的循环冷却水池，冷却水循环使用不排放，循环过程中自然损耗蒸发约0.2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eastAsia="zh-CN"/>
              </w:rPr>
              <w:t>。</w:t>
            </w:r>
          </w:p>
          <w:p w14:paraId="19EB5E79">
            <w:pPr>
              <w:pStyle w:val="42"/>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10.</w:t>
            </w:r>
            <w:r>
              <w:rPr>
                <w:rFonts w:hint="default" w:ascii="Times New Roman" w:hAnsi="Times New Roman" w:cs="Times New Roman"/>
                <w:b/>
                <w:bCs/>
                <w:color w:val="auto"/>
                <w:highlight w:val="none"/>
                <w:lang w:val="en-US" w:eastAsia="zh-CN"/>
              </w:rPr>
              <w:t>厂区平面布置图</w:t>
            </w:r>
          </w:p>
          <w:p w14:paraId="1426A48D">
            <w:pPr>
              <w:pStyle w:val="42"/>
              <w:bidi w:val="0"/>
              <w:jc w:val="both"/>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本项目</w:t>
            </w:r>
            <w:r>
              <w:rPr>
                <w:rFonts w:hint="eastAsia" w:ascii="Times New Roman" w:hAnsi="Times New Roman" w:cs="Times New Roman"/>
                <w:color w:val="auto"/>
                <w:highlight w:val="none"/>
                <w:lang w:val="en-US" w:eastAsia="zh-CN"/>
              </w:rPr>
              <w:t>在四川大英经济开发区遂宁森帝汽配制造有限责任公司既有厂房内设置生产线</w:t>
            </w:r>
            <w:r>
              <w:rPr>
                <w:rFonts w:hint="default" w:ascii="Times New Roman" w:hAnsi="Times New Roman" w:cs="Times New Roman"/>
                <w:color w:val="auto"/>
                <w:highlight w:val="none"/>
              </w:rPr>
              <w:t>。根据设计，</w:t>
            </w:r>
            <w:r>
              <w:rPr>
                <w:rFonts w:hint="eastAsia" w:ascii="Times New Roman" w:hAnsi="Times New Roman" w:cs="Times New Roman"/>
                <w:color w:val="auto"/>
                <w:highlight w:val="none"/>
                <w:lang w:val="en-US" w:eastAsia="zh-CN"/>
              </w:rPr>
              <w:t>本次主要是调整生产线生产布局，并将原车间办公室搬迁至研发楼办公室后空出区域用于安装新增硫化罐等设备。</w:t>
            </w:r>
          </w:p>
          <w:p w14:paraId="52DFFC55">
            <w:pPr>
              <w:pStyle w:val="42"/>
              <w:bidi w:val="0"/>
              <w:jc w:val="both"/>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项目厂区西侧为炼胶车间，中部为橡胶挤出织布和橡胶减震垫生产车间，东侧为橡胶流体管道硫化车间。研发办公楼位于厂区东侧出入口处。</w:t>
            </w:r>
          </w:p>
          <w:p w14:paraId="4ACF5DBF">
            <w:pPr>
              <w:pStyle w:val="42"/>
              <w:bidi w:val="0"/>
              <w:jc w:val="both"/>
              <w:rPr>
                <w:rFonts w:hint="default" w:ascii="Times New Roman" w:hAnsi="Times New Roman" w:cs="Times New Roman"/>
                <w:color w:val="auto"/>
                <w:highlight w:val="none"/>
                <w:lang w:val="en-GB"/>
              </w:rPr>
            </w:pPr>
            <w:r>
              <w:rPr>
                <w:rFonts w:hint="default" w:ascii="Times New Roman" w:hAnsi="Times New Roman" w:cs="Times New Roman"/>
                <w:color w:val="auto"/>
                <w:highlight w:val="none"/>
                <w:lang w:val="en-GB" w:eastAsia="zh-CN"/>
              </w:rPr>
              <w:t>整体而言</w:t>
            </w:r>
            <w:r>
              <w:rPr>
                <w:rFonts w:hint="default" w:ascii="Times New Roman" w:hAnsi="Times New Roman" w:cs="Times New Roman"/>
                <w:color w:val="auto"/>
                <w:highlight w:val="none"/>
                <w:lang w:val="en-GB"/>
              </w:rPr>
              <w:t>，</w:t>
            </w:r>
            <w:r>
              <w:rPr>
                <w:rFonts w:hint="default" w:ascii="Times New Roman" w:hAnsi="Times New Roman" w:cs="Times New Roman"/>
                <w:color w:val="auto"/>
                <w:highlight w:val="none"/>
                <w:lang w:val="en-GB" w:eastAsia="zh-CN"/>
              </w:rPr>
              <w:t>项目</w:t>
            </w:r>
            <w:r>
              <w:rPr>
                <w:rFonts w:hint="default" w:ascii="Times New Roman" w:hAnsi="Times New Roman" w:cs="Times New Roman"/>
                <w:color w:val="auto"/>
                <w:highlight w:val="none"/>
                <w:lang w:val="en-GB"/>
              </w:rPr>
              <w:t>厂区总平面布置做到了功能分区清晰，工艺流程顺畅，物流短捷，人流、物流基本互不交叉干扰，</w:t>
            </w:r>
            <w:r>
              <w:rPr>
                <w:rFonts w:hint="default" w:ascii="Times New Roman" w:hAnsi="Times New Roman" w:cs="Times New Roman"/>
                <w:color w:val="auto"/>
                <w:highlight w:val="none"/>
              </w:rPr>
              <w:t>整体布局</w:t>
            </w:r>
            <w:r>
              <w:rPr>
                <w:rFonts w:hint="default" w:ascii="Times New Roman" w:hAnsi="Times New Roman" w:cs="Times New Roman"/>
                <w:color w:val="auto"/>
                <w:highlight w:val="none"/>
                <w:lang w:eastAsia="zh-CN"/>
              </w:rPr>
              <w:t>及环保设施布局比较</w:t>
            </w:r>
            <w:r>
              <w:rPr>
                <w:rFonts w:hint="default" w:ascii="Times New Roman" w:hAnsi="Times New Roman" w:cs="Times New Roman"/>
                <w:color w:val="auto"/>
                <w:highlight w:val="none"/>
              </w:rPr>
              <w:t>合理。</w:t>
            </w:r>
            <w:r>
              <w:rPr>
                <w:rFonts w:hint="default" w:ascii="Times New Roman" w:hAnsi="Times New Roman" w:cs="Times New Roman"/>
                <w:color w:val="auto"/>
                <w:highlight w:val="none"/>
                <w:lang w:val="en-GB"/>
              </w:rPr>
              <w:t>评价认为，本项目总图布置较为合理。</w:t>
            </w:r>
          </w:p>
          <w:p w14:paraId="61C4FFE3">
            <w:pPr>
              <w:pStyle w:val="42"/>
              <w:numPr>
                <w:ilvl w:val="0"/>
                <w:numId w:val="0"/>
              </w:numPr>
              <w:bidi w:val="0"/>
              <w:ind w:left="600" w:leftChars="0"/>
              <w:rPr>
                <w:rFonts w:hint="default" w:ascii="Times New Roman" w:hAnsi="Times New Roman" w:cs="Times New Roman"/>
                <w:color w:val="auto"/>
                <w:highlight w:val="none"/>
                <w:lang w:val="en-US" w:eastAsia="zh-CN"/>
              </w:rPr>
            </w:pPr>
          </w:p>
          <w:p w14:paraId="320479E8">
            <w:pPr>
              <w:pStyle w:val="42"/>
              <w:numPr>
                <w:ilvl w:val="0"/>
                <w:numId w:val="0"/>
              </w:numPr>
              <w:bidi w:val="0"/>
              <w:ind w:left="600" w:leftChars="0"/>
              <w:rPr>
                <w:rFonts w:hint="default" w:ascii="Times New Roman" w:hAnsi="Times New Roman" w:cs="Times New Roman"/>
                <w:color w:val="auto"/>
                <w:highlight w:val="none"/>
                <w:lang w:val="en-US" w:eastAsia="zh-CN"/>
              </w:rPr>
            </w:pPr>
          </w:p>
          <w:p w14:paraId="505A8BD1">
            <w:pPr>
              <w:pStyle w:val="42"/>
              <w:numPr>
                <w:ilvl w:val="0"/>
                <w:numId w:val="0"/>
              </w:numPr>
              <w:bidi w:val="0"/>
              <w:ind w:left="600" w:leftChars="0"/>
              <w:rPr>
                <w:rFonts w:hint="default" w:ascii="Times New Roman" w:hAnsi="Times New Roman" w:cs="Times New Roman"/>
                <w:color w:val="auto"/>
                <w:highlight w:val="none"/>
                <w:lang w:val="en-US" w:eastAsia="zh-CN"/>
              </w:rPr>
            </w:pPr>
          </w:p>
          <w:p w14:paraId="43CF214D">
            <w:pPr>
              <w:pStyle w:val="42"/>
              <w:numPr>
                <w:ilvl w:val="0"/>
                <w:numId w:val="0"/>
              </w:numPr>
              <w:bidi w:val="0"/>
              <w:ind w:left="600" w:leftChars="0"/>
              <w:rPr>
                <w:rFonts w:hint="default" w:ascii="Times New Roman" w:hAnsi="Times New Roman" w:cs="Times New Roman"/>
                <w:color w:val="auto"/>
                <w:highlight w:val="none"/>
                <w:lang w:val="en-US" w:eastAsia="zh-CN"/>
              </w:rPr>
            </w:pPr>
          </w:p>
          <w:p w14:paraId="29797BE9">
            <w:pPr>
              <w:pStyle w:val="42"/>
              <w:numPr>
                <w:ilvl w:val="0"/>
                <w:numId w:val="0"/>
              </w:numPr>
              <w:bidi w:val="0"/>
              <w:ind w:left="600" w:leftChars="0"/>
              <w:rPr>
                <w:rFonts w:hint="default" w:ascii="Times New Roman" w:hAnsi="Times New Roman" w:cs="Times New Roman"/>
                <w:color w:val="auto"/>
                <w:highlight w:val="none"/>
                <w:lang w:val="en-US" w:eastAsia="zh-CN"/>
              </w:rPr>
            </w:pPr>
          </w:p>
          <w:p w14:paraId="2280936A">
            <w:pPr>
              <w:pStyle w:val="42"/>
              <w:numPr>
                <w:ilvl w:val="0"/>
                <w:numId w:val="0"/>
              </w:numPr>
              <w:bidi w:val="0"/>
              <w:ind w:left="600" w:leftChars="0"/>
              <w:rPr>
                <w:rFonts w:hint="default" w:ascii="Times New Roman" w:hAnsi="Times New Roman" w:cs="Times New Roman"/>
                <w:color w:val="auto"/>
                <w:highlight w:val="none"/>
                <w:lang w:val="en-US" w:eastAsia="zh-CN"/>
              </w:rPr>
            </w:pPr>
          </w:p>
          <w:p w14:paraId="62E283C9">
            <w:pPr>
              <w:pStyle w:val="42"/>
              <w:numPr>
                <w:ilvl w:val="0"/>
                <w:numId w:val="0"/>
              </w:numPr>
              <w:bidi w:val="0"/>
              <w:ind w:left="600" w:leftChars="0"/>
              <w:rPr>
                <w:rFonts w:hint="default" w:ascii="Times New Roman" w:hAnsi="Times New Roman" w:cs="Times New Roman"/>
                <w:color w:val="auto"/>
                <w:highlight w:val="none"/>
                <w:lang w:val="en-US" w:eastAsia="zh-CN"/>
              </w:rPr>
            </w:pPr>
          </w:p>
          <w:p w14:paraId="38B823A6">
            <w:pPr>
              <w:pStyle w:val="42"/>
              <w:numPr>
                <w:ilvl w:val="0"/>
                <w:numId w:val="0"/>
              </w:numPr>
              <w:bidi w:val="0"/>
              <w:ind w:left="600" w:leftChars="0"/>
              <w:rPr>
                <w:rFonts w:hint="default" w:ascii="Times New Roman" w:hAnsi="Times New Roman" w:cs="Times New Roman"/>
                <w:color w:val="auto"/>
                <w:highlight w:val="none"/>
                <w:lang w:val="en-US" w:eastAsia="zh-CN"/>
              </w:rPr>
            </w:pPr>
          </w:p>
          <w:p w14:paraId="08833FF3">
            <w:pPr>
              <w:pStyle w:val="42"/>
              <w:numPr>
                <w:ilvl w:val="0"/>
                <w:numId w:val="0"/>
              </w:numPr>
              <w:bidi w:val="0"/>
              <w:ind w:left="600" w:leftChars="0"/>
              <w:rPr>
                <w:rFonts w:hint="default" w:ascii="Times New Roman" w:hAnsi="Times New Roman" w:cs="Times New Roman"/>
                <w:color w:val="auto"/>
                <w:highlight w:val="none"/>
                <w:lang w:val="en-US" w:eastAsia="zh-CN"/>
              </w:rPr>
            </w:pPr>
          </w:p>
          <w:p w14:paraId="11D9581B">
            <w:pPr>
              <w:pStyle w:val="42"/>
              <w:numPr>
                <w:ilvl w:val="0"/>
                <w:numId w:val="0"/>
              </w:numPr>
              <w:bidi w:val="0"/>
              <w:ind w:left="600" w:leftChars="0"/>
              <w:rPr>
                <w:rFonts w:hint="default" w:ascii="Times New Roman" w:hAnsi="Times New Roman" w:cs="Times New Roman"/>
                <w:color w:val="auto"/>
                <w:highlight w:val="none"/>
                <w:lang w:val="en-US" w:eastAsia="zh-CN"/>
              </w:rPr>
            </w:pPr>
          </w:p>
          <w:p w14:paraId="271F0695">
            <w:pPr>
              <w:pStyle w:val="42"/>
              <w:numPr>
                <w:ilvl w:val="0"/>
                <w:numId w:val="0"/>
              </w:numPr>
              <w:bidi w:val="0"/>
              <w:ind w:left="600" w:leftChars="0"/>
              <w:rPr>
                <w:rFonts w:hint="default" w:ascii="Times New Roman" w:hAnsi="Times New Roman" w:cs="Times New Roman"/>
                <w:color w:val="auto"/>
                <w:highlight w:val="none"/>
                <w:lang w:val="en-US" w:eastAsia="zh-CN"/>
              </w:rPr>
            </w:pPr>
          </w:p>
          <w:p w14:paraId="797E0CB2">
            <w:pPr>
              <w:pStyle w:val="42"/>
              <w:numPr>
                <w:ilvl w:val="0"/>
                <w:numId w:val="0"/>
              </w:numPr>
              <w:bidi w:val="0"/>
              <w:ind w:left="600" w:leftChars="0"/>
              <w:rPr>
                <w:rFonts w:hint="default" w:ascii="Times New Roman" w:hAnsi="Times New Roman" w:cs="Times New Roman"/>
                <w:color w:val="auto"/>
                <w:highlight w:val="none"/>
                <w:lang w:val="en-US" w:eastAsia="zh-CN"/>
              </w:rPr>
            </w:pPr>
          </w:p>
        </w:tc>
      </w:tr>
      <w:tr w14:paraId="0EF94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5" w:hRule="atLeast"/>
          <w:jc w:val="center"/>
        </w:trPr>
        <w:tc>
          <w:tcPr>
            <w:tcW w:w="375" w:type="dxa"/>
            <w:noWrap w:val="0"/>
            <w:vAlign w:val="center"/>
          </w:tcPr>
          <w:p w14:paraId="5E2CB686">
            <w:pPr>
              <w:pStyle w:val="20"/>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工艺流程和产排污环节</w:t>
            </w:r>
          </w:p>
        </w:tc>
        <w:tc>
          <w:tcPr>
            <w:tcW w:w="8609" w:type="dxa"/>
            <w:noWrap w:val="0"/>
            <w:vAlign w:val="top"/>
          </w:tcPr>
          <w:p w14:paraId="071CA4E4">
            <w:pPr>
              <w:pStyle w:val="42"/>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lang w:val="en-US" w:eastAsia="zh-CN"/>
              </w:rPr>
              <w:t>施工期工艺流程简述：</w:t>
            </w:r>
          </w:p>
          <w:p w14:paraId="15880992">
            <w:pPr>
              <w:pStyle w:val="42"/>
              <w:bidi w:val="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本项目位于四川大英经开区</w:t>
            </w:r>
            <w:r>
              <w:rPr>
                <w:rFonts w:hint="eastAsia" w:ascii="Times New Roman" w:hAnsi="Times New Roman" w:cs="Times New Roman"/>
                <w:color w:val="auto"/>
                <w:highlight w:val="none"/>
                <w:lang w:eastAsia="zh-CN"/>
              </w:rPr>
              <w:t>遂宁森帝汽配制造有限责任公司</w:t>
            </w:r>
            <w:r>
              <w:rPr>
                <w:rFonts w:hint="default" w:ascii="Times New Roman" w:hAnsi="Times New Roman" w:cs="Times New Roman"/>
                <w:color w:val="auto"/>
                <w:highlight w:val="none"/>
              </w:rPr>
              <w:t>已建设的厂房内。施工期主要进行生产设备安装和生产线布置，不进行基础设施建设。施工期间污染物为废水（生活污水）、废气（扬尘、汽车尾气）、噪声（设备安装噪声）、固废（废包装材料、生活垃圾）。流程图见图</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p w14:paraId="3BA0C042">
            <w:pPr>
              <w:pStyle w:val="44"/>
              <w:ind w:firstLine="480"/>
              <w:rPr>
                <w:rFonts w:hint="default" w:ascii="Times New Roman" w:hAnsi="Times New Roman" w:cs="Times New Roman"/>
                <w:color w:val="auto"/>
                <w:highlight w:val="none"/>
              </w:rPr>
            </w:pPr>
          </w:p>
          <w:p w14:paraId="04AB08DD">
            <w:pPr>
              <w:pStyle w:val="44"/>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4548505" cy="1256030"/>
                  <wp:effectExtent l="0" t="0" r="0" b="0"/>
                  <wp:docPr id="38"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descr="图片1"/>
                          <pic:cNvPicPr>
                            <a:picLocks noChangeAspect="1"/>
                          </pic:cNvPicPr>
                        </pic:nvPicPr>
                        <pic:blipFill>
                          <a:blip r:embed="rId11"/>
                          <a:stretch>
                            <a:fillRect/>
                          </a:stretch>
                        </pic:blipFill>
                        <pic:spPr>
                          <a:xfrm>
                            <a:off x="0" y="0"/>
                            <a:ext cx="4548505" cy="1256030"/>
                          </a:xfrm>
                          <a:prstGeom prst="rect">
                            <a:avLst/>
                          </a:prstGeom>
                          <a:noFill/>
                          <a:ln>
                            <a:noFill/>
                          </a:ln>
                        </pic:spPr>
                      </pic:pic>
                    </a:graphicData>
                  </a:graphic>
                </wp:inline>
              </w:drawing>
            </w:r>
          </w:p>
          <w:p w14:paraId="76CF2DA4">
            <w:pPr>
              <w:pStyle w:val="4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图</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施工流程图及产污节点</w:t>
            </w:r>
          </w:p>
          <w:p w14:paraId="2B13347E">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本项目在既有厂房内建设，利用厂房隔音可以消除施工期噪声对外界的影响。施工期包装设备产生的废弃包装材料收集后，由</w:t>
            </w:r>
            <w:r>
              <w:rPr>
                <w:rFonts w:hint="default" w:ascii="Times New Roman" w:hAnsi="Times New Roman" w:cs="Times New Roman"/>
                <w:color w:val="auto"/>
                <w:highlight w:val="none"/>
                <w:lang w:eastAsia="zh-CN"/>
              </w:rPr>
              <w:t>建设单位</w:t>
            </w:r>
            <w:r>
              <w:rPr>
                <w:rFonts w:hint="default" w:ascii="Times New Roman" w:hAnsi="Times New Roman" w:cs="Times New Roman"/>
                <w:color w:val="auto"/>
                <w:highlight w:val="none"/>
              </w:rPr>
              <w:t>外卖给</w:t>
            </w:r>
            <w:r>
              <w:rPr>
                <w:rFonts w:hint="eastAsia" w:ascii="Times New Roman" w:hAnsi="Times New Roman" w:cs="Times New Roman"/>
                <w:color w:val="auto"/>
                <w:highlight w:val="none"/>
                <w:lang w:eastAsia="zh-CN"/>
              </w:rPr>
              <w:t>废旧资源回收单位</w:t>
            </w:r>
            <w:r>
              <w:rPr>
                <w:rFonts w:hint="default" w:ascii="Times New Roman" w:hAnsi="Times New Roman" w:cs="Times New Roman"/>
                <w:color w:val="auto"/>
                <w:highlight w:val="none"/>
              </w:rPr>
              <w:t>；施工期产生的生活垃圾经生活垃圾收集桶收集后交由大英县环卫部门统一处置。施工期人员生活</w:t>
            </w:r>
            <w:r>
              <w:rPr>
                <w:rFonts w:hint="eastAsia" w:ascii="Times New Roman" w:hAnsi="Times New Roman" w:cs="Times New Roman"/>
                <w:color w:val="auto"/>
                <w:highlight w:val="none"/>
                <w:lang w:val="en-US" w:eastAsia="zh-CN"/>
              </w:rPr>
              <w:t>污水</w:t>
            </w:r>
            <w:r>
              <w:rPr>
                <w:rFonts w:hint="default" w:ascii="Times New Roman" w:hAnsi="Times New Roman" w:cs="Times New Roman"/>
                <w:color w:val="auto"/>
                <w:highlight w:val="none"/>
              </w:rPr>
              <w:t>依托</w:t>
            </w:r>
            <w:r>
              <w:rPr>
                <w:rFonts w:hint="eastAsia" w:ascii="Times New Roman" w:hAnsi="Times New Roman" w:cs="Times New Roman"/>
                <w:color w:val="auto"/>
                <w:highlight w:val="none"/>
                <w:lang w:val="en-US" w:eastAsia="zh-CN"/>
              </w:rPr>
              <w:t>公司</w:t>
            </w:r>
            <w:r>
              <w:rPr>
                <w:rFonts w:hint="default" w:ascii="Times New Roman" w:hAnsi="Times New Roman" w:cs="Times New Roman"/>
                <w:color w:val="auto"/>
                <w:highlight w:val="none"/>
              </w:rPr>
              <w:t>既有设施收</w:t>
            </w:r>
            <w:r>
              <w:rPr>
                <w:rFonts w:hint="eastAsia" w:ascii="Times New Roman" w:hAnsi="Times New Roman" w:cs="Times New Roman"/>
                <w:color w:val="auto"/>
                <w:highlight w:val="none"/>
                <w:lang w:eastAsia="zh-CN"/>
              </w:rPr>
              <w:t>集处</w:t>
            </w:r>
            <w:r>
              <w:rPr>
                <w:rFonts w:hint="default" w:ascii="Times New Roman" w:hAnsi="Times New Roman" w:cs="Times New Roman"/>
                <w:color w:val="auto"/>
                <w:highlight w:val="none"/>
              </w:rPr>
              <w:t>理后排入市政污水管网送</w:t>
            </w:r>
            <w:r>
              <w:rPr>
                <w:rFonts w:hint="default" w:ascii="Times New Roman" w:hAnsi="Times New Roman" w:cs="Times New Roman"/>
                <w:color w:val="auto"/>
                <w:highlight w:val="none"/>
                <w:lang w:eastAsia="zh-CN"/>
              </w:rPr>
              <w:t>大英县工业污水处理厂</w:t>
            </w:r>
            <w:r>
              <w:rPr>
                <w:rFonts w:hint="default" w:ascii="Times New Roman" w:hAnsi="Times New Roman" w:cs="Times New Roman"/>
                <w:color w:val="auto"/>
                <w:highlight w:val="none"/>
              </w:rPr>
              <w:t>处理。</w:t>
            </w:r>
          </w:p>
          <w:p w14:paraId="7EE33C43">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施工期为进一步防控噪声，</w:t>
            </w:r>
            <w:r>
              <w:rPr>
                <w:rFonts w:hint="default" w:ascii="Times New Roman" w:hAnsi="Times New Roman" w:cs="Times New Roman"/>
                <w:color w:val="auto"/>
                <w:highlight w:val="none"/>
                <w:lang w:eastAsia="zh-CN"/>
              </w:rPr>
              <w:t>建设</w:t>
            </w:r>
            <w:r>
              <w:rPr>
                <w:rFonts w:hint="eastAsia" w:ascii="Times New Roman" w:hAnsi="Times New Roman" w:cs="Times New Roman"/>
                <w:color w:val="auto"/>
                <w:highlight w:val="none"/>
                <w:lang w:eastAsia="zh-CN"/>
              </w:rPr>
              <w:t>单位</w:t>
            </w:r>
            <w:r>
              <w:rPr>
                <w:rFonts w:hint="default" w:ascii="Times New Roman" w:hAnsi="Times New Roman" w:cs="Times New Roman"/>
                <w:color w:val="auto"/>
                <w:highlight w:val="none"/>
              </w:rPr>
              <w:t>还应采取如下噪声治理措施</w:t>
            </w:r>
          </w:p>
          <w:p w14:paraId="2C1AFBD5">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①从声源上控制。文明施工，</w:t>
            </w:r>
            <w:r>
              <w:rPr>
                <w:rFonts w:hint="default" w:ascii="Times New Roman" w:hAnsi="Times New Roman" w:cs="Times New Roman"/>
                <w:color w:val="auto"/>
                <w:highlight w:val="none"/>
                <w:lang w:eastAsia="zh-CN"/>
              </w:rPr>
              <w:t>尽</w:t>
            </w:r>
            <w:r>
              <w:rPr>
                <w:rFonts w:hint="eastAsia" w:ascii="Times New Roman" w:hAnsi="Times New Roman" w:cs="Times New Roman"/>
                <w:color w:val="auto"/>
                <w:highlight w:val="none"/>
                <w:lang w:eastAsia="zh-CN"/>
              </w:rPr>
              <w:t>可能的声源</w:t>
            </w:r>
            <w:r>
              <w:rPr>
                <w:rFonts w:hint="default" w:ascii="Times New Roman" w:hAnsi="Times New Roman" w:cs="Times New Roman"/>
                <w:color w:val="auto"/>
                <w:highlight w:val="none"/>
              </w:rPr>
              <w:t>上降低噪声对外界的影响。</w:t>
            </w:r>
          </w:p>
          <w:p w14:paraId="6A004B7E">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②</w:t>
            </w:r>
            <w:r>
              <w:rPr>
                <w:rFonts w:hint="default" w:ascii="Times New Roman" w:hAnsi="Times New Roman" w:cs="Times New Roman"/>
                <w:color w:val="auto"/>
                <w:highlight w:val="none"/>
                <w:lang w:eastAsia="zh-CN"/>
              </w:rPr>
              <w:t>建设</w:t>
            </w:r>
            <w:r>
              <w:rPr>
                <w:rFonts w:hint="default" w:ascii="Times New Roman" w:hAnsi="Times New Roman" w:cs="Times New Roman"/>
                <w:color w:val="auto"/>
                <w:highlight w:val="none"/>
              </w:rPr>
              <w:t>单位应与周围单位建立良好关系，及时让他们了解施工进度及采取的降噪措施，并取得大家的共同理解。</w:t>
            </w:r>
          </w:p>
          <w:p w14:paraId="51E0E76E">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③合理安排施工时间，施工机械要合理有序调度。</w:t>
            </w:r>
          </w:p>
          <w:p w14:paraId="12102481">
            <w:pPr>
              <w:pStyle w:val="42"/>
              <w:bidi w:val="0"/>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运行期工艺流程概述：</w:t>
            </w:r>
          </w:p>
          <w:p w14:paraId="4077136C">
            <w:pPr>
              <w:pStyle w:val="4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本项目为</w:t>
            </w:r>
            <w:r>
              <w:rPr>
                <w:rFonts w:hint="eastAsia" w:ascii="Times New Roman" w:hAnsi="Times New Roman" w:cs="Times New Roman"/>
                <w:color w:val="auto"/>
                <w:highlight w:val="none"/>
                <w:lang w:val="en-US" w:eastAsia="zh-CN"/>
              </w:rPr>
              <w:t>橡胶流体管道产品线扩建项目。</w:t>
            </w:r>
            <w:r>
              <w:rPr>
                <w:rFonts w:hint="default" w:ascii="Times New Roman" w:hAnsi="Times New Roman" w:cs="Times New Roman"/>
                <w:color w:val="auto"/>
                <w:highlight w:val="none"/>
                <w:lang w:eastAsia="zh-CN"/>
              </w:rPr>
              <w:t>其生产工艺流程如下：</w:t>
            </w:r>
          </w:p>
          <w:p w14:paraId="51031315">
            <w:pPr>
              <w:pStyle w:val="43"/>
              <w:rPr>
                <w:rFonts w:hint="default"/>
                <w:color w:val="auto"/>
                <w:highlight w:val="none"/>
                <w:lang w:val="en-US" w:eastAsia="zh-CN"/>
              </w:rPr>
            </w:pPr>
            <w:r>
              <w:rPr>
                <w:rFonts w:hint="eastAsia" w:ascii="Times New Roman" w:hAnsi="Times New Roman" w:cs="Times New Roman"/>
                <w:b/>
                <w:bCs/>
                <w:color w:val="auto"/>
                <w:highlight w:val="none"/>
                <w:lang w:val="en-US" w:eastAsia="zh-CN"/>
              </w:rPr>
              <w:t>企业不公开</w:t>
            </w:r>
          </w:p>
          <w:p w14:paraId="5B4E0CD3">
            <w:pPr>
              <w:pStyle w:val="42"/>
              <w:bidi w:val="0"/>
              <w:ind w:left="0" w:leftChars="0" w:firstLine="0" w:firstLineChars="0"/>
              <w:jc w:val="both"/>
              <w:rPr>
                <w:rFonts w:hint="default" w:ascii="Times New Roman" w:hAnsi="Times New Roman" w:eastAsia="宋体" w:cs="Times New Roman"/>
                <w:b/>
                <w:bCs/>
                <w:color w:val="auto"/>
                <w:highlight w:val="none"/>
                <w:lang w:val="en-US" w:eastAsia="zh-CN"/>
              </w:rPr>
            </w:pPr>
          </w:p>
        </w:tc>
      </w:tr>
      <w:tr w14:paraId="4A06E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4" w:hRule="atLeast"/>
          <w:jc w:val="center"/>
        </w:trPr>
        <w:tc>
          <w:tcPr>
            <w:tcW w:w="375" w:type="dxa"/>
            <w:noWrap w:val="0"/>
            <w:vAlign w:val="center"/>
          </w:tcPr>
          <w:p w14:paraId="02C665B6">
            <w:pPr>
              <w:pStyle w:val="2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bCs/>
                <w:color w:val="auto"/>
                <w:kern w:val="2"/>
                <w:sz w:val="21"/>
                <w:szCs w:val="21"/>
                <w:highlight w:val="none"/>
              </w:rPr>
              <w:t>与项目有关的原有环境污染问</w:t>
            </w:r>
            <w:r>
              <w:rPr>
                <w:rFonts w:hint="default" w:ascii="Times New Roman" w:hAnsi="Times New Roman" w:cs="Times New Roman"/>
                <w:bCs/>
                <w:color w:val="auto"/>
                <w:kern w:val="2"/>
                <w:sz w:val="21"/>
                <w:szCs w:val="21"/>
                <w:highlight w:val="none"/>
                <w:lang w:eastAsia="zh-CN"/>
              </w:rPr>
              <w:t>题</w:t>
            </w:r>
          </w:p>
        </w:tc>
        <w:tc>
          <w:tcPr>
            <w:tcW w:w="8609" w:type="dxa"/>
            <w:noWrap w:val="0"/>
            <w:vAlign w:val="top"/>
          </w:tcPr>
          <w:p w14:paraId="0A0F339B">
            <w:pPr>
              <w:pStyle w:val="42"/>
              <w:bidi w:val="0"/>
              <w:jc w:val="both"/>
              <w:rPr>
                <w:rFonts w:hint="default" w:ascii="Times New Roman" w:hAnsi="Times New Roman" w:eastAsia="宋体" w:cs="Times New Roman"/>
                <w:color w:val="auto"/>
                <w:kern w:val="2"/>
                <w:sz w:val="24"/>
                <w:szCs w:val="21"/>
                <w:highlight w:val="none"/>
                <w:lang w:val="en-US" w:eastAsia="zh-CN" w:bidi="ar-SA"/>
              </w:rPr>
            </w:pPr>
            <w:r>
              <w:rPr>
                <w:rFonts w:hint="eastAsia" w:ascii="Times New Roman" w:hAnsi="Times New Roman" w:cs="Times New Roman"/>
                <w:b/>
                <w:bCs/>
                <w:color w:val="auto"/>
                <w:highlight w:val="none"/>
                <w:lang w:val="en-US" w:eastAsia="zh-CN"/>
              </w:rPr>
              <w:t>1.现有项目环保手续履行情况</w:t>
            </w:r>
          </w:p>
          <w:p w14:paraId="0BA95B40">
            <w:pPr>
              <w:pStyle w:val="42"/>
              <w:bidi w:val="0"/>
              <w:ind w:left="0" w:leftChars="0" w:right="-7" w:rightChars="0" w:firstLine="480" w:firstLineChars="200"/>
              <w:jc w:val="both"/>
            </w:pP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根据</w:t>
            </w:r>
            <w:r>
              <w:rPr>
                <w:rFonts w:hint="eastAsia" w:ascii="Times New Roman" w:hAnsi="Times New Roman" w:cs="Times New Roman"/>
                <w:color w:val="000000" w:themeColor="text1"/>
                <w:kern w:val="2"/>
                <w:sz w:val="24"/>
                <w:szCs w:val="21"/>
                <w:highlight w:val="none"/>
                <w:lang w:val="en-US" w:eastAsia="zh-CN" w:bidi="ar-SA"/>
                <w14:textFill>
                  <w14:solidFill>
                    <w14:schemeClr w14:val="tx1"/>
                  </w14:solidFill>
                </w14:textFill>
              </w:rPr>
              <w:t>调查</w:t>
            </w:r>
            <w:r>
              <w:rPr>
                <w:rFonts w:hint="default" w:ascii="Times New Roman" w:hAnsi="Times New Roman" w:eastAsia="宋体" w:cs="Times New Roman"/>
                <w:color w:val="000000" w:themeColor="text1"/>
                <w:kern w:val="2"/>
                <w:sz w:val="24"/>
                <w:szCs w:val="21"/>
                <w:highlight w:val="none"/>
                <w:lang w:val="en-US" w:eastAsia="zh-CN" w:bidi="ar-SA"/>
                <w14:textFill>
                  <w14:solidFill>
                    <w14:schemeClr w14:val="tx1"/>
                  </w14:solidFill>
                </w14:textFill>
              </w:rPr>
              <w:t>，</w:t>
            </w:r>
            <w:r>
              <w:rPr>
                <w:rFonts w:hint="eastAsia"/>
                <w:color w:val="000000" w:themeColor="text1"/>
                <w:lang w:eastAsia="zh-CN"/>
                <w14:textFill>
                  <w14:solidFill>
                    <w14:schemeClr w14:val="tx1"/>
                  </w14:solidFill>
                </w14:textFill>
              </w:rPr>
              <w:t>遂宁森</w:t>
            </w:r>
            <w:r>
              <w:rPr>
                <w:rFonts w:hint="eastAsia"/>
                <w:lang w:eastAsia="zh-CN"/>
              </w:rPr>
              <w:t>帝汽配制造有限责任公司</w:t>
            </w:r>
            <w:r>
              <w:t>成立于201</w:t>
            </w:r>
            <w:r>
              <w:rPr>
                <w:rFonts w:hint="eastAsia"/>
                <w:lang w:val="en-US" w:eastAsia="zh-CN"/>
              </w:rPr>
              <w:t>1</w:t>
            </w:r>
            <w:r>
              <w:t>年，位于</w:t>
            </w:r>
            <w:r>
              <w:rPr>
                <w:rFonts w:hint="eastAsia"/>
                <w:lang w:eastAsia="zh-CN"/>
              </w:rPr>
              <w:t>大英县工业集中发展区梨子坝</w:t>
            </w:r>
            <w:r>
              <w:t>。</w:t>
            </w:r>
          </w:p>
          <w:p w14:paraId="3CA44826">
            <w:pPr>
              <w:pStyle w:val="42"/>
              <w:bidi w:val="0"/>
              <w:ind w:left="0" w:leftChars="0" w:right="-7" w:rightChars="0" w:firstLine="480" w:firstLineChars="200"/>
              <w:jc w:val="both"/>
              <w:rPr>
                <w:rFonts w:hint="default" w:ascii="Times New Roman" w:hAnsi="Times New Roman" w:cs="Times New Roman"/>
                <w:color w:val="FF0000"/>
                <w:kern w:val="2"/>
                <w:sz w:val="24"/>
                <w:szCs w:val="21"/>
                <w:highlight w:val="none"/>
                <w:lang w:val="en-US" w:eastAsia="zh-CN" w:bidi="ar-SA"/>
              </w:rPr>
            </w:pPr>
            <w:r>
              <w:rPr>
                <w:rFonts w:hint="default" w:ascii="Times New Roman" w:hAnsi="Times New Roman" w:cs="Times New Roman"/>
              </w:rPr>
              <w:t>201</w:t>
            </w:r>
            <w:r>
              <w:rPr>
                <w:rFonts w:hint="default" w:ascii="Times New Roman" w:hAnsi="Times New Roman" w:cs="Times New Roman"/>
                <w:lang w:val="en-US" w:eastAsia="zh-CN"/>
              </w:rPr>
              <w:t>1</w:t>
            </w:r>
            <w:r>
              <w:rPr>
                <w:rFonts w:hint="default" w:ascii="Times New Roman" w:hAnsi="Times New Roman" w:cs="Times New Roman"/>
              </w:rPr>
              <w:t>年</w:t>
            </w:r>
            <w:r>
              <w:rPr>
                <w:rFonts w:hint="default" w:ascii="Times New Roman" w:hAnsi="Times New Roman" w:cs="Times New Roman"/>
                <w:lang w:val="en-US" w:eastAsia="zh-CN"/>
              </w:rPr>
              <w:t>8</w:t>
            </w:r>
            <w:r>
              <w:rPr>
                <w:rFonts w:hint="default" w:ascii="Times New Roman" w:hAnsi="Times New Roman" w:cs="Times New Roman"/>
              </w:rPr>
              <w:t>月</w:t>
            </w:r>
            <w:r>
              <w:rPr>
                <w:rFonts w:hint="default" w:ascii="Times New Roman" w:hAnsi="Times New Roman" w:cs="Times New Roman"/>
                <w:lang w:val="en-US" w:eastAsia="zh-CN"/>
              </w:rPr>
              <w:t>12</w:t>
            </w:r>
            <w:r>
              <w:rPr>
                <w:rFonts w:hint="default" w:ascii="Times New Roman" w:hAnsi="Times New Roman" w:cs="Times New Roman"/>
              </w:rPr>
              <w:t>日，原项目《</w:t>
            </w:r>
            <w:r>
              <w:rPr>
                <w:rFonts w:hint="default" w:ascii="Times New Roman" w:hAnsi="Times New Roman" w:cs="Times New Roman"/>
                <w:lang w:eastAsia="zh-CN"/>
              </w:rPr>
              <w:t>橡胶类汽车零部件、新能源汽车电动机及控制系统生产线项目</w:t>
            </w:r>
            <w:r>
              <w:rPr>
                <w:rFonts w:hint="default" w:ascii="Times New Roman" w:hAnsi="Times New Roman" w:cs="Times New Roman"/>
              </w:rPr>
              <w:t>》取得了原</w:t>
            </w:r>
            <w:r>
              <w:rPr>
                <w:rFonts w:hint="default" w:ascii="Times New Roman" w:hAnsi="Times New Roman" w:cs="Times New Roman"/>
                <w:lang w:eastAsia="zh-CN"/>
              </w:rPr>
              <w:t>大英县环境保护局</w:t>
            </w:r>
            <w:r>
              <w:rPr>
                <w:rFonts w:hint="default" w:ascii="Times New Roman" w:hAnsi="Times New Roman" w:cs="Times New Roman"/>
              </w:rPr>
              <w:t>的批复（</w:t>
            </w:r>
            <w:r>
              <w:rPr>
                <w:rFonts w:hint="default" w:ascii="Times New Roman" w:hAnsi="Times New Roman" w:cs="Times New Roman"/>
                <w:lang w:eastAsia="zh-CN"/>
              </w:rPr>
              <w:t>大</w:t>
            </w:r>
            <w:r>
              <w:rPr>
                <w:rFonts w:hint="default" w:ascii="Times New Roman" w:hAnsi="Times New Roman" w:cs="Times New Roman"/>
              </w:rPr>
              <w:t>环函</w:t>
            </w:r>
            <w:r>
              <w:rPr>
                <w:rFonts w:hint="default" w:ascii="Times New Roman" w:hAnsi="Times New Roman" w:cs="Times New Roman"/>
                <w:lang w:val="zh-CN"/>
              </w:rPr>
              <w:t>〔201</w:t>
            </w:r>
            <w:r>
              <w:rPr>
                <w:rFonts w:hint="default" w:ascii="Times New Roman" w:hAnsi="Times New Roman" w:cs="Times New Roman"/>
                <w:lang w:val="en-US" w:eastAsia="zh-CN"/>
              </w:rPr>
              <w:t>1</w:t>
            </w:r>
            <w:r>
              <w:rPr>
                <w:rFonts w:hint="default" w:ascii="Times New Roman" w:hAnsi="Times New Roman" w:cs="Times New Roman"/>
                <w:lang w:val="zh-CN"/>
              </w:rPr>
              <w:t>〕</w:t>
            </w:r>
            <w:r>
              <w:rPr>
                <w:rFonts w:hint="default" w:ascii="Times New Roman" w:hAnsi="Times New Roman" w:cs="Times New Roman"/>
                <w:lang w:val="en-US" w:eastAsia="zh-CN"/>
              </w:rPr>
              <w:t>49</w:t>
            </w:r>
            <w:r>
              <w:rPr>
                <w:rFonts w:hint="default" w:ascii="Times New Roman" w:hAnsi="Times New Roman" w:cs="Times New Roman"/>
              </w:rPr>
              <w:t>号）</w:t>
            </w:r>
            <w:r>
              <w:rPr>
                <w:rFonts w:hint="default" w:ascii="Times New Roman" w:hAnsi="Times New Roman" w:cs="Times New Roman"/>
                <w:color w:val="FF0000"/>
                <w:kern w:val="2"/>
                <w:sz w:val="24"/>
                <w:szCs w:val="21"/>
                <w:highlight w:val="none"/>
                <w:lang w:val="en-US" w:eastAsia="zh-CN" w:bidi="ar-SA"/>
              </w:rPr>
              <w:t>。</w:t>
            </w:r>
          </w:p>
          <w:p w14:paraId="56E90466">
            <w:pPr>
              <w:pStyle w:val="42"/>
              <w:bidi w:val="0"/>
              <w:ind w:left="0" w:leftChars="0" w:right="-7" w:rightChars="0" w:firstLine="480" w:firstLineChars="200"/>
              <w:jc w:val="both"/>
              <w:rPr>
                <w:rFonts w:hint="default" w:ascii="Times New Roman" w:hAnsi="Times New Roman" w:cs="Times New Roman"/>
                <w:color w:val="auto"/>
                <w:lang w:eastAsia="zh-CN"/>
              </w:rPr>
            </w:pPr>
            <w:r>
              <w:rPr>
                <w:rFonts w:hint="default" w:ascii="Times New Roman" w:hAnsi="Times New Roman" w:cs="Times New Roman"/>
                <w:color w:val="auto"/>
                <w:kern w:val="2"/>
                <w:sz w:val="24"/>
                <w:szCs w:val="21"/>
                <w:highlight w:val="none"/>
                <w:lang w:val="en-US" w:eastAsia="zh-CN" w:bidi="ar-SA"/>
              </w:rPr>
              <w:t>2021年5月20日，扩建项目《橡胶减震垫和汽车用硅胶管道项目》取得了《遂宁市大英生态环境局关于橡胶减震垫和汽车用硅胶管道生产线项目环境影响报告表的批复》</w:t>
            </w:r>
            <w:r>
              <w:rPr>
                <w:rFonts w:hint="default" w:ascii="Times New Roman" w:hAnsi="Times New Roman" w:cs="Times New Roman"/>
                <w:color w:val="auto"/>
              </w:rPr>
              <w:t>（</w:t>
            </w:r>
            <w:r>
              <w:rPr>
                <w:rFonts w:hint="default" w:ascii="Times New Roman" w:hAnsi="Times New Roman" w:cs="Times New Roman"/>
                <w:color w:val="auto"/>
                <w:lang w:val="en-US" w:eastAsia="zh-CN"/>
              </w:rPr>
              <w:t>遂</w:t>
            </w:r>
            <w:r>
              <w:rPr>
                <w:rFonts w:hint="default" w:ascii="Times New Roman" w:hAnsi="Times New Roman" w:cs="Times New Roman"/>
                <w:color w:val="auto"/>
                <w:lang w:eastAsia="zh-CN"/>
              </w:rPr>
              <w:t>大</w:t>
            </w:r>
            <w:r>
              <w:rPr>
                <w:rFonts w:hint="default" w:ascii="Times New Roman" w:hAnsi="Times New Roman" w:cs="Times New Roman"/>
                <w:color w:val="auto"/>
              </w:rPr>
              <w:t>环函</w:t>
            </w:r>
            <w:r>
              <w:rPr>
                <w:rFonts w:hint="default" w:ascii="Times New Roman" w:hAnsi="Times New Roman" w:cs="Times New Roman"/>
                <w:color w:val="auto"/>
                <w:lang w:val="zh-CN"/>
              </w:rPr>
              <w:t>〔2</w:t>
            </w:r>
            <w:r>
              <w:rPr>
                <w:rFonts w:hint="default" w:ascii="Times New Roman" w:hAnsi="Times New Roman" w:cs="Times New Roman"/>
                <w:color w:val="auto"/>
                <w:lang w:val="en-US" w:eastAsia="zh-CN"/>
              </w:rPr>
              <w:t>021</w:t>
            </w:r>
            <w:r>
              <w:rPr>
                <w:rFonts w:hint="default" w:ascii="Times New Roman" w:hAnsi="Times New Roman" w:cs="Times New Roman"/>
                <w:color w:val="auto"/>
                <w:lang w:val="zh-CN"/>
              </w:rPr>
              <w:t>〕</w:t>
            </w:r>
            <w:r>
              <w:rPr>
                <w:rFonts w:hint="default" w:ascii="Times New Roman" w:hAnsi="Times New Roman" w:cs="Times New Roman"/>
                <w:color w:val="auto"/>
                <w:lang w:val="en-US" w:eastAsia="zh-CN"/>
              </w:rPr>
              <w:t>55</w:t>
            </w:r>
            <w:r>
              <w:rPr>
                <w:rFonts w:hint="default" w:ascii="Times New Roman" w:hAnsi="Times New Roman" w:cs="Times New Roman"/>
                <w:color w:val="auto"/>
              </w:rPr>
              <w:t>号）</w:t>
            </w:r>
            <w:r>
              <w:rPr>
                <w:rFonts w:hint="default" w:ascii="Times New Roman" w:hAnsi="Times New Roman" w:cs="Times New Roman"/>
                <w:color w:val="auto"/>
                <w:lang w:eastAsia="zh-CN"/>
              </w:rPr>
              <w:t>。</w:t>
            </w:r>
          </w:p>
          <w:p w14:paraId="5B3FEDA3">
            <w:pPr>
              <w:pStyle w:val="42"/>
              <w:bidi w:val="0"/>
              <w:ind w:left="0" w:leftChars="0" w:right="-7" w:rightChars="0" w:firstLine="480" w:firstLineChars="200"/>
              <w:jc w:val="both"/>
              <w:rPr>
                <w:rFonts w:hint="default" w:ascii="Times New Roman" w:hAnsi="Times New Roman" w:cs="Times New Roman"/>
                <w:color w:val="auto"/>
                <w:highlight w:val="none"/>
                <w:lang w:eastAsia="zh-CN"/>
              </w:rPr>
            </w:pPr>
            <w:r>
              <w:rPr>
                <w:rFonts w:hint="default" w:ascii="Times New Roman" w:hAnsi="Times New Roman" w:cs="Times New Roman"/>
                <w:color w:val="auto"/>
                <w:kern w:val="2"/>
                <w:sz w:val="24"/>
                <w:szCs w:val="21"/>
                <w:highlight w:val="none"/>
                <w:lang w:val="en-US" w:eastAsia="zh-CN" w:bidi="ar-SA"/>
              </w:rPr>
              <w:t>2022年9月8日，新建《橡胶制品产品专业检测实验室建设项目》取得了《遂宁市大英生态环境局关于橡胶制品产品专业检测实验室建设项目环境影响报告表的批复》</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遂</w:t>
            </w:r>
            <w:r>
              <w:rPr>
                <w:rFonts w:hint="default" w:ascii="Times New Roman" w:hAnsi="Times New Roman" w:cs="Times New Roman"/>
                <w:color w:val="auto"/>
                <w:highlight w:val="none"/>
                <w:lang w:eastAsia="zh-CN"/>
              </w:rPr>
              <w:t>大</w:t>
            </w:r>
            <w:r>
              <w:rPr>
                <w:rFonts w:hint="default" w:ascii="Times New Roman" w:hAnsi="Times New Roman" w:cs="Times New Roman"/>
                <w:color w:val="auto"/>
                <w:highlight w:val="none"/>
              </w:rPr>
              <w:t>环函</w:t>
            </w:r>
            <w:r>
              <w:rPr>
                <w:rFonts w:hint="default" w:ascii="Times New Roman" w:hAnsi="Times New Roman" w:cs="Times New Roman"/>
                <w:color w:val="auto"/>
                <w:highlight w:val="none"/>
                <w:lang w:val="en-US"/>
              </w:rPr>
              <w:t>〔2</w:t>
            </w:r>
            <w:r>
              <w:rPr>
                <w:rFonts w:hint="default" w:ascii="Times New Roman" w:hAnsi="Times New Roman" w:cs="Times New Roman"/>
                <w:color w:val="auto"/>
                <w:highlight w:val="none"/>
                <w:lang w:val="en-US" w:eastAsia="zh-CN"/>
              </w:rPr>
              <w:t>022</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81</w:t>
            </w:r>
            <w:r>
              <w:rPr>
                <w:rFonts w:hint="default" w:ascii="Times New Roman" w:hAnsi="Times New Roman" w:cs="Times New Roman"/>
                <w:color w:val="auto"/>
                <w:highlight w:val="none"/>
              </w:rPr>
              <w:t>号）</w:t>
            </w:r>
            <w:r>
              <w:rPr>
                <w:rFonts w:hint="default" w:ascii="Times New Roman" w:hAnsi="Times New Roman" w:cs="Times New Roman"/>
                <w:color w:val="auto"/>
                <w:highlight w:val="none"/>
                <w:lang w:eastAsia="zh-CN"/>
              </w:rPr>
              <w:t>。</w:t>
            </w:r>
          </w:p>
          <w:p w14:paraId="569AE14C">
            <w:pPr>
              <w:pStyle w:val="42"/>
              <w:bidi w:val="0"/>
              <w:ind w:left="0" w:leftChars="0" w:right="-7" w:rightChars="0" w:firstLine="480" w:firstLineChars="200"/>
              <w:jc w:val="both"/>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202</w:t>
            </w:r>
            <w:r>
              <w:rPr>
                <w:rFonts w:hint="default" w:ascii="Times New Roman" w:hAnsi="Times New Roman" w:eastAsia="宋体" w:cs="Times New Roman"/>
                <w:color w:val="auto"/>
                <w:highlight w:val="none"/>
                <w:lang w:val="en-US" w:eastAsia="zh-CN"/>
              </w:rPr>
              <w:t>2</w:t>
            </w:r>
            <w:r>
              <w:rPr>
                <w:rFonts w:hint="default" w:ascii="Times New Roman" w:hAnsi="Times New Roman" w:cs="Times New Roman"/>
                <w:color w:val="auto"/>
                <w:highlight w:val="none"/>
                <w:lang w:val="en-US" w:eastAsia="zh-CN"/>
              </w:rPr>
              <w:t>年1</w:t>
            </w:r>
            <w:r>
              <w:rPr>
                <w:rFonts w:hint="default" w:ascii="Times New Roman" w:hAnsi="Times New Roman" w:eastAsia="宋体" w:cs="Times New Roman"/>
                <w:color w:val="auto"/>
                <w:highlight w:val="none"/>
                <w:lang w:val="en-US" w:eastAsia="zh-CN"/>
              </w:rPr>
              <w:t>1</w:t>
            </w:r>
            <w:r>
              <w:rPr>
                <w:rFonts w:hint="default" w:ascii="Times New Roman" w:hAnsi="Times New Roman" w:cs="Times New Roman"/>
                <w:color w:val="auto"/>
                <w:highlight w:val="none"/>
                <w:lang w:val="en-US" w:eastAsia="zh-CN"/>
              </w:rPr>
              <w:t>月为解</w:t>
            </w:r>
            <w:r>
              <w:rPr>
                <w:rFonts w:hint="default" w:ascii="Times New Roman" w:hAnsi="Times New Roman" w:cs="Times New Roman"/>
                <w:color w:val="auto"/>
                <w:lang w:val="en-US" w:eastAsia="zh-CN"/>
              </w:rPr>
              <w:t>决冬季生产线锅炉蒸汽不够用的问题新增一台3.0t/h的蒸汽锅炉，该项目于2023年1月18日取得</w:t>
            </w:r>
            <w:r>
              <w:rPr>
                <w:rFonts w:hint="default" w:ascii="Times New Roman" w:hAnsi="Times New Roman" w:cs="Times New Roman"/>
                <w:color w:val="auto"/>
                <w:kern w:val="2"/>
                <w:sz w:val="24"/>
                <w:szCs w:val="21"/>
                <w:highlight w:val="none"/>
                <w:lang w:val="en-US" w:eastAsia="zh-CN" w:bidi="ar-SA"/>
              </w:rPr>
              <w:t>《遂宁市大英</w:t>
            </w:r>
            <w:r>
              <w:rPr>
                <w:rFonts w:hint="default" w:ascii="Times New Roman" w:hAnsi="Times New Roman" w:eastAsia="宋体" w:cs="Times New Roman"/>
                <w:color w:val="auto"/>
                <w:kern w:val="2"/>
                <w:sz w:val="24"/>
                <w:szCs w:val="21"/>
                <w:highlight w:val="none"/>
                <w:lang w:val="en-US" w:eastAsia="zh-CN" w:bidi="ar-SA"/>
              </w:rPr>
              <w:t>生态环境局关于新增3.0t/h天然气锅炉建设项目环境影响报告表的批复》</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遂</w:t>
            </w:r>
            <w:r>
              <w:rPr>
                <w:rFonts w:hint="default" w:ascii="Times New Roman" w:hAnsi="Times New Roman" w:eastAsia="宋体" w:cs="Times New Roman"/>
                <w:color w:val="auto"/>
                <w:highlight w:val="none"/>
                <w:lang w:eastAsia="zh-CN"/>
              </w:rPr>
              <w:t>大</w:t>
            </w:r>
            <w:r>
              <w:rPr>
                <w:rFonts w:hint="default" w:ascii="Times New Roman" w:hAnsi="Times New Roman" w:eastAsia="宋体" w:cs="Times New Roman"/>
                <w:color w:val="auto"/>
                <w:highlight w:val="none"/>
              </w:rPr>
              <w:t>环函</w:t>
            </w:r>
            <w:r>
              <w:rPr>
                <w:rFonts w:hint="default" w:ascii="Times New Roman" w:hAnsi="Times New Roman" w:eastAsia="宋体" w:cs="Times New Roman"/>
                <w:color w:val="auto"/>
                <w:highlight w:val="none"/>
                <w:lang w:val="en-US"/>
              </w:rPr>
              <w:t>〔2</w:t>
            </w:r>
            <w:r>
              <w:rPr>
                <w:rFonts w:hint="default" w:ascii="Times New Roman" w:hAnsi="Times New Roman" w:eastAsia="宋体" w:cs="Times New Roman"/>
                <w:color w:val="auto"/>
                <w:highlight w:val="none"/>
                <w:lang w:val="en-US" w:eastAsia="zh-CN"/>
              </w:rPr>
              <w:t>023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号）</w:t>
            </w:r>
            <w:r>
              <w:rPr>
                <w:rFonts w:hint="default" w:ascii="Times New Roman" w:hAnsi="Times New Roman" w:eastAsia="宋体" w:cs="Times New Roman"/>
                <w:color w:val="auto"/>
                <w:highlight w:val="none"/>
                <w:lang w:eastAsia="zh-CN"/>
              </w:rPr>
              <w:t>。</w:t>
            </w:r>
          </w:p>
          <w:p w14:paraId="5E96348E">
            <w:pPr>
              <w:pStyle w:val="42"/>
              <w:numPr>
                <w:ilvl w:val="0"/>
                <w:numId w:val="2"/>
              </w:numPr>
              <w:bidi w:val="0"/>
              <w:ind w:firstLineChars="0"/>
              <w:jc w:val="both"/>
              <w:rPr>
                <w:rFonts w:hint="eastAsia" w:ascii="Times New Roman" w:hAnsi="Times New Roman" w:cs="Times New Roman"/>
                <w:color w:val="auto"/>
                <w:kern w:val="2"/>
                <w:sz w:val="24"/>
                <w:szCs w:val="21"/>
                <w:highlight w:val="none"/>
                <w:lang w:val="en-US" w:eastAsia="zh-CN" w:bidi="ar-SA"/>
              </w:rPr>
            </w:pPr>
            <w:r>
              <w:rPr>
                <w:rFonts w:hint="eastAsia" w:ascii="Times New Roman" w:hAnsi="Times New Roman" w:eastAsia="宋体" w:cs="Times New Roman"/>
                <w:b/>
                <w:bCs/>
                <w:color w:val="auto"/>
                <w:highlight w:val="none"/>
                <w:lang w:val="en-US" w:eastAsia="zh-CN"/>
              </w:rPr>
              <w:t>现有项目验收情况</w:t>
            </w:r>
          </w:p>
          <w:p w14:paraId="00D8060C">
            <w:pPr>
              <w:pStyle w:val="42"/>
              <w:bidi w:val="0"/>
              <w:ind w:left="0" w:leftChars="0" w:right="-7" w:rightChars="0" w:firstLine="480" w:firstLineChars="200"/>
              <w:jc w:val="both"/>
              <w:rPr>
                <w:rFonts w:hint="eastAsia" w:ascii="Times New Roman" w:hAnsi="Times New Roman" w:cs="Times New Roman"/>
                <w:color w:val="auto"/>
                <w:kern w:val="2"/>
                <w:sz w:val="24"/>
                <w:szCs w:val="21"/>
                <w:highlight w:val="none"/>
                <w:lang w:val="en-US" w:eastAsia="zh-CN" w:bidi="ar-SA"/>
              </w:rPr>
            </w:pPr>
            <w:r>
              <w:rPr>
                <w:color w:val="auto"/>
              </w:rPr>
              <w:t>2016年11月，原项目《</w:t>
            </w:r>
            <w:r>
              <w:rPr>
                <w:rFonts w:hint="eastAsia"/>
                <w:color w:val="auto"/>
                <w:lang w:eastAsia="zh-CN"/>
              </w:rPr>
              <w:t>橡胶类汽车</w:t>
            </w:r>
            <w:r>
              <w:rPr>
                <w:rFonts w:hint="default"/>
                <w:color w:val="auto"/>
                <w:lang w:eastAsia="zh-CN"/>
              </w:rPr>
              <w:t>零部件、新能源汽车电动机及控制系统生产线项目</w:t>
            </w:r>
            <w:r>
              <w:rPr>
                <w:color w:val="auto"/>
              </w:rPr>
              <w:t>》通过了</w:t>
            </w:r>
            <w:r>
              <w:rPr>
                <w:rFonts w:hint="eastAsia"/>
                <w:color w:val="auto"/>
                <w:lang w:eastAsia="zh-CN"/>
              </w:rPr>
              <w:t>竣工环境保护</w:t>
            </w:r>
            <w:r>
              <w:rPr>
                <w:color w:val="auto"/>
              </w:rPr>
              <w:t>验收</w:t>
            </w:r>
            <w:r>
              <w:rPr>
                <w:rFonts w:hint="eastAsia"/>
                <w:color w:val="auto"/>
                <w:lang w:eastAsia="zh-CN"/>
              </w:rPr>
              <w:t>工作</w:t>
            </w:r>
            <w:r>
              <w:rPr>
                <w:rFonts w:hint="eastAsia" w:ascii="Times New Roman" w:hAnsi="Times New Roman" w:cs="Times New Roman"/>
                <w:color w:val="auto"/>
                <w:kern w:val="2"/>
                <w:sz w:val="24"/>
                <w:szCs w:val="21"/>
                <w:highlight w:val="none"/>
                <w:lang w:val="en-US" w:eastAsia="zh-CN" w:bidi="ar-SA"/>
              </w:rPr>
              <w:t>。</w:t>
            </w:r>
          </w:p>
          <w:p w14:paraId="060D801B">
            <w:pPr>
              <w:pStyle w:val="42"/>
              <w:bidi w:val="0"/>
              <w:ind w:left="0" w:leftChars="0" w:right="-7" w:rightChars="0" w:firstLine="480" w:firstLineChars="200"/>
              <w:jc w:val="both"/>
              <w:rPr>
                <w:rFonts w:hint="eastAsia" w:ascii="Times New Roman" w:hAnsi="Times New Roman" w:cs="Times New Roman"/>
                <w:color w:val="auto"/>
                <w:kern w:val="2"/>
                <w:sz w:val="24"/>
                <w:szCs w:val="21"/>
                <w:highlight w:val="none"/>
                <w:lang w:val="en-US" w:eastAsia="zh-CN" w:bidi="ar-SA"/>
              </w:rPr>
            </w:pPr>
            <w:r>
              <w:rPr>
                <w:rFonts w:hint="eastAsia" w:ascii="Times New Roman" w:hAnsi="Times New Roman" w:cs="Times New Roman"/>
                <w:color w:val="auto"/>
                <w:kern w:val="2"/>
                <w:sz w:val="24"/>
                <w:szCs w:val="21"/>
                <w:highlight w:val="none"/>
                <w:lang w:val="en-US" w:eastAsia="zh-CN" w:bidi="ar-SA"/>
              </w:rPr>
              <w:t>2021年9月《橡胶减震垫和汽车用硅胶管道项目》</w:t>
            </w:r>
            <w:r>
              <w:rPr>
                <w:color w:val="auto"/>
              </w:rPr>
              <w:t>通过了</w:t>
            </w:r>
            <w:r>
              <w:rPr>
                <w:rFonts w:hint="eastAsia"/>
                <w:color w:val="auto"/>
                <w:lang w:eastAsia="zh-CN"/>
              </w:rPr>
              <w:t>竣工环境保护</w:t>
            </w:r>
            <w:r>
              <w:rPr>
                <w:color w:val="auto"/>
              </w:rPr>
              <w:t>验收</w:t>
            </w:r>
            <w:r>
              <w:rPr>
                <w:rFonts w:hint="eastAsia"/>
                <w:color w:val="auto"/>
                <w:lang w:eastAsia="zh-CN"/>
              </w:rPr>
              <w:t>工作</w:t>
            </w:r>
            <w:r>
              <w:rPr>
                <w:rFonts w:hint="eastAsia" w:ascii="Times New Roman" w:hAnsi="Times New Roman" w:cs="Times New Roman"/>
                <w:color w:val="auto"/>
                <w:kern w:val="2"/>
                <w:sz w:val="24"/>
                <w:szCs w:val="21"/>
                <w:highlight w:val="none"/>
                <w:lang w:val="en-US" w:eastAsia="zh-CN" w:bidi="ar-SA"/>
              </w:rPr>
              <w:t>。</w:t>
            </w:r>
          </w:p>
          <w:p w14:paraId="649E9036">
            <w:pPr>
              <w:pStyle w:val="42"/>
              <w:bidi w:val="0"/>
              <w:ind w:left="0" w:leftChars="0" w:right="-7" w:rightChars="0" w:firstLine="480" w:firstLineChars="200"/>
              <w:jc w:val="both"/>
              <w:rPr>
                <w:rFonts w:hint="eastAsia" w:ascii="Times New Roman" w:hAnsi="Times New Roman" w:cs="Times New Roman"/>
                <w:color w:val="auto"/>
                <w:kern w:val="2"/>
                <w:sz w:val="24"/>
                <w:szCs w:val="21"/>
                <w:highlight w:val="none"/>
                <w:lang w:val="en-US" w:eastAsia="zh-CN" w:bidi="ar-SA"/>
              </w:rPr>
            </w:pPr>
            <w:r>
              <w:rPr>
                <w:rFonts w:hint="eastAsia" w:ascii="Times New Roman" w:hAnsi="Times New Roman" w:cs="Times New Roman"/>
                <w:color w:val="auto"/>
                <w:kern w:val="2"/>
                <w:sz w:val="24"/>
                <w:szCs w:val="21"/>
                <w:highlight w:val="none"/>
                <w:lang w:val="en-US" w:eastAsia="zh-CN" w:bidi="ar-SA"/>
              </w:rPr>
              <w:t>2023年8月《</w:t>
            </w:r>
            <w:r>
              <w:rPr>
                <w:rFonts w:hint="default" w:ascii="Times New Roman" w:hAnsi="Times New Roman" w:eastAsia="宋体" w:cs="Times New Roman"/>
                <w:color w:val="auto"/>
                <w:kern w:val="2"/>
                <w:sz w:val="24"/>
                <w:szCs w:val="21"/>
                <w:highlight w:val="none"/>
                <w:lang w:val="en-US" w:eastAsia="zh-CN" w:bidi="ar-SA"/>
              </w:rPr>
              <w:t>橡胶制品产品专业检测实验室建设项目</w:t>
            </w:r>
            <w:r>
              <w:rPr>
                <w:rFonts w:hint="eastAsia" w:ascii="Times New Roman" w:hAnsi="Times New Roman" w:cs="Times New Roman"/>
                <w:color w:val="auto"/>
                <w:kern w:val="2"/>
                <w:sz w:val="24"/>
                <w:szCs w:val="21"/>
                <w:highlight w:val="none"/>
                <w:lang w:val="en-US" w:eastAsia="zh-CN" w:bidi="ar-SA"/>
              </w:rPr>
              <w:t>》《</w:t>
            </w:r>
            <w:r>
              <w:rPr>
                <w:rFonts w:hint="default" w:ascii="Times New Roman" w:hAnsi="Times New Roman" w:eastAsia="宋体" w:cs="Times New Roman"/>
                <w:color w:val="auto"/>
                <w:kern w:val="2"/>
                <w:sz w:val="24"/>
                <w:szCs w:val="21"/>
                <w:highlight w:val="none"/>
                <w:lang w:val="en-US" w:eastAsia="zh-CN" w:bidi="ar-SA"/>
              </w:rPr>
              <w:t>新增3.0t/h天然气锅炉建设项目</w:t>
            </w:r>
            <w:r>
              <w:rPr>
                <w:rFonts w:hint="eastAsia" w:ascii="Times New Roman" w:hAnsi="Times New Roman" w:cs="Times New Roman"/>
                <w:color w:val="auto"/>
                <w:kern w:val="2"/>
                <w:sz w:val="24"/>
                <w:szCs w:val="21"/>
                <w:highlight w:val="none"/>
                <w:lang w:val="en-US" w:eastAsia="zh-CN" w:bidi="ar-SA"/>
              </w:rPr>
              <w:t>》通过了</w:t>
            </w:r>
            <w:r>
              <w:rPr>
                <w:rFonts w:hint="eastAsia"/>
                <w:color w:val="auto"/>
                <w:lang w:eastAsia="zh-CN"/>
              </w:rPr>
              <w:t>竣工环境保护</w:t>
            </w:r>
            <w:r>
              <w:rPr>
                <w:color w:val="auto"/>
              </w:rPr>
              <w:t>验收</w:t>
            </w:r>
            <w:r>
              <w:rPr>
                <w:rFonts w:hint="eastAsia"/>
                <w:color w:val="auto"/>
                <w:lang w:eastAsia="zh-CN"/>
              </w:rPr>
              <w:t>工作</w:t>
            </w:r>
            <w:r>
              <w:rPr>
                <w:rFonts w:hint="eastAsia" w:ascii="Times New Roman" w:hAnsi="Times New Roman" w:cs="Times New Roman"/>
                <w:color w:val="auto"/>
                <w:kern w:val="2"/>
                <w:sz w:val="24"/>
                <w:szCs w:val="21"/>
                <w:highlight w:val="none"/>
                <w:lang w:val="en-US" w:eastAsia="zh-CN" w:bidi="ar-SA"/>
              </w:rPr>
              <w:t>。</w:t>
            </w:r>
          </w:p>
          <w:p w14:paraId="1ED15677">
            <w:pPr>
              <w:pStyle w:val="42"/>
              <w:numPr>
                <w:ilvl w:val="0"/>
                <w:numId w:val="2"/>
              </w:numPr>
              <w:bidi w:val="0"/>
              <w:ind w:firstLineChars="0"/>
              <w:jc w:val="both"/>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现有项目排污</w:t>
            </w:r>
            <w:r>
              <w:rPr>
                <w:rFonts w:hint="eastAsia" w:ascii="Times New Roman" w:hAnsi="Times New Roman" w:cs="Times New Roman"/>
                <w:b/>
                <w:bCs/>
                <w:color w:val="auto"/>
                <w:highlight w:val="none"/>
                <w:lang w:val="en-US" w:eastAsia="zh-CN"/>
              </w:rPr>
              <w:t>许可</w:t>
            </w:r>
            <w:r>
              <w:rPr>
                <w:rFonts w:hint="eastAsia" w:ascii="Times New Roman" w:hAnsi="Times New Roman" w:eastAsia="宋体" w:cs="Times New Roman"/>
                <w:b/>
                <w:bCs/>
                <w:color w:val="auto"/>
                <w:highlight w:val="none"/>
                <w:lang w:val="en-US" w:eastAsia="zh-CN"/>
              </w:rPr>
              <w:t>手续</w:t>
            </w:r>
          </w:p>
          <w:p w14:paraId="0901E40A">
            <w:pPr>
              <w:pStyle w:val="42"/>
              <w:bidi w:val="0"/>
              <w:ind w:left="0" w:leftChars="0" w:right="-7" w:rightChars="0" w:firstLine="480" w:firstLineChars="200"/>
              <w:jc w:val="both"/>
              <w:rPr>
                <w:rFonts w:hint="eastAsia" w:ascii="Times New Roman" w:hAnsi="Times New Roman" w:cs="Times New Roman"/>
                <w:color w:val="FF0000"/>
                <w:kern w:val="2"/>
                <w:sz w:val="24"/>
                <w:szCs w:val="21"/>
                <w:highlight w:val="none"/>
                <w:lang w:val="en-US" w:eastAsia="zh-CN" w:bidi="ar-SA"/>
              </w:rPr>
            </w:pPr>
            <w:r>
              <w:rPr>
                <w:rFonts w:hint="eastAsia" w:ascii="Times New Roman" w:hAnsi="Times New Roman" w:cs="Times New Roman"/>
                <w:color w:val="auto"/>
                <w:highlight w:val="none"/>
                <w:lang w:val="en-US" w:eastAsia="zh-CN"/>
              </w:rPr>
              <w:t>根据</w:t>
            </w:r>
            <w:r>
              <w:rPr>
                <w:rFonts w:hint="default" w:ascii="Times New Roman" w:hAnsi="Times New Roman" w:eastAsia="宋体" w:cs="Times New Roman"/>
                <w:color w:val="auto"/>
                <w:highlight w:val="none"/>
                <w:lang w:val="en-US" w:eastAsia="zh-CN"/>
              </w:rPr>
              <w:t>《排污许可分类管理名录（2019）》，森帝汽配属于排污许可登记管理项目，遂宁森帝汽配制造有限责任公司</w:t>
            </w:r>
            <w:r>
              <w:rPr>
                <w:rFonts w:hint="eastAsia" w:ascii="Times New Roman" w:hAnsi="Times New Roman" w:cs="Times New Roman"/>
                <w:color w:val="auto"/>
                <w:highlight w:val="none"/>
                <w:lang w:val="en-US" w:eastAsia="zh-CN"/>
              </w:rPr>
              <w:t>已</w:t>
            </w:r>
            <w:r>
              <w:rPr>
                <w:rFonts w:hint="default" w:ascii="Times New Roman" w:hAnsi="Times New Roman" w:eastAsia="宋体" w:cs="Times New Roman"/>
                <w:color w:val="auto"/>
                <w:highlight w:val="none"/>
                <w:lang w:val="en-US" w:eastAsia="zh-CN"/>
              </w:rPr>
              <w:t>完成排污许可登记工作，登记管理号：915109235842288417001X。</w:t>
            </w:r>
          </w:p>
          <w:p w14:paraId="17A91E1C">
            <w:pPr>
              <w:pStyle w:val="42"/>
              <w:numPr>
                <w:ilvl w:val="0"/>
                <w:numId w:val="2"/>
              </w:numPr>
              <w:bidi w:val="0"/>
              <w:ind w:firstLineChars="0"/>
              <w:jc w:val="both"/>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现有项目建设情况</w:t>
            </w:r>
          </w:p>
          <w:p w14:paraId="3A1332FC">
            <w:pPr>
              <w:pStyle w:val="43"/>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ascii="Times New Roman" w:hAnsi="Times New Roman" w:cs="Times New Roman"/>
                <w:color w:val="auto"/>
                <w:highlight w:val="none"/>
                <w:lang w:val="en-US" w:eastAsia="zh-CN"/>
              </w:rPr>
              <w:t>6</w:t>
            </w:r>
            <w:r>
              <w:rPr>
                <w:rFonts w:hint="eastAsia" w:ascii="Times New Roman" w:hAnsi="Times New Roman" w:cs="Times New Roman"/>
                <w:color w:val="auto"/>
                <w:highlight w:val="none"/>
                <w:lang w:eastAsia="zh-CN"/>
              </w:rPr>
              <w:t>现有</w:t>
            </w:r>
            <w:r>
              <w:rPr>
                <w:rFonts w:hint="default" w:ascii="Times New Roman" w:hAnsi="Times New Roman" w:cs="Times New Roman"/>
                <w:color w:val="auto"/>
                <w:highlight w:val="none"/>
              </w:rPr>
              <w:t>项目建设主要组成一览表</w:t>
            </w:r>
          </w:p>
          <w:tbl>
            <w:tblPr>
              <w:tblStyle w:val="23"/>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5" w:type="dxa"/>
                <w:bottom w:w="0" w:type="dxa"/>
                <w:right w:w="15" w:type="dxa"/>
              </w:tblCellMar>
            </w:tblPr>
            <w:tblGrid>
              <w:gridCol w:w="633"/>
              <w:gridCol w:w="1158"/>
              <w:gridCol w:w="5097"/>
              <w:gridCol w:w="1332"/>
            </w:tblGrid>
            <w:tr w14:paraId="7DA474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624" w:hRule="atLeast"/>
                <w:tblHeader/>
                <w:jc w:val="center"/>
              </w:trPr>
              <w:tc>
                <w:tcPr>
                  <w:tcW w:w="1880" w:type="dxa"/>
                  <w:gridSpan w:val="2"/>
                  <w:tcBorders>
                    <w:tl2br w:val="nil"/>
                    <w:tr2bl w:val="nil"/>
                  </w:tcBorders>
                  <w:noWrap w:val="0"/>
                  <w:vAlign w:val="center"/>
                </w:tcPr>
                <w:p w14:paraId="03029939">
                  <w:pPr>
                    <w:pStyle w:val="56"/>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名称</w:t>
                  </w:r>
                </w:p>
              </w:tc>
              <w:tc>
                <w:tcPr>
                  <w:tcW w:w="5359" w:type="dxa"/>
                  <w:tcBorders>
                    <w:tl2br w:val="nil"/>
                    <w:tr2bl w:val="nil"/>
                  </w:tcBorders>
                  <w:noWrap w:val="0"/>
                  <w:vAlign w:val="center"/>
                </w:tcPr>
                <w:p w14:paraId="76401881">
                  <w:pPr>
                    <w:pStyle w:val="56"/>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建设内容及规模</w:t>
                  </w:r>
                </w:p>
              </w:tc>
              <w:tc>
                <w:tcPr>
                  <w:tcW w:w="1399" w:type="dxa"/>
                  <w:tcBorders>
                    <w:tl2br w:val="nil"/>
                    <w:tr2bl w:val="nil"/>
                  </w:tcBorders>
                  <w:noWrap w:val="0"/>
                  <w:vAlign w:val="center"/>
                </w:tcPr>
                <w:p w14:paraId="4DE1BAAB">
                  <w:pPr>
                    <w:pStyle w:val="56"/>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主要环境影响</w:t>
                  </w:r>
                </w:p>
              </w:tc>
            </w:tr>
            <w:tr w14:paraId="54B24F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tcBorders>
                    <w:tl2br w:val="nil"/>
                    <w:tr2bl w:val="nil"/>
                  </w:tcBorders>
                  <w:noWrap w:val="0"/>
                  <w:vAlign w:val="center"/>
                </w:tcPr>
                <w:p w14:paraId="1754F0E4">
                  <w:pPr>
                    <w:pStyle w:val="56"/>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主体</w:t>
                  </w:r>
                </w:p>
                <w:p w14:paraId="48CA131B">
                  <w:pPr>
                    <w:pStyle w:val="56"/>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w:t>
                  </w:r>
                </w:p>
              </w:tc>
              <w:tc>
                <w:tcPr>
                  <w:tcW w:w="1216" w:type="dxa"/>
                  <w:tcBorders>
                    <w:tl2br w:val="nil"/>
                    <w:tr2bl w:val="nil"/>
                  </w:tcBorders>
                  <w:noWrap w:val="0"/>
                  <w:vAlign w:val="center"/>
                </w:tcPr>
                <w:p w14:paraId="2E1BAB24">
                  <w:pPr>
                    <w:pStyle w:val="56"/>
                    <w:spacing w:line="240" w:lineRule="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生产车间</w:t>
                  </w:r>
                </w:p>
              </w:tc>
              <w:tc>
                <w:tcPr>
                  <w:tcW w:w="5359" w:type="dxa"/>
                  <w:tcBorders>
                    <w:tl2br w:val="nil"/>
                    <w:tr2bl w:val="nil"/>
                  </w:tcBorders>
                  <w:noWrap w:val="0"/>
                  <w:vAlign w:val="center"/>
                </w:tcPr>
                <w:p w14:paraId="314E8A05">
                  <w:pPr>
                    <w:pStyle w:val="56"/>
                    <w:spacing w:line="240" w:lineRule="auto"/>
                    <w:jc w:val="left"/>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橡胶流体管道及橡胶减震垫线：</w:t>
                  </w:r>
                  <w:r>
                    <w:rPr>
                      <w:rFonts w:hint="default" w:ascii="Times New Roman" w:hAnsi="Times New Roman" w:cs="Times New Roman"/>
                      <w:color w:val="000000" w:themeColor="text1"/>
                      <w:lang w:eastAsia="zh-CN"/>
                      <w14:textFill>
                        <w14:solidFill>
                          <w14:schemeClr w14:val="tx1"/>
                        </w14:solidFill>
                      </w14:textFill>
                    </w:rPr>
                    <w:t>钢结构生产车间</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座，单层结构；炼胶车间1座，1F钢框架结构；硫化车间1及成品库房1座，1F钢框架结构，橡胶制品车间</w:t>
                  </w: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处。</w:t>
                  </w:r>
                </w:p>
                <w:p w14:paraId="39FC5582">
                  <w:pPr>
                    <w:pStyle w:val="56"/>
                    <w:spacing w:line="240" w:lineRule="auto"/>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硅胶管及硬管（金属管）生产线：</w:t>
                  </w:r>
                  <w:r>
                    <w:rPr>
                      <w:rFonts w:hint="default" w:ascii="Times New Roman" w:hAnsi="Times New Roman" w:cs="Times New Roman"/>
                      <w:color w:val="000000" w:themeColor="text1"/>
                      <w:lang w:val="en-US" w:eastAsia="zh-CN"/>
                      <w14:textFill>
                        <w14:solidFill>
                          <w14:schemeClr w14:val="tx1"/>
                        </w14:solidFill>
                      </w14:textFill>
                    </w:rPr>
                    <w:t>租赁园区罗家湾机电产业园标准厂房</w:t>
                  </w:r>
                  <w:r>
                    <w:rPr>
                      <w:rFonts w:hint="eastAsia" w:ascii="Times New Roman" w:hAnsi="Times New Roman" w:cs="Times New Roman"/>
                      <w:color w:val="000000" w:themeColor="text1"/>
                      <w:lang w:val="en-US" w:eastAsia="zh-CN"/>
                      <w14:textFill>
                        <w14:solidFill>
                          <w14:schemeClr w14:val="tx1"/>
                        </w14:solidFill>
                      </w14:textFill>
                    </w:rPr>
                    <w:t>，设置</w:t>
                  </w:r>
                  <w:r>
                    <w:rPr>
                      <w:rFonts w:hint="default" w:ascii="Times New Roman" w:hAnsi="Times New Roman" w:cs="Times New Roman"/>
                      <w:color w:val="000000" w:themeColor="text1"/>
                      <w:lang w:val="en-US" w:eastAsia="zh-CN"/>
                      <w14:textFill>
                        <w14:solidFill>
                          <w14:schemeClr w14:val="tx1"/>
                        </w14:solidFill>
                      </w14:textFill>
                    </w:rPr>
                    <w:t>硅胶管</w:t>
                  </w:r>
                  <w:r>
                    <w:rPr>
                      <w:rFonts w:hint="eastAsia" w:ascii="Times New Roman" w:hAnsi="Times New Roman" w:cs="Times New Roman"/>
                      <w:color w:val="000000" w:themeColor="text1"/>
                      <w:lang w:val="en-US" w:eastAsia="zh-CN"/>
                      <w14:textFill>
                        <w14:solidFill>
                          <w14:schemeClr w14:val="tx1"/>
                        </w14:solidFill>
                      </w14:textFill>
                    </w:rPr>
                    <w:t>和硬管（金属管）</w:t>
                  </w:r>
                  <w:r>
                    <w:rPr>
                      <w:rFonts w:hint="eastAsia" w:cs="Times New Roman"/>
                      <w:color w:val="000000" w:themeColor="text1"/>
                      <w:lang w:val="en-US" w:eastAsia="zh-CN"/>
                      <w14:textFill>
                        <w14:solidFill>
                          <w14:schemeClr w14:val="tx1"/>
                        </w14:solidFill>
                      </w14:textFill>
                    </w:rPr>
                    <w:t>生产线</w:t>
                  </w:r>
                  <w:r>
                    <w:rPr>
                      <w:rFonts w:hint="default" w:ascii="Times New Roman" w:hAnsi="Times New Roman" w:cs="Times New Roman"/>
                      <w:color w:val="000000" w:themeColor="text1"/>
                      <w:lang w:val="en-US" w:eastAsia="zh-CN"/>
                      <w14:textFill>
                        <w14:solidFill>
                          <w14:schemeClr w14:val="tx1"/>
                        </w14:solidFill>
                      </w14:textFill>
                    </w:rPr>
                    <w:t>一处。</w:t>
                  </w:r>
                </w:p>
              </w:tc>
              <w:tc>
                <w:tcPr>
                  <w:tcW w:w="1399" w:type="dxa"/>
                  <w:tcBorders>
                    <w:tl2br w:val="nil"/>
                    <w:tr2bl w:val="nil"/>
                  </w:tcBorders>
                  <w:noWrap w:val="0"/>
                  <w:vAlign w:val="center"/>
                </w:tcPr>
                <w:p w14:paraId="5C048445">
                  <w:pPr>
                    <w:pStyle w:val="56"/>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废气、噪声、</w:t>
                  </w:r>
                </w:p>
                <w:p w14:paraId="5640D1B7">
                  <w:pPr>
                    <w:pStyle w:val="56"/>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固废、废水</w:t>
                  </w:r>
                </w:p>
              </w:tc>
            </w:tr>
            <w:tr w14:paraId="12EBC8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770" w:hRule="atLeast"/>
                <w:jc w:val="center"/>
              </w:trPr>
              <w:tc>
                <w:tcPr>
                  <w:tcW w:w="664" w:type="dxa"/>
                  <w:vMerge w:val="restart"/>
                  <w:tcBorders>
                    <w:tl2br w:val="nil"/>
                    <w:tr2bl w:val="nil"/>
                  </w:tcBorders>
                  <w:noWrap w:val="0"/>
                  <w:vAlign w:val="center"/>
                </w:tcPr>
                <w:p w14:paraId="07D28D12">
                  <w:pPr>
                    <w:pStyle w:val="56"/>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辅助</w:t>
                  </w:r>
                </w:p>
                <w:p w14:paraId="748C9F69">
                  <w:pPr>
                    <w:pStyle w:val="56"/>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w:t>
                  </w:r>
                </w:p>
              </w:tc>
              <w:tc>
                <w:tcPr>
                  <w:tcW w:w="1216" w:type="dxa"/>
                  <w:tcBorders>
                    <w:tl2br w:val="nil"/>
                    <w:tr2bl w:val="nil"/>
                  </w:tcBorders>
                  <w:noWrap w:val="0"/>
                  <w:vAlign w:val="center"/>
                </w:tcPr>
                <w:p w14:paraId="446FC66C">
                  <w:pPr>
                    <w:pStyle w:val="56"/>
                    <w:spacing w:line="240" w:lineRule="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锅炉房</w:t>
                  </w:r>
                </w:p>
              </w:tc>
              <w:tc>
                <w:tcPr>
                  <w:tcW w:w="5359" w:type="dxa"/>
                  <w:tcBorders>
                    <w:tl2br w:val="nil"/>
                    <w:tr2bl w:val="nil"/>
                  </w:tcBorders>
                  <w:noWrap w:val="0"/>
                  <w:vAlign w:val="center"/>
                </w:tcPr>
                <w:p w14:paraId="6C29E6EB">
                  <w:pPr>
                    <w:pStyle w:val="56"/>
                    <w:spacing w:line="240" w:lineRule="auto"/>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建设锅炉房</w:t>
                  </w:r>
                  <w:r>
                    <w:rPr>
                      <w:rFonts w:hint="default" w:ascii="Times New Roman" w:hAnsi="Times New Roman" w:cs="Times New Roman"/>
                      <w:color w:val="000000" w:themeColor="text1"/>
                      <w:lang w:val="en-US" w:eastAsia="zh-CN"/>
                      <w14:textFill>
                        <w14:solidFill>
                          <w14:schemeClr w14:val="tx1"/>
                        </w14:solidFill>
                      </w14:textFill>
                    </w:rPr>
                    <w:t>1处，位于硫化车间南侧，建筑面积约100平方米。设置2t/h天然气锅炉一</w:t>
                  </w:r>
                  <w:r>
                    <w:rPr>
                      <w:rFonts w:hint="eastAsia" w:ascii="Times New Roman" w:hAnsi="Times New Roman" w:cs="Times New Roman"/>
                      <w:color w:val="000000" w:themeColor="text1"/>
                      <w:lang w:val="en-US" w:eastAsia="zh-CN"/>
                      <w14:textFill>
                        <w14:solidFill>
                          <w14:schemeClr w14:val="tx1"/>
                        </w14:solidFill>
                      </w14:textFill>
                    </w:rPr>
                    <w:t>台、3.0</w:t>
                  </w:r>
                  <w:r>
                    <w:rPr>
                      <w:rFonts w:hint="default" w:ascii="Times New Roman" w:hAnsi="Times New Roman" w:cs="Times New Roman"/>
                      <w:color w:val="000000" w:themeColor="text1"/>
                      <w:lang w:val="en-US" w:eastAsia="zh-CN"/>
                      <w14:textFill>
                        <w14:solidFill>
                          <w14:schemeClr w14:val="tx1"/>
                        </w14:solidFill>
                      </w14:textFill>
                    </w:rPr>
                    <w:t>t/h天然气锅炉一</w:t>
                  </w:r>
                  <w:r>
                    <w:rPr>
                      <w:rFonts w:hint="eastAsia" w:ascii="Times New Roman" w:hAnsi="Times New Roman" w:cs="Times New Roman"/>
                      <w:color w:val="000000" w:themeColor="text1"/>
                      <w:lang w:val="en-US" w:eastAsia="zh-CN"/>
                      <w14:textFill>
                        <w14:solidFill>
                          <w14:schemeClr w14:val="tx1"/>
                        </w14:solidFill>
                      </w14:textFill>
                    </w:rPr>
                    <w:t>台</w:t>
                  </w:r>
                  <w:r>
                    <w:rPr>
                      <w:rFonts w:hint="eastAsia" w:cs="Times New Roman"/>
                      <w:color w:val="000000" w:themeColor="text1"/>
                      <w:lang w:val="en-US" w:eastAsia="zh-CN"/>
                      <w14:textFill>
                        <w14:solidFill>
                          <w14:schemeClr w14:val="tx1"/>
                        </w14:solidFill>
                      </w14:textFill>
                    </w:rPr>
                    <w:t>（其中2t/h的锅炉为备用锅炉）</w:t>
                  </w:r>
                  <w:r>
                    <w:rPr>
                      <w:rFonts w:hint="default" w:ascii="Times New Roman" w:hAnsi="Times New Roman" w:cs="Times New Roman"/>
                      <w:color w:val="000000" w:themeColor="text1"/>
                      <w:lang w:val="en-US" w:eastAsia="zh-CN"/>
                      <w14:textFill>
                        <w14:solidFill>
                          <w14:schemeClr w14:val="tx1"/>
                        </w14:solidFill>
                      </w14:textFill>
                    </w:rPr>
                    <w:t>。</w:t>
                  </w:r>
                </w:p>
              </w:tc>
              <w:tc>
                <w:tcPr>
                  <w:tcW w:w="1399" w:type="dxa"/>
                  <w:tcBorders>
                    <w:tl2br w:val="nil"/>
                    <w:tr2bl w:val="nil"/>
                  </w:tcBorders>
                  <w:noWrap w:val="0"/>
                  <w:vAlign w:val="center"/>
                </w:tcPr>
                <w:p w14:paraId="302E4130">
                  <w:pPr>
                    <w:pStyle w:val="56"/>
                    <w:spacing w:line="240" w:lineRule="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废气、废水、噪声、环境风险</w:t>
                  </w:r>
                </w:p>
              </w:tc>
            </w:tr>
            <w:tr w14:paraId="3400A4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546" w:hRule="atLeast"/>
                <w:jc w:val="center"/>
              </w:trPr>
              <w:tc>
                <w:tcPr>
                  <w:tcW w:w="664" w:type="dxa"/>
                  <w:vMerge w:val="continue"/>
                  <w:tcBorders>
                    <w:tl2br w:val="nil"/>
                    <w:tr2bl w:val="nil"/>
                  </w:tcBorders>
                  <w:noWrap w:val="0"/>
                  <w:vAlign w:val="center"/>
                </w:tcPr>
                <w:p w14:paraId="3DB251C9">
                  <w:pPr>
                    <w:pStyle w:val="56"/>
                    <w:spacing w:line="240" w:lineRule="auto"/>
                    <w:rPr>
                      <w:rFonts w:hint="default" w:ascii="Times New Roman" w:hAnsi="Times New Roman" w:cs="Times New Roman"/>
                      <w:color w:val="000000" w:themeColor="text1"/>
                      <w14:textFill>
                        <w14:solidFill>
                          <w14:schemeClr w14:val="tx1"/>
                        </w14:solidFill>
                      </w14:textFill>
                    </w:rPr>
                  </w:pPr>
                </w:p>
              </w:tc>
              <w:tc>
                <w:tcPr>
                  <w:tcW w:w="1216" w:type="dxa"/>
                  <w:tcBorders>
                    <w:tl2br w:val="nil"/>
                    <w:tr2bl w:val="nil"/>
                  </w:tcBorders>
                  <w:noWrap w:val="0"/>
                  <w:vAlign w:val="center"/>
                </w:tcPr>
                <w:p w14:paraId="7D6CE19B">
                  <w:pPr>
                    <w:pStyle w:val="56"/>
                    <w:spacing w:line="240" w:lineRule="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门卫及会客室</w:t>
                  </w:r>
                </w:p>
              </w:tc>
              <w:tc>
                <w:tcPr>
                  <w:tcW w:w="5359" w:type="dxa"/>
                  <w:tcBorders>
                    <w:tl2br w:val="nil"/>
                    <w:tr2bl w:val="nil"/>
                  </w:tcBorders>
                  <w:noWrap w:val="0"/>
                  <w:vAlign w:val="center"/>
                </w:tcPr>
                <w:p w14:paraId="2FB9615B">
                  <w:pPr>
                    <w:pStyle w:val="56"/>
                    <w:spacing w:line="240" w:lineRule="auto"/>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设置</w:t>
                  </w:r>
                  <w:r>
                    <w:rPr>
                      <w:rFonts w:hint="default" w:ascii="Times New Roman" w:hAnsi="Times New Roman" w:cs="Times New Roman"/>
                      <w:color w:val="000000" w:themeColor="text1"/>
                      <w:lang w:eastAsia="zh-CN"/>
                      <w14:textFill>
                        <w14:solidFill>
                          <w14:schemeClr w14:val="tx1"/>
                        </w14:solidFill>
                      </w14:textFill>
                    </w:rPr>
                    <w:t>于厂区东侧，建筑面积约</w:t>
                  </w:r>
                  <w:r>
                    <w:rPr>
                      <w:rFonts w:hint="default" w:ascii="Times New Roman" w:hAnsi="Times New Roman" w:cs="Times New Roman"/>
                      <w:color w:val="000000" w:themeColor="text1"/>
                      <w:lang w:val="en-US" w:eastAsia="zh-CN"/>
                      <w14:textFill>
                        <w14:solidFill>
                          <w14:schemeClr w14:val="tx1"/>
                        </w14:solidFill>
                      </w14:textFill>
                    </w:rPr>
                    <w:t>60平方米。</w:t>
                  </w:r>
                </w:p>
              </w:tc>
              <w:tc>
                <w:tcPr>
                  <w:tcW w:w="1399" w:type="dxa"/>
                  <w:tcBorders>
                    <w:tl2br w:val="nil"/>
                    <w:tr2bl w:val="nil"/>
                  </w:tcBorders>
                  <w:noWrap w:val="0"/>
                  <w:vAlign w:val="center"/>
                </w:tcPr>
                <w:p w14:paraId="55D8B877">
                  <w:pPr>
                    <w:pStyle w:val="56"/>
                    <w:spacing w:line="240" w:lineRule="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废水、固废</w:t>
                  </w:r>
                </w:p>
              </w:tc>
            </w:tr>
            <w:tr w14:paraId="05F03F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vMerge w:val="restart"/>
                  <w:tcBorders>
                    <w:tl2br w:val="nil"/>
                    <w:tr2bl w:val="nil"/>
                  </w:tcBorders>
                  <w:noWrap w:val="0"/>
                  <w:vAlign w:val="center"/>
                </w:tcPr>
                <w:p w14:paraId="66EF75C8">
                  <w:pPr>
                    <w:pStyle w:val="56"/>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公用</w:t>
                  </w:r>
                </w:p>
                <w:p w14:paraId="32E7E435">
                  <w:pPr>
                    <w:pStyle w:val="56"/>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w:t>
                  </w:r>
                </w:p>
              </w:tc>
              <w:tc>
                <w:tcPr>
                  <w:tcW w:w="1216" w:type="dxa"/>
                  <w:tcBorders>
                    <w:tl2br w:val="nil"/>
                    <w:tr2bl w:val="nil"/>
                  </w:tcBorders>
                  <w:noWrap w:val="0"/>
                  <w:vAlign w:val="center"/>
                </w:tcPr>
                <w:p w14:paraId="3ED6D2AE">
                  <w:pPr>
                    <w:pStyle w:val="56"/>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办公楼</w:t>
                  </w:r>
                </w:p>
              </w:tc>
              <w:tc>
                <w:tcPr>
                  <w:tcW w:w="5359" w:type="dxa"/>
                  <w:tcBorders>
                    <w:tl2br w:val="nil"/>
                    <w:tr2bl w:val="nil"/>
                  </w:tcBorders>
                  <w:noWrap w:val="0"/>
                  <w:vAlign w:val="center"/>
                </w:tcPr>
                <w:p w14:paraId="27E97DB9">
                  <w:pPr>
                    <w:pStyle w:val="56"/>
                    <w:spacing w:line="240" w:lineRule="auto"/>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设置于硫化车间内，位于车间北侧</w:t>
                  </w:r>
                </w:p>
              </w:tc>
              <w:tc>
                <w:tcPr>
                  <w:tcW w:w="1399" w:type="dxa"/>
                  <w:vMerge w:val="restart"/>
                  <w:tcBorders>
                    <w:tl2br w:val="nil"/>
                    <w:tr2bl w:val="nil"/>
                  </w:tcBorders>
                  <w:noWrap w:val="0"/>
                  <w:vAlign w:val="center"/>
                </w:tcPr>
                <w:p w14:paraId="1995C967">
                  <w:pPr>
                    <w:pStyle w:val="56"/>
                    <w:spacing w:line="240" w:lineRule="auto"/>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固废、废水、噪声</w:t>
                  </w:r>
                </w:p>
              </w:tc>
            </w:tr>
            <w:tr w14:paraId="1D3051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685" w:hRule="atLeast"/>
                <w:jc w:val="center"/>
              </w:trPr>
              <w:tc>
                <w:tcPr>
                  <w:tcW w:w="664" w:type="dxa"/>
                  <w:vMerge w:val="continue"/>
                  <w:tcBorders>
                    <w:tl2br w:val="nil"/>
                    <w:tr2bl w:val="nil"/>
                  </w:tcBorders>
                  <w:noWrap w:val="0"/>
                  <w:vAlign w:val="center"/>
                </w:tcPr>
                <w:p w14:paraId="2E2A83AF">
                  <w:pPr>
                    <w:pStyle w:val="56"/>
                    <w:spacing w:line="240" w:lineRule="auto"/>
                    <w:rPr>
                      <w:rFonts w:hint="default" w:ascii="Times New Roman" w:hAnsi="Times New Roman" w:cs="Times New Roman"/>
                      <w:color w:val="000000" w:themeColor="text1"/>
                      <w14:textFill>
                        <w14:solidFill>
                          <w14:schemeClr w14:val="tx1"/>
                        </w14:solidFill>
                      </w14:textFill>
                    </w:rPr>
                  </w:pPr>
                </w:p>
              </w:tc>
              <w:tc>
                <w:tcPr>
                  <w:tcW w:w="1216" w:type="dxa"/>
                  <w:tcBorders>
                    <w:tl2br w:val="nil"/>
                    <w:tr2bl w:val="nil"/>
                  </w:tcBorders>
                  <w:noWrap w:val="0"/>
                  <w:vAlign w:val="center"/>
                </w:tcPr>
                <w:p w14:paraId="605AB603">
                  <w:pPr>
                    <w:pStyle w:val="56"/>
                    <w:spacing w:line="240" w:lineRule="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食堂</w:t>
                  </w:r>
                </w:p>
              </w:tc>
              <w:tc>
                <w:tcPr>
                  <w:tcW w:w="5359" w:type="dxa"/>
                  <w:tcBorders>
                    <w:tl2br w:val="nil"/>
                    <w:tr2bl w:val="nil"/>
                  </w:tcBorders>
                  <w:noWrap w:val="0"/>
                  <w:vAlign w:val="center"/>
                </w:tcPr>
                <w:p w14:paraId="76B88CF1">
                  <w:pPr>
                    <w:pStyle w:val="56"/>
                    <w:spacing w:line="240" w:lineRule="auto"/>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面积约</w:t>
                  </w:r>
                  <w:r>
                    <w:rPr>
                      <w:rFonts w:hint="default" w:ascii="Times New Roman" w:hAnsi="Times New Roman" w:cs="Times New Roman"/>
                      <w:color w:val="000000" w:themeColor="text1"/>
                      <w:lang w:val="en-US" w:eastAsia="zh-CN"/>
                      <w14:textFill>
                        <w14:solidFill>
                          <w14:schemeClr w14:val="tx1"/>
                        </w14:solidFill>
                      </w14:textFill>
                    </w:rPr>
                    <w:t>200平方米，位于橡胶制品</w:t>
                  </w:r>
                  <w:r>
                    <w:rPr>
                      <w:rFonts w:hint="eastAsia" w:cs="Times New Roman"/>
                      <w:color w:val="000000" w:themeColor="text1"/>
                      <w:lang w:val="en-US" w:eastAsia="zh-CN"/>
                      <w14:textFill>
                        <w14:solidFill>
                          <w14:schemeClr w14:val="tx1"/>
                        </w14:solidFill>
                      </w14:textFill>
                    </w:rPr>
                    <w:t>车间</w:t>
                  </w:r>
                  <w:r>
                    <w:rPr>
                      <w:rFonts w:hint="default" w:ascii="Times New Roman" w:hAnsi="Times New Roman" w:cs="Times New Roman"/>
                      <w:color w:val="000000" w:themeColor="text1"/>
                      <w:lang w:val="en-US" w:eastAsia="zh-CN"/>
                      <w14:textFill>
                        <w14:solidFill>
                          <w14:schemeClr w14:val="tx1"/>
                        </w14:solidFill>
                      </w14:textFill>
                    </w:rPr>
                    <w:t>南侧</w:t>
                  </w:r>
                </w:p>
              </w:tc>
              <w:tc>
                <w:tcPr>
                  <w:tcW w:w="1399" w:type="dxa"/>
                  <w:vMerge w:val="continue"/>
                  <w:tcBorders>
                    <w:tl2br w:val="nil"/>
                    <w:tr2bl w:val="nil"/>
                  </w:tcBorders>
                  <w:noWrap w:val="0"/>
                  <w:vAlign w:val="center"/>
                </w:tcPr>
                <w:p w14:paraId="2FA0AC3A">
                  <w:pPr>
                    <w:pStyle w:val="56"/>
                    <w:spacing w:line="240" w:lineRule="auto"/>
                    <w:rPr>
                      <w:rFonts w:hint="default" w:ascii="Times New Roman" w:hAnsi="Times New Roman" w:cs="Times New Roman"/>
                      <w:color w:val="000000" w:themeColor="text1"/>
                      <w14:textFill>
                        <w14:solidFill>
                          <w14:schemeClr w14:val="tx1"/>
                        </w14:solidFill>
                      </w14:textFill>
                    </w:rPr>
                  </w:pPr>
                </w:p>
              </w:tc>
            </w:tr>
            <w:tr w14:paraId="2FC763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vMerge w:val="restart"/>
                  <w:tcBorders>
                    <w:tl2br w:val="nil"/>
                    <w:tr2bl w:val="nil"/>
                  </w:tcBorders>
                  <w:noWrap w:val="0"/>
                  <w:vAlign w:val="center"/>
                </w:tcPr>
                <w:p w14:paraId="17A7AE27">
                  <w:pPr>
                    <w:pStyle w:val="56"/>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环保</w:t>
                  </w:r>
                </w:p>
                <w:p w14:paraId="56439A1D">
                  <w:pPr>
                    <w:pStyle w:val="56"/>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w:t>
                  </w:r>
                </w:p>
              </w:tc>
              <w:tc>
                <w:tcPr>
                  <w:tcW w:w="1216" w:type="dxa"/>
                  <w:tcBorders>
                    <w:tl2br w:val="nil"/>
                    <w:tr2bl w:val="nil"/>
                  </w:tcBorders>
                  <w:noWrap w:val="0"/>
                  <w:vAlign w:val="center"/>
                </w:tcPr>
                <w:p w14:paraId="6AF52DF3">
                  <w:pPr>
                    <w:pStyle w:val="56"/>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生产废水</w:t>
                  </w:r>
                </w:p>
              </w:tc>
              <w:tc>
                <w:tcPr>
                  <w:tcW w:w="5359" w:type="dxa"/>
                  <w:tcBorders>
                    <w:tl2br w:val="nil"/>
                    <w:tr2bl w:val="nil"/>
                  </w:tcBorders>
                  <w:noWrap w:val="0"/>
                  <w:vAlign w:val="center"/>
                </w:tcPr>
                <w:p w14:paraId="6D6CC784">
                  <w:pPr>
                    <w:pStyle w:val="56"/>
                    <w:spacing w:line="24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现有项目生产废水主要为橡胶管清洗废水、电泳废水，电泳废水经超滤回收后与橡胶管清洗废水一起排入三级沉淀池处理后排入市政污水管网送大英县工业污水处理厂处理</w:t>
                  </w:r>
                  <w:r>
                    <w:rPr>
                      <w:rFonts w:hint="default" w:ascii="Times New Roman" w:hAnsi="Times New Roman" w:cs="Times New Roman"/>
                      <w:color w:val="000000" w:themeColor="text1"/>
                      <w14:textFill>
                        <w14:solidFill>
                          <w14:schemeClr w14:val="tx1"/>
                        </w14:solidFill>
                      </w14:textFill>
                    </w:rPr>
                    <w:t>。</w:t>
                  </w:r>
                </w:p>
              </w:tc>
              <w:tc>
                <w:tcPr>
                  <w:tcW w:w="1399" w:type="dxa"/>
                  <w:vMerge w:val="restart"/>
                  <w:tcBorders>
                    <w:tl2br w:val="nil"/>
                    <w:tr2bl w:val="nil"/>
                  </w:tcBorders>
                  <w:noWrap w:val="0"/>
                  <w:vAlign w:val="center"/>
                </w:tcPr>
                <w:p w14:paraId="54CB4FD9">
                  <w:pPr>
                    <w:pStyle w:val="56"/>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生产废水</w:t>
                  </w:r>
                </w:p>
              </w:tc>
            </w:tr>
            <w:tr w14:paraId="282581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vMerge w:val="continue"/>
                  <w:tcBorders>
                    <w:tl2br w:val="nil"/>
                    <w:tr2bl w:val="nil"/>
                  </w:tcBorders>
                  <w:noWrap w:val="0"/>
                  <w:vAlign w:val="center"/>
                </w:tcPr>
                <w:p w14:paraId="76BBCD38">
                  <w:pPr>
                    <w:pStyle w:val="56"/>
                    <w:spacing w:line="240" w:lineRule="auto"/>
                    <w:rPr>
                      <w:rFonts w:hint="default" w:ascii="Times New Roman" w:hAnsi="Times New Roman" w:cs="Times New Roman"/>
                      <w:color w:val="000000" w:themeColor="text1"/>
                      <w14:textFill>
                        <w14:solidFill>
                          <w14:schemeClr w14:val="tx1"/>
                        </w14:solidFill>
                      </w14:textFill>
                    </w:rPr>
                  </w:pPr>
                </w:p>
              </w:tc>
              <w:tc>
                <w:tcPr>
                  <w:tcW w:w="1216" w:type="dxa"/>
                  <w:tcBorders>
                    <w:tl2br w:val="nil"/>
                    <w:tr2bl w:val="nil"/>
                  </w:tcBorders>
                  <w:noWrap w:val="0"/>
                  <w:vAlign w:val="center"/>
                </w:tcPr>
                <w:p w14:paraId="1A14F2E4">
                  <w:pPr>
                    <w:pStyle w:val="56"/>
                    <w:spacing w:line="240" w:lineRule="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循环冷却水</w:t>
                  </w:r>
                </w:p>
              </w:tc>
              <w:tc>
                <w:tcPr>
                  <w:tcW w:w="5359" w:type="dxa"/>
                  <w:tcBorders>
                    <w:tl2br w:val="nil"/>
                    <w:tr2bl w:val="nil"/>
                  </w:tcBorders>
                  <w:noWrap w:val="0"/>
                  <w:vAlign w:val="center"/>
                </w:tcPr>
                <w:p w14:paraId="63202420">
                  <w:pPr>
                    <w:pStyle w:val="56"/>
                    <w:spacing w:line="240" w:lineRule="auto"/>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设置循环冷却水池</w:t>
                  </w:r>
                  <w:r>
                    <w:rPr>
                      <w:rFonts w:hint="default" w:ascii="Times New Roman" w:hAnsi="Times New Roman" w:cs="Times New Roman"/>
                      <w:color w:val="000000" w:themeColor="text1"/>
                      <w:lang w:val="en-US" w:eastAsia="zh-CN"/>
                      <w14:textFill>
                        <w14:solidFill>
                          <w14:schemeClr w14:val="tx1"/>
                        </w14:solidFill>
                      </w14:textFill>
                    </w:rPr>
                    <w:t>1处，容积约200m³，用于收集开炼机间接冷却水，收集后循环使用不排放。</w:t>
                  </w:r>
                </w:p>
              </w:tc>
              <w:tc>
                <w:tcPr>
                  <w:tcW w:w="1399" w:type="dxa"/>
                  <w:vMerge w:val="continue"/>
                  <w:tcBorders>
                    <w:tl2br w:val="nil"/>
                    <w:tr2bl w:val="nil"/>
                  </w:tcBorders>
                  <w:noWrap w:val="0"/>
                  <w:vAlign w:val="center"/>
                </w:tcPr>
                <w:p w14:paraId="75714232">
                  <w:pPr>
                    <w:pStyle w:val="56"/>
                    <w:spacing w:line="240" w:lineRule="auto"/>
                    <w:rPr>
                      <w:rFonts w:hint="default" w:ascii="Times New Roman" w:hAnsi="Times New Roman" w:cs="Times New Roman"/>
                      <w:color w:val="000000" w:themeColor="text1"/>
                      <w14:textFill>
                        <w14:solidFill>
                          <w14:schemeClr w14:val="tx1"/>
                        </w14:solidFill>
                      </w14:textFill>
                    </w:rPr>
                  </w:pPr>
                </w:p>
              </w:tc>
            </w:tr>
            <w:tr w14:paraId="0496BB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685" w:hRule="atLeast"/>
                <w:jc w:val="center"/>
              </w:trPr>
              <w:tc>
                <w:tcPr>
                  <w:tcW w:w="664" w:type="dxa"/>
                  <w:vMerge w:val="continue"/>
                  <w:tcBorders>
                    <w:tl2br w:val="nil"/>
                    <w:tr2bl w:val="nil"/>
                  </w:tcBorders>
                  <w:noWrap w:val="0"/>
                  <w:vAlign w:val="center"/>
                </w:tcPr>
                <w:p w14:paraId="64035099">
                  <w:pPr>
                    <w:pStyle w:val="56"/>
                    <w:spacing w:line="240" w:lineRule="auto"/>
                    <w:rPr>
                      <w:rFonts w:hint="default" w:ascii="Times New Roman" w:hAnsi="Times New Roman" w:cs="Times New Roman"/>
                      <w:color w:val="000000" w:themeColor="text1"/>
                      <w14:textFill>
                        <w14:solidFill>
                          <w14:schemeClr w14:val="tx1"/>
                        </w14:solidFill>
                      </w14:textFill>
                    </w:rPr>
                  </w:pPr>
                </w:p>
              </w:tc>
              <w:tc>
                <w:tcPr>
                  <w:tcW w:w="1216" w:type="dxa"/>
                  <w:tcBorders>
                    <w:tl2br w:val="nil"/>
                    <w:tr2bl w:val="nil"/>
                  </w:tcBorders>
                  <w:noWrap w:val="0"/>
                  <w:vAlign w:val="center"/>
                </w:tcPr>
                <w:p w14:paraId="0D336C12">
                  <w:pPr>
                    <w:pStyle w:val="56"/>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生活污水处理系统</w:t>
                  </w:r>
                </w:p>
              </w:tc>
              <w:tc>
                <w:tcPr>
                  <w:tcW w:w="5359" w:type="dxa"/>
                  <w:tcBorders>
                    <w:tl2br w:val="nil"/>
                    <w:tr2bl w:val="nil"/>
                  </w:tcBorders>
                  <w:noWrap w:val="0"/>
                  <w:vAlign w:val="center"/>
                </w:tcPr>
                <w:p w14:paraId="3E00632B">
                  <w:pPr>
                    <w:pStyle w:val="56"/>
                    <w:spacing w:line="24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已建设</w:t>
                  </w:r>
                  <w:r>
                    <w:rPr>
                      <w:rFonts w:hint="eastAsia" w:cs="Times New Roman"/>
                      <w:color w:val="000000" w:themeColor="text1"/>
                      <w:lang w:eastAsia="zh-CN"/>
                      <w14:textFill>
                        <w14:solidFill>
                          <w14:schemeClr w14:val="tx1"/>
                        </w14:solidFill>
                      </w14:textFill>
                    </w:rPr>
                    <w:t>生活污水</w:t>
                  </w:r>
                  <w:r>
                    <w:rPr>
                      <w:rFonts w:hint="default" w:ascii="Times New Roman" w:hAnsi="Times New Roman" w:cs="Times New Roman"/>
                      <w:color w:val="000000" w:themeColor="text1"/>
                      <w14:textFill>
                        <w14:solidFill>
                          <w14:schemeClr w14:val="tx1"/>
                        </w14:solidFill>
                      </w14:textFill>
                    </w:rPr>
                    <w:t>预处理池（化粪池）1处，面积约</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0m³，</w:t>
                  </w:r>
                  <w:r>
                    <w:rPr>
                      <w:rFonts w:hint="eastAsia" w:cs="Times New Roman"/>
                      <w:color w:val="000000" w:themeColor="text1"/>
                      <w:lang w:eastAsia="zh-CN"/>
                      <w14:textFill>
                        <w14:solidFill>
                          <w14:schemeClr w14:val="tx1"/>
                        </w14:solidFill>
                      </w14:textFill>
                    </w:rPr>
                    <w:t>生活污水</w:t>
                  </w:r>
                  <w:r>
                    <w:rPr>
                      <w:rFonts w:hint="default" w:ascii="Times New Roman" w:hAnsi="Times New Roman" w:cs="Times New Roman"/>
                      <w:color w:val="000000" w:themeColor="text1"/>
                      <w14:textFill>
                        <w14:solidFill>
                          <w14:schemeClr w14:val="tx1"/>
                        </w14:solidFill>
                      </w14:textFill>
                    </w:rPr>
                    <w:t>经过预处理池处理后排入市政污水管网送</w:t>
                  </w:r>
                  <w:r>
                    <w:rPr>
                      <w:rFonts w:hint="default" w:ascii="Times New Roman" w:hAnsi="Times New Roman" w:cs="Times New Roman"/>
                      <w:color w:val="000000" w:themeColor="text1"/>
                      <w:lang w:eastAsia="zh-CN"/>
                      <w14:textFill>
                        <w14:solidFill>
                          <w14:schemeClr w14:val="tx1"/>
                        </w14:solidFill>
                      </w14:textFill>
                    </w:rPr>
                    <w:t>大英县工业污水处理厂</w:t>
                  </w:r>
                  <w:r>
                    <w:rPr>
                      <w:rFonts w:hint="default" w:ascii="Times New Roman" w:hAnsi="Times New Roman" w:cs="Times New Roman"/>
                      <w:color w:val="000000" w:themeColor="text1"/>
                      <w14:textFill>
                        <w14:solidFill>
                          <w14:schemeClr w14:val="tx1"/>
                        </w14:solidFill>
                      </w14:textFill>
                    </w:rPr>
                    <w:t>处理</w:t>
                  </w:r>
                </w:p>
              </w:tc>
              <w:tc>
                <w:tcPr>
                  <w:tcW w:w="1399" w:type="dxa"/>
                  <w:tcBorders>
                    <w:tl2br w:val="nil"/>
                    <w:tr2bl w:val="nil"/>
                  </w:tcBorders>
                  <w:noWrap w:val="0"/>
                  <w:vAlign w:val="center"/>
                </w:tcPr>
                <w:p w14:paraId="1251317D">
                  <w:pPr>
                    <w:pStyle w:val="56"/>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生活废水</w:t>
                  </w:r>
                </w:p>
              </w:tc>
            </w:tr>
            <w:tr w14:paraId="0C786E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vMerge w:val="continue"/>
                  <w:tcBorders>
                    <w:tl2br w:val="nil"/>
                    <w:tr2bl w:val="nil"/>
                  </w:tcBorders>
                  <w:noWrap w:val="0"/>
                  <w:vAlign w:val="center"/>
                </w:tcPr>
                <w:p w14:paraId="3DC5B55A">
                  <w:pPr>
                    <w:pStyle w:val="56"/>
                    <w:spacing w:line="240" w:lineRule="auto"/>
                    <w:rPr>
                      <w:rFonts w:hint="default" w:ascii="Times New Roman" w:hAnsi="Times New Roman" w:cs="Times New Roman"/>
                      <w:color w:val="000000" w:themeColor="text1"/>
                      <w14:textFill>
                        <w14:solidFill>
                          <w14:schemeClr w14:val="tx1"/>
                        </w14:solidFill>
                      </w14:textFill>
                    </w:rPr>
                  </w:pPr>
                </w:p>
              </w:tc>
              <w:tc>
                <w:tcPr>
                  <w:tcW w:w="1216" w:type="dxa"/>
                  <w:tcBorders>
                    <w:tl2br w:val="nil"/>
                    <w:tr2bl w:val="nil"/>
                  </w:tcBorders>
                  <w:noWrap w:val="0"/>
                  <w:vAlign w:val="center"/>
                </w:tcPr>
                <w:p w14:paraId="2D7AB89B">
                  <w:pPr>
                    <w:pStyle w:val="56"/>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废气处理系统</w:t>
                  </w:r>
                </w:p>
              </w:tc>
              <w:tc>
                <w:tcPr>
                  <w:tcW w:w="5359" w:type="dxa"/>
                  <w:tcBorders>
                    <w:tl2br w:val="nil"/>
                    <w:tr2bl w:val="nil"/>
                  </w:tcBorders>
                  <w:noWrap w:val="0"/>
                  <w:vAlign w:val="center"/>
                </w:tcPr>
                <w:p w14:paraId="23823F77">
                  <w:pPr>
                    <w:pStyle w:val="56"/>
                    <w:spacing w:line="240" w:lineRule="auto"/>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①炼胶车间：设置旋风除尘</w:t>
                  </w:r>
                  <w:r>
                    <w:rPr>
                      <w:rFonts w:hint="default" w:ascii="Times New Roman" w:hAnsi="Times New Roman" w:cs="Times New Roman"/>
                      <w:color w:val="000000" w:themeColor="text1"/>
                      <w:lang w:val="en-US" w:eastAsia="zh-CN"/>
                      <w14:textFill>
                        <w14:solidFill>
                          <w14:schemeClr w14:val="tx1"/>
                        </w14:solidFill>
                      </w14:textFill>
                    </w:rPr>
                    <w:t>+布袋除尘</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光氧+</w:t>
                  </w:r>
                  <w:r>
                    <w:rPr>
                      <w:rFonts w:hint="eastAsia" w:ascii="Times New Roman" w:hAnsi="Times New Roman" w:cs="Times New Roman"/>
                      <w:color w:val="000000" w:themeColor="text1"/>
                      <w:lang w:val="en-US" w:eastAsia="zh-CN"/>
                      <w14:textFill>
                        <w14:solidFill>
                          <w14:schemeClr w14:val="tx1"/>
                        </w14:solidFill>
                      </w14:textFill>
                    </w:rPr>
                    <w:t>活性炭吸附</w:t>
                  </w:r>
                  <w:r>
                    <w:rPr>
                      <w:rFonts w:hint="default" w:ascii="Times New Roman" w:hAnsi="Times New Roman" w:cs="Times New Roman"/>
                      <w:color w:val="000000" w:themeColor="text1"/>
                      <w:lang w:val="en-US" w:eastAsia="zh-CN"/>
                      <w14:textFill>
                        <w14:solidFill>
                          <w14:schemeClr w14:val="tx1"/>
                        </w14:solidFill>
                      </w14:textFill>
                    </w:rPr>
                    <w:t>处理设施1套，对炼胶过程中产生的粉尘</w:t>
                  </w:r>
                  <w:r>
                    <w:rPr>
                      <w:rFonts w:hint="eastAsia" w:ascii="Times New Roman" w:hAnsi="Times New Roman" w:cs="Times New Roman"/>
                      <w:color w:val="000000" w:themeColor="text1"/>
                      <w:lang w:val="en-US" w:eastAsia="zh-CN"/>
                      <w14:textFill>
                        <w14:solidFill>
                          <w14:schemeClr w14:val="tx1"/>
                        </w14:solidFill>
                      </w14:textFill>
                    </w:rPr>
                    <w:t>和有机废气</w:t>
                  </w:r>
                  <w:r>
                    <w:rPr>
                      <w:rFonts w:hint="default" w:ascii="Times New Roman" w:hAnsi="Times New Roman" w:cs="Times New Roman"/>
                      <w:color w:val="000000" w:themeColor="text1"/>
                      <w:lang w:val="en-US" w:eastAsia="zh-CN"/>
                      <w14:textFill>
                        <w14:solidFill>
                          <w14:schemeClr w14:val="tx1"/>
                        </w14:solidFill>
                      </w14:textFill>
                    </w:rPr>
                    <w:t>进行收集和处理后离地15m排放</w:t>
                  </w:r>
                </w:p>
                <w:p w14:paraId="6A61CCAE">
                  <w:pPr>
                    <w:pStyle w:val="56"/>
                    <w:spacing w:line="240" w:lineRule="auto"/>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②硫化车间：设置光氧废气处理系统1套，对硫化废气进行收集后处理后离地15m排放</w:t>
                  </w:r>
                </w:p>
                <w:p w14:paraId="509CD728">
                  <w:pPr>
                    <w:pStyle w:val="56"/>
                    <w:spacing w:line="240" w:lineRule="auto"/>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③天然气锅炉：项目锅炉燃料为清洁能源天然气，天然气燃烧废气采用离地1</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m的排气筒直接排放。</w:t>
                  </w:r>
                </w:p>
                <w:p w14:paraId="7380F772">
                  <w:pPr>
                    <w:pStyle w:val="56"/>
                    <w:spacing w:line="240" w:lineRule="auto"/>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④橡胶减震垫生产线：设置过滤棉+</w:t>
                  </w:r>
                  <w:r>
                    <w:rPr>
                      <w:rFonts w:hint="eastAsia" w:cs="Times New Roman"/>
                      <w:color w:val="000000" w:themeColor="text1"/>
                      <w:lang w:val="en-US" w:eastAsia="zh-CN"/>
                      <w14:textFill>
                        <w14:solidFill>
                          <w14:schemeClr w14:val="tx1"/>
                        </w14:solidFill>
                      </w14:textFill>
                    </w:rPr>
                    <w:t>光氧+</w:t>
                  </w:r>
                  <w:r>
                    <w:rPr>
                      <w:rFonts w:hint="default" w:ascii="Times New Roman" w:hAnsi="Times New Roman" w:cs="Times New Roman"/>
                      <w:color w:val="000000" w:themeColor="text1"/>
                      <w:lang w:val="en-US" w:eastAsia="zh-CN"/>
                      <w14:textFill>
                        <w14:solidFill>
                          <w14:schemeClr w14:val="tx1"/>
                        </w14:solidFill>
                      </w14:textFill>
                    </w:rPr>
                    <w:t>活性炭吸附系统一套，对橡胶挤出废气收集处理后离地15m排放。</w:t>
                  </w:r>
                </w:p>
                <w:p w14:paraId="3A510F77">
                  <w:pPr>
                    <w:pStyle w:val="56"/>
                    <w:spacing w:line="240" w:lineRule="auto"/>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⑤硅胶管生产废气：设置活性炭吸附系统一套，对橡胶挤出废气收集处理后离地20m排放。</w:t>
                  </w:r>
                </w:p>
                <w:p w14:paraId="139B5F64">
                  <w:pPr>
                    <w:pStyle w:val="56"/>
                    <w:spacing w:line="240" w:lineRule="auto"/>
                    <w:jc w:val="left"/>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⑥硬管生产焊接废气：经除尘器</w:t>
                  </w:r>
                  <w:r>
                    <w:rPr>
                      <w:rFonts w:hint="eastAsia" w:cs="Times New Roman"/>
                      <w:color w:val="000000" w:themeColor="text1"/>
                      <w:lang w:val="en-US" w:eastAsia="zh-CN"/>
                      <w14:textFill>
                        <w14:solidFill>
                          <w14:schemeClr w14:val="tx1"/>
                        </w14:solidFill>
                      </w14:textFill>
                    </w:rPr>
                    <w:t>收集</w:t>
                  </w:r>
                  <w:r>
                    <w:rPr>
                      <w:rFonts w:hint="eastAsia" w:ascii="Times New Roman" w:hAnsi="Times New Roman" w:cs="Times New Roman"/>
                      <w:color w:val="000000" w:themeColor="text1"/>
                      <w:lang w:val="en-US" w:eastAsia="zh-CN"/>
                      <w14:textFill>
                        <w14:solidFill>
                          <w14:schemeClr w14:val="tx1"/>
                        </w14:solidFill>
                      </w14:textFill>
                    </w:rPr>
                    <w:t>处理后排放。</w:t>
                  </w:r>
                </w:p>
                <w:p w14:paraId="74428C43">
                  <w:pPr>
                    <w:pStyle w:val="56"/>
                    <w:spacing w:line="240" w:lineRule="auto"/>
                    <w:jc w:val="left"/>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⑦实验室废气：收集后经活性炭吸附处理后经20m管道于楼顶排放。</w:t>
                  </w:r>
                </w:p>
                <w:p w14:paraId="7718D76A">
                  <w:pPr>
                    <w:pStyle w:val="56"/>
                    <w:spacing w:line="240" w:lineRule="auto"/>
                    <w:jc w:val="left"/>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⑧模具雕刻粉尘：</w:t>
                  </w:r>
                  <w:r>
                    <w:rPr>
                      <w:rFonts w:hint="eastAsia" w:ascii="Times New Roman" w:hAnsi="Times New Roman" w:cs="Times New Roman"/>
                      <w:color w:val="000000" w:themeColor="text1"/>
                      <w:lang w:val="en-US" w:eastAsia="zh-CN"/>
                      <w14:textFill>
                        <w14:solidFill>
                          <w14:schemeClr w14:val="tx1"/>
                        </w14:solidFill>
                      </w14:textFill>
                    </w:rPr>
                    <w:t>经除尘器</w:t>
                  </w:r>
                  <w:r>
                    <w:rPr>
                      <w:rFonts w:hint="eastAsia" w:cs="Times New Roman"/>
                      <w:color w:val="000000" w:themeColor="text1"/>
                      <w:lang w:val="en-US" w:eastAsia="zh-CN"/>
                      <w14:textFill>
                        <w14:solidFill>
                          <w14:schemeClr w14:val="tx1"/>
                        </w14:solidFill>
                      </w14:textFill>
                    </w:rPr>
                    <w:t>收集</w:t>
                  </w:r>
                  <w:r>
                    <w:rPr>
                      <w:rFonts w:hint="eastAsia" w:ascii="Times New Roman" w:hAnsi="Times New Roman" w:cs="Times New Roman"/>
                      <w:color w:val="000000" w:themeColor="text1"/>
                      <w:lang w:val="en-US" w:eastAsia="zh-CN"/>
                      <w14:textFill>
                        <w14:solidFill>
                          <w14:schemeClr w14:val="tx1"/>
                        </w14:solidFill>
                      </w14:textFill>
                    </w:rPr>
                    <w:t>处理后排放。</w:t>
                  </w:r>
                </w:p>
              </w:tc>
              <w:tc>
                <w:tcPr>
                  <w:tcW w:w="1399" w:type="dxa"/>
                  <w:tcBorders>
                    <w:tl2br w:val="nil"/>
                    <w:tr2bl w:val="nil"/>
                  </w:tcBorders>
                  <w:noWrap w:val="0"/>
                  <w:vAlign w:val="center"/>
                </w:tcPr>
                <w:p w14:paraId="2D9AA80B">
                  <w:pPr>
                    <w:pStyle w:val="56"/>
                    <w:spacing w:line="240" w:lineRule="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废气</w:t>
                  </w:r>
                </w:p>
              </w:tc>
            </w:tr>
            <w:tr w14:paraId="7B4C07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vMerge w:val="continue"/>
                  <w:tcBorders>
                    <w:tl2br w:val="nil"/>
                    <w:tr2bl w:val="nil"/>
                  </w:tcBorders>
                  <w:noWrap w:val="0"/>
                  <w:vAlign w:val="center"/>
                </w:tcPr>
                <w:p w14:paraId="7AE3C194">
                  <w:pPr>
                    <w:pStyle w:val="56"/>
                    <w:rPr>
                      <w:rFonts w:hint="default" w:ascii="Times New Roman" w:hAnsi="Times New Roman" w:cs="Times New Roman"/>
                      <w:color w:val="000000" w:themeColor="text1"/>
                      <w14:textFill>
                        <w14:solidFill>
                          <w14:schemeClr w14:val="tx1"/>
                        </w14:solidFill>
                      </w14:textFill>
                    </w:rPr>
                  </w:pPr>
                </w:p>
              </w:tc>
              <w:tc>
                <w:tcPr>
                  <w:tcW w:w="1216" w:type="dxa"/>
                  <w:tcBorders>
                    <w:tl2br w:val="nil"/>
                    <w:tr2bl w:val="nil"/>
                  </w:tcBorders>
                  <w:noWrap w:val="0"/>
                  <w:vAlign w:val="center"/>
                </w:tcPr>
                <w:p w14:paraId="2E56BE9D">
                  <w:pPr>
                    <w:pStyle w:val="56"/>
                    <w:spacing w:line="240" w:lineRule="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固废暂存系统</w:t>
                  </w:r>
                </w:p>
              </w:tc>
              <w:tc>
                <w:tcPr>
                  <w:tcW w:w="5359" w:type="dxa"/>
                  <w:tcBorders>
                    <w:tl2br w:val="nil"/>
                    <w:tr2bl w:val="nil"/>
                  </w:tcBorders>
                  <w:noWrap w:val="0"/>
                  <w:vAlign w:val="center"/>
                </w:tcPr>
                <w:p w14:paraId="2A275ABC">
                  <w:pPr>
                    <w:spacing w:line="240" w:lineRule="auto"/>
                    <w:ind w:firstLine="0" w:firstLineChars="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危废：设置</w:t>
                  </w:r>
                  <w:r>
                    <w:rPr>
                      <w:rFonts w:hint="default" w:ascii="Times New Roman" w:hAnsi="Times New Roman" w:cs="Times New Roman"/>
                      <w:bCs/>
                      <w:color w:val="000000" w:themeColor="text1"/>
                      <w:sz w:val="21"/>
                      <w:szCs w:val="21"/>
                      <w14:textFill>
                        <w14:solidFill>
                          <w14:schemeClr w14:val="tx1"/>
                        </w14:solidFill>
                      </w14:textFill>
                    </w:rPr>
                    <w:t>危险废物暂存间1处，面积约</w:t>
                  </w:r>
                  <w:r>
                    <w:rPr>
                      <w:rFonts w:hint="default" w:ascii="Times New Roman" w:hAnsi="Times New Roman" w:cs="Times New Roman"/>
                      <w:bCs/>
                      <w:color w:val="000000" w:themeColor="text1"/>
                      <w:sz w:val="21"/>
                      <w:szCs w:val="21"/>
                      <w:lang w:val="en-US" w:eastAsia="zh-CN"/>
                      <w14:textFill>
                        <w14:solidFill>
                          <w14:schemeClr w14:val="tx1"/>
                        </w14:solidFill>
                      </w14:textFill>
                    </w:rPr>
                    <w:t>20</w:t>
                  </w:r>
                  <w:r>
                    <w:rPr>
                      <w:rFonts w:hint="default" w:ascii="Times New Roman" w:hAnsi="Times New Roman" w:cs="Times New Roman"/>
                      <w:bCs/>
                      <w:color w:val="000000" w:themeColor="text1"/>
                      <w:sz w:val="21"/>
                      <w:szCs w:val="21"/>
                      <w14:textFill>
                        <w14:solidFill>
                          <w14:schemeClr w14:val="tx1"/>
                        </w14:solidFill>
                      </w14:textFill>
                    </w:rPr>
                    <w:t>平方米，位于</w:t>
                  </w:r>
                  <w:r>
                    <w:rPr>
                      <w:rFonts w:hint="default" w:ascii="Times New Roman" w:hAnsi="Times New Roman" w:cs="Times New Roman"/>
                      <w:bCs/>
                      <w:color w:val="000000" w:themeColor="text1"/>
                      <w:sz w:val="21"/>
                      <w:szCs w:val="21"/>
                      <w:lang w:eastAsia="zh-CN"/>
                      <w14:textFill>
                        <w14:solidFill>
                          <w14:schemeClr w14:val="tx1"/>
                        </w14:solidFill>
                      </w14:textFill>
                    </w:rPr>
                    <w:t>森帝</w:t>
                  </w:r>
                  <w:r>
                    <w:rPr>
                      <w:rFonts w:hint="default" w:ascii="Times New Roman" w:hAnsi="Times New Roman" w:cs="Times New Roman"/>
                      <w:bCs/>
                      <w:color w:val="000000" w:themeColor="text1"/>
                      <w:sz w:val="21"/>
                      <w:szCs w:val="21"/>
                      <w14:textFill>
                        <w14:solidFill>
                          <w14:schemeClr w14:val="tx1"/>
                        </w14:solidFill>
                      </w14:textFill>
                    </w:rPr>
                    <w:t>厂</w:t>
                  </w:r>
                  <w:r>
                    <w:rPr>
                      <w:rFonts w:hint="default" w:ascii="Times New Roman" w:hAnsi="Times New Roman" w:cs="Times New Roman"/>
                      <w:bCs/>
                      <w:color w:val="000000" w:themeColor="text1"/>
                      <w:sz w:val="21"/>
                      <w:szCs w:val="21"/>
                      <w:lang w:eastAsia="zh-CN"/>
                      <w14:textFill>
                        <w14:solidFill>
                          <w14:schemeClr w14:val="tx1"/>
                        </w14:solidFill>
                      </w14:textFill>
                    </w:rPr>
                    <w:t>区西北厂界处</w:t>
                  </w:r>
                  <w:r>
                    <w:rPr>
                      <w:rFonts w:hint="default" w:ascii="Times New Roman" w:hAnsi="Times New Roman" w:cs="Times New Roman"/>
                      <w:bCs/>
                      <w:color w:val="000000" w:themeColor="text1"/>
                      <w:sz w:val="21"/>
                      <w:szCs w:val="21"/>
                      <w14:textFill>
                        <w14:solidFill>
                          <w14:schemeClr w14:val="tx1"/>
                        </w14:solidFill>
                      </w14:textFill>
                    </w:rPr>
                    <w:t>，</w:t>
                  </w:r>
                  <w:r>
                    <w:rPr>
                      <w:rFonts w:hint="default" w:ascii="Times New Roman" w:hAnsi="Times New Roman" w:cs="Times New Roman"/>
                      <w:bCs/>
                      <w:color w:val="000000" w:themeColor="text1"/>
                      <w:sz w:val="21"/>
                      <w:szCs w:val="21"/>
                      <w:lang w:eastAsia="zh-CN"/>
                      <w14:textFill>
                        <w14:solidFill>
                          <w14:schemeClr w14:val="tx1"/>
                        </w14:solidFill>
                      </w14:textFill>
                    </w:rPr>
                    <w:t>危废暂间满足《危险废物贮存污染控制标准》</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lang w:val="en-US" w:eastAsia="zh-CN"/>
                      <w14:textFill>
                        <w14:solidFill>
                          <w14:schemeClr w14:val="tx1"/>
                        </w14:solidFill>
                      </w14:textFill>
                    </w:rPr>
                    <w:t>GB18597-20</w:t>
                  </w:r>
                  <w:r>
                    <w:rPr>
                      <w:rFonts w:hint="eastAsia" w:ascii="Times New Roman" w:hAnsi="Times New Roman" w:cs="Times New Roman"/>
                      <w:bCs/>
                      <w:color w:val="000000" w:themeColor="text1"/>
                      <w:sz w:val="21"/>
                      <w:szCs w:val="21"/>
                      <w:lang w:val="en-US" w:eastAsia="zh-CN"/>
                      <w14:textFill>
                        <w14:solidFill>
                          <w14:schemeClr w14:val="tx1"/>
                        </w14:solidFill>
                      </w14:textFill>
                    </w:rPr>
                    <w:t>23</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lang w:val="en-US" w:eastAsia="zh-CN"/>
                      <w14:textFill>
                        <w14:solidFill>
                          <w14:schemeClr w14:val="tx1"/>
                        </w14:solidFill>
                      </w14:textFill>
                    </w:rPr>
                    <w:t>的相关要求</w:t>
                  </w:r>
                  <w:r>
                    <w:rPr>
                      <w:rFonts w:hint="default" w:ascii="Times New Roman" w:hAnsi="Times New Roman" w:cs="Times New Roman"/>
                      <w:bCs/>
                      <w:color w:val="000000" w:themeColor="text1"/>
                      <w:sz w:val="21"/>
                      <w:szCs w:val="21"/>
                      <w14:textFill>
                        <w14:solidFill>
                          <w14:schemeClr w14:val="tx1"/>
                        </w14:solidFill>
                      </w14:textFill>
                    </w:rPr>
                    <w:t>。</w:t>
                  </w:r>
                </w:p>
                <w:p w14:paraId="0D8FE7B5">
                  <w:pPr>
                    <w:pStyle w:val="56"/>
                    <w:spacing w:line="24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一般固废：设置</w:t>
                  </w:r>
                  <w:r>
                    <w:rPr>
                      <w:rFonts w:hint="default" w:ascii="Times New Roman" w:hAnsi="Times New Roman" w:cs="Times New Roman"/>
                      <w:bCs/>
                      <w:color w:val="000000" w:themeColor="text1"/>
                      <w:sz w:val="21"/>
                      <w:szCs w:val="21"/>
                      <w14:textFill>
                        <w14:solidFill>
                          <w14:schemeClr w14:val="tx1"/>
                        </w14:solidFill>
                      </w14:textFill>
                    </w:rPr>
                    <w:t>一般固废暂存间1处，位于</w:t>
                  </w:r>
                  <w:r>
                    <w:rPr>
                      <w:rFonts w:hint="default" w:ascii="Times New Roman" w:hAnsi="Times New Roman" w:cs="Times New Roman"/>
                      <w:bCs/>
                      <w:color w:val="000000" w:themeColor="text1"/>
                      <w:sz w:val="21"/>
                      <w:szCs w:val="21"/>
                      <w:lang w:eastAsia="zh-CN"/>
                      <w14:textFill>
                        <w14:solidFill>
                          <w14:schemeClr w14:val="tx1"/>
                        </w14:solidFill>
                      </w14:textFill>
                    </w:rPr>
                    <w:t>森帝</w:t>
                  </w:r>
                  <w:r>
                    <w:rPr>
                      <w:rFonts w:hint="default" w:ascii="Times New Roman" w:hAnsi="Times New Roman" w:cs="Times New Roman"/>
                      <w:bCs/>
                      <w:color w:val="000000" w:themeColor="text1"/>
                      <w:sz w:val="21"/>
                      <w:szCs w:val="21"/>
                      <w14:textFill>
                        <w14:solidFill>
                          <w14:schemeClr w14:val="tx1"/>
                        </w14:solidFill>
                      </w14:textFill>
                    </w:rPr>
                    <w:t>厂</w:t>
                  </w:r>
                  <w:r>
                    <w:rPr>
                      <w:rFonts w:hint="default" w:ascii="Times New Roman" w:hAnsi="Times New Roman" w:cs="Times New Roman"/>
                      <w:bCs/>
                      <w:color w:val="000000" w:themeColor="text1"/>
                      <w:sz w:val="21"/>
                      <w:szCs w:val="21"/>
                      <w:lang w:eastAsia="zh-CN"/>
                      <w14:textFill>
                        <w14:solidFill>
                          <w14:schemeClr w14:val="tx1"/>
                        </w14:solidFill>
                      </w14:textFill>
                    </w:rPr>
                    <w:t>区西北厂界处</w:t>
                  </w:r>
                  <w:r>
                    <w:rPr>
                      <w:rFonts w:hint="default" w:ascii="Times New Roman" w:hAnsi="Times New Roman" w:cs="Times New Roman"/>
                      <w:bCs/>
                      <w:color w:val="000000" w:themeColor="text1"/>
                      <w:sz w:val="21"/>
                      <w:szCs w:val="21"/>
                      <w14:textFill>
                        <w14:solidFill>
                          <w14:schemeClr w14:val="tx1"/>
                        </w14:solidFill>
                      </w14:textFill>
                    </w:rPr>
                    <w:t>，面积约1</w:t>
                  </w:r>
                  <w:r>
                    <w:rPr>
                      <w:rFonts w:hint="default" w:ascii="Times New Roman" w:hAnsi="Times New Roman" w:cs="Times New Roman"/>
                      <w:bCs/>
                      <w:color w:val="000000" w:themeColor="text1"/>
                      <w:sz w:val="21"/>
                      <w:szCs w:val="21"/>
                      <w:lang w:val="en-US" w:eastAsia="zh-CN"/>
                      <w14:textFill>
                        <w14:solidFill>
                          <w14:schemeClr w14:val="tx1"/>
                        </w14:solidFill>
                      </w14:textFill>
                    </w:rPr>
                    <w:t>0</w:t>
                  </w:r>
                  <w:r>
                    <w:rPr>
                      <w:rFonts w:hint="default" w:ascii="Times New Roman" w:hAnsi="Times New Roman" w:cs="Times New Roman"/>
                      <w:bCs/>
                      <w:color w:val="000000" w:themeColor="text1"/>
                      <w:sz w:val="21"/>
                      <w:szCs w:val="21"/>
                      <w14:textFill>
                        <w14:solidFill>
                          <w14:schemeClr w14:val="tx1"/>
                        </w14:solidFill>
                      </w14:textFill>
                    </w:rPr>
                    <w:t>0平方米</w:t>
                  </w:r>
                  <w:r>
                    <w:rPr>
                      <w:rFonts w:hint="default" w:ascii="Times New Roman" w:hAnsi="Times New Roman" w:cs="Times New Roman"/>
                      <w:bCs/>
                      <w:color w:val="000000" w:themeColor="text1"/>
                      <w:sz w:val="21"/>
                      <w:szCs w:val="21"/>
                      <w:lang w:eastAsia="zh-CN"/>
                      <w14:textFill>
                        <w14:solidFill>
                          <w14:schemeClr w14:val="tx1"/>
                        </w14:solidFill>
                      </w14:textFill>
                    </w:rPr>
                    <w:t>。</w:t>
                  </w:r>
                </w:p>
              </w:tc>
              <w:tc>
                <w:tcPr>
                  <w:tcW w:w="1399" w:type="dxa"/>
                  <w:tcBorders>
                    <w:tl2br w:val="nil"/>
                    <w:tr2bl w:val="nil"/>
                  </w:tcBorders>
                  <w:noWrap w:val="0"/>
                  <w:vAlign w:val="center"/>
                </w:tcPr>
                <w:p w14:paraId="028FC52C">
                  <w:pPr>
                    <w:pStyle w:val="56"/>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危废、环境风险</w:t>
                  </w:r>
                </w:p>
              </w:tc>
            </w:tr>
          </w:tbl>
          <w:p w14:paraId="27A122BE">
            <w:pPr>
              <w:pStyle w:val="43"/>
              <w:rPr>
                <w:rFonts w:hint="default" w:ascii="Times New Roman" w:hAnsi="Times New Roman" w:cs="Times New Roman"/>
                <w:color w:val="auto"/>
                <w:highlight w:val="none"/>
              </w:rPr>
            </w:pPr>
          </w:p>
          <w:p w14:paraId="3D1BBDBE">
            <w:pPr>
              <w:pStyle w:val="42"/>
              <w:numPr>
                <w:ilvl w:val="0"/>
                <w:numId w:val="2"/>
              </w:numPr>
              <w:bidi w:val="0"/>
              <w:ind w:firstLineChars="0"/>
              <w:jc w:val="both"/>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现有产品清单</w:t>
            </w:r>
          </w:p>
          <w:p w14:paraId="2BD0DBAA">
            <w:pPr>
              <w:pStyle w:val="42"/>
              <w:numPr>
                <w:ilvl w:val="0"/>
                <w:numId w:val="0"/>
              </w:numPr>
              <w:bidi w:val="0"/>
              <w:ind w:left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现有项目产品清单如下所示：</w:t>
            </w:r>
          </w:p>
          <w:p w14:paraId="747FF87B">
            <w:pPr>
              <w:pStyle w:val="43"/>
              <w:rPr>
                <w:rFonts w:hint="default" w:ascii="Times New Roman" w:hAnsi="Times New Roman"/>
                <w:color w:val="auto"/>
                <w:highlight w:val="none"/>
              </w:rPr>
            </w:pPr>
            <w:r>
              <w:rPr>
                <w:rFonts w:hint="default" w:ascii="Times New Roman" w:hAnsi="Times New Roman"/>
                <w:color w:val="auto"/>
                <w:highlight w:val="none"/>
              </w:rPr>
              <w:t>表2-</w:t>
            </w:r>
            <w:r>
              <w:rPr>
                <w:rFonts w:hint="eastAsia" w:ascii="Times New Roman" w:hAnsi="Times New Roman"/>
                <w:color w:val="auto"/>
                <w:highlight w:val="none"/>
                <w:lang w:val="en-US" w:eastAsia="zh-CN"/>
              </w:rPr>
              <w:t>7现有</w:t>
            </w:r>
            <w:r>
              <w:rPr>
                <w:rFonts w:hint="default" w:ascii="Times New Roman" w:hAnsi="Times New Roman"/>
                <w:color w:val="auto"/>
                <w:highlight w:val="none"/>
              </w:rPr>
              <w:t>项目产品表</w:t>
            </w:r>
          </w:p>
          <w:tbl>
            <w:tblPr>
              <w:tblStyle w:val="23"/>
              <w:tblW w:w="83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2865"/>
              <w:gridCol w:w="2620"/>
              <w:gridCol w:w="1737"/>
            </w:tblGrid>
            <w:tr w14:paraId="0C311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16" w:type="dxa"/>
                  <w:noWrap w:val="0"/>
                  <w:vAlign w:val="center"/>
                </w:tcPr>
                <w:p w14:paraId="2FE1D6BC">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b/>
                      <w:bCs/>
                      <w:color w:val="000000" w:themeColor="text1"/>
                      <w:sz w:val="21"/>
                      <w:szCs w:val="21"/>
                      <w:highlight w:val="none"/>
                      <w14:textFill>
                        <w14:solidFill>
                          <w14:schemeClr w14:val="tx1"/>
                        </w14:solidFill>
                      </w14:textFill>
                    </w:rPr>
                    <w:t>序号</w:t>
                  </w:r>
                </w:p>
              </w:tc>
              <w:tc>
                <w:tcPr>
                  <w:tcW w:w="2865" w:type="dxa"/>
                  <w:noWrap w:val="0"/>
                  <w:vAlign w:val="center"/>
                </w:tcPr>
                <w:p w14:paraId="1DECB003">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b/>
                      <w:bCs/>
                      <w:color w:val="000000" w:themeColor="text1"/>
                      <w:sz w:val="21"/>
                      <w:szCs w:val="21"/>
                      <w:highlight w:val="none"/>
                      <w14:textFill>
                        <w14:solidFill>
                          <w14:schemeClr w14:val="tx1"/>
                        </w14:solidFill>
                      </w14:textFill>
                    </w:rPr>
                    <w:t>产品名称</w:t>
                  </w:r>
                </w:p>
              </w:tc>
              <w:tc>
                <w:tcPr>
                  <w:tcW w:w="2620" w:type="dxa"/>
                  <w:noWrap w:val="0"/>
                  <w:vAlign w:val="center"/>
                </w:tcPr>
                <w:p w14:paraId="64ECF095">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产量</w:t>
                  </w:r>
                  <w:r>
                    <w:rPr>
                      <w:rFonts w:hint="eastAsia" w:ascii="Times New Roman" w:hAnsi="Times New Roman"/>
                      <w:b/>
                      <w:bCs/>
                      <w:color w:val="000000" w:themeColor="text1"/>
                      <w:sz w:val="21"/>
                      <w:szCs w:val="21"/>
                      <w:highlight w:val="none"/>
                      <w:lang w:eastAsia="zh-CN"/>
                      <w14:textFill>
                        <w14:solidFill>
                          <w14:schemeClr w14:val="tx1"/>
                        </w14:solidFill>
                      </w14:textFill>
                    </w:rPr>
                    <w:t>（</w:t>
                  </w:r>
                  <w:r>
                    <w:rPr>
                      <w:rFonts w:hint="eastAsia" w:ascii="Times New Roman" w:hAnsi="Times New Roman"/>
                      <w:b/>
                      <w:bCs/>
                      <w:color w:val="000000" w:themeColor="text1"/>
                      <w:sz w:val="21"/>
                      <w:szCs w:val="21"/>
                      <w:highlight w:val="none"/>
                      <w:lang w:val="en-US" w:eastAsia="zh-CN"/>
                      <w14:textFill>
                        <w14:solidFill>
                          <w14:schemeClr w14:val="tx1"/>
                        </w14:solidFill>
                      </w14:textFill>
                    </w:rPr>
                    <w:t>t/a</w:t>
                  </w:r>
                  <w:r>
                    <w:rPr>
                      <w:rFonts w:hint="eastAsia" w:ascii="Times New Roman" w:hAnsi="Times New Roman"/>
                      <w:b/>
                      <w:bCs/>
                      <w:color w:val="000000" w:themeColor="text1"/>
                      <w:sz w:val="21"/>
                      <w:szCs w:val="21"/>
                      <w:highlight w:val="none"/>
                      <w:lang w:eastAsia="zh-CN"/>
                      <w14:textFill>
                        <w14:solidFill>
                          <w14:schemeClr w14:val="tx1"/>
                        </w14:solidFill>
                      </w14:textFill>
                    </w:rPr>
                    <w:t>）</w:t>
                  </w:r>
                </w:p>
              </w:tc>
              <w:tc>
                <w:tcPr>
                  <w:tcW w:w="1737" w:type="dxa"/>
                  <w:noWrap w:val="0"/>
                  <w:vAlign w:val="center"/>
                </w:tcPr>
                <w:p w14:paraId="63341C3B">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备注</w:t>
                  </w:r>
                </w:p>
              </w:tc>
            </w:tr>
            <w:tr w14:paraId="43BC5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16" w:type="dxa"/>
                  <w:noWrap w:val="0"/>
                  <w:vAlign w:val="center"/>
                </w:tcPr>
                <w:p w14:paraId="446C9E42">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1</w:t>
                  </w:r>
                </w:p>
              </w:tc>
              <w:tc>
                <w:tcPr>
                  <w:tcW w:w="2865" w:type="dxa"/>
                  <w:noWrap w:val="0"/>
                  <w:vAlign w:val="center"/>
                </w:tcPr>
                <w:p w14:paraId="32FD4631">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橡胶流体管道</w:t>
                  </w:r>
                </w:p>
              </w:tc>
              <w:tc>
                <w:tcPr>
                  <w:tcW w:w="2620" w:type="dxa"/>
                  <w:noWrap w:val="0"/>
                  <w:vAlign w:val="center"/>
                </w:tcPr>
                <w:p w14:paraId="779C63B6">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1280</w:t>
                  </w:r>
                </w:p>
              </w:tc>
              <w:tc>
                <w:tcPr>
                  <w:tcW w:w="1737" w:type="dxa"/>
                  <w:noWrap w:val="0"/>
                  <w:vAlign w:val="center"/>
                </w:tcPr>
                <w:p w14:paraId="7DAC671D">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p>
              </w:tc>
            </w:tr>
            <w:tr w14:paraId="4A263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16" w:type="dxa"/>
                  <w:noWrap w:val="0"/>
                  <w:vAlign w:val="center"/>
                </w:tcPr>
                <w:p w14:paraId="4F43CBD3">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2</w:t>
                  </w:r>
                </w:p>
              </w:tc>
              <w:tc>
                <w:tcPr>
                  <w:tcW w:w="2865" w:type="dxa"/>
                  <w:noWrap w:val="0"/>
                  <w:vAlign w:val="center"/>
                </w:tcPr>
                <w:p w14:paraId="39D1FA6D">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橡胶垫</w:t>
                  </w:r>
                </w:p>
              </w:tc>
              <w:tc>
                <w:tcPr>
                  <w:tcW w:w="2620" w:type="dxa"/>
                  <w:noWrap w:val="0"/>
                  <w:vAlign w:val="center"/>
                </w:tcPr>
                <w:p w14:paraId="56668FA4">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56</w:t>
                  </w:r>
                </w:p>
              </w:tc>
              <w:tc>
                <w:tcPr>
                  <w:tcW w:w="1737" w:type="dxa"/>
                  <w:noWrap w:val="0"/>
                  <w:vAlign w:val="center"/>
                </w:tcPr>
                <w:p w14:paraId="3D4BE079">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p>
              </w:tc>
            </w:tr>
            <w:tr w14:paraId="0CBF1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16" w:type="dxa"/>
                  <w:noWrap w:val="0"/>
                  <w:vAlign w:val="center"/>
                </w:tcPr>
                <w:p w14:paraId="477E904A">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2865" w:type="dxa"/>
                  <w:noWrap w:val="0"/>
                  <w:vAlign w:val="center"/>
                </w:tcPr>
                <w:p w14:paraId="05616EF8">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硅胶管道</w:t>
                  </w:r>
                </w:p>
              </w:tc>
              <w:tc>
                <w:tcPr>
                  <w:tcW w:w="2620" w:type="dxa"/>
                  <w:noWrap w:val="0"/>
                  <w:vAlign w:val="center"/>
                </w:tcPr>
                <w:p w14:paraId="60844F1F">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53</w:t>
                  </w:r>
                </w:p>
              </w:tc>
              <w:tc>
                <w:tcPr>
                  <w:tcW w:w="1737" w:type="dxa"/>
                  <w:vMerge w:val="restart"/>
                  <w:noWrap w:val="0"/>
                  <w:vAlign w:val="center"/>
                </w:tcPr>
                <w:p w14:paraId="0BDDA3D7">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位于罗家湾厂房内生产</w:t>
                  </w:r>
                </w:p>
              </w:tc>
            </w:tr>
            <w:tr w14:paraId="6D2E2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16" w:type="dxa"/>
                  <w:noWrap w:val="0"/>
                  <w:vAlign w:val="center"/>
                </w:tcPr>
                <w:p w14:paraId="66E3A58A">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c>
                <w:tcPr>
                  <w:tcW w:w="2865" w:type="dxa"/>
                  <w:noWrap w:val="0"/>
                  <w:vAlign w:val="center"/>
                </w:tcPr>
                <w:p w14:paraId="7D28D6F3">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硬管（金属管道）</w:t>
                  </w:r>
                </w:p>
              </w:tc>
              <w:tc>
                <w:tcPr>
                  <w:tcW w:w="2620" w:type="dxa"/>
                  <w:noWrap w:val="0"/>
                  <w:vAlign w:val="center"/>
                </w:tcPr>
                <w:p w14:paraId="21BB56C0">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50</w:t>
                  </w:r>
                </w:p>
              </w:tc>
              <w:tc>
                <w:tcPr>
                  <w:tcW w:w="1737" w:type="dxa"/>
                  <w:vMerge w:val="continue"/>
                  <w:noWrap w:val="0"/>
                  <w:vAlign w:val="center"/>
                </w:tcPr>
                <w:p w14:paraId="2C410A77">
                  <w:pPr>
                    <w:pStyle w:val="86"/>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p>
              </w:tc>
            </w:tr>
          </w:tbl>
          <w:p w14:paraId="5B42869B">
            <w:pPr>
              <w:pStyle w:val="52"/>
              <w:spacing w:before="156" w:line="240" w:lineRule="auto"/>
              <w:ind w:firstLine="482" w:firstLineChars="200"/>
              <w:rPr>
                <w:rFonts w:hint="eastAsia"/>
                <w:color w:val="auto"/>
                <w:sz w:val="24"/>
                <w:szCs w:val="21"/>
                <w:highlight w:val="none"/>
              </w:rPr>
            </w:pPr>
            <w:r>
              <w:rPr>
                <w:rFonts w:hint="eastAsia"/>
                <w:color w:val="auto"/>
                <w:sz w:val="24"/>
                <w:szCs w:val="21"/>
                <w:highlight w:val="none"/>
                <w:lang w:val="en-US" w:eastAsia="zh-CN"/>
              </w:rPr>
              <w:t>6.</w:t>
            </w:r>
            <w:r>
              <w:rPr>
                <w:rFonts w:hint="eastAsia"/>
                <w:color w:val="auto"/>
                <w:sz w:val="24"/>
                <w:szCs w:val="21"/>
                <w:highlight w:val="none"/>
              </w:rPr>
              <w:t>现有项目工艺流程</w:t>
            </w:r>
          </w:p>
          <w:p w14:paraId="2F28D9D2">
            <w:pPr>
              <w:pStyle w:val="43"/>
              <w:bidi w:val="0"/>
              <w:rPr>
                <w:rFonts w:hint="default"/>
                <w:color w:val="000000" w:themeColor="text1"/>
                <w:lang w:val="en-US" w:eastAsia="zh-CN"/>
                <w14:textFill>
                  <w14:solidFill>
                    <w14:schemeClr w14:val="tx1"/>
                  </w14:solidFill>
                </w14:textFill>
              </w:rPr>
            </w:pPr>
            <w:r>
              <w:rPr>
                <w:rFonts w:hint="eastAsia" w:cs="宋体"/>
                <w:color w:val="000000" w:themeColor="text1"/>
                <w:kern w:val="2"/>
                <w:sz w:val="24"/>
                <w:szCs w:val="21"/>
                <w:lang w:val="en-US" w:eastAsia="zh-CN" w:bidi="ar-SA"/>
                <w14:textFill>
                  <w14:solidFill>
                    <w14:schemeClr w14:val="tx1"/>
                  </w14:solidFill>
                </w14:textFill>
              </w:rPr>
              <w:t>企业不公开</w:t>
            </w:r>
          </w:p>
          <w:p w14:paraId="7B72956B">
            <w:pPr>
              <w:ind w:firstLine="562"/>
              <w:rPr>
                <w:rFonts w:hint="eastAsia" w:eastAsia="宋体"/>
                <w:b/>
                <w:bCs/>
                <w:color w:val="000000" w:themeColor="text1"/>
                <w:sz w:val="28"/>
                <w:szCs w:val="32"/>
                <w:lang w:eastAsia="zh-CN"/>
                <w14:textFill>
                  <w14:solidFill>
                    <w14:schemeClr w14:val="tx1"/>
                  </w14:solidFill>
                </w14:textFill>
              </w:rPr>
            </w:pPr>
            <w:r>
              <w:rPr>
                <w:rFonts w:hint="eastAsia"/>
                <w:b/>
                <w:bCs/>
                <w:color w:val="000000" w:themeColor="text1"/>
                <w:sz w:val="28"/>
                <w:szCs w:val="32"/>
                <w:lang w:val="en-US" w:eastAsia="zh-CN"/>
                <w14:textFill>
                  <w14:solidFill>
                    <w14:schemeClr w14:val="tx1"/>
                  </w14:solidFill>
                </w14:textFill>
              </w:rPr>
              <w:t>7.</w:t>
            </w:r>
            <w:r>
              <w:rPr>
                <w:rFonts w:hint="eastAsia"/>
                <w:b/>
                <w:bCs/>
                <w:color w:val="000000" w:themeColor="text1"/>
                <w:sz w:val="28"/>
                <w:szCs w:val="32"/>
                <w14:textFill>
                  <w14:solidFill>
                    <w14:schemeClr w14:val="tx1"/>
                  </w14:solidFill>
                </w14:textFill>
              </w:rPr>
              <w:t>现有工程</w:t>
            </w:r>
            <w:r>
              <w:rPr>
                <w:rFonts w:hint="eastAsia"/>
                <w:b/>
                <w:bCs/>
                <w:color w:val="000000" w:themeColor="text1"/>
                <w:sz w:val="28"/>
                <w:szCs w:val="32"/>
                <w:lang w:eastAsia="zh-CN"/>
                <w14:textFill>
                  <w14:solidFill>
                    <w14:schemeClr w14:val="tx1"/>
                  </w14:solidFill>
                </w14:textFill>
              </w:rPr>
              <w:t>环境问题及“以新带老措施”</w:t>
            </w:r>
          </w:p>
          <w:p w14:paraId="554066ED">
            <w:pPr>
              <w:pStyle w:val="43"/>
              <w:keepNext w:val="0"/>
              <w:keepLines w:val="0"/>
              <w:pageBreakBefore w:val="0"/>
              <w:widowControl w:val="0"/>
              <w:kinsoku/>
              <w:wordWrap/>
              <w:overflowPunct/>
              <w:topLinePunct w:val="0"/>
              <w:autoSpaceDE/>
              <w:autoSpaceDN/>
              <w:bidi w:val="0"/>
              <w:adjustRightInd/>
              <w:snapToGrid/>
              <w:spacing w:before="313" w:beforeLines="1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2-8</w:t>
            </w:r>
            <w:r>
              <w:rPr>
                <w:rFonts w:hint="eastAsia"/>
                <w:color w:val="000000" w:themeColor="text1"/>
                <w14:textFill>
                  <w14:solidFill>
                    <w14:schemeClr w14:val="tx1"/>
                  </w14:solidFill>
                </w14:textFill>
              </w:rPr>
              <w:t>现有工程污染物产生情况表</w:t>
            </w:r>
          </w:p>
          <w:tbl>
            <w:tblPr>
              <w:tblStyle w:val="23"/>
              <w:tblW w:w="84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322"/>
              <w:gridCol w:w="1597"/>
              <w:gridCol w:w="2179"/>
              <w:gridCol w:w="892"/>
              <w:gridCol w:w="1671"/>
            </w:tblGrid>
            <w:tr w14:paraId="003B5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756" w:type="dxa"/>
                  <w:tcBorders>
                    <w:tl2br w:val="nil"/>
                    <w:tr2bl w:val="nil"/>
                  </w:tcBorders>
                  <w:noWrap w:val="0"/>
                  <w:vAlign w:val="center"/>
                </w:tcPr>
                <w:p w14:paraId="3D29BC7D">
                  <w:pPr>
                    <w:pStyle w:val="8"/>
                    <w:spacing w:before="0" w:line="36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污染源</w:t>
                  </w:r>
                </w:p>
              </w:tc>
              <w:tc>
                <w:tcPr>
                  <w:tcW w:w="1322" w:type="dxa"/>
                  <w:tcBorders>
                    <w:tl2br w:val="nil"/>
                    <w:tr2bl w:val="nil"/>
                  </w:tcBorders>
                  <w:noWrap w:val="0"/>
                  <w:vAlign w:val="center"/>
                </w:tcPr>
                <w:p w14:paraId="625E89C7">
                  <w:pPr>
                    <w:pStyle w:val="8"/>
                    <w:spacing w:before="0" w:line="36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产生节点</w:t>
                  </w:r>
                </w:p>
              </w:tc>
              <w:tc>
                <w:tcPr>
                  <w:tcW w:w="1597" w:type="dxa"/>
                  <w:tcBorders>
                    <w:tl2br w:val="nil"/>
                    <w:tr2bl w:val="nil"/>
                  </w:tcBorders>
                  <w:noWrap w:val="0"/>
                  <w:vAlign w:val="center"/>
                </w:tcPr>
                <w:p w14:paraId="411B6A30">
                  <w:pPr>
                    <w:pStyle w:val="8"/>
                    <w:spacing w:before="0" w:line="360" w:lineRule="auto"/>
                    <w:ind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主要污染物</w:t>
                  </w:r>
                </w:p>
              </w:tc>
              <w:tc>
                <w:tcPr>
                  <w:tcW w:w="2179" w:type="dxa"/>
                  <w:tcBorders>
                    <w:tl2br w:val="nil"/>
                    <w:tr2bl w:val="nil"/>
                  </w:tcBorders>
                  <w:noWrap w:val="0"/>
                  <w:vAlign w:val="center"/>
                </w:tcPr>
                <w:p w14:paraId="3B87E582">
                  <w:pPr>
                    <w:pStyle w:val="9"/>
                    <w:spacing w:line="36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治理措施</w:t>
                  </w:r>
                </w:p>
              </w:tc>
              <w:tc>
                <w:tcPr>
                  <w:tcW w:w="892" w:type="dxa"/>
                  <w:tcBorders>
                    <w:tl2br w:val="nil"/>
                    <w:tr2bl w:val="nil"/>
                  </w:tcBorders>
                  <w:noWrap w:val="0"/>
                  <w:vAlign w:val="center"/>
                </w:tcPr>
                <w:p w14:paraId="02CD62EE">
                  <w:pPr>
                    <w:pStyle w:val="9"/>
                    <w:spacing w:line="36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是否存在环境问题</w:t>
                  </w:r>
                </w:p>
              </w:tc>
              <w:tc>
                <w:tcPr>
                  <w:tcW w:w="1671" w:type="dxa"/>
                  <w:tcBorders>
                    <w:tl2br w:val="nil"/>
                    <w:tr2bl w:val="nil"/>
                  </w:tcBorders>
                  <w:noWrap w:val="0"/>
                  <w:vAlign w:val="center"/>
                </w:tcPr>
                <w:p w14:paraId="0772A7E5">
                  <w:pPr>
                    <w:pStyle w:val="9"/>
                    <w:spacing w:line="360" w:lineRule="auto"/>
                    <w:ind w:firstLine="0" w:firstLineChars="0"/>
                    <w:jc w:val="center"/>
                    <w:rPr>
                      <w:b/>
                      <w:color w:val="000000" w:themeColor="text1"/>
                      <w:szCs w:val="21"/>
                      <w14:textFill>
                        <w14:solidFill>
                          <w14:schemeClr w14:val="tx1"/>
                        </w14:solidFill>
                      </w14:textFill>
                    </w:rPr>
                  </w:pPr>
                  <w:r>
                    <w:rPr>
                      <w:rFonts w:hint="eastAsia"/>
                      <w:b/>
                      <w:bCs/>
                      <w:color w:val="000000" w:themeColor="text1"/>
                      <w:lang w:eastAsia="zh-CN"/>
                      <w14:textFill>
                        <w14:solidFill>
                          <w14:schemeClr w14:val="tx1"/>
                        </w14:solidFill>
                      </w14:textFill>
                    </w:rPr>
                    <w:t>以新代老措施</w:t>
                  </w:r>
                </w:p>
              </w:tc>
            </w:tr>
            <w:tr w14:paraId="30264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56" w:type="dxa"/>
                  <w:vMerge w:val="restart"/>
                  <w:tcBorders>
                    <w:tl2br w:val="nil"/>
                    <w:tr2bl w:val="nil"/>
                  </w:tcBorders>
                  <w:noWrap w:val="0"/>
                  <w:vAlign w:val="center"/>
                </w:tcPr>
                <w:p w14:paraId="4BAF7437">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废气</w:t>
                  </w:r>
                </w:p>
              </w:tc>
              <w:tc>
                <w:tcPr>
                  <w:tcW w:w="1322" w:type="dxa"/>
                  <w:tcBorders>
                    <w:tl2br w:val="nil"/>
                    <w:tr2bl w:val="nil"/>
                  </w:tcBorders>
                  <w:noWrap w:val="0"/>
                  <w:vAlign w:val="center"/>
                </w:tcPr>
                <w:p w14:paraId="625387DD">
                  <w:pPr>
                    <w:pStyle w:val="8"/>
                    <w:spacing w:before="0"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炼胶</w:t>
                  </w:r>
                </w:p>
              </w:tc>
              <w:tc>
                <w:tcPr>
                  <w:tcW w:w="1597" w:type="dxa"/>
                  <w:tcBorders>
                    <w:tl2br w:val="nil"/>
                    <w:tr2bl w:val="nil"/>
                  </w:tcBorders>
                  <w:noWrap w:val="0"/>
                  <w:vAlign w:val="center"/>
                </w:tcPr>
                <w:p w14:paraId="5945F6DE">
                  <w:pPr>
                    <w:pStyle w:val="8"/>
                    <w:spacing w:before="0"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颗粒物</w:t>
                  </w:r>
                  <w:r>
                    <w:rPr>
                      <w:rFonts w:hint="eastAsia" w:ascii="Times New Roman" w:hAnsi="Times New Roman" w:cs="Times New Roman"/>
                      <w:color w:val="000000" w:themeColor="text1"/>
                      <w:sz w:val="21"/>
                      <w:szCs w:val="21"/>
                      <w:lang w:eastAsia="zh-CN"/>
                      <w14:textFill>
                        <w14:solidFill>
                          <w14:schemeClr w14:val="tx1"/>
                        </w14:solidFill>
                      </w14:textFill>
                    </w:rPr>
                    <w:t>、非甲烷总烃</w:t>
                  </w:r>
                </w:p>
              </w:tc>
              <w:tc>
                <w:tcPr>
                  <w:tcW w:w="2179" w:type="dxa"/>
                  <w:tcBorders>
                    <w:tl2br w:val="nil"/>
                    <w:tr2bl w:val="nil"/>
                  </w:tcBorders>
                  <w:noWrap w:val="0"/>
                  <w:vAlign w:val="center"/>
                </w:tcPr>
                <w:p w14:paraId="64858DFB">
                  <w:pPr>
                    <w:pStyle w:val="8"/>
                    <w:spacing w:before="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旋风除尘</w:t>
                  </w:r>
                  <w:r>
                    <w:rPr>
                      <w:rFonts w:hint="eastAsia" w:ascii="Times New Roman" w:hAnsi="Times New Roman" w:cs="Times New Roman"/>
                      <w:color w:val="000000" w:themeColor="text1"/>
                      <w:sz w:val="21"/>
                      <w:szCs w:val="21"/>
                      <w:lang w:val="en-US" w:eastAsia="zh-CN"/>
                      <w14:textFill>
                        <w14:solidFill>
                          <w14:schemeClr w14:val="tx1"/>
                        </w14:solidFill>
                      </w14:textFill>
                    </w:rPr>
                    <w:t>+布袋除尘+光氧+活性炭吸附+15m排气筒</w:t>
                  </w:r>
                </w:p>
              </w:tc>
              <w:tc>
                <w:tcPr>
                  <w:tcW w:w="892" w:type="dxa"/>
                  <w:tcBorders>
                    <w:tl2br w:val="nil"/>
                    <w:tr2bl w:val="nil"/>
                  </w:tcBorders>
                  <w:noWrap w:val="0"/>
                  <w:vAlign w:val="center"/>
                </w:tcPr>
                <w:p w14:paraId="458F66FE">
                  <w:pPr>
                    <w:pStyle w:val="8"/>
                    <w:spacing w:before="0"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否</w:t>
                  </w:r>
                </w:p>
              </w:tc>
              <w:tc>
                <w:tcPr>
                  <w:tcW w:w="1671" w:type="dxa"/>
                  <w:tcBorders>
                    <w:tl2br w:val="nil"/>
                    <w:tr2bl w:val="nil"/>
                  </w:tcBorders>
                  <w:noWrap w:val="0"/>
                  <w:vAlign w:val="center"/>
                </w:tcPr>
                <w:p w14:paraId="08DB8CE4">
                  <w:pPr>
                    <w:pStyle w:val="8"/>
                    <w:spacing w:before="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无</w:t>
                  </w:r>
                </w:p>
              </w:tc>
            </w:tr>
            <w:tr w14:paraId="50CC4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756" w:type="dxa"/>
                  <w:vMerge w:val="continue"/>
                  <w:tcBorders>
                    <w:tl2br w:val="nil"/>
                    <w:tr2bl w:val="nil"/>
                  </w:tcBorders>
                  <w:noWrap w:val="0"/>
                  <w:vAlign w:val="center"/>
                </w:tcPr>
                <w:p w14:paraId="38144843">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322" w:type="dxa"/>
                  <w:tcBorders>
                    <w:tl2br w:val="nil"/>
                    <w:tr2bl w:val="nil"/>
                  </w:tcBorders>
                  <w:noWrap w:val="0"/>
                  <w:vAlign w:val="center"/>
                </w:tcPr>
                <w:p w14:paraId="7630DB02">
                  <w:pPr>
                    <w:pStyle w:val="8"/>
                    <w:spacing w:before="0"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硫化</w:t>
                  </w:r>
                </w:p>
              </w:tc>
              <w:tc>
                <w:tcPr>
                  <w:tcW w:w="1597" w:type="dxa"/>
                  <w:tcBorders>
                    <w:tl2br w:val="nil"/>
                    <w:tr2bl w:val="nil"/>
                  </w:tcBorders>
                  <w:noWrap w:val="0"/>
                  <w:vAlign w:val="center"/>
                </w:tcPr>
                <w:p w14:paraId="565BE13E">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非甲烷总烃</w:t>
                  </w:r>
                </w:p>
              </w:tc>
              <w:tc>
                <w:tcPr>
                  <w:tcW w:w="2179" w:type="dxa"/>
                  <w:tcBorders>
                    <w:tl2br w:val="nil"/>
                    <w:tr2bl w:val="nil"/>
                  </w:tcBorders>
                  <w:noWrap w:val="0"/>
                  <w:vAlign w:val="center"/>
                </w:tcPr>
                <w:p w14:paraId="195F9585">
                  <w:pPr>
                    <w:pStyle w:val="8"/>
                    <w:spacing w:before="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喷淋+光氧+15m排气筒</w:t>
                  </w:r>
                </w:p>
              </w:tc>
              <w:tc>
                <w:tcPr>
                  <w:tcW w:w="892" w:type="dxa"/>
                  <w:tcBorders>
                    <w:tl2br w:val="nil"/>
                    <w:tr2bl w:val="nil"/>
                  </w:tcBorders>
                  <w:noWrap w:val="0"/>
                  <w:vAlign w:val="center"/>
                </w:tcPr>
                <w:p w14:paraId="7F77114B">
                  <w:pPr>
                    <w:pStyle w:val="8"/>
                    <w:spacing w:before="0"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是</w:t>
                  </w:r>
                </w:p>
              </w:tc>
              <w:tc>
                <w:tcPr>
                  <w:tcW w:w="1671" w:type="dxa"/>
                  <w:tcBorders>
                    <w:tl2br w:val="nil"/>
                    <w:tr2bl w:val="nil"/>
                  </w:tcBorders>
                  <w:noWrap w:val="0"/>
                  <w:vAlign w:val="center"/>
                </w:tcPr>
                <w:p w14:paraId="7778CB2F">
                  <w:pPr>
                    <w:pStyle w:val="8"/>
                    <w:spacing w:before="0" w:line="240" w:lineRule="auto"/>
                    <w:ind w:firstLine="0" w:firstLineChars="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喷淋+光氧治理挥发性有机废气属于低效技术，本次更新为干湿过滤+活性炭吸附</w:t>
                  </w:r>
                </w:p>
              </w:tc>
            </w:tr>
            <w:tr w14:paraId="539F8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56" w:type="dxa"/>
                  <w:vMerge w:val="continue"/>
                  <w:tcBorders>
                    <w:tl2br w:val="nil"/>
                    <w:tr2bl w:val="nil"/>
                  </w:tcBorders>
                  <w:noWrap w:val="0"/>
                  <w:vAlign w:val="center"/>
                </w:tcPr>
                <w:p w14:paraId="64CC87B0">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322" w:type="dxa"/>
                  <w:tcBorders>
                    <w:tl2br w:val="nil"/>
                    <w:tr2bl w:val="nil"/>
                  </w:tcBorders>
                  <w:noWrap w:val="0"/>
                  <w:vAlign w:val="center"/>
                </w:tcPr>
                <w:p w14:paraId="5FBBC651">
                  <w:pPr>
                    <w:pStyle w:val="8"/>
                    <w:spacing w:before="0" w:line="240" w:lineRule="auto"/>
                    <w:ind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橡胶减震垫挤出</w:t>
                  </w:r>
                </w:p>
              </w:tc>
              <w:tc>
                <w:tcPr>
                  <w:tcW w:w="1597" w:type="dxa"/>
                  <w:tcBorders>
                    <w:tl2br w:val="nil"/>
                    <w:tr2bl w:val="nil"/>
                  </w:tcBorders>
                  <w:noWrap w:val="0"/>
                  <w:vAlign w:val="center"/>
                </w:tcPr>
                <w:p w14:paraId="7C2AA58A">
                  <w:pPr>
                    <w:pStyle w:val="8"/>
                    <w:spacing w:before="0" w:line="240" w:lineRule="auto"/>
                    <w:ind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非甲烷总烃、颗粒物</w:t>
                  </w:r>
                </w:p>
              </w:tc>
              <w:tc>
                <w:tcPr>
                  <w:tcW w:w="2179" w:type="dxa"/>
                  <w:tcBorders>
                    <w:tl2br w:val="nil"/>
                    <w:tr2bl w:val="nil"/>
                  </w:tcBorders>
                  <w:noWrap w:val="0"/>
                  <w:vAlign w:val="center"/>
                </w:tcPr>
                <w:p w14:paraId="3CF9E7F3">
                  <w:pPr>
                    <w:pStyle w:val="8"/>
                    <w:spacing w:before="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过滤棉</w:t>
                  </w:r>
                  <w:r>
                    <w:rPr>
                      <w:rFonts w:hint="eastAsia" w:ascii="Times New Roman" w:hAnsi="Times New Roman" w:cs="Times New Roman"/>
                      <w:color w:val="000000" w:themeColor="text1"/>
                      <w:sz w:val="21"/>
                      <w:szCs w:val="21"/>
                      <w:lang w:val="en-US" w:eastAsia="zh-CN"/>
                      <w14:textFill>
                        <w14:solidFill>
                          <w14:schemeClr w14:val="tx1"/>
                        </w14:solidFill>
                      </w14:textFill>
                    </w:rPr>
                    <w:t>+光氧+活性炭吸附系统+15m排气筒</w:t>
                  </w:r>
                </w:p>
              </w:tc>
              <w:tc>
                <w:tcPr>
                  <w:tcW w:w="892" w:type="dxa"/>
                  <w:tcBorders>
                    <w:tl2br w:val="nil"/>
                    <w:tr2bl w:val="nil"/>
                  </w:tcBorders>
                  <w:noWrap w:val="0"/>
                  <w:vAlign w:val="center"/>
                </w:tcPr>
                <w:p w14:paraId="7729D6E0">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否</w:t>
                  </w:r>
                </w:p>
              </w:tc>
              <w:tc>
                <w:tcPr>
                  <w:tcW w:w="1671" w:type="dxa"/>
                  <w:tcBorders>
                    <w:tl2br w:val="nil"/>
                    <w:tr2bl w:val="nil"/>
                  </w:tcBorders>
                  <w:noWrap w:val="0"/>
                  <w:vAlign w:val="center"/>
                </w:tcPr>
                <w:p w14:paraId="3F8424C7">
                  <w:pPr>
                    <w:pStyle w:val="8"/>
                    <w:spacing w:before="0" w:line="240" w:lineRule="auto"/>
                    <w:ind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无</w:t>
                  </w:r>
                </w:p>
              </w:tc>
            </w:tr>
            <w:tr w14:paraId="64347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56" w:type="dxa"/>
                  <w:vMerge w:val="continue"/>
                  <w:tcBorders>
                    <w:tl2br w:val="nil"/>
                    <w:tr2bl w:val="nil"/>
                  </w:tcBorders>
                  <w:noWrap w:val="0"/>
                  <w:vAlign w:val="center"/>
                </w:tcPr>
                <w:p w14:paraId="1043D8C2">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322" w:type="dxa"/>
                  <w:tcBorders>
                    <w:tl2br w:val="nil"/>
                    <w:tr2bl w:val="nil"/>
                  </w:tcBorders>
                  <w:noWrap w:val="0"/>
                  <w:vAlign w:val="center"/>
                </w:tcPr>
                <w:p w14:paraId="3BE77A67">
                  <w:pPr>
                    <w:pStyle w:val="8"/>
                    <w:spacing w:before="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硅胶管固化废气</w:t>
                  </w:r>
                </w:p>
              </w:tc>
              <w:tc>
                <w:tcPr>
                  <w:tcW w:w="1597" w:type="dxa"/>
                  <w:tcBorders>
                    <w:tl2br w:val="nil"/>
                    <w:tr2bl w:val="nil"/>
                  </w:tcBorders>
                  <w:noWrap w:val="0"/>
                  <w:vAlign w:val="center"/>
                </w:tcPr>
                <w:p w14:paraId="6630130C">
                  <w:pPr>
                    <w:pStyle w:val="8"/>
                    <w:spacing w:before="0" w:line="240" w:lineRule="auto"/>
                    <w:ind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非甲烷总烃</w:t>
                  </w:r>
                </w:p>
              </w:tc>
              <w:tc>
                <w:tcPr>
                  <w:tcW w:w="2179" w:type="dxa"/>
                  <w:tcBorders>
                    <w:tl2br w:val="nil"/>
                    <w:tr2bl w:val="nil"/>
                  </w:tcBorders>
                  <w:noWrap w:val="0"/>
                  <w:vAlign w:val="center"/>
                </w:tcPr>
                <w:p w14:paraId="2E10D4D5">
                  <w:pPr>
                    <w:pStyle w:val="8"/>
                    <w:spacing w:before="0" w:line="240" w:lineRule="auto"/>
                    <w:ind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活性炭吸附系统+20m排气筒</w:t>
                  </w:r>
                </w:p>
              </w:tc>
              <w:tc>
                <w:tcPr>
                  <w:tcW w:w="892" w:type="dxa"/>
                  <w:tcBorders>
                    <w:tl2br w:val="nil"/>
                    <w:tr2bl w:val="nil"/>
                  </w:tcBorders>
                  <w:noWrap w:val="0"/>
                  <w:vAlign w:val="center"/>
                </w:tcPr>
                <w:p w14:paraId="4491A8DF">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否</w:t>
                  </w:r>
                </w:p>
              </w:tc>
              <w:tc>
                <w:tcPr>
                  <w:tcW w:w="1671" w:type="dxa"/>
                  <w:tcBorders>
                    <w:tl2br w:val="nil"/>
                    <w:tr2bl w:val="nil"/>
                  </w:tcBorders>
                  <w:noWrap w:val="0"/>
                  <w:vAlign w:val="center"/>
                </w:tcPr>
                <w:p w14:paraId="6EF114D8">
                  <w:pPr>
                    <w:pStyle w:val="8"/>
                    <w:spacing w:before="0" w:line="240" w:lineRule="auto"/>
                    <w:ind w:firstLine="0" w:firstLineChars="0"/>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无</w:t>
                  </w:r>
                </w:p>
              </w:tc>
            </w:tr>
            <w:tr w14:paraId="4C143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56" w:type="dxa"/>
                  <w:vMerge w:val="continue"/>
                  <w:tcBorders>
                    <w:tl2br w:val="nil"/>
                    <w:tr2bl w:val="nil"/>
                  </w:tcBorders>
                  <w:noWrap w:val="0"/>
                  <w:vAlign w:val="center"/>
                </w:tcPr>
                <w:p w14:paraId="4456DD32">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322" w:type="dxa"/>
                  <w:tcBorders>
                    <w:tl2br w:val="nil"/>
                    <w:tr2bl w:val="nil"/>
                  </w:tcBorders>
                  <w:shd w:val="clear" w:color="auto" w:fill="auto"/>
                  <w:noWrap w:val="0"/>
                  <w:vAlign w:val="center"/>
                </w:tcPr>
                <w:p w14:paraId="088548E6">
                  <w:pPr>
                    <w:pStyle w:val="8"/>
                    <w:spacing w:before="0"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锅炉废气</w:t>
                  </w:r>
                </w:p>
              </w:tc>
              <w:tc>
                <w:tcPr>
                  <w:tcW w:w="1597" w:type="dxa"/>
                  <w:tcBorders>
                    <w:tl2br w:val="nil"/>
                    <w:tr2bl w:val="nil"/>
                  </w:tcBorders>
                  <w:shd w:val="clear" w:color="auto" w:fill="auto"/>
                  <w:noWrap w:val="0"/>
                  <w:vAlign w:val="center"/>
                </w:tcPr>
                <w:p w14:paraId="2A1ACB93">
                  <w:pPr>
                    <w:pStyle w:val="8"/>
                    <w:spacing w:before="0"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颗粒物</w:t>
                  </w:r>
                  <w:r>
                    <w:rPr>
                      <w:rFonts w:hint="eastAsia" w:ascii="Times New Roman" w:hAnsi="Times New Roman" w:cs="Times New Roman"/>
                      <w:color w:val="000000" w:themeColor="text1"/>
                      <w:sz w:val="21"/>
                      <w:szCs w:val="21"/>
                      <w:lang w:eastAsia="zh-CN"/>
                      <w14:textFill>
                        <w14:solidFill>
                          <w14:schemeClr w14:val="tx1"/>
                        </w14:solidFill>
                      </w14:textFill>
                    </w:rPr>
                    <w:t>、氮氧化物、二氧化硫、林格曼黑度</w:t>
                  </w:r>
                </w:p>
              </w:tc>
              <w:tc>
                <w:tcPr>
                  <w:tcW w:w="2179" w:type="dxa"/>
                  <w:tcBorders>
                    <w:tl2br w:val="nil"/>
                    <w:tr2bl w:val="nil"/>
                  </w:tcBorders>
                  <w:shd w:val="clear" w:color="auto" w:fill="auto"/>
                  <w:noWrap w:val="0"/>
                  <w:vAlign w:val="center"/>
                </w:tcPr>
                <w:p w14:paraId="6549171A">
                  <w:pPr>
                    <w:pStyle w:val="8"/>
                    <w:spacing w:before="0"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设置1</w:t>
                  </w:r>
                  <w:r>
                    <w:rPr>
                      <w:rFonts w:hint="eastAsia" w:ascii="Times New Roman" w:hAnsi="Times New Roman" w:cs="Times New Roman"/>
                      <w:color w:val="000000" w:themeColor="text1"/>
                      <w:sz w:val="21"/>
                      <w:szCs w:val="21"/>
                      <w:lang w:val="en-US" w:eastAsia="zh-CN"/>
                      <w14:textFill>
                        <w14:solidFill>
                          <w14:schemeClr w14:val="tx1"/>
                        </w14:solidFill>
                      </w14:textFill>
                    </w:rPr>
                    <w:t>2m排气筒直排</w:t>
                  </w:r>
                </w:p>
              </w:tc>
              <w:tc>
                <w:tcPr>
                  <w:tcW w:w="892" w:type="dxa"/>
                  <w:tcBorders>
                    <w:tl2br w:val="nil"/>
                    <w:tr2bl w:val="nil"/>
                  </w:tcBorders>
                  <w:shd w:val="clear" w:color="auto" w:fill="auto"/>
                  <w:noWrap w:val="0"/>
                  <w:vAlign w:val="center"/>
                </w:tcPr>
                <w:p w14:paraId="78A33003">
                  <w:pPr>
                    <w:pStyle w:val="8"/>
                    <w:spacing w:before="0"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否</w:t>
                  </w:r>
                </w:p>
              </w:tc>
              <w:tc>
                <w:tcPr>
                  <w:tcW w:w="1671" w:type="dxa"/>
                  <w:tcBorders>
                    <w:tl2br w:val="nil"/>
                    <w:tr2bl w:val="nil"/>
                  </w:tcBorders>
                  <w:shd w:val="clear" w:color="auto" w:fill="auto"/>
                  <w:noWrap w:val="0"/>
                  <w:vAlign w:val="center"/>
                </w:tcPr>
                <w:p w14:paraId="0FBE88F8">
                  <w:pPr>
                    <w:pStyle w:val="8"/>
                    <w:spacing w:before="0"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无</w:t>
                  </w:r>
                </w:p>
              </w:tc>
            </w:tr>
            <w:tr w14:paraId="60ADC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56" w:type="dxa"/>
                  <w:vMerge w:val="continue"/>
                  <w:tcBorders>
                    <w:tl2br w:val="nil"/>
                    <w:tr2bl w:val="nil"/>
                  </w:tcBorders>
                  <w:noWrap w:val="0"/>
                  <w:vAlign w:val="center"/>
                </w:tcPr>
                <w:p w14:paraId="066BF0FC">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322" w:type="dxa"/>
                  <w:tcBorders>
                    <w:tl2br w:val="nil"/>
                    <w:tr2bl w:val="nil"/>
                  </w:tcBorders>
                  <w:shd w:val="clear" w:color="auto" w:fill="auto"/>
                  <w:noWrap w:val="0"/>
                  <w:vAlign w:val="center"/>
                </w:tcPr>
                <w:p w14:paraId="4543C4FB">
                  <w:pPr>
                    <w:pStyle w:val="8"/>
                    <w:spacing w:before="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实验室废气</w:t>
                  </w:r>
                </w:p>
              </w:tc>
              <w:tc>
                <w:tcPr>
                  <w:tcW w:w="1597" w:type="dxa"/>
                  <w:tcBorders>
                    <w:tl2br w:val="nil"/>
                    <w:tr2bl w:val="nil"/>
                  </w:tcBorders>
                  <w:shd w:val="clear" w:color="auto" w:fill="auto"/>
                  <w:noWrap w:val="0"/>
                  <w:vAlign w:val="center"/>
                </w:tcPr>
                <w:p w14:paraId="2437D0C1">
                  <w:pPr>
                    <w:pStyle w:val="8"/>
                    <w:spacing w:before="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颗粒物、非甲烷总烃</w:t>
                  </w:r>
                </w:p>
              </w:tc>
              <w:tc>
                <w:tcPr>
                  <w:tcW w:w="2179" w:type="dxa"/>
                  <w:tcBorders>
                    <w:tl2br w:val="nil"/>
                    <w:tr2bl w:val="nil"/>
                  </w:tcBorders>
                  <w:shd w:val="clear" w:color="auto" w:fill="auto"/>
                  <w:noWrap w:val="0"/>
                  <w:vAlign w:val="center"/>
                </w:tcPr>
                <w:p w14:paraId="4C68D024">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活性炭吸附系统+20m排气筒</w:t>
                  </w:r>
                </w:p>
              </w:tc>
              <w:tc>
                <w:tcPr>
                  <w:tcW w:w="892" w:type="dxa"/>
                  <w:tcBorders>
                    <w:tl2br w:val="nil"/>
                    <w:tr2bl w:val="nil"/>
                  </w:tcBorders>
                  <w:shd w:val="clear" w:color="auto" w:fill="auto"/>
                  <w:noWrap w:val="0"/>
                  <w:vAlign w:val="center"/>
                </w:tcPr>
                <w:p w14:paraId="0A48BF60">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否</w:t>
                  </w:r>
                </w:p>
              </w:tc>
              <w:tc>
                <w:tcPr>
                  <w:tcW w:w="1671" w:type="dxa"/>
                  <w:tcBorders>
                    <w:tl2br w:val="nil"/>
                    <w:tr2bl w:val="nil"/>
                  </w:tcBorders>
                  <w:shd w:val="clear" w:color="auto" w:fill="auto"/>
                  <w:noWrap w:val="0"/>
                  <w:vAlign w:val="center"/>
                </w:tcPr>
                <w:p w14:paraId="02B58B6D">
                  <w:pPr>
                    <w:pStyle w:val="8"/>
                    <w:spacing w:before="0" w:line="240" w:lineRule="auto"/>
                    <w:ind w:firstLine="0" w:firstLineChars="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无</w:t>
                  </w:r>
                </w:p>
              </w:tc>
            </w:tr>
            <w:tr w14:paraId="6414D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56" w:type="dxa"/>
                  <w:vMerge w:val="continue"/>
                  <w:tcBorders>
                    <w:tl2br w:val="nil"/>
                    <w:tr2bl w:val="nil"/>
                  </w:tcBorders>
                  <w:noWrap w:val="0"/>
                  <w:vAlign w:val="center"/>
                </w:tcPr>
                <w:p w14:paraId="3DCCF082">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322" w:type="dxa"/>
                  <w:tcBorders>
                    <w:tl2br w:val="nil"/>
                    <w:tr2bl w:val="nil"/>
                  </w:tcBorders>
                  <w:shd w:val="clear" w:color="auto" w:fill="auto"/>
                  <w:noWrap w:val="0"/>
                  <w:vAlign w:val="center"/>
                </w:tcPr>
                <w:p w14:paraId="38E55CE8">
                  <w:pPr>
                    <w:pStyle w:val="8"/>
                    <w:spacing w:before="0"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模具雕刻</w:t>
                  </w:r>
                </w:p>
              </w:tc>
              <w:tc>
                <w:tcPr>
                  <w:tcW w:w="1597" w:type="dxa"/>
                  <w:tcBorders>
                    <w:tl2br w:val="nil"/>
                    <w:tr2bl w:val="nil"/>
                  </w:tcBorders>
                  <w:shd w:val="clear" w:color="auto" w:fill="auto"/>
                  <w:noWrap w:val="0"/>
                  <w:vAlign w:val="center"/>
                </w:tcPr>
                <w:p w14:paraId="10A1DDBD">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2179" w:type="dxa"/>
                  <w:tcBorders>
                    <w:tl2br w:val="nil"/>
                    <w:tr2bl w:val="nil"/>
                  </w:tcBorders>
                  <w:shd w:val="clear" w:color="auto" w:fill="auto"/>
                  <w:noWrap w:val="0"/>
                  <w:vAlign w:val="center"/>
                </w:tcPr>
                <w:p w14:paraId="52A52D87">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粉尘收集+袋式除尘</w:t>
                  </w:r>
                </w:p>
              </w:tc>
              <w:tc>
                <w:tcPr>
                  <w:tcW w:w="892" w:type="dxa"/>
                  <w:tcBorders>
                    <w:tl2br w:val="nil"/>
                    <w:tr2bl w:val="nil"/>
                  </w:tcBorders>
                  <w:shd w:val="clear" w:color="auto" w:fill="auto"/>
                  <w:noWrap w:val="0"/>
                  <w:vAlign w:val="center"/>
                </w:tcPr>
                <w:p w14:paraId="7E83E4AC">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否</w:t>
                  </w:r>
                </w:p>
              </w:tc>
              <w:tc>
                <w:tcPr>
                  <w:tcW w:w="1671" w:type="dxa"/>
                  <w:tcBorders>
                    <w:tl2br w:val="nil"/>
                    <w:tr2bl w:val="nil"/>
                  </w:tcBorders>
                  <w:shd w:val="clear" w:color="auto" w:fill="auto"/>
                  <w:noWrap w:val="0"/>
                  <w:vAlign w:val="center"/>
                </w:tcPr>
                <w:p w14:paraId="6B5F3658">
                  <w:pPr>
                    <w:pStyle w:val="8"/>
                    <w:spacing w:before="0" w:line="240" w:lineRule="auto"/>
                    <w:ind w:firstLine="0" w:firstLineChars="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无</w:t>
                  </w:r>
                </w:p>
              </w:tc>
            </w:tr>
            <w:tr w14:paraId="140DF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756" w:type="dxa"/>
                  <w:vMerge w:val="continue"/>
                  <w:tcBorders>
                    <w:tl2br w:val="nil"/>
                    <w:tr2bl w:val="nil"/>
                  </w:tcBorders>
                  <w:noWrap w:val="0"/>
                  <w:vAlign w:val="center"/>
                </w:tcPr>
                <w:p w14:paraId="0803ABF0">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p>
              </w:tc>
              <w:tc>
                <w:tcPr>
                  <w:tcW w:w="1322" w:type="dxa"/>
                  <w:tcBorders>
                    <w:tl2br w:val="nil"/>
                    <w:tr2bl w:val="nil"/>
                  </w:tcBorders>
                  <w:noWrap w:val="0"/>
                  <w:vAlign w:val="center"/>
                </w:tcPr>
                <w:p w14:paraId="2F1CDD1F">
                  <w:pPr>
                    <w:pStyle w:val="8"/>
                    <w:spacing w:before="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硬管焊接</w:t>
                  </w:r>
                </w:p>
              </w:tc>
              <w:tc>
                <w:tcPr>
                  <w:tcW w:w="1597" w:type="dxa"/>
                  <w:tcBorders>
                    <w:tl2br w:val="nil"/>
                    <w:tr2bl w:val="nil"/>
                  </w:tcBorders>
                  <w:noWrap w:val="0"/>
                  <w:vAlign w:val="center"/>
                </w:tcPr>
                <w:p w14:paraId="0853529E">
                  <w:pPr>
                    <w:pStyle w:val="8"/>
                    <w:spacing w:before="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2179" w:type="dxa"/>
                  <w:tcBorders>
                    <w:tl2br w:val="nil"/>
                    <w:tr2bl w:val="nil"/>
                  </w:tcBorders>
                  <w:noWrap w:val="0"/>
                  <w:vAlign w:val="center"/>
                </w:tcPr>
                <w:p w14:paraId="512ECA13">
                  <w:pPr>
                    <w:pStyle w:val="8"/>
                    <w:spacing w:before="0"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粉尘收集+袋式除尘</w:t>
                  </w:r>
                </w:p>
              </w:tc>
              <w:tc>
                <w:tcPr>
                  <w:tcW w:w="892" w:type="dxa"/>
                  <w:tcBorders>
                    <w:tl2br w:val="nil"/>
                    <w:tr2bl w:val="nil"/>
                  </w:tcBorders>
                  <w:noWrap w:val="0"/>
                  <w:vAlign w:val="center"/>
                </w:tcPr>
                <w:p w14:paraId="1C7DE18E">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否</w:t>
                  </w:r>
                </w:p>
              </w:tc>
              <w:tc>
                <w:tcPr>
                  <w:tcW w:w="1671" w:type="dxa"/>
                  <w:tcBorders>
                    <w:tl2br w:val="nil"/>
                    <w:tr2bl w:val="nil"/>
                  </w:tcBorders>
                  <w:noWrap w:val="0"/>
                  <w:vAlign w:val="center"/>
                </w:tcPr>
                <w:p w14:paraId="7E36319E">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color w:val="000000" w:themeColor="text1"/>
                      <w:lang w:eastAsia="zh-CN"/>
                      <w14:textFill>
                        <w14:solidFill>
                          <w14:schemeClr w14:val="tx1"/>
                        </w14:solidFill>
                      </w14:textFill>
                    </w:rPr>
                    <w:t>无</w:t>
                  </w:r>
                </w:p>
              </w:tc>
            </w:tr>
            <w:tr w14:paraId="45792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756" w:type="dxa"/>
                  <w:vMerge w:val="restart"/>
                  <w:tcBorders>
                    <w:tl2br w:val="nil"/>
                    <w:tr2bl w:val="nil"/>
                  </w:tcBorders>
                  <w:noWrap w:val="0"/>
                  <w:vAlign w:val="center"/>
                </w:tcPr>
                <w:p w14:paraId="43E452F7">
                  <w:pPr>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1322" w:type="dxa"/>
                  <w:tcBorders>
                    <w:tl2br w:val="nil"/>
                    <w:tr2bl w:val="nil"/>
                  </w:tcBorders>
                  <w:noWrap w:val="0"/>
                  <w:vAlign w:val="center"/>
                </w:tcPr>
                <w:p w14:paraId="34D5CB8D">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生活废水</w:t>
                  </w:r>
                </w:p>
              </w:tc>
              <w:tc>
                <w:tcPr>
                  <w:tcW w:w="1597" w:type="dxa"/>
                  <w:tcBorders>
                    <w:tl2br w:val="nil"/>
                    <w:tr2bl w:val="nil"/>
                  </w:tcBorders>
                  <w:noWrap w:val="0"/>
                  <w:vAlign w:val="center"/>
                </w:tcPr>
                <w:p w14:paraId="04A14EBB">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SS、COD、BOD</w:t>
                  </w:r>
                  <w:r>
                    <w:rPr>
                      <w:rFonts w:ascii="Times New Roman" w:hAnsi="Times New Roman" w:cs="Times New Roman"/>
                      <w:color w:val="000000" w:themeColor="text1"/>
                      <w:sz w:val="21"/>
                      <w:szCs w:val="21"/>
                      <w:vertAlign w:val="subscript"/>
                      <w14:textFill>
                        <w14:solidFill>
                          <w14:schemeClr w14:val="tx1"/>
                        </w14:solidFill>
                      </w14:textFill>
                    </w:rPr>
                    <w:t>5</w:t>
                  </w: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-N TP、TN</w:t>
                  </w:r>
                </w:p>
              </w:tc>
              <w:tc>
                <w:tcPr>
                  <w:tcW w:w="2179" w:type="dxa"/>
                  <w:tcBorders>
                    <w:tl2br w:val="nil"/>
                    <w:tr2bl w:val="nil"/>
                  </w:tcBorders>
                  <w:noWrap w:val="0"/>
                  <w:vAlign w:val="center"/>
                </w:tcPr>
                <w:p w14:paraId="5E8E2EC7">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预处理池处理后经市政污水管网送</w:t>
                  </w:r>
                  <w:r>
                    <w:rPr>
                      <w:rFonts w:hint="eastAsia" w:ascii="Times New Roman" w:hAnsi="Times New Roman" w:cs="Times New Roman"/>
                      <w:color w:val="000000" w:themeColor="text1"/>
                      <w:sz w:val="21"/>
                      <w:szCs w:val="21"/>
                      <w:lang w:eastAsia="zh-CN"/>
                      <w14:textFill>
                        <w14:solidFill>
                          <w14:schemeClr w14:val="tx1"/>
                        </w14:solidFill>
                      </w14:textFill>
                    </w:rPr>
                    <w:t>大英县工业</w:t>
                  </w:r>
                  <w:r>
                    <w:rPr>
                      <w:rFonts w:ascii="Times New Roman" w:hAnsi="Times New Roman" w:cs="Times New Roman"/>
                      <w:color w:val="000000" w:themeColor="text1"/>
                      <w:sz w:val="21"/>
                      <w:szCs w:val="21"/>
                      <w14:textFill>
                        <w14:solidFill>
                          <w14:schemeClr w14:val="tx1"/>
                        </w14:solidFill>
                      </w14:textFill>
                    </w:rPr>
                    <w:t>污水处理厂处理</w:t>
                  </w:r>
                </w:p>
              </w:tc>
              <w:tc>
                <w:tcPr>
                  <w:tcW w:w="892" w:type="dxa"/>
                  <w:tcBorders>
                    <w:tl2br w:val="nil"/>
                    <w:tr2bl w:val="nil"/>
                  </w:tcBorders>
                  <w:noWrap w:val="0"/>
                  <w:vAlign w:val="center"/>
                </w:tcPr>
                <w:p w14:paraId="24C4799A">
                  <w:pPr>
                    <w:pStyle w:val="8"/>
                    <w:spacing w:before="0"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否</w:t>
                  </w:r>
                </w:p>
                <w:p w14:paraId="7EF16C2E">
                  <w:pPr>
                    <w:rPr>
                      <w:color w:val="000000" w:themeColor="text1"/>
                      <w:sz w:val="21"/>
                      <w:szCs w:val="21"/>
                      <w14:textFill>
                        <w14:solidFill>
                          <w14:schemeClr w14:val="tx1"/>
                        </w14:solidFill>
                      </w14:textFill>
                    </w:rPr>
                  </w:pPr>
                </w:p>
              </w:tc>
              <w:tc>
                <w:tcPr>
                  <w:tcW w:w="1671" w:type="dxa"/>
                  <w:tcBorders>
                    <w:tl2br w:val="nil"/>
                    <w:tr2bl w:val="nil"/>
                  </w:tcBorders>
                  <w:noWrap w:val="0"/>
                  <w:vAlign w:val="center"/>
                </w:tcPr>
                <w:p w14:paraId="09EC3EF1">
                  <w:pPr>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无</w:t>
                  </w:r>
                </w:p>
              </w:tc>
            </w:tr>
            <w:tr w14:paraId="3F206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756" w:type="dxa"/>
                  <w:vMerge w:val="continue"/>
                  <w:tcBorders>
                    <w:tl2br w:val="nil"/>
                    <w:tr2bl w:val="nil"/>
                  </w:tcBorders>
                  <w:noWrap w:val="0"/>
                  <w:vAlign w:val="center"/>
                </w:tcPr>
                <w:p w14:paraId="45DB49A1">
                  <w:pPr>
                    <w:widowControl/>
                    <w:spacing w:line="240" w:lineRule="auto"/>
                    <w:ind w:firstLine="0" w:firstLineChars="0"/>
                    <w:jc w:val="center"/>
                    <w:rPr>
                      <w:color w:val="000000" w:themeColor="text1"/>
                      <w:sz w:val="21"/>
                      <w:szCs w:val="21"/>
                      <w14:textFill>
                        <w14:solidFill>
                          <w14:schemeClr w14:val="tx1"/>
                        </w14:solidFill>
                      </w14:textFill>
                    </w:rPr>
                  </w:pPr>
                </w:p>
              </w:tc>
              <w:tc>
                <w:tcPr>
                  <w:tcW w:w="1322" w:type="dxa"/>
                  <w:tcBorders>
                    <w:tl2br w:val="nil"/>
                    <w:tr2bl w:val="nil"/>
                  </w:tcBorders>
                  <w:noWrap w:val="0"/>
                  <w:vAlign w:val="center"/>
                </w:tcPr>
                <w:p w14:paraId="1D24A46D">
                  <w:pPr>
                    <w:pStyle w:val="8"/>
                    <w:spacing w:before="0"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生产废水</w:t>
                  </w:r>
                </w:p>
              </w:tc>
              <w:tc>
                <w:tcPr>
                  <w:tcW w:w="1597" w:type="dxa"/>
                  <w:tcBorders>
                    <w:tl2br w:val="nil"/>
                    <w:tr2bl w:val="nil"/>
                  </w:tcBorders>
                  <w:noWrap w:val="0"/>
                  <w:vAlign w:val="center"/>
                </w:tcPr>
                <w:p w14:paraId="0398FBE9">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SS、COD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 xml:space="preserve">-N </w:t>
                  </w:r>
                  <w:r>
                    <w:rPr>
                      <w:rFonts w:hint="eastAsia" w:ascii="Times New Roman" w:hAnsi="Times New Roman" w:cs="Times New Roman"/>
                      <w:color w:val="000000" w:themeColor="text1"/>
                      <w:sz w:val="21"/>
                      <w:szCs w:val="21"/>
                      <w:lang w:eastAsia="zh-CN"/>
                      <w14:textFill>
                        <w14:solidFill>
                          <w14:schemeClr w14:val="tx1"/>
                        </w14:solidFill>
                      </w14:textFill>
                    </w:rPr>
                    <w:t>、阴离子表面活性剂</w:t>
                  </w:r>
                  <w:r>
                    <w:rPr>
                      <w:rFonts w:ascii="Times New Roman" w:hAnsi="Times New Roman" w:cs="Times New Roman"/>
                      <w:color w:val="000000" w:themeColor="text1"/>
                      <w:sz w:val="21"/>
                      <w:szCs w:val="21"/>
                      <w14:textFill>
                        <w14:solidFill>
                          <w14:schemeClr w14:val="tx1"/>
                        </w14:solidFill>
                      </w14:textFill>
                    </w:rPr>
                    <w:t>等</w:t>
                  </w:r>
                </w:p>
              </w:tc>
              <w:tc>
                <w:tcPr>
                  <w:tcW w:w="2179" w:type="dxa"/>
                  <w:tcBorders>
                    <w:tl2br w:val="nil"/>
                    <w:tr2bl w:val="nil"/>
                  </w:tcBorders>
                  <w:noWrap w:val="0"/>
                  <w:vAlign w:val="center"/>
                </w:tcPr>
                <w:p w14:paraId="0BD7CB72">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沉淀处理</w:t>
                  </w:r>
                  <w:r>
                    <w:rPr>
                      <w:rFonts w:hint="eastAsia" w:ascii="Times New Roman" w:hAnsi="Times New Roman" w:cs="Times New Roman"/>
                      <w:color w:val="000000" w:themeColor="text1"/>
                      <w:sz w:val="21"/>
                      <w:szCs w:val="21"/>
                      <w:lang w:eastAsia="zh-CN"/>
                      <w14:textFill>
                        <w14:solidFill>
                          <w14:schemeClr w14:val="tx1"/>
                        </w14:solidFill>
                      </w14:textFill>
                    </w:rPr>
                    <w:t>后排入</w:t>
                  </w:r>
                  <w:r>
                    <w:rPr>
                      <w:rFonts w:ascii="Times New Roman" w:hAnsi="Times New Roman" w:cs="Times New Roman"/>
                      <w:color w:val="000000" w:themeColor="text1"/>
                      <w:sz w:val="21"/>
                      <w:szCs w:val="21"/>
                      <w14:textFill>
                        <w14:solidFill>
                          <w14:schemeClr w14:val="tx1"/>
                        </w14:solidFill>
                      </w14:textFill>
                    </w:rPr>
                    <w:t>市政污水管网送</w:t>
                  </w:r>
                  <w:r>
                    <w:rPr>
                      <w:rFonts w:hint="eastAsia" w:ascii="Times New Roman" w:hAnsi="Times New Roman" w:cs="Times New Roman"/>
                      <w:color w:val="000000" w:themeColor="text1"/>
                      <w:sz w:val="21"/>
                      <w:szCs w:val="21"/>
                      <w:lang w:eastAsia="zh-CN"/>
                      <w14:textFill>
                        <w14:solidFill>
                          <w14:schemeClr w14:val="tx1"/>
                        </w14:solidFill>
                      </w14:textFill>
                    </w:rPr>
                    <w:t>大英县工业</w:t>
                  </w:r>
                  <w:r>
                    <w:rPr>
                      <w:rFonts w:ascii="Times New Roman" w:hAnsi="Times New Roman" w:cs="Times New Roman"/>
                      <w:color w:val="000000" w:themeColor="text1"/>
                      <w:sz w:val="21"/>
                      <w:szCs w:val="21"/>
                      <w14:textFill>
                        <w14:solidFill>
                          <w14:schemeClr w14:val="tx1"/>
                        </w14:solidFill>
                      </w14:textFill>
                    </w:rPr>
                    <w:t>污水处理厂处理</w:t>
                  </w:r>
                </w:p>
              </w:tc>
              <w:tc>
                <w:tcPr>
                  <w:tcW w:w="892" w:type="dxa"/>
                  <w:tcBorders>
                    <w:tl2br w:val="nil"/>
                    <w:tr2bl w:val="nil"/>
                  </w:tcBorders>
                  <w:noWrap w:val="0"/>
                  <w:vAlign w:val="center"/>
                </w:tcPr>
                <w:p w14:paraId="08D7584B">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否</w:t>
                  </w:r>
                </w:p>
              </w:tc>
              <w:tc>
                <w:tcPr>
                  <w:tcW w:w="1671" w:type="dxa"/>
                  <w:tcBorders>
                    <w:tl2br w:val="nil"/>
                    <w:tr2bl w:val="nil"/>
                  </w:tcBorders>
                  <w:noWrap w:val="0"/>
                  <w:vAlign w:val="center"/>
                </w:tcPr>
                <w:p w14:paraId="0664FF1D">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无</w:t>
                  </w:r>
                </w:p>
              </w:tc>
            </w:tr>
            <w:tr w14:paraId="324B37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56" w:type="dxa"/>
                  <w:tcBorders>
                    <w:tl2br w:val="nil"/>
                    <w:tr2bl w:val="nil"/>
                  </w:tcBorders>
                  <w:noWrap w:val="0"/>
                  <w:vAlign w:val="center"/>
                </w:tcPr>
                <w:p w14:paraId="15AFC7CE">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噪声</w:t>
                  </w:r>
                </w:p>
              </w:tc>
              <w:tc>
                <w:tcPr>
                  <w:tcW w:w="1322" w:type="dxa"/>
                  <w:tcBorders>
                    <w:tl2br w:val="nil"/>
                    <w:tr2bl w:val="nil"/>
                  </w:tcBorders>
                  <w:noWrap w:val="0"/>
                  <w:vAlign w:val="center"/>
                </w:tcPr>
                <w:p w14:paraId="32FD3E5A">
                  <w:pPr>
                    <w:widowControl/>
                    <w:spacing w:line="240" w:lineRule="auto"/>
                    <w:ind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生产车间噪声</w:t>
                  </w:r>
                </w:p>
              </w:tc>
              <w:tc>
                <w:tcPr>
                  <w:tcW w:w="3776" w:type="dxa"/>
                  <w:gridSpan w:val="2"/>
                  <w:tcBorders>
                    <w:tl2br w:val="nil"/>
                    <w:tr2bl w:val="nil"/>
                  </w:tcBorders>
                  <w:noWrap w:val="0"/>
                  <w:vAlign w:val="center"/>
                </w:tcPr>
                <w:p w14:paraId="10FBB045">
                  <w:pPr>
                    <w:pStyle w:val="8"/>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合理总平面布局，车间结构屏蔽，根据监测，项目厂界噪声可做到达标排放</w:t>
                  </w:r>
                </w:p>
              </w:tc>
              <w:tc>
                <w:tcPr>
                  <w:tcW w:w="892" w:type="dxa"/>
                  <w:tcBorders>
                    <w:tl2br w:val="nil"/>
                    <w:tr2bl w:val="nil"/>
                  </w:tcBorders>
                  <w:noWrap w:val="0"/>
                  <w:vAlign w:val="center"/>
                </w:tcPr>
                <w:p w14:paraId="5C03EC89">
                  <w:pPr>
                    <w:pStyle w:val="8"/>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否</w:t>
                  </w:r>
                </w:p>
              </w:tc>
              <w:tc>
                <w:tcPr>
                  <w:tcW w:w="1671" w:type="dxa"/>
                  <w:tcBorders>
                    <w:tl2br w:val="nil"/>
                    <w:tr2bl w:val="nil"/>
                  </w:tcBorders>
                  <w:noWrap w:val="0"/>
                  <w:vAlign w:val="center"/>
                </w:tcPr>
                <w:p w14:paraId="25BC17E3">
                  <w:pPr>
                    <w:pStyle w:val="8"/>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无</w:t>
                  </w:r>
                </w:p>
              </w:tc>
            </w:tr>
            <w:tr w14:paraId="7590B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56" w:type="dxa"/>
                  <w:vMerge w:val="restart"/>
                  <w:tcBorders>
                    <w:tl2br w:val="nil"/>
                    <w:tr2bl w:val="nil"/>
                  </w:tcBorders>
                  <w:noWrap w:val="0"/>
                  <w:vAlign w:val="center"/>
                </w:tcPr>
                <w:p w14:paraId="4C7B4E44">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固废</w:t>
                  </w:r>
                </w:p>
              </w:tc>
              <w:tc>
                <w:tcPr>
                  <w:tcW w:w="5098" w:type="dxa"/>
                  <w:gridSpan w:val="3"/>
                  <w:tcBorders>
                    <w:tl2br w:val="nil"/>
                    <w:tr2bl w:val="nil"/>
                  </w:tcBorders>
                  <w:noWrap w:val="0"/>
                  <w:vAlign w:val="center"/>
                </w:tcPr>
                <w:p w14:paraId="5C8BF288">
                  <w:pPr>
                    <w:pStyle w:val="8"/>
                    <w:spacing w:before="0"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不合格产品、废包装材料统一收集后出售</w:t>
                  </w:r>
                </w:p>
              </w:tc>
              <w:tc>
                <w:tcPr>
                  <w:tcW w:w="892" w:type="dxa"/>
                  <w:tcBorders>
                    <w:tl2br w:val="nil"/>
                    <w:tr2bl w:val="nil"/>
                  </w:tcBorders>
                  <w:noWrap w:val="0"/>
                  <w:vAlign w:val="center"/>
                </w:tcPr>
                <w:p w14:paraId="46BFC3BE">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否</w:t>
                  </w:r>
                </w:p>
              </w:tc>
              <w:tc>
                <w:tcPr>
                  <w:tcW w:w="1671" w:type="dxa"/>
                  <w:tcBorders>
                    <w:tl2br w:val="nil"/>
                    <w:tr2bl w:val="nil"/>
                  </w:tcBorders>
                  <w:noWrap w:val="0"/>
                  <w:vAlign w:val="center"/>
                </w:tcPr>
                <w:p w14:paraId="4DBFC339">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无</w:t>
                  </w:r>
                </w:p>
              </w:tc>
            </w:tr>
            <w:tr w14:paraId="62EC3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56" w:type="dxa"/>
                  <w:vMerge w:val="continue"/>
                  <w:tcBorders>
                    <w:tl2br w:val="nil"/>
                    <w:tr2bl w:val="nil"/>
                  </w:tcBorders>
                  <w:noWrap w:val="0"/>
                  <w:vAlign w:val="center"/>
                </w:tcPr>
                <w:p w14:paraId="453AFEA1">
                  <w:pPr>
                    <w:widowControl/>
                    <w:spacing w:line="240" w:lineRule="auto"/>
                    <w:ind w:firstLine="0" w:firstLineChars="0"/>
                    <w:jc w:val="left"/>
                    <w:rPr>
                      <w:color w:val="000000" w:themeColor="text1"/>
                      <w:szCs w:val="21"/>
                      <w14:textFill>
                        <w14:solidFill>
                          <w14:schemeClr w14:val="tx1"/>
                        </w14:solidFill>
                      </w14:textFill>
                    </w:rPr>
                  </w:pPr>
                </w:p>
              </w:tc>
              <w:tc>
                <w:tcPr>
                  <w:tcW w:w="5098" w:type="dxa"/>
                  <w:gridSpan w:val="3"/>
                  <w:tcBorders>
                    <w:tl2br w:val="nil"/>
                    <w:tr2bl w:val="nil"/>
                  </w:tcBorders>
                  <w:noWrap w:val="0"/>
                  <w:vAlign w:val="center"/>
                </w:tcPr>
                <w:p w14:paraId="3D64CB05">
                  <w:pPr>
                    <w:pStyle w:val="8"/>
                    <w:spacing w:before="0"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炼胶车间粉尘收集后回用生产</w:t>
                  </w:r>
                </w:p>
              </w:tc>
              <w:tc>
                <w:tcPr>
                  <w:tcW w:w="892" w:type="dxa"/>
                  <w:tcBorders>
                    <w:tl2br w:val="nil"/>
                    <w:tr2bl w:val="nil"/>
                  </w:tcBorders>
                  <w:noWrap w:val="0"/>
                  <w:vAlign w:val="center"/>
                </w:tcPr>
                <w:p w14:paraId="73DED74B">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否</w:t>
                  </w:r>
                </w:p>
              </w:tc>
              <w:tc>
                <w:tcPr>
                  <w:tcW w:w="1671" w:type="dxa"/>
                  <w:tcBorders>
                    <w:tl2br w:val="nil"/>
                    <w:tr2bl w:val="nil"/>
                  </w:tcBorders>
                  <w:noWrap w:val="0"/>
                  <w:vAlign w:val="center"/>
                </w:tcPr>
                <w:p w14:paraId="65DBD804">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无</w:t>
                  </w:r>
                </w:p>
              </w:tc>
            </w:tr>
            <w:tr w14:paraId="777EB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56" w:type="dxa"/>
                  <w:vMerge w:val="continue"/>
                  <w:tcBorders>
                    <w:tl2br w:val="nil"/>
                    <w:tr2bl w:val="nil"/>
                  </w:tcBorders>
                  <w:shd w:val="clear" w:color="auto" w:fill="auto"/>
                  <w:noWrap w:val="0"/>
                  <w:vAlign w:val="center"/>
                </w:tcPr>
                <w:p w14:paraId="197DCD74">
                  <w:pPr>
                    <w:widowControl/>
                    <w:spacing w:line="240" w:lineRule="auto"/>
                    <w:ind w:firstLine="0" w:firstLineChars="0"/>
                    <w:jc w:val="left"/>
                    <w:rPr>
                      <w:color w:val="000000" w:themeColor="text1"/>
                      <w:szCs w:val="21"/>
                      <w14:textFill>
                        <w14:solidFill>
                          <w14:schemeClr w14:val="tx1"/>
                        </w14:solidFill>
                      </w14:textFill>
                    </w:rPr>
                  </w:pPr>
                </w:p>
              </w:tc>
              <w:tc>
                <w:tcPr>
                  <w:tcW w:w="5098" w:type="dxa"/>
                  <w:gridSpan w:val="3"/>
                  <w:tcBorders>
                    <w:tl2br w:val="nil"/>
                    <w:tr2bl w:val="nil"/>
                  </w:tcBorders>
                  <w:shd w:val="clear" w:color="auto" w:fill="FFFFFF"/>
                  <w:noWrap w:val="0"/>
                  <w:vAlign w:val="center"/>
                </w:tcPr>
                <w:p w14:paraId="7B892ECF">
                  <w:pPr>
                    <w:pStyle w:val="8"/>
                    <w:spacing w:before="0"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危险废物收集后暂存于危废间内定期委托资质单位处置</w:t>
                  </w:r>
                </w:p>
              </w:tc>
              <w:tc>
                <w:tcPr>
                  <w:tcW w:w="892" w:type="dxa"/>
                  <w:tcBorders>
                    <w:tl2br w:val="nil"/>
                    <w:tr2bl w:val="nil"/>
                  </w:tcBorders>
                  <w:shd w:val="clear" w:color="auto" w:fill="FFFFFF"/>
                  <w:noWrap w:val="0"/>
                  <w:vAlign w:val="center"/>
                </w:tcPr>
                <w:p w14:paraId="76C08FF6">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否</w:t>
                  </w:r>
                </w:p>
              </w:tc>
              <w:tc>
                <w:tcPr>
                  <w:tcW w:w="1671" w:type="dxa"/>
                  <w:tcBorders>
                    <w:tl2br w:val="nil"/>
                    <w:tr2bl w:val="nil"/>
                  </w:tcBorders>
                  <w:shd w:val="clear" w:color="auto" w:fill="FFFFFF"/>
                  <w:noWrap w:val="0"/>
                  <w:vAlign w:val="center"/>
                </w:tcPr>
                <w:p w14:paraId="0EBFC80A">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无</w:t>
                  </w:r>
                </w:p>
              </w:tc>
            </w:tr>
            <w:tr w14:paraId="501C5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56" w:type="dxa"/>
                  <w:vMerge w:val="continue"/>
                  <w:tcBorders>
                    <w:tl2br w:val="nil"/>
                    <w:tr2bl w:val="nil"/>
                  </w:tcBorders>
                  <w:shd w:val="clear" w:color="auto" w:fill="auto"/>
                  <w:noWrap w:val="0"/>
                  <w:vAlign w:val="center"/>
                </w:tcPr>
                <w:p w14:paraId="158C67F8">
                  <w:pPr>
                    <w:widowControl/>
                    <w:spacing w:line="240" w:lineRule="auto"/>
                    <w:ind w:firstLine="0" w:firstLineChars="0"/>
                    <w:jc w:val="left"/>
                    <w:rPr>
                      <w:color w:val="000000" w:themeColor="text1"/>
                      <w:szCs w:val="21"/>
                      <w14:textFill>
                        <w14:solidFill>
                          <w14:schemeClr w14:val="tx1"/>
                        </w14:solidFill>
                      </w14:textFill>
                    </w:rPr>
                  </w:pPr>
                </w:p>
              </w:tc>
              <w:tc>
                <w:tcPr>
                  <w:tcW w:w="5098" w:type="dxa"/>
                  <w:gridSpan w:val="3"/>
                  <w:tcBorders>
                    <w:tl2br w:val="nil"/>
                    <w:tr2bl w:val="nil"/>
                  </w:tcBorders>
                  <w:shd w:val="clear" w:color="auto" w:fill="FFFFFF"/>
                  <w:noWrap w:val="0"/>
                  <w:vAlign w:val="center"/>
                </w:tcPr>
                <w:p w14:paraId="0FB3CA89">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生活垃圾委托</w:t>
                  </w:r>
                  <w:r>
                    <w:rPr>
                      <w:rFonts w:ascii="Times New Roman" w:hAnsi="Times New Roman" w:cs="Times New Roman"/>
                      <w:color w:val="000000" w:themeColor="text1"/>
                      <w:sz w:val="21"/>
                      <w:szCs w:val="21"/>
                      <w14:textFill>
                        <w14:solidFill>
                          <w14:schemeClr w14:val="tx1"/>
                        </w14:solidFill>
                      </w14:textFill>
                    </w:rPr>
                    <w:t>市政环卫部门处理</w:t>
                  </w:r>
                </w:p>
              </w:tc>
              <w:tc>
                <w:tcPr>
                  <w:tcW w:w="892" w:type="dxa"/>
                  <w:tcBorders>
                    <w:tl2br w:val="nil"/>
                    <w:tr2bl w:val="nil"/>
                  </w:tcBorders>
                  <w:shd w:val="clear" w:color="auto" w:fill="FFFFFF"/>
                  <w:noWrap w:val="0"/>
                  <w:vAlign w:val="center"/>
                </w:tcPr>
                <w:p w14:paraId="4B5AB7BD">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否</w:t>
                  </w:r>
                </w:p>
              </w:tc>
              <w:tc>
                <w:tcPr>
                  <w:tcW w:w="1671" w:type="dxa"/>
                  <w:tcBorders>
                    <w:tl2br w:val="nil"/>
                    <w:tr2bl w:val="nil"/>
                  </w:tcBorders>
                  <w:shd w:val="clear" w:color="auto" w:fill="FFFFFF"/>
                  <w:noWrap w:val="0"/>
                  <w:vAlign w:val="center"/>
                </w:tcPr>
                <w:p w14:paraId="734B0642">
                  <w:pPr>
                    <w:pStyle w:val="8"/>
                    <w:spacing w:before="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无</w:t>
                  </w:r>
                </w:p>
              </w:tc>
            </w:tr>
          </w:tbl>
          <w:p w14:paraId="7CF46569">
            <w:pPr>
              <w:pStyle w:val="42"/>
              <w:numPr>
                <w:ilvl w:val="-1"/>
                <w:numId w:val="0"/>
              </w:numPr>
              <w:bidi w:val="0"/>
              <w:ind w:left="420" w:firstLine="0" w:firstLineChars="0"/>
              <w:jc w:val="both"/>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8.</w:t>
            </w:r>
            <w:r>
              <w:rPr>
                <w:rFonts w:hint="default" w:ascii="Times New Roman" w:hAnsi="Times New Roman" w:eastAsia="宋体" w:cs="Times New Roman"/>
                <w:b/>
                <w:bCs/>
                <w:color w:val="auto"/>
                <w:highlight w:val="none"/>
                <w:lang w:val="en-US" w:eastAsia="zh-CN"/>
              </w:rPr>
              <w:t>现有项目例行监测情况</w:t>
            </w:r>
          </w:p>
          <w:p w14:paraId="7CE4CB7E">
            <w:pPr>
              <w:pStyle w:val="42"/>
              <w:bidi w:val="0"/>
              <w:rPr>
                <w:rFonts w:hint="default" w:ascii="Times New Roman" w:hAnsi="Times New Roman" w:cs="Times New Roman"/>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202</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年</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月，</w:t>
            </w:r>
            <w:r>
              <w:rPr>
                <w:rFonts w:hint="eastAsia" w:ascii="Times New Roman" w:hAnsi="Times New Roman" w:cs="Times New Roman"/>
                <w:color w:val="000000" w:themeColor="text1"/>
                <w:kern w:val="2"/>
                <w:sz w:val="24"/>
                <w:szCs w:val="21"/>
                <w:highlight w:val="none"/>
                <w:lang w:val="en-US" w:eastAsia="zh-CN" w:bidi="ar-SA"/>
                <w14:textFill>
                  <w14:solidFill>
                    <w14:schemeClr w14:val="tx1"/>
                  </w14:solidFill>
                </w14:textFill>
              </w:rPr>
              <w:t>遂宁森帝汽配制造有限责任公司</w:t>
            </w:r>
            <w:r>
              <w:rPr>
                <w:rFonts w:hint="default" w:ascii="Times New Roman" w:hAnsi="Times New Roman" w:cs="Times New Roman"/>
                <w:color w:val="000000" w:themeColor="text1"/>
                <w:kern w:val="2"/>
                <w:sz w:val="24"/>
                <w:szCs w:val="21"/>
                <w:highlight w:val="none"/>
                <w:lang w:val="en-US" w:eastAsia="zh-CN" w:bidi="ar-SA"/>
                <w14:textFill>
                  <w14:solidFill>
                    <w14:schemeClr w14:val="tx1"/>
                  </w14:solidFill>
                </w14:textFill>
              </w:rPr>
              <w:t>委托</w:t>
            </w:r>
            <w:r>
              <w:rPr>
                <w:rFonts w:hint="eastAsia" w:ascii="宋体" w:hAnsi="宋体" w:eastAsia="宋体" w:cs="宋体"/>
                <w:color w:val="000000" w:themeColor="text1"/>
                <w:lang w:val="en-US" w:eastAsia="zh-CN"/>
                <w14:textFill>
                  <w14:solidFill>
                    <w14:schemeClr w14:val="tx1"/>
                  </w14:solidFill>
                </w14:textFill>
              </w:rPr>
              <w:t>四川绿色方舟检测技术有限公司</w:t>
            </w:r>
            <w:r>
              <w:rPr>
                <w:rFonts w:hint="default" w:ascii="Times New Roman" w:hAnsi="Times New Roman" w:cs="Times New Roman"/>
                <w:color w:val="000000" w:themeColor="text1"/>
                <w:kern w:val="2"/>
                <w:sz w:val="24"/>
                <w:szCs w:val="21"/>
                <w:highlight w:val="none"/>
                <w:lang w:val="en-US" w:eastAsia="zh-CN" w:bidi="ar-SA"/>
                <w14:textFill>
                  <w14:solidFill>
                    <w14:schemeClr w14:val="tx1"/>
                  </w14:solidFill>
                </w14:textFill>
              </w:rPr>
              <w:t>开展了一次污染源例行监测，根据监测报告，公司现有污染源排放情况如下：</w:t>
            </w:r>
          </w:p>
          <w:p w14:paraId="3FA130C0">
            <w:pPr>
              <w:pStyle w:val="42"/>
              <w:spacing w:before="240" w:beforeLines="1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企业不公开</w:t>
            </w:r>
          </w:p>
          <w:p w14:paraId="6B42C8F9">
            <w:pPr>
              <w:pStyle w:val="42"/>
              <w:spacing w:before="240" w:beforeLines="100"/>
              <w:jc w:val="both"/>
              <w:rPr>
                <w:rFonts w:hint="default" w:ascii="Times New Roman" w:hAnsi="Times New Roman" w:cs="Times New Roman"/>
                <w:lang w:val="en-US"/>
              </w:rPr>
            </w:pPr>
            <w:r>
              <w:rPr>
                <w:rFonts w:hint="default" w:ascii="Times New Roman" w:hAnsi="Times New Roman" w:cs="Times New Roman"/>
                <w:lang w:val="en-US" w:eastAsia="zh-CN"/>
              </w:rPr>
              <w:t>监测结论：根据监测，有组织排放废气中DA001、DA002、DA003、DA004、DA007的非甲烷总烃监测结果符合《四川省固定污染源大气挥发性有机物排放标准》（DB51/2377-2017）表3橡胶制品制造行业标准限值；有组织排放废气中DA002、DA003、DA004的颗粒物监测结果符合《橡胶制品工业污染物排放标准》（GB 27632-2011）表5新建企业大气污染物排放限值；有组织排放废气中DA008的颗粒物、二氧化硫、氮氧化物、烟气黑度监测结果符合《锅炉大气污染物排放标准》（GB 13271-2014）表3大气污染物特别排放浓度限值；DA005、DA006的颗粒物监测结果符合《大气污染物综合排放标准》（GB16297-1996）排放限制要求。</w:t>
            </w:r>
          </w:p>
          <w:p w14:paraId="6844A0D7">
            <w:pPr>
              <w:pStyle w:val="43"/>
              <w:spacing w:before="240" w:beforeLines="10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表2-</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现有工程</w:t>
            </w:r>
            <w:r>
              <w:rPr>
                <w:rFonts w:hint="eastAsia" w:ascii="Times New Roman" w:hAnsi="Times New Roman" w:cs="Times New Roman"/>
                <w:color w:val="auto"/>
                <w:highlight w:val="none"/>
                <w:lang w:val="en-US" w:eastAsia="zh-CN"/>
              </w:rPr>
              <w:t>废水排放监测结果</w:t>
            </w:r>
          </w:p>
          <w:p w14:paraId="6B6A22C9">
            <w:pPr>
              <w:pStyle w:val="42"/>
              <w:spacing w:before="240" w:beforeLines="100"/>
              <w:rPr>
                <w:rFonts w:hint="default" w:ascii="Times New Roman" w:hAnsi="Times New Roman" w:cs="Times New Roman"/>
                <w:lang w:val="en-US" w:eastAsia="zh-CN"/>
              </w:rPr>
            </w:pPr>
            <w:r>
              <w:rPr>
                <w:rFonts w:hint="eastAsia" w:ascii="Times New Roman" w:hAnsi="Times New Roman" w:cs="Times New Roman"/>
                <w:lang w:val="en-US" w:eastAsia="zh-CN"/>
              </w:rPr>
              <w:t>企业不公开</w:t>
            </w:r>
          </w:p>
          <w:p w14:paraId="4A1A4AEA">
            <w:pPr>
              <w:pStyle w:val="42"/>
              <w:spacing w:before="240" w:beforeLines="100"/>
              <w:rPr>
                <w:rFonts w:hint="default" w:ascii="Times New Roman" w:hAnsi="Times New Roman" w:cs="Times New Roman"/>
                <w:lang w:val="en-US" w:eastAsia="zh-CN"/>
              </w:rPr>
            </w:pPr>
            <w:r>
              <w:rPr>
                <w:rFonts w:hint="default" w:ascii="Times New Roman" w:hAnsi="Times New Roman" w:cs="Times New Roman"/>
                <w:lang w:val="en-US" w:eastAsia="zh-CN"/>
              </w:rPr>
              <w:t>监测结论：</w:t>
            </w:r>
            <w:r>
              <w:rPr>
                <w:rFonts w:hint="eastAsia" w:ascii="Times New Roman" w:hAnsi="Times New Roman" w:cs="Times New Roman"/>
                <w:lang w:val="en-US" w:eastAsia="zh-CN"/>
              </w:rPr>
              <w:t>根据监测，</w:t>
            </w:r>
            <w:r>
              <w:rPr>
                <w:rFonts w:hint="default" w:ascii="Times New Roman" w:hAnsi="Times New Roman" w:cs="Times New Roman"/>
                <w:lang w:val="en-US" w:eastAsia="zh-CN"/>
              </w:rPr>
              <w:t>废水中的pH、悬浮物、五日生化需氧量、化学需氧量、氨氮、总氮、总磷、石油类监测结果符合《橡胶制品工业污染物排放标准》（GB 27632-2011）表2中间接排放限值；</w:t>
            </w:r>
          </w:p>
          <w:p w14:paraId="569008B0">
            <w:pPr>
              <w:pStyle w:val="43"/>
              <w:spacing w:before="240" w:beforeLines="10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表2-</w:t>
            </w:r>
            <w:r>
              <w:rPr>
                <w:rFonts w:hint="eastAsia" w:ascii="Times New Roman" w:hAnsi="Times New Roman" w:cs="Times New Roman"/>
                <w:color w:val="auto"/>
                <w:highlight w:val="none"/>
                <w:lang w:val="en-US" w:eastAsia="zh-CN"/>
              </w:rPr>
              <w:t>12</w:t>
            </w:r>
            <w:r>
              <w:rPr>
                <w:rFonts w:hint="default" w:ascii="Times New Roman" w:hAnsi="Times New Roman" w:cs="Times New Roman"/>
                <w:color w:val="auto"/>
                <w:highlight w:val="none"/>
              </w:rPr>
              <w:t>现有工程</w:t>
            </w:r>
            <w:r>
              <w:rPr>
                <w:rFonts w:hint="eastAsia" w:ascii="Times New Roman" w:hAnsi="Times New Roman" w:cs="Times New Roman"/>
                <w:color w:val="auto"/>
                <w:highlight w:val="none"/>
                <w:lang w:val="en-US" w:eastAsia="zh-CN"/>
              </w:rPr>
              <w:t>无组织非甲烷总烃监测结果</w:t>
            </w:r>
          </w:p>
          <w:p w14:paraId="2BED90D0">
            <w:pPr>
              <w:pStyle w:val="42"/>
              <w:spacing w:before="240" w:beforeLines="100"/>
              <w:rPr>
                <w:rFonts w:hint="default" w:ascii="Times New Roman" w:hAnsi="Times New Roman" w:cs="Times New Roman"/>
                <w:lang w:val="en-US" w:eastAsia="zh-CN"/>
              </w:rPr>
            </w:pPr>
            <w:r>
              <w:rPr>
                <w:rFonts w:hint="eastAsia" w:ascii="Times New Roman" w:hAnsi="Times New Roman" w:cs="Times New Roman"/>
                <w:lang w:val="en-US" w:eastAsia="zh-CN"/>
              </w:rPr>
              <w:t>企业不公开</w:t>
            </w:r>
          </w:p>
          <w:p w14:paraId="4305D42B">
            <w:pPr>
              <w:pStyle w:val="43"/>
              <w:spacing w:before="240" w:beforeLines="100"/>
              <w:rPr>
                <w:rFonts w:hint="eastAsia" w:ascii="Times New Roman" w:hAnsi="Times New Roman" w:cs="Times New Roman"/>
                <w:color w:val="auto"/>
                <w:highlight w:val="none"/>
                <w:lang w:val="en-US" w:eastAsia="zh-CN"/>
              </w:rPr>
            </w:pPr>
          </w:p>
          <w:p w14:paraId="0CC1C224">
            <w:pPr>
              <w:pStyle w:val="42"/>
              <w:spacing w:before="240" w:beforeLines="100"/>
              <w:rPr>
                <w:rFonts w:hint="default" w:ascii="Times New Roman" w:hAnsi="Times New Roman" w:cs="Times New Roman"/>
              </w:rPr>
            </w:pPr>
            <w:r>
              <w:rPr>
                <w:rFonts w:hint="default" w:ascii="Times New Roman" w:hAnsi="Times New Roman" w:cs="Times New Roman"/>
                <w:lang w:val="en-US" w:eastAsia="zh-CN"/>
              </w:rPr>
              <w:t>监测结论：根据监测，本项目厂界无组织排放废气中的非甲烷总烃监测结果符合《四川省固定污染源大气挥发性有机物排放标准》（DB51/2377-2017）</w:t>
            </w:r>
            <w:r>
              <w:rPr>
                <w:rFonts w:hint="eastAsia" w:ascii="Times New Roman" w:hAnsi="Times New Roman" w:cs="Times New Roman"/>
                <w:lang w:val="en-US" w:eastAsia="zh-CN"/>
              </w:rPr>
              <w:t>要求。</w:t>
            </w:r>
          </w:p>
          <w:p w14:paraId="3EEB9F29">
            <w:pPr>
              <w:pStyle w:val="43"/>
              <w:spacing w:before="240" w:beforeLines="10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表2-</w:t>
            </w:r>
            <w:r>
              <w:rPr>
                <w:rFonts w:hint="eastAsia" w:ascii="Times New Roman" w:hAnsi="Times New Roman" w:cs="Times New Roman"/>
                <w:color w:val="auto"/>
                <w:highlight w:val="none"/>
                <w:lang w:val="en-US" w:eastAsia="zh-CN"/>
              </w:rPr>
              <w:t>13</w:t>
            </w:r>
            <w:r>
              <w:rPr>
                <w:rFonts w:hint="default" w:ascii="Times New Roman" w:hAnsi="Times New Roman" w:cs="Times New Roman"/>
                <w:color w:val="auto"/>
                <w:highlight w:val="none"/>
              </w:rPr>
              <w:t>现有工程</w:t>
            </w:r>
            <w:r>
              <w:rPr>
                <w:rFonts w:hint="eastAsia" w:ascii="Times New Roman" w:hAnsi="Times New Roman" w:cs="Times New Roman"/>
                <w:color w:val="auto"/>
                <w:highlight w:val="none"/>
                <w:lang w:val="en-US" w:eastAsia="zh-CN"/>
              </w:rPr>
              <w:t>无组织颗粒物监测结果</w:t>
            </w:r>
          </w:p>
          <w:p w14:paraId="44366946">
            <w:pPr>
              <w:pStyle w:val="42"/>
              <w:spacing w:before="240" w:beforeLines="100"/>
              <w:rPr>
                <w:rFonts w:hint="default" w:ascii="Times New Roman" w:hAnsi="Times New Roman" w:cs="Times New Roman"/>
                <w:lang w:val="en-US" w:eastAsia="zh-CN"/>
              </w:rPr>
            </w:pPr>
            <w:r>
              <w:rPr>
                <w:rFonts w:hint="eastAsia" w:ascii="Times New Roman" w:hAnsi="Times New Roman" w:cs="Times New Roman"/>
                <w:lang w:val="en-US" w:eastAsia="zh-CN"/>
              </w:rPr>
              <w:t>企业不公开</w:t>
            </w:r>
          </w:p>
          <w:p w14:paraId="279E107B">
            <w:pPr>
              <w:pStyle w:val="43"/>
              <w:spacing w:before="240" w:beforeLines="100"/>
              <w:rPr>
                <w:rFonts w:hint="eastAsia" w:ascii="Times New Roman" w:hAnsi="Times New Roman" w:cs="Times New Roman"/>
                <w:color w:val="auto"/>
                <w:highlight w:val="none"/>
                <w:lang w:val="en-US" w:eastAsia="zh-CN"/>
              </w:rPr>
            </w:pPr>
          </w:p>
          <w:p w14:paraId="3907BFE8">
            <w:pPr>
              <w:pStyle w:val="42"/>
              <w:spacing w:before="240" w:beforeLines="100"/>
              <w:rPr>
                <w:rFonts w:hint="default"/>
              </w:rPr>
            </w:pPr>
            <w:r>
              <w:rPr>
                <w:rFonts w:hint="default"/>
                <w:lang w:val="en-US" w:eastAsia="zh-CN"/>
              </w:rPr>
              <w:t>监测结论：根据监</w:t>
            </w:r>
            <w:r>
              <w:rPr>
                <w:rFonts w:hint="default" w:ascii="Times New Roman" w:hAnsi="Times New Roman" w:cs="Times New Roman"/>
                <w:lang w:val="en-US" w:eastAsia="zh-CN"/>
              </w:rPr>
              <w:t>测，本项目厂界无</w:t>
            </w:r>
            <w:r>
              <w:rPr>
                <w:rFonts w:hint="eastAsia" w:ascii="Times New Roman" w:hAnsi="Times New Roman" w:eastAsia="宋体" w:cs="Times New Roman"/>
                <w:sz w:val="24"/>
                <w:szCs w:val="24"/>
                <w:highlight w:val="none"/>
                <w:lang w:val="en-US" w:eastAsia="zh-CN"/>
              </w:rPr>
              <w:t>组织废气中的总悬浮颗粒物</w:t>
            </w:r>
            <w:r>
              <w:rPr>
                <w:rFonts w:hint="eastAsia" w:ascii="Times New Roman" w:hAnsi="Times New Roman" w:eastAsia="宋体" w:cs="Times New Roman"/>
                <w:color w:val="000000"/>
                <w:sz w:val="24"/>
                <w:szCs w:val="24"/>
                <w:highlight w:val="none"/>
                <w:lang w:val="en-US" w:eastAsia="zh-CN"/>
              </w:rPr>
              <w:t>监测结果符合</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橡胶制品工业污染物排放标准</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GB 27632-2011</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lang w:val="en-US" w:eastAsia="zh-CN"/>
              </w:rPr>
              <w:t>要</w:t>
            </w:r>
            <w:r>
              <w:rPr>
                <w:rFonts w:hint="eastAsia"/>
                <w:lang w:val="en-US" w:eastAsia="zh-CN"/>
              </w:rPr>
              <w:t>求。</w:t>
            </w:r>
          </w:p>
          <w:p w14:paraId="5FCB7A43">
            <w:pPr>
              <w:pStyle w:val="43"/>
              <w:spacing w:before="240" w:beforeLines="10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表2-</w:t>
            </w:r>
            <w:r>
              <w:rPr>
                <w:rFonts w:hint="eastAsia" w:ascii="Times New Roman" w:hAnsi="Times New Roman" w:cs="Times New Roman"/>
                <w:color w:val="auto"/>
                <w:highlight w:val="none"/>
                <w:lang w:val="en-US" w:eastAsia="zh-CN"/>
              </w:rPr>
              <w:t>14</w:t>
            </w:r>
            <w:r>
              <w:rPr>
                <w:rFonts w:hint="default" w:ascii="Times New Roman" w:hAnsi="Times New Roman" w:cs="Times New Roman"/>
                <w:color w:val="auto"/>
                <w:highlight w:val="none"/>
              </w:rPr>
              <w:t>现有工程</w:t>
            </w:r>
            <w:r>
              <w:rPr>
                <w:rFonts w:hint="eastAsia" w:ascii="Times New Roman" w:hAnsi="Times New Roman" w:cs="Times New Roman"/>
                <w:color w:val="auto"/>
                <w:highlight w:val="none"/>
                <w:lang w:val="en-US" w:eastAsia="zh-CN"/>
              </w:rPr>
              <w:t>无厂界噪声监测结果</w:t>
            </w:r>
          </w:p>
          <w:p w14:paraId="513096C5">
            <w:pPr>
              <w:pStyle w:val="42"/>
              <w:spacing w:before="240" w:beforeLines="100"/>
              <w:rPr>
                <w:rFonts w:hint="default" w:ascii="Times New Roman" w:hAnsi="Times New Roman" w:cs="Times New Roman"/>
                <w:lang w:val="en-US" w:eastAsia="zh-CN"/>
              </w:rPr>
            </w:pPr>
            <w:r>
              <w:rPr>
                <w:rFonts w:hint="eastAsia" w:ascii="Times New Roman" w:hAnsi="Times New Roman" w:cs="Times New Roman"/>
                <w:lang w:val="en-US" w:eastAsia="zh-CN"/>
              </w:rPr>
              <w:t>企业不公开</w:t>
            </w:r>
          </w:p>
          <w:p w14:paraId="1703B974">
            <w:pPr>
              <w:pStyle w:val="42"/>
              <w:bidi w:val="0"/>
              <w:jc w:val="both"/>
              <w:rPr>
                <w:rFonts w:hint="default" w:ascii="Times New Roman" w:hAnsi="Times New Roman" w:cs="Times New Roman"/>
                <w:color w:val="auto"/>
                <w:kern w:val="2"/>
                <w:sz w:val="24"/>
                <w:szCs w:val="21"/>
                <w:highlight w:val="none"/>
                <w:lang w:val="en-US" w:eastAsia="zh-CN" w:bidi="ar-SA"/>
              </w:rPr>
            </w:pPr>
            <w:r>
              <w:rPr>
                <w:rFonts w:hint="default" w:ascii="Times New Roman" w:hAnsi="Times New Roman" w:cs="Times New Roman"/>
                <w:color w:val="auto"/>
                <w:kern w:val="2"/>
                <w:sz w:val="24"/>
                <w:szCs w:val="21"/>
                <w:highlight w:val="none"/>
                <w:lang w:val="en-US" w:eastAsia="zh-CN" w:bidi="ar-SA"/>
              </w:rPr>
              <w:t>根据监测报告：</w:t>
            </w:r>
            <w:r>
              <w:rPr>
                <w:rFonts w:hint="eastAsia" w:ascii="Times New Roman" w:hAnsi="Times New Roman" w:cs="Times New Roman"/>
                <w:color w:val="auto"/>
                <w:kern w:val="2"/>
                <w:sz w:val="24"/>
                <w:szCs w:val="21"/>
                <w:highlight w:val="none"/>
                <w:lang w:val="en-US" w:eastAsia="zh-CN" w:bidi="ar-SA"/>
              </w:rPr>
              <w:t>根据监测，</w:t>
            </w:r>
            <w:r>
              <w:rPr>
                <w:rFonts w:hint="default" w:ascii="Times New Roman" w:hAnsi="Times New Roman" w:cs="Times New Roman"/>
                <w:color w:val="auto"/>
                <w:kern w:val="2"/>
                <w:sz w:val="24"/>
                <w:szCs w:val="21"/>
                <w:highlight w:val="none"/>
                <w:lang w:val="en-US" w:eastAsia="zh-CN" w:bidi="ar-SA"/>
              </w:rPr>
              <w:t>厂界环境噪声检测结果符合《工业企业厂界环境噪声排放标准》(GB12348-2008)表1中3类声环境功能区限值。</w:t>
            </w:r>
          </w:p>
          <w:p w14:paraId="59F8308D">
            <w:pPr>
              <w:pStyle w:val="42"/>
              <w:numPr>
                <w:ilvl w:val="-1"/>
                <w:numId w:val="0"/>
              </w:numPr>
              <w:bidi w:val="0"/>
              <w:ind w:left="420" w:firstLine="0" w:firstLineChars="0"/>
              <w:jc w:val="both"/>
              <w:rPr>
                <w:rFonts w:hint="default" w:cs="Times New Roman"/>
                <w:color w:val="auto"/>
                <w:kern w:val="2"/>
                <w:sz w:val="24"/>
                <w:szCs w:val="21"/>
                <w:highlight w:val="none"/>
                <w:lang w:val="en-US" w:eastAsia="zh-CN" w:bidi="ar-SA"/>
              </w:rPr>
            </w:pPr>
            <w:r>
              <w:rPr>
                <w:rFonts w:hint="eastAsia" w:ascii="Times New Roman" w:hAnsi="Times New Roman" w:cs="Times New Roman"/>
                <w:b/>
                <w:bCs/>
                <w:color w:val="auto"/>
                <w:highlight w:val="none"/>
                <w:lang w:val="en-US" w:eastAsia="zh-CN"/>
              </w:rPr>
              <w:t>9.</w:t>
            </w:r>
            <w:r>
              <w:rPr>
                <w:rFonts w:hint="default" w:ascii="Times New Roman" w:hAnsi="Times New Roman" w:eastAsia="宋体" w:cs="Times New Roman"/>
                <w:b/>
                <w:bCs/>
                <w:color w:val="auto"/>
                <w:highlight w:val="none"/>
                <w:lang w:val="en-US" w:eastAsia="zh-CN"/>
              </w:rPr>
              <w:t>现有</w:t>
            </w:r>
            <w:r>
              <w:rPr>
                <w:rFonts w:hint="eastAsia" w:ascii="Times New Roman" w:hAnsi="Times New Roman" w:eastAsia="宋体" w:cs="Times New Roman"/>
                <w:b/>
                <w:bCs/>
                <w:color w:val="auto"/>
                <w:highlight w:val="none"/>
                <w:lang w:val="en-US" w:eastAsia="zh-CN"/>
              </w:rPr>
              <w:t>工程污染物排放量核算</w:t>
            </w:r>
          </w:p>
          <w:p w14:paraId="60674241">
            <w:pPr>
              <w:pStyle w:val="42"/>
              <w:spacing w:before="240" w:beforeLines="100"/>
              <w:rPr>
                <w:rFonts w:hint="default" w:ascii="Times New Roman" w:hAnsi="Times New Roman" w:cs="Times New Roman"/>
                <w:lang w:val="en-US" w:eastAsia="zh-CN"/>
              </w:rPr>
            </w:pPr>
            <w:r>
              <w:rPr>
                <w:rFonts w:hint="eastAsia" w:ascii="Times New Roman" w:hAnsi="Times New Roman" w:cs="Times New Roman"/>
                <w:lang w:val="en-US" w:eastAsia="zh-CN"/>
              </w:rPr>
              <w:t>企业不公开</w:t>
            </w:r>
          </w:p>
          <w:p w14:paraId="1F3C7D12">
            <w:pPr>
              <w:pStyle w:val="42"/>
              <w:numPr>
                <w:ilvl w:val="-1"/>
                <w:numId w:val="0"/>
              </w:numPr>
              <w:bidi w:val="0"/>
              <w:ind w:left="0" w:firstLine="0" w:firstLineChars="0"/>
              <w:jc w:val="both"/>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10.依托设施及可行性分析</w:t>
            </w:r>
          </w:p>
          <w:p w14:paraId="76A8ED6B">
            <w:pPr>
              <w:pStyle w:val="42"/>
              <w:bidi w:val="0"/>
              <w:rPr>
                <w:rFonts w:hint="default" w:ascii="Times New Roman" w:hAnsi="Times New Roman" w:cs="Times New Roman"/>
                <w:color w:val="auto"/>
                <w:highlight w:val="none"/>
                <w:lang w:val="en-US" w:eastAsia="zh-CN"/>
              </w:rPr>
            </w:pPr>
            <w:r>
              <w:rPr>
                <w:rFonts w:hint="eastAsia" w:ascii="Times New Roman" w:hAnsi="Times New Roman" w:cs="Times New Roman"/>
                <w:b/>
                <w:bCs/>
                <w:color w:val="auto"/>
                <w:highlight w:val="none"/>
                <w:lang w:val="en-US" w:eastAsia="zh-CN"/>
              </w:rPr>
              <w:t xml:space="preserve"> </w:t>
            </w:r>
            <w:r>
              <w:rPr>
                <w:rFonts w:hint="default" w:ascii="Times New Roman" w:hAnsi="Times New Roman" w:cs="Times New Roman"/>
                <w:color w:val="auto"/>
                <w:highlight w:val="none"/>
                <w:lang w:val="en-US" w:eastAsia="zh-CN"/>
              </w:rPr>
              <w:t>①</w:t>
            </w:r>
            <w:r>
              <w:rPr>
                <w:rFonts w:hint="eastAsia" w:ascii="Times New Roman" w:hAnsi="Times New Roman" w:cs="Times New Roman"/>
                <w:color w:val="auto"/>
                <w:highlight w:val="none"/>
                <w:lang w:val="en-US" w:eastAsia="zh-CN"/>
              </w:rPr>
              <w:t>锅炉</w:t>
            </w:r>
          </w:p>
          <w:p w14:paraId="59A6B267">
            <w:pPr>
              <w:pStyle w:val="4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公司目前</w:t>
            </w:r>
            <w:r>
              <w:rPr>
                <w:rFonts w:hint="eastAsia" w:ascii="Times New Roman" w:hAnsi="Times New Roman" w:cs="Times New Roman"/>
                <w:color w:val="auto"/>
                <w:highlight w:val="none"/>
                <w:lang w:val="en-US" w:eastAsia="zh-CN"/>
              </w:rPr>
              <w:t>有锅炉2台，2.0t/h和3.0t/h锅炉各1台。其中3.0t/h的锅炉为</w:t>
            </w:r>
            <w:r>
              <w:rPr>
                <w:rFonts w:hint="default" w:ascii="Times New Roman" w:hAnsi="Times New Roman" w:cs="Times New Roman"/>
                <w:color w:val="auto"/>
                <w:highlight w:val="none"/>
                <w:lang w:val="en-US" w:eastAsia="zh-CN"/>
              </w:rPr>
              <w:t>202</w:t>
            </w:r>
            <w:r>
              <w:rPr>
                <w:rFonts w:hint="default" w:ascii="Times New Roman" w:hAnsi="Times New Roman" w:eastAsia="宋体" w:cs="Times New Roman"/>
                <w:color w:val="auto"/>
                <w:highlight w:val="none"/>
                <w:lang w:val="en-US" w:eastAsia="zh-CN"/>
              </w:rPr>
              <w:t>2</w:t>
            </w:r>
            <w:r>
              <w:rPr>
                <w:rFonts w:hint="default" w:ascii="Times New Roman" w:hAnsi="Times New Roman" w:cs="Times New Roman"/>
                <w:color w:val="auto"/>
                <w:highlight w:val="none"/>
                <w:lang w:val="en-US" w:eastAsia="zh-CN"/>
              </w:rPr>
              <w:t>年1</w:t>
            </w:r>
            <w:r>
              <w:rPr>
                <w:rFonts w:hint="default" w:ascii="Times New Roman" w:hAnsi="Times New Roman" w:eastAsia="宋体" w:cs="Times New Roman"/>
                <w:color w:val="auto"/>
                <w:highlight w:val="none"/>
                <w:lang w:val="en-US" w:eastAsia="zh-CN"/>
              </w:rPr>
              <w:t>1</w:t>
            </w:r>
            <w:r>
              <w:rPr>
                <w:rFonts w:hint="default" w:ascii="Times New Roman" w:hAnsi="Times New Roman" w:cs="Times New Roman"/>
                <w:color w:val="auto"/>
                <w:highlight w:val="none"/>
                <w:lang w:val="en-US" w:eastAsia="zh-CN"/>
              </w:rPr>
              <w:t>月为解</w:t>
            </w:r>
            <w:r>
              <w:rPr>
                <w:rFonts w:hint="default" w:ascii="Times New Roman" w:hAnsi="Times New Roman" w:cs="Times New Roman"/>
                <w:color w:val="auto"/>
                <w:lang w:val="en-US" w:eastAsia="zh-CN"/>
              </w:rPr>
              <w:t>决冬季生产线蒸汽不够用的问题新增一台3.0t/h的蒸汽锅炉</w:t>
            </w:r>
            <w:r>
              <w:rPr>
                <w:rFonts w:hint="eastAsia" w:ascii="Times New Roman" w:hAnsi="Times New Roman" w:cs="Times New Roman"/>
                <w:color w:val="auto"/>
                <w:highlight w:val="none"/>
                <w:lang w:val="en-US" w:eastAsia="zh-CN"/>
              </w:rPr>
              <w:t>，该锅炉建成后原2.0t/h的锅炉转为备用锅炉，本次扩充后备用锅炉改为在用锅炉，因此现有锅炉总体规模满足依托需求。</w:t>
            </w:r>
          </w:p>
          <w:p w14:paraId="582FA949">
            <w:pPr>
              <w:pStyle w:val="42"/>
              <w:bidi w:val="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②危废暂存设施依托可行性</w:t>
            </w:r>
          </w:p>
          <w:p w14:paraId="4DADAF4F">
            <w:pPr>
              <w:pStyle w:val="42"/>
              <w:bidi w:val="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公司已</w:t>
            </w:r>
            <w:r>
              <w:rPr>
                <w:rFonts w:hint="eastAsia" w:ascii="Times New Roman" w:hAnsi="Times New Roman" w:cs="Times New Roman"/>
                <w:color w:val="auto"/>
                <w:highlight w:val="none"/>
                <w:lang w:val="en-US" w:eastAsia="zh-CN"/>
              </w:rPr>
              <w:t>建设</w:t>
            </w:r>
            <w:r>
              <w:rPr>
                <w:rFonts w:hint="default" w:ascii="Times New Roman" w:hAnsi="Times New Roman" w:cs="Times New Roman"/>
                <w:color w:val="auto"/>
                <w:highlight w:val="none"/>
                <w:lang w:val="en-US" w:eastAsia="zh-CN"/>
              </w:rPr>
              <w:t>危险废物暂存间</w:t>
            </w:r>
            <w:r>
              <w:rPr>
                <w:rFonts w:hint="eastAsia" w:ascii="Times New Roman" w:hAnsi="Times New Roman" w:cs="Times New Roman"/>
                <w:color w:val="auto"/>
                <w:highlight w:val="none"/>
                <w:lang w:val="en-US" w:eastAsia="zh-CN"/>
              </w:rPr>
              <w:t>1处</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面积约20</w:t>
            </w:r>
            <w:r>
              <w:rPr>
                <w:rFonts w:hint="default" w:ascii="Times New Roman" w:hAnsi="Times New Roman" w:cs="Times New Roman"/>
                <w:color w:val="auto"/>
                <w:highlight w:val="none"/>
                <w:lang w:val="en-US" w:eastAsia="zh-CN"/>
              </w:rPr>
              <w:t>㎡。根据现场踏勘，现有危废间已做好了防渗处理，</w:t>
            </w:r>
            <w:r>
              <w:rPr>
                <w:rFonts w:hint="eastAsia" w:ascii="Times New Roman" w:hAnsi="Times New Roman" w:cs="Times New Roman"/>
                <w:color w:val="auto"/>
                <w:highlight w:val="none"/>
                <w:lang w:val="en-US" w:eastAsia="zh-CN"/>
              </w:rPr>
              <w:t>本项目不新增危废种类，扩建后，提高危废处置频率后，现有危废暂存间满足本项目危险废物暂存需要</w:t>
            </w:r>
            <w:r>
              <w:rPr>
                <w:rFonts w:hint="default" w:ascii="Times New Roman" w:hAnsi="Times New Roman" w:cs="Times New Roman"/>
                <w:color w:val="auto"/>
                <w:highlight w:val="none"/>
                <w:lang w:val="en-US" w:eastAsia="zh-CN"/>
              </w:rPr>
              <w:t>。</w:t>
            </w:r>
          </w:p>
          <w:p w14:paraId="1CBE590A">
            <w:pPr>
              <w:pStyle w:val="42"/>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③循环冷却水池</w:t>
            </w:r>
          </w:p>
          <w:p w14:paraId="688CAE70">
            <w:pPr>
              <w:pStyle w:val="4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本项目依托已建冷却水池一处，容积约200m³，根据调查</w:t>
            </w:r>
            <w:r>
              <w:rPr>
                <w:rFonts w:hint="default" w:ascii="Times New Roman" w:hAnsi="Times New Roman" w:cs="Times New Roman"/>
                <w:color w:val="auto"/>
                <w:highlight w:val="none"/>
                <w:vertAlign w:val="baseline"/>
                <w:lang w:val="en-US" w:eastAsia="zh-CN"/>
              </w:rPr>
              <w:t>冷却水现状使用容积约50m³，本次扩产后新增开式炼胶机4台，按现状炼胶机测试需要冷却水池容积约100m³，现状冷却水池剩余容积为150m³，因此现状循环冷却水池有效容积满足依托需要</w:t>
            </w:r>
            <w:r>
              <w:rPr>
                <w:rFonts w:hint="default" w:ascii="Times New Roman" w:hAnsi="Times New Roman" w:cs="Times New Roman"/>
                <w:color w:val="auto"/>
                <w:highlight w:val="none"/>
                <w:lang w:val="en-US" w:eastAsia="zh-CN"/>
              </w:rPr>
              <w:t>。</w:t>
            </w:r>
          </w:p>
          <w:p w14:paraId="4B7ECD4B">
            <w:pPr>
              <w:pStyle w:val="42"/>
              <w:bidi w:val="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④</w:t>
            </w:r>
            <w:r>
              <w:rPr>
                <w:rFonts w:hint="eastAsia" w:ascii="Times New Roman" w:hAnsi="Times New Roman" w:eastAsia="宋体" w:cs="Times New Roman"/>
                <w:color w:val="auto"/>
                <w:highlight w:val="none"/>
                <w:lang w:val="en-US" w:eastAsia="zh-CN"/>
              </w:rPr>
              <w:t>一般固废暂存间</w:t>
            </w:r>
          </w:p>
          <w:p w14:paraId="6516D46E">
            <w:pPr>
              <w:pStyle w:val="42"/>
              <w:bidi w:val="0"/>
              <w:rPr>
                <w:rFonts w:hint="default" w:ascii="Times New Roman" w:hAnsi="Times New Roman" w:cs="Times New Roman"/>
                <w:bCs w:val="0"/>
                <w:color w:val="auto"/>
                <w:sz w:val="24"/>
                <w:szCs w:val="21"/>
                <w:highlight w:val="none"/>
                <w:lang w:eastAsia="zh-CN"/>
              </w:rPr>
            </w:pPr>
            <w:r>
              <w:rPr>
                <w:rFonts w:hint="eastAsia" w:ascii="Times New Roman" w:hAnsi="Times New Roman" w:eastAsia="宋体" w:cs="Times New Roman"/>
                <w:bCs w:val="0"/>
                <w:color w:val="auto"/>
                <w:sz w:val="24"/>
                <w:szCs w:val="21"/>
                <w:highlight w:val="none"/>
                <w:lang w:val="en-US" w:eastAsia="zh-CN"/>
              </w:rPr>
              <w:t>森</w:t>
            </w:r>
            <w:r>
              <w:rPr>
                <w:rFonts w:hint="default" w:ascii="Times New Roman" w:hAnsi="Times New Roman" w:cs="Times New Roman"/>
                <w:bCs w:val="0"/>
                <w:color w:val="auto"/>
                <w:sz w:val="24"/>
                <w:szCs w:val="21"/>
                <w:highlight w:val="none"/>
                <w:lang w:eastAsia="zh-CN"/>
              </w:rPr>
              <w:t>帝</w:t>
            </w:r>
            <w:r>
              <w:rPr>
                <w:rFonts w:hint="default" w:ascii="Times New Roman" w:hAnsi="Times New Roman" w:cs="Times New Roman"/>
                <w:bCs w:val="0"/>
                <w:color w:val="auto"/>
                <w:sz w:val="24"/>
                <w:szCs w:val="21"/>
                <w:highlight w:val="none"/>
              </w:rPr>
              <w:t>一般固废暂存间位于</w:t>
            </w:r>
            <w:r>
              <w:rPr>
                <w:rFonts w:hint="default" w:ascii="Times New Roman" w:hAnsi="Times New Roman" w:cs="Times New Roman"/>
                <w:bCs w:val="0"/>
                <w:color w:val="auto"/>
                <w:sz w:val="24"/>
                <w:szCs w:val="21"/>
                <w:highlight w:val="none"/>
                <w:lang w:eastAsia="zh-CN"/>
              </w:rPr>
              <w:t>森帝</w:t>
            </w:r>
            <w:r>
              <w:rPr>
                <w:rFonts w:hint="default" w:ascii="Times New Roman" w:hAnsi="Times New Roman" w:cs="Times New Roman"/>
                <w:bCs w:val="0"/>
                <w:color w:val="auto"/>
                <w:sz w:val="24"/>
                <w:szCs w:val="21"/>
                <w:highlight w:val="none"/>
              </w:rPr>
              <w:t>厂</w:t>
            </w:r>
            <w:r>
              <w:rPr>
                <w:rFonts w:hint="default" w:ascii="Times New Roman" w:hAnsi="Times New Roman" w:cs="Times New Roman"/>
                <w:bCs w:val="0"/>
                <w:color w:val="auto"/>
                <w:sz w:val="24"/>
                <w:szCs w:val="21"/>
                <w:highlight w:val="none"/>
                <w:lang w:eastAsia="zh-CN"/>
              </w:rPr>
              <w:t>区西北厂界处</w:t>
            </w:r>
            <w:r>
              <w:rPr>
                <w:rFonts w:hint="default" w:ascii="Times New Roman" w:hAnsi="Times New Roman" w:cs="Times New Roman"/>
                <w:bCs w:val="0"/>
                <w:color w:val="auto"/>
                <w:sz w:val="24"/>
                <w:szCs w:val="21"/>
                <w:highlight w:val="none"/>
              </w:rPr>
              <w:t>，面积约1</w:t>
            </w:r>
            <w:r>
              <w:rPr>
                <w:rFonts w:hint="default" w:ascii="Times New Roman" w:hAnsi="Times New Roman" w:cs="Times New Roman"/>
                <w:bCs w:val="0"/>
                <w:color w:val="auto"/>
                <w:sz w:val="24"/>
                <w:szCs w:val="21"/>
                <w:highlight w:val="none"/>
                <w:lang w:val="en-US" w:eastAsia="zh-CN"/>
              </w:rPr>
              <w:t>0</w:t>
            </w:r>
            <w:r>
              <w:rPr>
                <w:rFonts w:hint="default" w:ascii="Times New Roman" w:hAnsi="Times New Roman" w:cs="Times New Roman"/>
                <w:bCs w:val="0"/>
                <w:color w:val="auto"/>
                <w:sz w:val="24"/>
                <w:szCs w:val="21"/>
                <w:highlight w:val="none"/>
              </w:rPr>
              <w:t>0平方米</w:t>
            </w:r>
            <w:r>
              <w:rPr>
                <w:rFonts w:hint="default" w:ascii="Times New Roman" w:hAnsi="Times New Roman" w:cs="Times New Roman"/>
                <w:bCs w:val="0"/>
                <w:color w:val="auto"/>
                <w:sz w:val="24"/>
                <w:szCs w:val="21"/>
                <w:highlight w:val="none"/>
                <w:lang w:eastAsia="zh-CN"/>
              </w:rPr>
              <w:t>，目前使用面积约</w:t>
            </w:r>
            <w:r>
              <w:rPr>
                <w:rFonts w:hint="eastAsia" w:ascii="Times New Roman" w:hAnsi="Times New Roman" w:eastAsia="宋体" w:cs="Times New Roman"/>
                <w:bCs w:val="0"/>
                <w:color w:val="auto"/>
                <w:sz w:val="24"/>
                <w:szCs w:val="21"/>
                <w:highlight w:val="none"/>
                <w:lang w:val="en-US" w:eastAsia="zh-CN"/>
              </w:rPr>
              <w:t>5</w:t>
            </w:r>
            <w:r>
              <w:rPr>
                <w:rFonts w:hint="default" w:ascii="Times New Roman" w:hAnsi="Times New Roman" w:cs="Times New Roman"/>
                <w:bCs w:val="0"/>
                <w:color w:val="auto"/>
                <w:sz w:val="24"/>
                <w:szCs w:val="21"/>
                <w:highlight w:val="none"/>
                <w:lang w:val="en-US" w:eastAsia="zh-CN"/>
              </w:rPr>
              <w:t>0平方米，剩余</w:t>
            </w:r>
            <w:r>
              <w:rPr>
                <w:rFonts w:hint="eastAsia" w:ascii="Times New Roman" w:hAnsi="Times New Roman" w:eastAsia="宋体" w:cs="Times New Roman"/>
                <w:bCs w:val="0"/>
                <w:color w:val="auto"/>
                <w:sz w:val="24"/>
                <w:szCs w:val="21"/>
                <w:highlight w:val="none"/>
                <w:lang w:val="en-US" w:eastAsia="zh-CN"/>
              </w:rPr>
              <w:t>5</w:t>
            </w:r>
            <w:r>
              <w:rPr>
                <w:rFonts w:hint="default" w:ascii="Times New Roman" w:hAnsi="Times New Roman" w:cs="Times New Roman"/>
                <w:bCs w:val="0"/>
                <w:color w:val="auto"/>
                <w:sz w:val="24"/>
                <w:szCs w:val="21"/>
                <w:highlight w:val="none"/>
                <w:lang w:val="en-US" w:eastAsia="zh-CN"/>
              </w:rPr>
              <w:t>0平方米待用。一般固废暂存间面积</w:t>
            </w:r>
            <w:r>
              <w:rPr>
                <w:rFonts w:hint="default" w:ascii="Times New Roman" w:hAnsi="Times New Roman" w:cs="Times New Roman"/>
                <w:bCs w:val="0"/>
                <w:color w:val="auto"/>
                <w:sz w:val="24"/>
                <w:szCs w:val="21"/>
                <w:highlight w:val="none"/>
                <w:lang w:eastAsia="zh-CN"/>
              </w:rPr>
              <w:t>满足既有项目和</w:t>
            </w:r>
            <w:r>
              <w:rPr>
                <w:rFonts w:hint="default" w:ascii="Times New Roman" w:hAnsi="Times New Roman" w:cs="Times New Roman"/>
                <w:bCs w:val="0"/>
                <w:color w:val="auto"/>
                <w:sz w:val="24"/>
                <w:szCs w:val="21"/>
                <w:highlight w:val="none"/>
                <w:lang w:val="en-US" w:eastAsia="zh-CN"/>
              </w:rPr>
              <w:t>新建</w:t>
            </w:r>
            <w:r>
              <w:rPr>
                <w:rFonts w:hint="default" w:ascii="Times New Roman" w:hAnsi="Times New Roman" w:cs="Times New Roman"/>
                <w:bCs w:val="0"/>
                <w:color w:val="auto"/>
                <w:sz w:val="24"/>
                <w:szCs w:val="21"/>
                <w:highlight w:val="none"/>
                <w:lang w:eastAsia="zh-CN"/>
              </w:rPr>
              <w:t>项目的一般固废暂存需要。</w:t>
            </w:r>
          </w:p>
          <w:p w14:paraId="0C2646F8">
            <w:pPr>
              <w:pStyle w:val="42"/>
              <w:bidi w:val="0"/>
              <w:rPr>
                <w:rFonts w:hint="eastAsia" w:ascii="Times New Roman" w:hAnsi="Times New Roman" w:cs="Times New Roman"/>
                <w:bCs w:val="0"/>
                <w:color w:val="auto"/>
                <w:sz w:val="24"/>
                <w:szCs w:val="21"/>
                <w:highlight w:val="none"/>
                <w:lang w:val="en-US" w:eastAsia="zh-CN"/>
              </w:rPr>
            </w:pPr>
            <w:r>
              <w:rPr>
                <w:rFonts w:hint="eastAsia" w:ascii="Times New Roman" w:hAnsi="Times New Roman" w:cs="Times New Roman"/>
                <w:bCs w:val="0"/>
                <w:color w:val="auto"/>
                <w:sz w:val="24"/>
                <w:szCs w:val="21"/>
                <w:highlight w:val="none"/>
                <w:lang w:val="en-US" w:eastAsia="zh-CN"/>
              </w:rPr>
              <w:t>⑤厂房依托可行性</w:t>
            </w:r>
          </w:p>
          <w:p w14:paraId="6395CF62">
            <w:pPr>
              <w:pStyle w:val="42"/>
              <w:bidi w:val="0"/>
              <w:rPr>
                <w:rFonts w:hint="default" w:ascii="Times New Roman" w:hAnsi="Times New Roman" w:cs="Times New Roman"/>
                <w:bCs w:val="0"/>
                <w:color w:val="auto"/>
                <w:sz w:val="24"/>
                <w:szCs w:val="21"/>
                <w:highlight w:val="none"/>
                <w:lang w:val="en-US" w:eastAsia="zh-CN"/>
              </w:rPr>
            </w:pPr>
            <w:r>
              <w:rPr>
                <w:rFonts w:hint="eastAsia" w:ascii="Times New Roman" w:hAnsi="Times New Roman" w:cs="Times New Roman"/>
                <w:bCs w:val="0"/>
                <w:color w:val="auto"/>
                <w:sz w:val="24"/>
                <w:szCs w:val="21"/>
                <w:highlight w:val="none"/>
                <w:lang w:val="en-US" w:eastAsia="zh-CN"/>
              </w:rPr>
              <w:t>本次扩建主要为橡胶流体管道生产线扩建，项目通过优化总平面布局，紧致布置设备等措施后，现有厂房面积可以满足设备布置需要。</w:t>
            </w:r>
          </w:p>
          <w:p w14:paraId="43997E87">
            <w:pPr>
              <w:pStyle w:val="42"/>
              <w:bidi w:val="0"/>
              <w:ind w:left="0" w:leftChars="0" w:right="-7" w:rightChars="0" w:firstLine="0" w:firstLineChars="0"/>
              <w:jc w:val="both"/>
              <w:rPr>
                <w:rFonts w:hint="default" w:ascii="Times New Roman" w:hAnsi="Times New Roman" w:eastAsia="宋体" w:cs="Times New Roman"/>
                <w:color w:val="auto"/>
                <w:kern w:val="2"/>
                <w:sz w:val="24"/>
                <w:szCs w:val="21"/>
                <w:highlight w:val="none"/>
                <w:lang w:val="en-US" w:eastAsia="zh-CN" w:bidi="ar-SA"/>
              </w:rPr>
            </w:pPr>
          </w:p>
          <w:p w14:paraId="233D8D71">
            <w:pPr>
              <w:pStyle w:val="42"/>
              <w:bidi w:val="0"/>
              <w:ind w:left="0" w:leftChars="0" w:right="-7" w:rightChars="0" w:firstLine="0" w:firstLineChars="0"/>
              <w:jc w:val="both"/>
              <w:rPr>
                <w:rFonts w:hint="default" w:ascii="Times New Roman" w:hAnsi="Times New Roman" w:eastAsia="宋体" w:cs="Times New Roman"/>
                <w:color w:val="auto"/>
                <w:kern w:val="2"/>
                <w:sz w:val="24"/>
                <w:szCs w:val="21"/>
                <w:highlight w:val="none"/>
                <w:lang w:val="en-US" w:eastAsia="zh-CN" w:bidi="ar-SA"/>
              </w:rPr>
            </w:pPr>
          </w:p>
          <w:p w14:paraId="0975D340">
            <w:pPr>
              <w:pStyle w:val="42"/>
              <w:bidi w:val="0"/>
              <w:ind w:left="0" w:leftChars="0" w:right="-7" w:rightChars="0" w:firstLine="0" w:firstLineChars="0"/>
              <w:jc w:val="both"/>
              <w:rPr>
                <w:rFonts w:hint="default" w:ascii="Times New Roman" w:hAnsi="Times New Roman" w:eastAsia="宋体" w:cs="Times New Roman"/>
                <w:color w:val="auto"/>
                <w:kern w:val="2"/>
                <w:sz w:val="24"/>
                <w:szCs w:val="21"/>
                <w:highlight w:val="none"/>
                <w:lang w:val="en-US" w:eastAsia="zh-CN" w:bidi="ar-SA"/>
              </w:rPr>
            </w:pPr>
          </w:p>
          <w:p w14:paraId="23065960">
            <w:pPr>
              <w:pStyle w:val="42"/>
              <w:bidi w:val="0"/>
              <w:ind w:left="0" w:leftChars="0" w:right="-7" w:rightChars="0" w:firstLine="0" w:firstLineChars="0"/>
              <w:jc w:val="both"/>
              <w:rPr>
                <w:rFonts w:hint="default" w:ascii="Times New Roman" w:hAnsi="Times New Roman" w:eastAsia="宋体" w:cs="Times New Roman"/>
                <w:color w:val="auto"/>
                <w:kern w:val="2"/>
                <w:sz w:val="24"/>
                <w:szCs w:val="21"/>
                <w:highlight w:val="none"/>
                <w:lang w:val="en-US" w:eastAsia="zh-CN" w:bidi="ar-SA"/>
              </w:rPr>
            </w:pPr>
          </w:p>
          <w:p w14:paraId="7DB4F4FE">
            <w:pPr>
              <w:pStyle w:val="42"/>
              <w:bidi w:val="0"/>
              <w:ind w:left="0" w:leftChars="0" w:right="-7" w:rightChars="0" w:firstLine="0" w:firstLineChars="0"/>
              <w:jc w:val="both"/>
              <w:rPr>
                <w:rFonts w:hint="default" w:ascii="Times New Roman" w:hAnsi="Times New Roman" w:eastAsia="宋体" w:cs="Times New Roman"/>
                <w:color w:val="auto"/>
                <w:kern w:val="2"/>
                <w:sz w:val="24"/>
                <w:szCs w:val="21"/>
                <w:highlight w:val="none"/>
                <w:lang w:val="en-US" w:eastAsia="zh-CN" w:bidi="ar-SA"/>
              </w:rPr>
            </w:pPr>
          </w:p>
          <w:p w14:paraId="524FC103">
            <w:pPr>
              <w:pStyle w:val="42"/>
              <w:bidi w:val="0"/>
              <w:ind w:left="0" w:leftChars="0" w:right="-7" w:rightChars="0" w:firstLine="0" w:firstLineChars="0"/>
              <w:jc w:val="both"/>
              <w:rPr>
                <w:rFonts w:hint="default" w:ascii="Times New Roman" w:hAnsi="Times New Roman" w:eastAsia="宋体" w:cs="Times New Roman"/>
                <w:color w:val="auto"/>
                <w:kern w:val="2"/>
                <w:sz w:val="24"/>
                <w:szCs w:val="21"/>
                <w:highlight w:val="none"/>
                <w:lang w:val="en-US" w:eastAsia="zh-CN" w:bidi="ar-SA"/>
              </w:rPr>
            </w:pPr>
          </w:p>
          <w:p w14:paraId="082302C5">
            <w:pPr>
              <w:pStyle w:val="42"/>
              <w:bidi w:val="0"/>
              <w:ind w:left="0" w:leftChars="0" w:right="-7" w:rightChars="0" w:firstLine="0" w:firstLineChars="0"/>
              <w:jc w:val="both"/>
              <w:rPr>
                <w:rFonts w:hint="default" w:ascii="Times New Roman" w:hAnsi="Times New Roman" w:eastAsia="宋体" w:cs="Times New Roman"/>
                <w:color w:val="auto"/>
                <w:kern w:val="2"/>
                <w:sz w:val="24"/>
                <w:szCs w:val="21"/>
                <w:highlight w:val="none"/>
                <w:lang w:val="en-US" w:eastAsia="zh-CN" w:bidi="ar-SA"/>
              </w:rPr>
            </w:pPr>
          </w:p>
          <w:p w14:paraId="74B99A19">
            <w:pPr>
              <w:pStyle w:val="42"/>
              <w:bidi w:val="0"/>
              <w:ind w:left="0" w:leftChars="0" w:right="-7" w:rightChars="0" w:firstLine="0" w:firstLineChars="0"/>
              <w:jc w:val="both"/>
              <w:rPr>
                <w:rFonts w:hint="default" w:ascii="Times New Roman" w:hAnsi="Times New Roman" w:eastAsia="宋体" w:cs="Times New Roman"/>
                <w:color w:val="auto"/>
                <w:kern w:val="2"/>
                <w:sz w:val="24"/>
                <w:szCs w:val="21"/>
                <w:highlight w:val="none"/>
                <w:lang w:val="en-US" w:eastAsia="zh-CN" w:bidi="ar-SA"/>
              </w:rPr>
            </w:pPr>
          </w:p>
          <w:p w14:paraId="0C84C46C">
            <w:pPr>
              <w:pStyle w:val="42"/>
              <w:bidi w:val="0"/>
              <w:ind w:left="0" w:leftChars="0" w:right="-7" w:rightChars="0" w:firstLine="0" w:firstLineChars="0"/>
              <w:jc w:val="both"/>
              <w:rPr>
                <w:rFonts w:hint="default" w:ascii="Times New Roman" w:hAnsi="Times New Roman" w:eastAsia="宋体" w:cs="Times New Roman"/>
                <w:color w:val="auto"/>
                <w:kern w:val="2"/>
                <w:sz w:val="24"/>
                <w:szCs w:val="21"/>
                <w:highlight w:val="none"/>
                <w:lang w:val="en-US" w:eastAsia="zh-CN" w:bidi="ar-SA"/>
              </w:rPr>
            </w:pPr>
          </w:p>
          <w:p w14:paraId="67F84489">
            <w:pPr>
              <w:pStyle w:val="42"/>
              <w:bidi w:val="0"/>
              <w:ind w:left="0" w:leftChars="0" w:right="-7" w:rightChars="0" w:firstLine="0" w:firstLineChars="0"/>
              <w:jc w:val="both"/>
              <w:rPr>
                <w:rFonts w:hint="default" w:ascii="Times New Roman" w:hAnsi="Times New Roman" w:eastAsia="宋体" w:cs="Times New Roman"/>
                <w:color w:val="auto"/>
                <w:kern w:val="2"/>
                <w:sz w:val="24"/>
                <w:szCs w:val="21"/>
                <w:highlight w:val="none"/>
                <w:lang w:val="en-US" w:eastAsia="zh-CN" w:bidi="ar-SA"/>
              </w:rPr>
            </w:pPr>
          </w:p>
          <w:p w14:paraId="46CF2318">
            <w:pPr>
              <w:pStyle w:val="42"/>
              <w:bidi w:val="0"/>
              <w:ind w:left="0" w:leftChars="0" w:right="-7" w:rightChars="0" w:firstLine="0" w:firstLineChars="0"/>
              <w:jc w:val="both"/>
              <w:rPr>
                <w:rFonts w:hint="default" w:ascii="Times New Roman" w:hAnsi="Times New Roman" w:eastAsia="宋体" w:cs="Times New Roman"/>
                <w:color w:val="auto"/>
                <w:kern w:val="2"/>
                <w:sz w:val="24"/>
                <w:szCs w:val="21"/>
                <w:highlight w:val="none"/>
                <w:lang w:val="en-US" w:eastAsia="zh-CN" w:bidi="ar-SA"/>
              </w:rPr>
            </w:pPr>
          </w:p>
          <w:p w14:paraId="702B7F8D">
            <w:pPr>
              <w:pStyle w:val="42"/>
              <w:bidi w:val="0"/>
              <w:spacing w:line="240" w:lineRule="auto"/>
              <w:ind w:left="0" w:leftChars="0" w:right="0" w:rightChars="0" w:firstLine="0" w:firstLineChars="0"/>
              <w:jc w:val="both"/>
              <w:rPr>
                <w:rFonts w:hint="default" w:ascii="Times New Roman" w:hAnsi="Times New Roman" w:eastAsia="宋体" w:cs="Times New Roman"/>
                <w:color w:val="auto"/>
                <w:kern w:val="2"/>
                <w:sz w:val="24"/>
                <w:szCs w:val="21"/>
                <w:highlight w:val="none"/>
                <w:lang w:val="en-US" w:eastAsia="zh-CN" w:bidi="ar-SA"/>
              </w:rPr>
            </w:pPr>
          </w:p>
        </w:tc>
      </w:tr>
    </w:tbl>
    <w:p w14:paraId="7FDBFA45">
      <w:pPr>
        <w:pStyle w:val="20"/>
        <w:jc w:val="center"/>
        <w:rPr>
          <w:rFonts w:hint="default" w:ascii="Times New Roman" w:hAnsi="Times New Roman" w:eastAsia="黑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9453660">
      <w:pPr>
        <w:pStyle w:val="20"/>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highlight w:val="none"/>
        </w:rPr>
      </w:pPr>
    </w:p>
    <w:p w14:paraId="0168C897">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525"/>
      </w:tblGrid>
      <w:tr w14:paraId="7AFA89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65" w:type="dxa"/>
            <w:noWrap w:val="0"/>
            <w:vAlign w:val="center"/>
          </w:tcPr>
          <w:p w14:paraId="0E31E4C9">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区域</w:t>
            </w:r>
          </w:p>
          <w:p w14:paraId="226B5A85">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14:paraId="2FAB53DE">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质量</w:t>
            </w:r>
          </w:p>
          <w:p w14:paraId="31FBECE6">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现状</w:t>
            </w:r>
          </w:p>
        </w:tc>
        <w:tc>
          <w:tcPr>
            <w:tcW w:w="8525" w:type="dxa"/>
            <w:noWrap w:val="0"/>
            <w:vAlign w:val="center"/>
          </w:tcPr>
          <w:p w14:paraId="31DE03E2">
            <w:pPr>
              <w:pStyle w:val="42"/>
              <w:keepNext w:val="0"/>
              <w:keepLines w:val="0"/>
              <w:pageBreakBefore w:val="0"/>
              <w:widowControl w:val="0"/>
              <w:kinsoku/>
              <w:wordWrap/>
              <w:overflowPunct/>
              <w:topLinePunct w:val="0"/>
              <w:autoSpaceDE/>
              <w:autoSpaceDN/>
              <w:bidi w:val="0"/>
              <w:adjustRightInd w:val="0"/>
              <w:snapToGrid w:val="0"/>
              <w:spacing w:before="157" w:beforeLines="50"/>
              <w:ind w:left="0" w:leftChars="0" w:firstLine="0" w:firstLineChars="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一、大气环境</w:t>
            </w:r>
          </w:p>
          <w:p w14:paraId="11B25FD2">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w:t>
            </w:r>
            <w:r>
              <w:rPr>
                <w:rFonts w:hint="eastAsia" w:ascii="Times New Roman" w:hAnsi="Times New Roman" w:cs="Times New Roman"/>
                <w:color w:val="auto"/>
                <w:highlight w:val="none"/>
                <w:lang w:eastAsia="zh-CN"/>
              </w:rPr>
              <w:t>次</w:t>
            </w:r>
            <w:r>
              <w:rPr>
                <w:rFonts w:hint="default" w:ascii="Times New Roman" w:hAnsi="Times New Roman" w:cs="Times New Roman"/>
                <w:color w:val="auto"/>
                <w:highlight w:val="none"/>
              </w:rPr>
              <w:t>环境空气质量</w:t>
            </w:r>
            <w:r>
              <w:rPr>
                <w:rFonts w:hint="eastAsia" w:ascii="Times New Roman" w:hAnsi="Times New Roman" w:cs="Times New Roman"/>
                <w:color w:val="auto"/>
                <w:highlight w:val="none"/>
                <w:lang w:eastAsia="zh-CN"/>
              </w:rPr>
              <w:t>基本</w:t>
            </w:r>
            <w:r>
              <w:rPr>
                <w:rFonts w:hint="default" w:ascii="Times New Roman" w:hAnsi="Times New Roman" w:cs="Times New Roman"/>
                <w:color w:val="auto"/>
                <w:highlight w:val="none"/>
              </w:rPr>
              <w:t>污染因子现状评价引用</w:t>
            </w:r>
            <w:r>
              <w:rPr>
                <w:rFonts w:hint="eastAsia" w:ascii="Times New Roman" w:hAnsi="Times New Roman" w:cs="Times New Roman"/>
                <w:color w:val="auto"/>
                <w:highlight w:val="none"/>
                <w:lang w:eastAsia="zh-CN"/>
              </w:rPr>
              <w:t>遂宁市生态环境保护委员会办公室</w:t>
            </w:r>
            <w:r>
              <w:rPr>
                <w:rFonts w:hint="default" w:ascii="Times New Roman" w:hAnsi="Times New Roman" w:cs="Times New Roman"/>
                <w:color w:val="auto"/>
                <w:highlight w:val="none"/>
              </w:rPr>
              <w:t>202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日</w:t>
            </w:r>
            <w:r>
              <w:rPr>
                <w:rFonts w:hint="default" w:ascii="Times New Roman" w:hAnsi="Times New Roman" w:cs="Times New Roman"/>
                <w:color w:val="auto"/>
                <w:highlight w:val="none"/>
                <w:lang w:eastAsia="zh-CN"/>
              </w:rPr>
              <w:t>发布的</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关于20</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12月</w:t>
            </w:r>
            <w:r>
              <w:rPr>
                <w:rFonts w:hint="default" w:ascii="Times New Roman" w:hAnsi="Times New Roman" w:cs="Times New Roman"/>
                <w:color w:val="auto"/>
                <w:highlight w:val="none"/>
              </w:rPr>
              <w:t>全市</w:t>
            </w:r>
            <w:r>
              <w:rPr>
                <w:rFonts w:hint="default" w:ascii="Times New Roman" w:hAnsi="Times New Roman" w:cs="Times New Roman"/>
                <w:color w:val="auto"/>
                <w:highlight w:val="none"/>
                <w:lang w:val="en-US" w:eastAsia="zh-CN"/>
              </w:rPr>
              <w:t>地表水和</w:t>
            </w:r>
            <w:r>
              <w:rPr>
                <w:rFonts w:hint="default" w:ascii="Times New Roman" w:hAnsi="Times New Roman" w:cs="Times New Roman"/>
                <w:color w:val="auto"/>
                <w:highlight w:val="none"/>
              </w:rPr>
              <w:t>环境空气质量的</w:t>
            </w:r>
            <w:r>
              <w:rPr>
                <w:rFonts w:hint="default" w:ascii="Times New Roman" w:hAnsi="Times New Roman" w:cs="Times New Roman"/>
                <w:color w:val="auto"/>
                <w:highlight w:val="none"/>
                <w:lang w:val="en-US" w:eastAsia="zh-CN"/>
              </w:rPr>
              <w:t>排名情况的</w:t>
            </w:r>
            <w:r>
              <w:rPr>
                <w:rFonts w:hint="default" w:ascii="Times New Roman" w:hAnsi="Times New Roman" w:cs="Times New Roman"/>
                <w:color w:val="auto"/>
                <w:highlight w:val="none"/>
              </w:rPr>
              <w:t>通报</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（遂</w:t>
            </w:r>
            <w:r>
              <w:rPr>
                <w:rFonts w:hint="eastAsia" w:ascii="Times New Roman" w:hAnsi="Times New Roman" w:cs="Times New Roman"/>
                <w:color w:val="auto"/>
                <w:highlight w:val="none"/>
                <w:lang w:val="en-US" w:eastAsia="zh-CN"/>
              </w:rPr>
              <w:t>环委</w:t>
            </w:r>
            <w:r>
              <w:rPr>
                <w:rFonts w:hint="default" w:ascii="Times New Roman" w:hAnsi="Times New Roman" w:cs="Times New Roman"/>
                <w:color w:val="auto"/>
                <w:highlight w:val="none"/>
              </w:rPr>
              <w:t>办〔202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t>号）中公布的数据。</w:t>
            </w:r>
          </w:p>
          <w:p w14:paraId="27D4DF5F">
            <w:pPr>
              <w:keepNext/>
              <w:keepLines/>
              <w:adjustRightInd w:val="0"/>
              <w:snapToGrid w:val="0"/>
              <w:spacing w:line="420" w:lineRule="auto"/>
              <w:ind w:firstLine="475" w:firstLineChars="198"/>
              <w:jc w:val="both"/>
              <w:textAlignment w:val="baseline"/>
              <w:outlineLvl w:val="1"/>
              <w:rPr>
                <w:rFonts w:hint="default" w:ascii="Times New Roman" w:hAnsi="Times New Roman" w:eastAsia="宋体" w:cs="Times New Roman"/>
                <w:bCs/>
                <w:color w:val="auto"/>
                <w:sz w:val="24"/>
                <w:szCs w:val="22"/>
                <w:highlight w:val="none"/>
                <w:lang w:eastAsia="zh-CN"/>
              </w:rPr>
            </w:pPr>
            <w:r>
              <w:rPr>
                <w:rFonts w:hint="default" w:ascii="Times New Roman" w:hAnsi="Times New Roman" w:cs="Times New Roman"/>
                <w:bCs/>
                <w:color w:val="auto"/>
                <w:sz w:val="24"/>
                <w:szCs w:val="22"/>
                <w:highlight w:val="none"/>
              </w:rPr>
              <w:t>202</w:t>
            </w:r>
            <w:r>
              <w:rPr>
                <w:rFonts w:hint="eastAsia" w:cs="Times New Roman"/>
                <w:bCs/>
                <w:color w:val="auto"/>
                <w:sz w:val="24"/>
                <w:szCs w:val="22"/>
                <w:highlight w:val="none"/>
                <w:lang w:val="en-US" w:eastAsia="zh-CN"/>
              </w:rPr>
              <w:t>4</w:t>
            </w:r>
            <w:r>
              <w:rPr>
                <w:rFonts w:hint="default" w:ascii="Times New Roman" w:hAnsi="Times New Roman" w:cs="Times New Roman"/>
                <w:bCs/>
                <w:color w:val="auto"/>
                <w:sz w:val="24"/>
                <w:szCs w:val="22"/>
                <w:highlight w:val="none"/>
              </w:rPr>
              <w:t>年遂宁市</w:t>
            </w:r>
            <w:r>
              <w:rPr>
                <w:rFonts w:hint="default" w:ascii="Times New Roman" w:hAnsi="Times New Roman" w:cs="Times New Roman"/>
                <w:bCs/>
                <w:color w:val="auto"/>
                <w:sz w:val="24"/>
                <w:szCs w:val="22"/>
                <w:highlight w:val="none"/>
                <w:lang w:val="en-US" w:eastAsia="zh-CN"/>
              </w:rPr>
              <w:t>城区</w:t>
            </w:r>
            <w:r>
              <w:rPr>
                <w:rFonts w:hint="default" w:ascii="Times New Roman" w:hAnsi="Times New Roman" w:cs="Times New Roman"/>
                <w:bCs/>
                <w:color w:val="auto"/>
                <w:sz w:val="24"/>
                <w:szCs w:val="22"/>
                <w:highlight w:val="none"/>
              </w:rPr>
              <w:t>环境空气质量详见下表</w:t>
            </w:r>
            <w:r>
              <w:rPr>
                <w:rFonts w:hint="default" w:ascii="Times New Roman" w:hAnsi="Times New Roman" w:cs="Times New Roman"/>
                <w:bCs/>
                <w:color w:val="auto"/>
                <w:sz w:val="24"/>
                <w:szCs w:val="22"/>
                <w:highlight w:val="none"/>
                <w:lang w:eastAsia="zh-CN"/>
              </w:rPr>
              <w:t>：</w:t>
            </w:r>
          </w:p>
          <w:tbl>
            <w:tblPr>
              <w:tblStyle w:val="23"/>
              <w:tblW w:w="8120" w:type="dxa"/>
              <w:jc w:val="center"/>
              <w:tblLayout w:type="fixed"/>
              <w:tblCellMar>
                <w:top w:w="15" w:type="dxa"/>
                <w:left w:w="15" w:type="dxa"/>
                <w:bottom w:w="15" w:type="dxa"/>
                <w:right w:w="15" w:type="dxa"/>
              </w:tblCellMar>
            </w:tblPr>
            <w:tblGrid>
              <w:gridCol w:w="8120"/>
            </w:tblGrid>
            <w:tr w14:paraId="467D6B02">
              <w:tblPrEx>
                <w:tblCellMar>
                  <w:top w:w="15" w:type="dxa"/>
                  <w:left w:w="15" w:type="dxa"/>
                  <w:bottom w:w="15" w:type="dxa"/>
                  <w:right w:w="15" w:type="dxa"/>
                </w:tblCellMar>
              </w:tblPrEx>
              <w:trPr>
                <w:trHeight w:val="6132" w:hRule="atLeast"/>
                <w:jc w:val="center"/>
              </w:trPr>
              <w:tc>
                <w:tcPr>
                  <w:tcW w:w="8120" w:type="dxa"/>
                  <w:noWrap w:val="0"/>
                  <w:vAlign w:val="center"/>
                </w:tcPr>
                <w:p w14:paraId="1DC23886">
                  <w:pPr>
                    <w:widowControl/>
                    <w:jc w:val="center"/>
                    <w:textAlignment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表3-1遂宁市202</w:t>
                  </w:r>
                  <w:r>
                    <w:rPr>
                      <w:rFonts w:hint="eastAsia" w:cs="Times New Roman"/>
                      <w:b/>
                      <w:bCs/>
                      <w:color w:val="auto"/>
                      <w:sz w:val="24"/>
                      <w:highlight w:val="none"/>
                      <w:lang w:val="en-US" w:eastAsia="zh-CN"/>
                    </w:rPr>
                    <w:t>4</w:t>
                  </w:r>
                  <w:r>
                    <w:rPr>
                      <w:rFonts w:hint="default" w:ascii="Times New Roman" w:hAnsi="Times New Roman" w:cs="Times New Roman"/>
                      <w:b/>
                      <w:bCs/>
                      <w:color w:val="auto"/>
                      <w:sz w:val="24"/>
                      <w:highlight w:val="none"/>
                    </w:rPr>
                    <w:t>年</w:t>
                  </w:r>
                  <w:r>
                    <w:rPr>
                      <w:rFonts w:hint="eastAsia" w:cs="Times New Roman"/>
                      <w:b/>
                      <w:bCs/>
                      <w:color w:val="auto"/>
                      <w:sz w:val="24"/>
                      <w:highlight w:val="none"/>
                      <w:lang w:val="en-US" w:eastAsia="zh-CN"/>
                    </w:rPr>
                    <w:t>1-12月</w:t>
                  </w:r>
                  <w:r>
                    <w:rPr>
                      <w:rFonts w:hint="default" w:ascii="Times New Roman" w:hAnsi="Times New Roman" w:cs="Times New Roman"/>
                      <w:b/>
                      <w:bCs/>
                      <w:color w:val="auto"/>
                      <w:sz w:val="24"/>
                      <w:highlight w:val="none"/>
                    </w:rPr>
                    <w:t>遂宁市空气质量情况</w:t>
                  </w:r>
                </w:p>
                <w:tbl>
                  <w:tblPr>
                    <w:tblStyle w:val="23"/>
                    <w:tblW w:w="779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327"/>
                    <w:gridCol w:w="685"/>
                    <w:gridCol w:w="473"/>
                    <w:gridCol w:w="728"/>
                    <w:gridCol w:w="922"/>
                    <w:gridCol w:w="930"/>
                    <w:gridCol w:w="870"/>
                    <w:gridCol w:w="930"/>
                    <w:gridCol w:w="960"/>
                    <w:gridCol w:w="972"/>
                  </w:tblGrid>
                  <w:tr w14:paraId="3E4211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411" w:hRule="atLeast"/>
                      <w:jc w:val="center"/>
                    </w:trPr>
                    <w:tc>
                      <w:tcPr>
                        <w:tcW w:w="327" w:type="dxa"/>
                        <w:noWrap w:val="0"/>
                        <w:vAlign w:val="center"/>
                      </w:tcPr>
                      <w:p w14:paraId="3E05C869">
                        <w:pPr>
                          <w:widowControl/>
                          <w:jc w:val="center"/>
                          <w:textAlignment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排名</w:t>
                        </w:r>
                      </w:p>
                    </w:tc>
                    <w:tc>
                      <w:tcPr>
                        <w:tcW w:w="685" w:type="dxa"/>
                        <w:noWrap w:val="0"/>
                        <w:vAlign w:val="center"/>
                      </w:tcPr>
                      <w:p w14:paraId="377CA897">
                        <w:pPr>
                          <w:widowControl/>
                          <w:jc w:val="center"/>
                          <w:textAlignment w:val="center"/>
                          <w:rPr>
                            <w:rFonts w:hint="default" w:ascii="Times New Roman" w:hAnsi="Times New Roman"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县（市、区）市直园区</w:t>
                        </w:r>
                      </w:p>
                    </w:tc>
                    <w:tc>
                      <w:tcPr>
                        <w:tcW w:w="473" w:type="dxa"/>
                        <w:noWrap w:val="0"/>
                        <w:vAlign w:val="center"/>
                      </w:tcPr>
                      <w:p w14:paraId="158F8026">
                        <w:pPr>
                          <w:widowControl/>
                          <w:jc w:val="center"/>
                          <w:textAlignment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综合指数</w:t>
                        </w:r>
                      </w:p>
                    </w:tc>
                    <w:tc>
                      <w:tcPr>
                        <w:tcW w:w="728" w:type="dxa"/>
                        <w:noWrap w:val="0"/>
                        <w:vAlign w:val="center"/>
                      </w:tcPr>
                      <w:p w14:paraId="09D496E8">
                        <w:pPr>
                          <w:widowControl/>
                          <w:jc w:val="center"/>
                          <w:textAlignment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优良天数</w:t>
                        </w:r>
                      </w:p>
                    </w:tc>
                    <w:tc>
                      <w:tcPr>
                        <w:tcW w:w="922" w:type="dxa"/>
                        <w:noWrap w:val="0"/>
                        <w:vAlign w:val="center"/>
                      </w:tcPr>
                      <w:p w14:paraId="725EC2DF">
                        <w:pPr>
                          <w:widowControl/>
                          <w:jc w:val="center"/>
                          <w:textAlignment w:val="center"/>
                          <w:rPr>
                            <w:rFonts w:hint="default" w:ascii="Times New Roman" w:hAnsi="Times New Roman" w:cs="Times New Roman"/>
                            <w:b/>
                            <w:color w:val="auto"/>
                            <w:kern w:val="0"/>
                            <w:sz w:val="21"/>
                            <w:szCs w:val="21"/>
                            <w:highlight w:val="none"/>
                            <w:lang w:eastAsia="zh-CN"/>
                          </w:rPr>
                        </w:pPr>
                        <w:r>
                          <w:rPr>
                            <w:rFonts w:hint="default" w:ascii="Times New Roman" w:hAnsi="Times New Roman" w:cs="Times New Roman"/>
                            <w:b/>
                            <w:color w:val="auto"/>
                            <w:kern w:val="0"/>
                            <w:sz w:val="21"/>
                            <w:szCs w:val="21"/>
                            <w:highlight w:val="none"/>
                            <w:lang w:val="en-US" w:eastAsia="zh-CN"/>
                          </w:rPr>
                          <w:t>PM</w:t>
                        </w:r>
                        <w:r>
                          <w:rPr>
                            <w:rFonts w:hint="default" w:ascii="Times New Roman" w:hAnsi="Times New Roman" w:cs="Times New Roman"/>
                            <w:b/>
                            <w:color w:val="auto"/>
                            <w:kern w:val="0"/>
                            <w:sz w:val="21"/>
                            <w:szCs w:val="21"/>
                            <w:highlight w:val="none"/>
                            <w:vertAlign w:val="subscript"/>
                            <w:lang w:val="en-US" w:eastAsia="zh-CN"/>
                          </w:rPr>
                          <w:t>2.5</w:t>
                        </w:r>
                        <w:r>
                          <w:rPr>
                            <w:rFonts w:hint="default" w:ascii="Times New Roman" w:hAnsi="Times New Roman" w:cs="Times New Roman"/>
                            <w:b/>
                            <w:color w:val="auto"/>
                            <w:kern w:val="0"/>
                            <w:sz w:val="21"/>
                            <w:szCs w:val="21"/>
                            <w:highlight w:val="none"/>
                            <w:lang w:val="en-US" w:eastAsia="zh-CN"/>
                          </w:rPr>
                          <w:t>平</w:t>
                        </w:r>
                        <w:r>
                          <w:rPr>
                            <w:rFonts w:hint="default" w:ascii="Times New Roman" w:hAnsi="Times New Roman" w:cs="Times New Roman"/>
                            <w:b/>
                            <w:color w:val="auto"/>
                            <w:kern w:val="0"/>
                            <w:sz w:val="21"/>
                            <w:szCs w:val="21"/>
                            <w:highlight w:val="none"/>
                          </w:rPr>
                          <w:t>均浓</w:t>
                        </w:r>
                        <w:r>
                          <w:rPr>
                            <w:rFonts w:hint="default" w:ascii="Times New Roman" w:hAnsi="Times New Roman" w:cs="Times New Roman"/>
                            <w:b/>
                            <w:color w:val="auto"/>
                            <w:kern w:val="0"/>
                            <w:sz w:val="21"/>
                            <w:szCs w:val="21"/>
                            <w:highlight w:val="none"/>
                            <w:lang w:eastAsia="zh-CN"/>
                          </w:rPr>
                          <w:t>度</w:t>
                        </w:r>
                      </w:p>
                      <w:p w14:paraId="5AC96174">
                        <w:pPr>
                          <w:widowControl/>
                          <w:jc w:val="center"/>
                          <w:textAlignment w:val="center"/>
                          <w:rPr>
                            <w:rFonts w:hint="default" w:ascii="Times New Roman" w:hAnsi="Times New Roman" w:cs="Times New Roman"/>
                            <w:b/>
                            <w:color w:val="auto"/>
                            <w:sz w:val="21"/>
                            <w:szCs w:val="21"/>
                            <w:highlight w:val="none"/>
                          </w:rPr>
                        </w:pPr>
                        <w:r>
                          <w:rPr>
                            <w:rFonts w:hint="eastAsia" w:cs="Times New Roman"/>
                            <w:b/>
                            <w:color w:val="auto"/>
                            <w:kern w:val="0"/>
                            <w:sz w:val="18"/>
                            <w:szCs w:val="18"/>
                            <w:highlight w:val="none"/>
                            <w:lang w:eastAsia="zh-CN"/>
                          </w:rPr>
                          <w:t>(</w:t>
                        </w:r>
                        <w:r>
                          <w:rPr>
                            <w:rFonts w:hint="default" w:ascii="Times New Roman" w:hAnsi="Times New Roman" w:cs="Times New Roman"/>
                            <w:b/>
                            <w:color w:val="auto"/>
                            <w:kern w:val="0"/>
                            <w:sz w:val="18"/>
                            <w:szCs w:val="18"/>
                            <w:highlight w:val="none"/>
                            <w:lang w:val="en-US" w:eastAsia="zh-CN"/>
                          </w:rPr>
                          <w:t>μg/m</w:t>
                        </w:r>
                        <w:r>
                          <w:rPr>
                            <w:rFonts w:hint="default" w:ascii="Times New Roman" w:hAnsi="Times New Roman" w:cs="Times New Roman"/>
                            <w:b/>
                            <w:color w:val="auto"/>
                            <w:kern w:val="0"/>
                            <w:sz w:val="18"/>
                            <w:szCs w:val="18"/>
                            <w:highlight w:val="none"/>
                            <w:vertAlign w:val="superscript"/>
                            <w:lang w:val="en-US" w:eastAsia="zh-CN"/>
                          </w:rPr>
                          <w:t>3</w:t>
                        </w:r>
                        <w:r>
                          <w:rPr>
                            <w:rFonts w:hint="eastAsia" w:cs="Times New Roman"/>
                            <w:b/>
                            <w:color w:val="auto"/>
                            <w:kern w:val="0"/>
                            <w:sz w:val="18"/>
                            <w:szCs w:val="18"/>
                            <w:highlight w:val="none"/>
                            <w:vertAlign w:val="superscript"/>
                            <w:lang w:val="en-US" w:eastAsia="zh-CN"/>
                          </w:rPr>
                          <w:t>)</w:t>
                        </w:r>
                      </w:p>
                    </w:tc>
                    <w:tc>
                      <w:tcPr>
                        <w:tcW w:w="930" w:type="dxa"/>
                        <w:noWrap w:val="0"/>
                        <w:vAlign w:val="center"/>
                      </w:tcPr>
                      <w:p w14:paraId="13F9345D">
                        <w:pPr>
                          <w:widowControl/>
                          <w:jc w:val="center"/>
                          <w:textAlignment w:val="center"/>
                          <w:rPr>
                            <w:rFonts w:hint="default" w:ascii="Times New Roman" w:hAnsi="Times New Roman" w:cs="Times New Roman"/>
                            <w:b/>
                            <w:color w:val="auto"/>
                            <w:kern w:val="0"/>
                            <w:sz w:val="21"/>
                            <w:szCs w:val="21"/>
                            <w:highlight w:val="none"/>
                            <w:lang w:eastAsia="zh-CN"/>
                          </w:rPr>
                        </w:pPr>
                        <w:r>
                          <w:rPr>
                            <w:rFonts w:hint="default" w:ascii="Times New Roman" w:hAnsi="Times New Roman" w:cs="Times New Roman"/>
                            <w:b/>
                            <w:color w:val="auto"/>
                            <w:kern w:val="0"/>
                            <w:sz w:val="21"/>
                            <w:szCs w:val="21"/>
                            <w:highlight w:val="none"/>
                            <w:lang w:val="en-US" w:eastAsia="zh-CN"/>
                          </w:rPr>
                          <w:t>PM</w:t>
                        </w:r>
                        <w:r>
                          <w:rPr>
                            <w:rFonts w:hint="default" w:ascii="Times New Roman" w:hAnsi="Times New Roman" w:cs="Times New Roman"/>
                            <w:b/>
                            <w:color w:val="auto"/>
                            <w:kern w:val="0"/>
                            <w:sz w:val="21"/>
                            <w:szCs w:val="21"/>
                            <w:highlight w:val="none"/>
                            <w:vertAlign w:val="subscript"/>
                            <w:lang w:val="en-US" w:eastAsia="zh-CN"/>
                          </w:rPr>
                          <w:t>10</w:t>
                        </w:r>
                        <w:r>
                          <w:rPr>
                            <w:rFonts w:hint="default" w:ascii="Times New Roman" w:hAnsi="Times New Roman" w:cs="Times New Roman"/>
                            <w:b/>
                            <w:color w:val="auto"/>
                            <w:kern w:val="0"/>
                            <w:sz w:val="21"/>
                            <w:szCs w:val="21"/>
                            <w:highlight w:val="none"/>
                            <w:lang w:val="en-US" w:eastAsia="zh-CN"/>
                          </w:rPr>
                          <w:t>平</w:t>
                        </w:r>
                        <w:r>
                          <w:rPr>
                            <w:rFonts w:hint="default" w:ascii="Times New Roman" w:hAnsi="Times New Roman" w:cs="Times New Roman"/>
                            <w:b/>
                            <w:color w:val="auto"/>
                            <w:kern w:val="0"/>
                            <w:sz w:val="21"/>
                            <w:szCs w:val="21"/>
                            <w:highlight w:val="none"/>
                          </w:rPr>
                          <w:t>均浓</w:t>
                        </w:r>
                        <w:r>
                          <w:rPr>
                            <w:rFonts w:hint="default" w:ascii="Times New Roman" w:hAnsi="Times New Roman" w:cs="Times New Roman"/>
                            <w:b/>
                            <w:color w:val="auto"/>
                            <w:kern w:val="0"/>
                            <w:sz w:val="21"/>
                            <w:szCs w:val="21"/>
                            <w:highlight w:val="none"/>
                            <w:lang w:eastAsia="zh-CN"/>
                          </w:rPr>
                          <w:t>度</w:t>
                        </w:r>
                      </w:p>
                      <w:p w14:paraId="64459659">
                        <w:pPr>
                          <w:widowControl/>
                          <w:jc w:val="center"/>
                          <w:textAlignment w:val="center"/>
                          <w:rPr>
                            <w:rFonts w:hint="default" w:ascii="Times New Roman" w:hAnsi="Times New Roman" w:eastAsia="宋体" w:cs="Times New Roman"/>
                            <w:b/>
                            <w:color w:val="auto"/>
                            <w:sz w:val="21"/>
                            <w:szCs w:val="21"/>
                            <w:highlight w:val="none"/>
                            <w:lang w:eastAsia="zh-CN"/>
                          </w:rPr>
                        </w:pPr>
                        <w:r>
                          <w:rPr>
                            <w:rFonts w:hint="eastAsia" w:cs="Times New Roman"/>
                            <w:b/>
                            <w:color w:val="auto"/>
                            <w:kern w:val="0"/>
                            <w:sz w:val="18"/>
                            <w:szCs w:val="18"/>
                            <w:highlight w:val="none"/>
                            <w:lang w:eastAsia="zh-CN"/>
                          </w:rPr>
                          <w:t>(</w:t>
                        </w:r>
                        <w:r>
                          <w:rPr>
                            <w:rFonts w:hint="default" w:ascii="Times New Roman" w:hAnsi="Times New Roman" w:cs="Times New Roman"/>
                            <w:b/>
                            <w:color w:val="auto"/>
                            <w:kern w:val="0"/>
                            <w:sz w:val="18"/>
                            <w:szCs w:val="18"/>
                            <w:highlight w:val="none"/>
                            <w:lang w:val="en-US" w:eastAsia="zh-CN"/>
                          </w:rPr>
                          <w:t>μg/m</w:t>
                        </w:r>
                        <w:r>
                          <w:rPr>
                            <w:rFonts w:hint="default" w:ascii="Times New Roman" w:hAnsi="Times New Roman" w:cs="Times New Roman"/>
                            <w:b/>
                            <w:color w:val="auto"/>
                            <w:kern w:val="0"/>
                            <w:sz w:val="18"/>
                            <w:szCs w:val="18"/>
                            <w:highlight w:val="none"/>
                            <w:vertAlign w:val="superscript"/>
                            <w:lang w:val="en-US" w:eastAsia="zh-CN"/>
                          </w:rPr>
                          <w:t>3</w:t>
                        </w:r>
                        <w:r>
                          <w:rPr>
                            <w:rFonts w:hint="eastAsia" w:cs="Times New Roman"/>
                            <w:b/>
                            <w:color w:val="auto"/>
                            <w:kern w:val="0"/>
                            <w:sz w:val="18"/>
                            <w:szCs w:val="18"/>
                            <w:highlight w:val="none"/>
                            <w:vertAlign w:val="superscript"/>
                            <w:lang w:val="en-US" w:eastAsia="zh-CN"/>
                          </w:rPr>
                          <w:t>)</w:t>
                        </w:r>
                      </w:p>
                    </w:tc>
                    <w:tc>
                      <w:tcPr>
                        <w:tcW w:w="870" w:type="dxa"/>
                        <w:noWrap w:val="0"/>
                        <w:vAlign w:val="center"/>
                      </w:tcPr>
                      <w:p w14:paraId="71B1634B">
                        <w:pPr>
                          <w:widowControl/>
                          <w:jc w:val="center"/>
                          <w:textAlignment w:val="center"/>
                          <w:rPr>
                            <w:rFonts w:hint="default" w:ascii="Times New Roman" w:hAnsi="Times New Roman" w:cs="Times New Roman"/>
                            <w:b/>
                            <w:color w:val="auto"/>
                            <w:kern w:val="0"/>
                            <w:sz w:val="21"/>
                            <w:szCs w:val="21"/>
                            <w:highlight w:val="none"/>
                            <w:lang w:eastAsia="zh-CN"/>
                          </w:rPr>
                        </w:pPr>
                        <w:r>
                          <w:rPr>
                            <w:rFonts w:hint="default" w:ascii="Times New Roman" w:hAnsi="Times New Roman" w:cs="Times New Roman"/>
                            <w:b/>
                            <w:color w:val="auto"/>
                            <w:kern w:val="0"/>
                            <w:sz w:val="21"/>
                            <w:szCs w:val="21"/>
                            <w:highlight w:val="none"/>
                            <w:lang w:val="en-US" w:eastAsia="zh-CN"/>
                          </w:rPr>
                          <w:t>SO</w:t>
                        </w:r>
                        <w:r>
                          <w:rPr>
                            <w:rFonts w:hint="default" w:ascii="Times New Roman" w:hAnsi="Times New Roman" w:cs="Times New Roman"/>
                            <w:b/>
                            <w:color w:val="auto"/>
                            <w:kern w:val="0"/>
                            <w:sz w:val="21"/>
                            <w:szCs w:val="21"/>
                            <w:highlight w:val="none"/>
                            <w:vertAlign w:val="subscript"/>
                            <w:lang w:val="en-US" w:eastAsia="zh-CN"/>
                          </w:rPr>
                          <w:t>2</w:t>
                        </w:r>
                        <w:r>
                          <w:rPr>
                            <w:rFonts w:hint="default" w:ascii="Times New Roman" w:hAnsi="Times New Roman" w:cs="Times New Roman"/>
                            <w:b/>
                            <w:color w:val="auto"/>
                            <w:kern w:val="0"/>
                            <w:sz w:val="21"/>
                            <w:szCs w:val="21"/>
                            <w:highlight w:val="none"/>
                            <w:lang w:val="en-US" w:eastAsia="zh-CN"/>
                          </w:rPr>
                          <w:t>平</w:t>
                        </w:r>
                        <w:r>
                          <w:rPr>
                            <w:rFonts w:hint="default" w:ascii="Times New Roman" w:hAnsi="Times New Roman" w:cs="Times New Roman"/>
                            <w:b/>
                            <w:color w:val="auto"/>
                            <w:kern w:val="0"/>
                            <w:sz w:val="21"/>
                            <w:szCs w:val="21"/>
                            <w:highlight w:val="none"/>
                          </w:rPr>
                          <w:t>均浓</w:t>
                        </w:r>
                        <w:r>
                          <w:rPr>
                            <w:rFonts w:hint="default" w:ascii="Times New Roman" w:hAnsi="Times New Roman" w:cs="Times New Roman"/>
                            <w:b/>
                            <w:color w:val="auto"/>
                            <w:kern w:val="0"/>
                            <w:sz w:val="21"/>
                            <w:szCs w:val="21"/>
                            <w:highlight w:val="none"/>
                            <w:lang w:eastAsia="zh-CN"/>
                          </w:rPr>
                          <w:t>度</w:t>
                        </w:r>
                      </w:p>
                      <w:p w14:paraId="62563C3F">
                        <w:pPr>
                          <w:pStyle w:val="11"/>
                          <w:jc w:val="center"/>
                          <w:rPr>
                            <w:rFonts w:hint="default" w:ascii="Times New Roman" w:hAnsi="Times New Roman" w:cs="Times New Roman"/>
                            <w:color w:val="auto"/>
                            <w:sz w:val="21"/>
                            <w:szCs w:val="21"/>
                            <w:highlight w:val="none"/>
                          </w:rPr>
                        </w:pPr>
                        <w:r>
                          <w:rPr>
                            <w:rFonts w:hint="eastAsia" w:cs="Times New Roman"/>
                            <w:b/>
                            <w:color w:val="auto"/>
                            <w:kern w:val="0"/>
                            <w:sz w:val="18"/>
                            <w:szCs w:val="18"/>
                            <w:highlight w:val="none"/>
                            <w:lang w:eastAsia="zh-CN"/>
                          </w:rPr>
                          <w:t>(</w:t>
                        </w:r>
                        <w:r>
                          <w:rPr>
                            <w:rFonts w:hint="default" w:ascii="Times New Roman" w:hAnsi="Times New Roman" w:cs="Times New Roman"/>
                            <w:b/>
                            <w:color w:val="auto"/>
                            <w:kern w:val="0"/>
                            <w:sz w:val="18"/>
                            <w:szCs w:val="18"/>
                            <w:highlight w:val="none"/>
                            <w:lang w:val="en-US" w:eastAsia="zh-CN"/>
                          </w:rPr>
                          <w:t>μg/m</w:t>
                        </w:r>
                        <w:r>
                          <w:rPr>
                            <w:rFonts w:hint="default" w:ascii="Times New Roman" w:hAnsi="Times New Roman" w:cs="Times New Roman"/>
                            <w:b/>
                            <w:color w:val="auto"/>
                            <w:kern w:val="0"/>
                            <w:sz w:val="18"/>
                            <w:szCs w:val="18"/>
                            <w:highlight w:val="none"/>
                            <w:vertAlign w:val="superscript"/>
                            <w:lang w:val="en-US" w:eastAsia="zh-CN"/>
                          </w:rPr>
                          <w:t>3</w:t>
                        </w:r>
                        <w:r>
                          <w:rPr>
                            <w:rFonts w:hint="eastAsia" w:cs="Times New Roman"/>
                            <w:b/>
                            <w:color w:val="auto"/>
                            <w:kern w:val="0"/>
                            <w:sz w:val="18"/>
                            <w:szCs w:val="18"/>
                            <w:highlight w:val="none"/>
                            <w:vertAlign w:val="superscript"/>
                            <w:lang w:val="en-US" w:eastAsia="zh-CN"/>
                          </w:rPr>
                          <w:t>)</w:t>
                        </w:r>
                      </w:p>
                    </w:tc>
                    <w:tc>
                      <w:tcPr>
                        <w:tcW w:w="930" w:type="dxa"/>
                        <w:noWrap w:val="0"/>
                        <w:vAlign w:val="center"/>
                      </w:tcPr>
                      <w:p w14:paraId="27539829">
                        <w:pPr>
                          <w:widowControl/>
                          <w:jc w:val="center"/>
                          <w:textAlignment w:val="center"/>
                          <w:rPr>
                            <w:rFonts w:hint="default" w:ascii="Times New Roman" w:hAnsi="Times New Roman" w:cs="Times New Roman"/>
                            <w:b/>
                            <w:color w:val="auto"/>
                            <w:kern w:val="0"/>
                            <w:sz w:val="21"/>
                            <w:szCs w:val="21"/>
                            <w:highlight w:val="none"/>
                            <w:lang w:eastAsia="zh-CN"/>
                          </w:rPr>
                        </w:pPr>
                        <w:r>
                          <w:rPr>
                            <w:rFonts w:hint="default" w:ascii="Times New Roman" w:hAnsi="Times New Roman" w:cs="Times New Roman"/>
                            <w:b/>
                            <w:color w:val="auto"/>
                            <w:kern w:val="0"/>
                            <w:sz w:val="21"/>
                            <w:szCs w:val="21"/>
                            <w:highlight w:val="none"/>
                            <w:lang w:val="en-US" w:eastAsia="zh-CN"/>
                          </w:rPr>
                          <w:t>NO</w:t>
                        </w:r>
                        <w:r>
                          <w:rPr>
                            <w:rFonts w:hint="default" w:ascii="Times New Roman" w:hAnsi="Times New Roman" w:cs="Times New Roman"/>
                            <w:b/>
                            <w:color w:val="auto"/>
                            <w:kern w:val="0"/>
                            <w:sz w:val="21"/>
                            <w:szCs w:val="21"/>
                            <w:highlight w:val="none"/>
                            <w:vertAlign w:val="subscript"/>
                            <w:lang w:val="en-US" w:eastAsia="zh-CN"/>
                          </w:rPr>
                          <w:t>2</w:t>
                        </w:r>
                        <w:r>
                          <w:rPr>
                            <w:rFonts w:hint="default" w:ascii="Times New Roman" w:hAnsi="Times New Roman" w:cs="Times New Roman"/>
                            <w:b/>
                            <w:color w:val="auto"/>
                            <w:kern w:val="0"/>
                            <w:sz w:val="21"/>
                            <w:szCs w:val="21"/>
                            <w:highlight w:val="none"/>
                            <w:lang w:val="en-US" w:eastAsia="zh-CN"/>
                          </w:rPr>
                          <w:t>平</w:t>
                        </w:r>
                        <w:r>
                          <w:rPr>
                            <w:rFonts w:hint="default" w:ascii="Times New Roman" w:hAnsi="Times New Roman" w:cs="Times New Roman"/>
                            <w:b/>
                            <w:color w:val="auto"/>
                            <w:kern w:val="0"/>
                            <w:sz w:val="21"/>
                            <w:szCs w:val="21"/>
                            <w:highlight w:val="none"/>
                          </w:rPr>
                          <w:t>均浓</w:t>
                        </w:r>
                        <w:r>
                          <w:rPr>
                            <w:rFonts w:hint="default" w:ascii="Times New Roman" w:hAnsi="Times New Roman" w:cs="Times New Roman"/>
                            <w:b/>
                            <w:color w:val="auto"/>
                            <w:kern w:val="0"/>
                            <w:sz w:val="21"/>
                            <w:szCs w:val="21"/>
                            <w:highlight w:val="none"/>
                            <w:lang w:eastAsia="zh-CN"/>
                          </w:rPr>
                          <w:t>度</w:t>
                        </w:r>
                      </w:p>
                      <w:p w14:paraId="52D7FBA0">
                        <w:pPr>
                          <w:pStyle w:val="11"/>
                          <w:jc w:val="center"/>
                          <w:rPr>
                            <w:rFonts w:hint="default" w:ascii="Times New Roman" w:hAnsi="Times New Roman" w:cs="Times New Roman"/>
                            <w:color w:val="auto"/>
                            <w:sz w:val="21"/>
                            <w:szCs w:val="21"/>
                            <w:highlight w:val="none"/>
                          </w:rPr>
                        </w:pPr>
                        <w:r>
                          <w:rPr>
                            <w:rFonts w:hint="eastAsia" w:cs="Times New Roman"/>
                            <w:b/>
                            <w:color w:val="auto"/>
                            <w:kern w:val="0"/>
                            <w:sz w:val="18"/>
                            <w:szCs w:val="18"/>
                            <w:highlight w:val="none"/>
                            <w:lang w:eastAsia="zh-CN"/>
                          </w:rPr>
                          <w:t>(</w:t>
                        </w:r>
                        <w:r>
                          <w:rPr>
                            <w:rFonts w:hint="default" w:ascii="Times New Roman" w:hAnsi="Times New Roman" w:cs="Times New Roman"/>
                            <w:b/>
                            <w:color w:val="auto"/>
                            <w:kern w:val="0"/>
                            <w:sz w:val="18"/>
                            <w:szCs w:val="18"/>
                            <w:highlight w:val="none"/>
                            <w:lang w:val="en-US" w:eastAsia="zh-CN"/>
                          </w:rPr>
                          <w:t>μg/m</w:t>
                        </w:r>
                        <w:r>
                          <w:rPr>
                            <w:rFonts w:hint="default" w:ascii="Times New Roman" w:hAnsi="Times New Roman" w:cs="Times New Roman"/>
                            <w:b/>
                            <w:color w:val="auto"/>
                            <w:kern w:val="0"/>
                            <w:sz w:val="18"/>
                            <w:szCs w:val="18"/>
                            <w:highlight w:val="none"/>
                            <w:vertAlign w:val="superscript"/>
                            <w:lang w:val="en-US" w:eastAsia="zh-CN"/>
                          </w:rPr>
                          <w:t>3</w:t>
                        </w:r>
                        <w:r>
                          <w:rPr>
                            <w:rFonts w:hint="eastAsia" w:cs="Times New Roman"/>
                            <w:b/>
                            <w:color w:val="auto"/>
                            <w:kern w:val="0"/>
                            <w:sz w:val="18"/>
                            <w:szCs w:val="18"/>
                            <w:highlight w:val="none"/>
                            <w:vertAlign w:val="superscript"/>
                            <w:lang w:val="en-US" w:eastAsia="zh-CN"/>
                          </w:rPr>
                          <w:t>)</w:t>
                        </w:r>
                      </w:p>
                    </w:tc>
                    <w:tc>
                      <w:tcPr>
                        <w:tcW w:w="960" w:type="dxa"/>
                        <w:noWrap w:val="0"/>
                        <w:vAlign w:val="center"/>
                      </w:tcPr>
                      <w:p w14:paraId="1A0D5ADE">
                        <w:pPr>
                          <w:widowControl/>
                          <w:jc w:val="center"/>
                          <w:textAlignment w:val="center"/>
                          <w:rPr>
                            <w:rFonts w:hint="default" w:ascii="Times New Roman" w:hAnsi="Times New Roman" w:cs="Times New Roman"/>
                            <w:b/>
                            <w:color w:val="auto"/>
                            <w:kern w:val="0"/>
                            <w:sz w:val="21"/>
                            <w:szCs w:val="21"/>
                            <w:highlight w:val="none"/>
                            <w:lang w:eastAsia="zh-CN"/>
                          </w:rPr>
                        </w:pPr>
                        <w:r>
                          <w:rPr>
                            <w:rFonts w:hint="default" w:ascii="Times New Roman" w:hAnsi="Times New Roman" w:cs="Times New Roman"/>
                            <w:b/>
                            <w:color w:val="auto"/>
                            <w:kern w:val="0"/>
                            <w:sz w:val="21"/>
                            <w:szCs w:val="21"/>
                            <w:highlight w:val="none"/>
                            <w:lang w:val="en-US" w:eastAsia="zh-CN"/>
                          </w:rPr>
                          <w:t>O</w:t>
                        </w:r>
                        <w:r>
                          <w:rPr>
                            <w:rFonts w:hint="default" w:ascii="Times New Roman" w:hAnsi="Times New Roman" w:cs="Times New Roman"/>
                            <w:b/>
                            <w:color w:val="auto"/>
                            <w:kern w:val="0"/>
                            <w:sz w:val="21"/>
                            <w:szCs w:val="21"/>
                            <w:highlight w:val="none"/>
                            <w:vertAlign w:val="subscript"/>
                            <w:lang w:val="en-US" w:eastAsia="zh-CN"/>
                          </w:rPr>
                          <w:t>3</w:t>
                        </w:r>
                        <w:r>
                          <w:rPr>
                            <w:rFonts w:hint="default" w:ascii="Times New Roman" w:hAnsi="Times New Roman" w:cs="Times New Roman"/>
                            <w:b/>
                            <w:color w:val="auto"/>
                            <w:kern w:val="0"/>
                            <w:sz w:val="21"/>
                            <w:szCs w:val="21"/>
                            <w:highlight w:val="none"/>
                            <w:vertAlign w:val="baseline"/>
                            <w:lang w:val="en-US" w:eastAsia="zh-CN"/>
                          </w:rPr>
                          <w:t>-8h90百分位</w:t>
                        </w:r>
                      </w:p>
                      <w:p w14:paraId="16B0E54C">
                        <w:pPr>
                          <w:pStyle w:val="11"/>
                          <w:jc w:val="center"/>
                          <w:rPr>
                            <w:rFonts w:hint="default" w:ascii="Times New Roman" w:hAnsi="Times New Roman" w:cs="Times New Roman"/>
                            <w:color w:val="auto"/>
                            <w:sz w:val="21"/>
                            <w:szCs w:val="21"/>
                            <w:highlight w:val="none"/>
                          </w:rPr>
                        </w:pPr>
                        <w:r>
                          <w:rPr>
                            <w:rFonts w:hint="eastAsia" w:cs="Times New Roman"/>
                            <w:b/>
                            <w:color w:val="auto"/>
                            <w:kern w:val="0"/>
                            <w:sz w:val="18"/>
                            <w:szCs w:val="18"/>
                            <w:highlight w:val="none"/>
                            <w:lang w:eastAsia="zh-CN"/>
                          </w:rPr>
                          <w:t>(</w:t>
                        </w:r>
                        <w:r>
                          <w:rPr>
                            <w:rFonts w:hint="default" w:ascii="Times New Roman" w:hAnsi="Times New Roman" w:cs="Times New Roman"/>
                            <w:b/>
                            <w:color w:val="auto"/>
                            <w:kern w:val="0"/>
                            <w:sz w:val="18"/>
                            <w:szCs w:val="18"/>
                            <w:highlight w:val="none"/>
                            <w:lang w:val="en-US" w:eastAsia="zh-CN"/>
                          </w:rPr>
                          <w:t>μg/m</w:t>
                        </w:r>
                        <w:r>
                          <w:rPr>
                            <w:rFonts w:hint="default" w:ascii="Times New Roman" w:hAnsi="Times New Roman" w:cs="Times New Roman"/>
                            <w:b/>
                            <w:color w:val="auto"/>
                            <w:kern w:val="0"/>
                            <w:sz w:val="18"/>
                            <w:szCs w:val="18"/>
                            <w:highlight w:val="none"/>
                            <w:vertAlign w:val="superscript"/>
                            <w:lang w:val="en-US" w:eastAsia="zh-CN"/>
                          </w:rPr>
                          <w:t>3</w:t>
                        </w:r>
                        <w:r>
                          <w:rPr>
                            <w:rFonts w:hint="eastAsia" w:cs="Times New Roman"/>
                            <w:b/>
                            <w:color w:val="auto"/>
                            <w:kern w:val="0"/>
                            <w:sz w:val="18"/>
                            <w:szCs w:val="18"/>
                            <w:highlight w:val="none"/>
                            <w:vertAlign w:val="superscript"/>
                            <w:lang w:val="en-US" w:eastAsia="zh-CN"/>
                          </w:rPr>
                          <w:t>)</w:t>
                        </w:r>
                      </w:p>
                    </w:tc>
                    <w:tc>
                      <w:tcPr>
                        <w:tcW w:w="972" w:type="dxa"/>
                        <w:noWrap w:val="0"/>
                        <w:vAlign w:val="center"/>
                      </w:tcPr>
                      <w:p w14:paraId="1B27C79B">
                        <w:pPr>
                          <w:widowControl/>
                          <w:jc w:val="center"/>
                          <w:textAlignment w:val="center"/>
                          <w:rPr>
                            <w:rFonts w:hint="default" w:ascii="Times New Roman" w:hAnsi="Times New Roman" w:cs="Times New Roman"/>
                            <w:b/>
                            <w:color w:val="auto"/>
                            <w:kern w:val="0"/>
                            <w:sz w:val="21"/>
                            <w:szCs w:val="21"/>
                            <w:highlight w:val="none"/>
                            <w:lang w:eastAsia="zh-CN"/>
                          </w:rPr>
                        </w:pPr>
                        <w:r>
                          <w:rPr>
                            <w:rFonts w:hint="default" w:ascii="Times New Roman" w:hAnsi="Times New Roman" w:cs="Times New Roman"/>
                            <w:b/>
                            <w:color w:val="auto"/>
                            <w:kern w:val="0"/>
                            <w:sz w:val="21"/>
                            <w:szCs w:val="21"/>
                            <w:highlight w:val="none"/>
                            <w:vertAlign w:val="baseline"/>
                            <w:lang w:val="en-US" w:eastAsia="zh-CN"/>
                          </w:rPr>
                          <w:t>CO-8h90百分位</w:t>
                        </w:r>
                      </w:p>
                      <w:p w14:paraId="119BF000">
                        <w:pPr>
                          <w:pStyle w:val="11"/>
                          <w:jc w:val="center"/>
                          <w:rPr>
                            <w:rFonts w:hint="default" w:ascii="Times New Roman" w:hAnsi="Times New Roman" w:cs="Times New Roman"/>
                            <w:color w:val="auto"/>
                            <w:sz w:val="21"/>
                            <w:szCs w:val="21"/>
                            <w:highlight w:val="none"/>
                          </w:rPr>
                        </w:pPr>
                        <w:r>
                          <w:rPr>
                            <w:rFonts w:hint="eastAsia" w:cs="Times New Roman"/>
                            <w:b/>
                            <w:color w:val="auto"/>
                            <w:kern w:val="0"/>
                            <w:sz w:val="18"/>
                            <w:szCs w:val="18"/>
                            <w:highlight w:val="none"/>
                            <w:lang w:eastAsia="zh-CN"/>
                          </w:rPr>
                          <w:t>(</w:t>
                        </w:r>
                        <w:r>
                          <w:rPr>
                            <w:rFonts w:hint="default" w:ascii="Times New Roman" w:hAnsi="Times New Roman" w:cs="Times New Roman"/>
                            <w:b/>
                            <w:color w:val="auto"/>
                            <w:kern w:val="0"/>
                            <w:sz w:val="18"/>
                            <w:szCs w:val="18"/>
                            <w:highlight w:val="none"/>
                            <w:lang w:val="en-US" w:eastAsia="zh-CN"/>
                          </w:rPr>
                          <w:t>mg/m</w:t>
                        </w:r>
                        <w:r>
                          <w:rPr>
                            <w:rFonts w:hint="default" w:ascii="Times New Roman" w:hAnsi="Times New Roman" w:cs="Times New Roman"/>
                            <w:b/>
                            <w:color w:val="auto"/>
                            <w:kern w:val="0"/>
                            <w:sz w:val="18"/>
                            <w:szCs w:val="18"/>
                            <w:highlight w:val="none"/>
                            <w:vertAlign w:val="superscript"/>
                            <w:lang w:val="en-US" w:eastAsia="zh-CN"/>
                          </w:rPr>
                          <w:t>3</w:t>
                        </w:r>
                        <w:r>
                          <w:rPr>
                            <w:rFonts w:hint="eastAsia" w:cs="Times New Roman"/>
                            <w:b/>
                            <w:color w:val="auto"/>
                            <w:kern w:val="0"/>
                            <w:sz w:val="18"/>
                            <w:szCs w:val="18"/>
                            <w:highlight w:val="none"/>
                            <w:vertAlign w:val="superscript"/>
                            <w:lang w:val="en-US" w:eastAsia="zh-CN"/>
                          </w:rPr>
                          <w:t>)</w:t>
                        </w:r>
                      </w:p>
                    </w:tc>
                  </w:tr>
                  <w:tr w14:paraId="01325B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36" w:hRule="atLeast"/>
                      <w:jc w:val="center"/>
                    </w:trPr>
                    <w:tc>
                      <w:tcPr>
                        <w:tcW w:w="327" w:type="dxa"/>
                        <w:noWrap w:val="0"/>
                        <w:vAlign w:val="center"/>
                      </w:tcPr>
                      <w:p w14:paraId="3093B569">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85" w:type="dxa"/>
                        <w:noWrap w:val="0"/>
                        <w:vAlign w:val="center"/>
                      </w:tcPr>
                      <w:p w14:paraId="714BE39A">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大英县</w:t>
                        </w:r>
                      </w:p>
                    </w:tc>
                    <w:tc>
                      <w:tcPr>
                        <w:tcW w:w="473" w:type="dxa"/>
                        <w:noWrap w:val="0"/>
                        <w:vAlign w:val="center"/>
                      </w:tcPr>
                      <w:p w14:paraId="389D1D7B">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2.68</w:t>
                        </w:r>
                      </w:p>
                    </w:tc>
                    <w:tc>
                      <w:tcPr>
                        <w:tcW w:w="728" w:type="dxa"/>
                        <w:noWrap w:val="0"/>
                        <w:vAlign w:val="center"/>
                      </w:tcPr>
                      <w:p w14:paraId="10C53825">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r>
                          <w:rPr>
                            <w:rFonts w:hint="eastAsia" w:cs="Times New Roman"/>
                            <w:color w:val="auto"/>
                            <w:sz w:val="21"/>
                            <w:szCs w:val="21"/>
                            <w:highlight w:val="none"/>
                            <w:lang w:val="en-US" w:eastAsia="zh-CN"/>
                          </w:rPr>
                          <w:t>6.4</w:t>
                        </w:r>
                        <w:r>
                          <w:rPr>
                            <w:rFonts w:hint="default" w:ascii="Times New Roman" w:hAnsi="Times New Roman" w:eastAsia="宋体" w:cs="Times New Roman"/>
                            <w:color w:val="auto"/>
                            <w:sz w:val="21"/>
                            <w:szCs w:val="21"/>
                            <w:highlight w:val="none"/>
                            <w:lang w:val="en-US" w:eastAsia="zh-CN"/>
                          </w:rPr>
                          <w:t>%</w:t>
                        </w:r>
                      </w:p>
                    </w:tc>
                    <w:tc>
                      <w:tcPr>
                        <w:tcW w:w="922" w:type="dxa"/>
                        <w:noWrap w:val="0"/>
                        <w:vAlign w:val="center"/>
                      </w:tcPr>
                      <w:p w14:paraId="07BBF349">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22.4</w:t>
                        </w:r>
                      </w:p>
                    </w:tc>
                    <w:tc>
                      <w:tcPr>
                        <w:tcW w:w="930" w:type="dxa"/>
                        <w:noWrap w:val="0"/>
                        <w:vAlign w:val="center"/>
                      </w:tcPr>
                      <w:p w14:paraId="13D2DF85">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34.3</w:t>
                        </w:r>
                      </w:p>
                    </w:tc>
                    <w:tc>
                      <w:tcPr>
                        <w:tcW w:w="870" w:type="dxa"/>
                        <w:noWrap w:val="0"/>
                        <w:vAlign w:val="center"/>
                      </w:tcPr>
                      <w:p w14:paraId="1AE6CAF2">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930" w:type="dxa"/>
                        <w:noWrap w:val="0"/>
                        <w:vAlign w:val="center"/>
                      </w:tcPr>
                      <w:p w14:paraId="338892B5">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13.6</w:t>
                        </w:r>
                      </w:p>
                    </w:tc>
                    <w:tc>
                      <w:tcPr>
                        <w:tcW w:w="960" w:type="dxa"/>
                        <w:noWrap w:val="0"/>
                        <w:vAlign w:val="center"/>
                      </w:tcPr>
                      <w:p w14:paraId="1BF841A1">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140.0</w:t>
                        </w:r>
                      </w:p>
                    </w:tc>
                    <w:tc>
                      <w:tcPr>
                        <w:tcW w:w="972" w:type="dxa"/>
                        <w:noWrap w:val="0"/>
                        <w:vAlign w:val="center"/>
                      </w:tcPr>
                      <w:p w14:paraId="60545F61">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14:paraId="0AD2CE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14:paraId="471E7517">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685" w:type="dxa"/>
                        <w:noWrap w:val="0"/>
                        <w:vAlign w:val="center"/>
                      </w:tcPr>
                      <w:p w14:paraId="589F1F94">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安居区</w:t>
                        </w:r>
                      </w:p>
                    </w:tc>
                    <w:tc>
                      <w:tcPr>
                        <w:tcW w:w="473" w:type="dxa"/>
                        <w:noWrap w:val="0"/>
                        <w:vAlign w:val="center"/>
                      </w:tcPr>
                      <w:p w14:paraId="0702FB4D">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2.86</w:t>
                        </w:r>
                      </w:p>
                    </w:tc>
                    <w:tc>
                      <w:tcPr>
                        <w:tcW w:w="728" w:type="dxa"/>
                        <w:noWrap w:val="0"/>
                        <w:vAlign w:val="center"/>
                      </w:tcPr>
                      <w:p w14:paraId="17D87EA0">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92.9</w:t>
                        </w:r>
                      </w:p>
                    </w:tc>
                    <w:tc>
                      <w:tcPr>
                        <w:tcW w:w="922" w:type="dxa"/>
                        <w:noWrap w:val="0"/>
                        <w:vAlign w:val="center"/>
                      </w:tcPr>
                      <w:p w14:paraId="401D411A">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27.3</w:t>
                        </w:r>
                      </w:p>
                    </w:tc>
                    <w:tc>
                      <w:tcPr>
                        <w:tcW w:w="930" w:type="dxa"/>
                        <w:noWrap w:val="0"/>
                        <w:vAlign w:val="center"/>
                      </w:tcPr>
                      <w:p w14:paraId="6476D39D">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41.1</w:t>
                        </w:r>
                      </w:p>
                    </w:tc>
                    <w:tc>
                      <w:tcPr>
                        <w:tcW w:w="870" w:type="dxa"/>
                        <w:noWrap w:val="0"/>
                        <w:vAlign w:val="center"/>
                      </w:tcPr>
                      <w:p w14:paraId="3CA23C72">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930" w:type="dxa"/>
                        <w:noWrap w:val="0"/>
                        <w:vAlign w:val="center"/>
                      </w:tcPr>
                      <w:p w14:paraId="0096DD44">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8.0</w:t>
                        </w:r>
                      </w:p>
                    </w:tc>
                    <w:tc>
                      <w:tcPr>
                        <w:tcW w:w="960" w:type="dxa"/>
                        <w:noWrap w:val="0"/>
                        <w:vAlign w:val="center"/>
                      </w:tcPr>
                      <w:p w14:paraId="0492BFDE">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148.0</w:t>
                        </w:r>
                      </w:p>
                    </w:tc>
                    <w:tc>
                      <w:tcPr>
                        <w:tcW w:w="972" w:type="dxa"/>
                        <w:noWrap w:val="0"/>
                        <w:vAlign w:val="center"/>
                      </w:tcPr>
                      <w:p w14:paraId="42D12234">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w:t>
                        </w:r>
                      </w:p>
                    </w:tc>
                  </w:tr>
                  <w:tr w14:paraId="60738E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14:paraId="7EA39768">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685" w:type="dxa"/>
                        <w:noWrap w:val="0"/>
                        <w:vAlign w:val="center"/>
                      </w:tcPr>
                      <w:p w14:paraId="56F523BB">
                        <w:pPr>
                          <w:widowControl/>
                          <w:jc w:val="center"/>
                          <w:textAlignment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蓬溪县</w:t>
                        </w:r>
                      </w:p>
                    </w:tc>
                    <w:tc>
                      <w:tcPr>
                        <w:tcW w:w="473" w:type="dxa"/>
                        <w:noWrap w:val="0"/>
                        <w:vAlign w:val="center"/>
                      </w:tcPr>
                      <w:p w14:paraId="5C5D0B23">
                        <w:pPr>
                          <w:widowControl/>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2.88</w:t>
                        </w:r>
                      </w:p>
                    </w:tc>
                    <w:tc>
                      <w:tcPr>
                        <w:tcW w:w="728" w:type="dxa"/>
                        <w:noWrap w:val="0"/>
                        <w:vAlign w:val="center"/>
                      </w:tcPr>
                      <w:p w14:paraId="701E2CC7">
                        <w:pPr>
                          <w:widowControl/>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94.5</w:t>
                        </w:r>
                      </w:p>
                    </w:tc>
                    <w:tc>
                      <w:tcPr>
                        <w:tcW w:w="922" w:type="dxa"/>
                        <w:noWrap w:val="0"/>
                        <w:vAlign w:val="center"/>
                      </w:tcPr>
                      <w:p w14:paraId="008AE9A2">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30.9</w:t>
                        </w:r>
                      </w:p>
                    </w:tc>
                    <w:tc>
                      <w:tcPr>
                        <w:tcW w:w="930" w:type="dxa"/>
                        <w:noWrap w:val="0"/>
                        <w:vAlign w:val="center"/>
                      </w:tcPr>
                      <w:p w14:paraId="30E1ABB1">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44.6</w:t>
                        </w:r>
                      </w:p>
                    </w:tc>
                    <w:tc>
                      <w:tcPr>
                        <w:tcW w:w="870" w:type="dxa"/>
                        <w:noWrap w:val="0"/>
                        <w:vAlign w:val="center"/>
                      </w:tcPr>
                      <w:p w14:paraId="638E3BF0">
                        <w:pPr>
                          <w:widowControl/>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4.7</w:t>
                        </w:r>
                      </w:p>
                    </w:tc>
                    <w:tc>
                      <w:tcPr>
                        <w:tcW w:w="930" w:type="dxa"/>
                        <w:noWrap w:val="0"/>
                        <w:vAlign w:val="center"/>
                      </w:tcPr>
                      <w:p w14:paraId="4CD22A60">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7.8</w:t>
                        </w:r>
                      </w:p>
                    </w:tc>
                    <w:tc>
                      <w:tcPr>
                        <w:tcW w:w="960" w:type="dxa"/>
                        <w:noWrap w:val="0"/>
                        <w:vAlign w:val="center"/>
                      </w:tcPr>
                      <w:p w14:paraId="26450FB5">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134.0</w:t>
                        </w:r>
                      </w:p>
                    </w:tc>
                    <w:tc>
                      <w:tcPr>
                        <w:tcW w:w="972" w:type="dxa"/>
                        <w:noWrap w:val="0"/>
                        <w:vAlign w:val="center"/>
                      </w:tcPr>
                      <w:p w14:paraId="1B494787">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r>
                  <w:tr w14:paraId="1AE345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14:paraId="0D33E69A">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685" w:type="dxa"/>
                        <w:noWrap w:val="0"/>
                        <w:vAlign w:val="center"/>
                      </w:tcPr>
                      <w:p w14:paraId="4A85F572">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遂宁高新区</w:t>
                        </w:r>
                      </w:p>
                    </w:tc>
                    <w:tc>
                      <w:tcPr>
                        <w:tcW w:w="473" w:type="dxa"/>
                        <w:noWrap w:val="0"/>
                        <w:vAlign w:val="center"/>
                      </w:tcPr>
                      <w:p w14:paraId="72F884CA">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2.90</w:t>
                        </w:r>
                      </w:p>
                    </w:tc>
                    <w:tc>
                      <w:tcPr>
                        <w:tcW w:w="728" w:type="dxa"/>
                        <w:noWrap w:val="0"/>
                        <w:vAlign w:val="center"/>
                      </w:tcPr>
                      <w:p w14:paraId="7E06BF17">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94.0</w:t>
                        </w:r>
                      </w:p>
                    </w:tc>
                    <w:tc>
                      <w:tcPr>
                        <w:tcW w:w="922" w:type="dxa"/>
                        <w:noWrap w:val="0"/>
                        <w:vAlign w:val="center"/>
                      </w:tcPr>
                      <w:p w14:paraId="2BD9BF2B">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21.6</w:t>
                        </w:r>
                      </w:p>
                    </w:tc>
                    <w:tc>
                      <w:tcPr>
                        <w:tcW w:w="930" w:type="dxa"/>
                        <w:noWrap w:val="0"/>
                        <w:vAlign w:val="center"/>
                      </w:tcPr>
                      <w:p w14:paraId="4E17A608">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34.6</w:t>
                        </w:r>
                      </w:p>
                    </w:tc>
                    <w:tc>
                      <w:tcPr>
                        <w:tcW w:w="870" w:type="dxa"/>
                        <w:noWrap w:val="0"/>
                        <w:vAlign w:val="center"/>
                      </w:tcPr>
                      <w:p w14:paraId="3DB8486E">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6.0</w:t>
                        </w:r>
                      </w:p>
                    </w:tc>
                    <w:tc>
                      <w:tcPr>
                        <w:tcW w:w="930" w:type="dxa"/>
                        <w:noWrap w:val="0"/>
                        <w:vAlign w:val="center"/>
                      </w:tcPr>
                      <w:p w14:paraId="3A90D9B0">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23.0</w:t>
                        </w:r>
                      </w:p>
                    </w:tc>
                    <w:tc>
                      <w:tcPr>
                        <w:tcW w:w="960" w:type="dxa"/>
                        <w:noWrap w:val="0"/>
                        <w:vAlign w:val="center"/>
                      </w:tcPr>
                      <w:p w14:paraId="37D2C651">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154.3</w:t>
                        </w:r>
                      </w:p>
                    </w:tc>
                    <w:tc>
                      <w:tcPr>
                        <w:tcW w:w="972" w:type="dxa"/>
                        <w:noWrap w:val="0"/>
                        <w:vAlign w:val="center"/>
                      </w:tcPr>
                      <w:p w14:paraId="141A3D45">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0.6</w:t>
                        </w:r>
                      </w:p>
                    </w:tc>
                  </w:tr>
                  <w:tr w14:paraId="5E3514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14:paraId="2EDCA6F8">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685" w:type="dxa"/>
                        <w:noWrap w:val="0"/>
                        <w:vAlign w:val="center"/>
                      </w:tcPr>
                      <w:p w14:paraId="12084689">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射洪市</w:t>
                        </w:r>
                      </w:p>
                    </w:tc>
                    <w:tc>
                      <w:tcPr>
                        <w:tcW w:w="473" w:type="dxa"/>
                        <w:noWrap w:val="0"/>
                        <w:vAlign w:val="center"/>
                      </w:tcPr>
                      <w:p w14:paraId="45269F4D">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3.06</w:t>
                        </w:r>
                      </w:p>
                    </w:tc>
                    <w:tc>
                      <w:tcPr>
                        <w:tcW w:w="728" w:type="dxa"/>
                        <w:noWrap w:val="0"/>
                        <w:vAlign w:val="center"/>
                      </w:tcPr>
                      <w:p w14:paraId="2711CC2E">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94.3</w:t>
                        </w:r>
                      </w:p>
                    </w:tc>
                    <w:tc>
                      <w:tcPr>
                        <w:tcW w:w="922" w:type="dxa"/>
                        <w:noWrap w:val="0"/>
                        <w:vAlign w:val="center"/>
                      </w:tcPr>
                      <w:p w14:paraId="13F8EE9C">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30.2</w:t>
                        </w:r>
                      </w:p>
                    </w:tc>
                    <w:tc>
                      <w:tcPr>
                        <w:tcW w:w="930" w:type="dxa"/>
                        <w:noWrap w:val="0"/>
                        <w:vAlign w:val="center"/>
                      </w:tcPr>
                      <w:p w14:paraId="7F1A414A">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47.1</w:t>
                        </w:r>
                      </w:p>
                    </w:tc>
                    <w:tc>
                      <w:tcPr>
                        <w:tcW w:w="870" w:type="dxa"/>
                        <w:noWrap w:val="0"/>
                        <w:vAlign w:val="center"/>
                      </w:tcPr>
                      <w:p w14:paraId="0D57C829">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6.0</w:t>
                        </w:r>
                      </w:p>
                    </w:tc>
                    <w:tc>
                      <w:tcPr>
                        <w:tcW w:w="930" w:type="dxa"/>
                        <w:noWrap w:val="0"/>
                        <w:vAlign w:val="center"/>
                      </w:tcPr>
                      <w:p w14:paraId="6CB3BE2E">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14.3</w:t>
                        </w:r>
                      </w:p>
                    </w:tc>
                    <w:tc>
                      <w:tcPr>
                        <w:tcW w:w="960" w:type="dxa"/>
                        <w:noWrap w:val="0"/>
                        <w:vAlign w:val="center"/>
                      </w:tcPr>
                      <w:p w14:paraId="1DE8AFF7">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131.0</w:t>
                        </w:r>
                      </w:p>
                    </w:tc>
                    <w:tc>
                      <w:tcPr>
                        <w:tcW w:w="972" w:type="dxa"/>
                        <w:noWrap w:val="0"/>
                        <w:vAlign w:val="center"/>
                      </w:tcPr>
                      <w:p w14:paraId="69EA78AB">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r>
                  <w:tr w14:paraId="5B5868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14:paraId="2918BD44">
                        <w:pPr>
                          <w:widowControl/>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685" w:type="dxa"/>
                        <w:noWrap w:val="0"/>
                        <w:vAlign w:val="center"/>
                      </w:tcPr>
                      <w:p w14:paraId="4068E453">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市河东新区</w:t>
                        </w:r>
                      </w:p>
                    </w:tc>
                    <w:tc>
                      <w:tcPr>
                        <w:tcW w:w="473" w:type="dxa"/>
                        <w:noWrap w:val="0"/>
                        <w:vAlign w:val="center"/>
                      </w:tcPr>
                      <w:p w14:paraId="4A9BED53">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3.17</w:t>
                        </w:r>
                      </w:p>
                    </w:tc>
                    <w:tc>
                      <w:tcPr>
                        <w:tcW w:w="728" w:type="dxa"/>
                        <w:noWrap w:val="0"/>
                        <w:vAlign w:val="center"/>
                      </w:tcPr>
                      <w:p w14:paraId="6C190847">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92.1</w:t>
                        </w:r>
                      </w:p>
                    </w:tc>
                    <w:tc>
                      <w:tcPr>
                        <w:tcW w:w="922" w:type="dxa"/>
                        <w:noWrap w:val="0"/>
                        <w:vAlign w:val="center"/>
                      </w:tcPr>
                      <w:p w14:paraId="358CB21B">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26.4</w:t>
                        </w:r>
                      </w:p>
                    </w:tc>
                    <w:tc>
                      <w:tcPr>
                        <w:tcW w:w="930" w:type="dxa"/>
                        <w:noWrap w:val="0"/>
                        <w:vAlign w:val="center"/>
                      </w:tcPr>
                      <w:p w14:paraId="34FA3C6E">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44.9</w:t>
                        </w:r>
                      </w:p>
                    </w:tc>
                    <w:tc>
                      <w:tcPr>
                        <w:tcW w:w="870" w:type="dxa"/>
                        <w:noWrap w:val="0"/>
                        <w:vAlign w:val="center"/>
                      </w:tcPr>
                      <w:p w14:paraId="505F83B6">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9.9</w:t>
                        </w:r>
                      </w:p>
                    </w:tc>
                    <w:tc>
                      <w:tcPr>
                        <w:tcW w:w="930" w:type="dxa"/>
                        <w:noWrap w:val="0"/>
                        <w:vAlign w:val="center"/>
                      </w:tcPr>
                      <w:p w14:paraId="4D2901E4">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17.9</w:t>
                        </w:r>
                      </w:p>
                    </w:tc>
                    <w:tc>
                      <w:tcPr>
                        <w:tcW w:w="960" w:type="dxa"/>
                        <w:noWrap w:val="0"/>
                        <w:vAlign w:val="center"/>
                      </w:tcPr>
                      <w:p w14:paraId="5FC33722">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149.9</w:t>
                        </w:r>
                      </w:p>
                    </w:tc>
                    <w:tc>
                      <w:tcPr>
                        <w:tcW w:w="972" w:type="dxa"/>
                        <w:noWrap w:val="0"/>
                        <w:vAlign w:val="center"/>
                      </w:tcPr>
                      <w:p w14:paraId="2FD4AC4C">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0.9</w:t>
                        </w:r>
                      </w:p>
                    </w:tc>
                  </w:tr>
                  <w:tr w14:paraId="0F4EA5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14:paraId="498A029A">
                        <w:pPr>
                          <w:widowControl/>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685" w:type="dxa"/>
                        <w:noWrap w:val="0"/>
                        <w:vAlign w:val="center"/>
                      </w:tcPr>
                      <w:p w14:paraId="237C4862">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船山区</w:t>
                        </w:r>
                      </w:p>
                    </w:tc>
                    <w:tc>
                      <w:tcPr>
                        <w:tcW w:w="473" w:type="dxa"/>
                        <w:noWrap w:val="0"/>
                        <w:vAlign w:val="center"/>
                      </w:tcPr>
                      <w:p w14:paraId="086F64F0">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3.19</w:t>
                        </w:r>
                      </w:p>
                    </w:tc>
                    <w:tc>
                      <w:tcPr>
                        <w:tcW w:w="728" w:type="dxa"/>
                        <w:noWrap w:val="0"/>
                        <w:vAlign w:val="center"/>
                      </w:tcPr>
                      <w:p w14:paraId="3E313850">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91.5</w:t>
                        </w:r>
                      </w:p>
                    </w:tc>
                    <w:tc>
                      <w:tcPr>
                        <w:tcW w:w="922" w:type="dxa"/>
                        <w:noWrap w:val="0"/>
                        <w:vAlign w:val="center"/>
                      </w:tcPr>
                      <w:p w14:paraId="0F69AFC3">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29.1</w:t>
                        </w:r>
                      </w:p>
                    </w:tc>
                    <w:tc>
                      <w:tcPr>
                        <w:tcW w:w="930" w:type="dxa"/>
                        <w:noWrap w:val="0"/>
                        <w:vAlign w:val="center"/>
                      </w:tcPr>
                      <w:p w14:paraId="033A5561">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45.4</w:t>
                        </w:r>
                      </w:p>
                    </w:tc>
                    <w:tc>
                      <w:tcPr>
                        <w:tcW w:w="870" w:type="dxa"/>
                        <w:noWrap w:val="0"/>
                        <w:vAlign w:val="center"/>
                      </w:tcPr>
                      <w:p w14:paraId="4A853301">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7.4</w:t>
                        </w:r>
                      </w:p>
                    </w:tc>
                    <w:tc>
                      <w:tcPr>
                        <w:tcW w:w="930" w:type="dxa"/>
                        <w:noWrap w:val="0"/>
                        <w:vAlign w:val="center"/>
                      </w:tcPr>
                      <w:p w14:paraId="14D10864">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16.8</w:t>
                        </w:r>
                      </w:p>
                    </w:tc>
                    <w:tc>
                      <w:tcPr>
                        <w:tcW w:w="960" w:type="dxa"/>
                        <w:noWrap w:val="0"/>
                        <w:vAlign w:val="center"/>
                      </w:tcPr>
                      <w:p w14:paraId="318E306C">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151.0</w:t>
                        </w:r>
                      </w:p>
                    </w:tc>
                    <w:tc>
                      <w:tcPr>
                        <w:tcW w:w="972" w:type="dxa"/>
                        <w:noWrap w:val="0"/>
                        <w:vAlign w:val="center"/>
                      </w:tcPr>
                      <w:p w14:paraId="02A7D852">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0.9</w:t>
                        </w:r>
                      </w:p>
                    </w:tc>
                  </w:tr>
                  <w:tr w14:paraId="095079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14:paraId="6578899E">
                        <w:pPr>
                          <w:widowControl/>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685" w:type="dxa"/>
                        <w:noWrap w:val="0"/>
                        <w:vAlign w:val="center"/>
                      </w:tcPr>
                      <w:p w14:paraId="7465C483">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遂宁经开区</w:t>
                        </w:r>
                      </w:p>
                    </w:tc>
                    <w:tc>
                      <w:tcPr>
                        <w:tcW w:w="473" w:type="dxa"/>
                        <w:noWrap w:val="0"/>
                        <w:vAlign w:val="center"/>
                      </w:tcPr>
                      <w:p w14:paraId="16D7FBF4">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3.21</w:t>
                        </w:r>
                      </w:p>
                    </w:tc>
                    <w:tc>
                      <w:tcPr>
                        <w:tcW w:w="728" w:type="dxa"/>
                        <w:noWrap w:val="0"/>
                        <w:vAlign w:val="center"/>
                      </w:tcPr>
                      <w:p w14:paraId="3271129C">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93.4</w:t>
                        </w:r>
                      </w:p>
                    </w:tc>
                    <w:tc>
                      <w:tcPr>
                        <w:tcW w:w="922" w:type="dxa"/>
                        <w:noWrap w:val="0"/>
                        <w:vAlign w:val="center"/>
                      </w:tcPr>
                      <w:p w14:paraId="625670A9">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26.6</w:t>
                        </w:r>
                      </w:p>
                    </w:tc>
                    <w:tc>
                      <w:tcPr>
                        <w:tcW w:w="930" w:type="dxa"/>
                        <w:noWrap w:val="0"/>
                        <w:vAlign w:val="center"/>
                      </w:tcPr>
                      <w:p w14:paraId="70078FD7">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46.7</w:t>
                        </w:r>
                      </w:p>
                    </w:tc>
                    <w:tc>
                      <w:tcPr>
                        <w:tcW w:w="870" w:type="dxa"/>
                        <w:noWrap w:val="0"/>
                        <w:vAlign w:val="center"/>
                      </w:tcPr>
                      <w:p w14:paraId="09749A57">
                        <w:pPr>
                          <w:widowControl/>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9.5</w:t>
                        </w:r>
                      </w:p>
                    </w:tc>
                    <w:tc>
                      <w:tcPr>
                        <w:tcW w:w="930" w:type="dxa"/>
                        <w:noWrap w:val="0"/>
                        <w:vAlign w:val="center"/>
                      </w:tcPr>
                      <w:p w14:paraId="6381DE84">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21.7</w:t>
                        </w:r>
                      </w:p>
                    </w:tc>
                    <w:tc>
                      <w:tcPr>
                        <w:tcW w:w="960" w:type="dxa"/>
                        <w:noWrap w:val="0"/>
                        <w:vAlign w:val="center"/>
                      </w:tcPr>
                      <w:p w14:paraId="763603A7">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140.5</w:t>
                        </w:r>
                      </w:p>
                    </w:tc>
                    <w:tc>
                      <w:tcPr>
                        <w:tcW w:w="972" w:type="dxa"/>
                        <w:noWrap w:val="0"/>
                        <w:vAlign w:val="center"/>
                      </w:tcPr>
                      <w:p w14:paraId="3F4F555A">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0.8</w:t>
                        </w:r>
                      </w:p>
                    </w:tc>
                  </w:tr>
                </w:tbl>
                <w:p w14:paraId="3435C4CB">
                  <w:pPr>
                    <w:pStyle w:val="3"/>
                    <w:spacing w:line="240" w:lineRule="auto"/>
                    <w:ind w:left="178" w:leftChars="85" w:firstLine="0" w:firstLineChars="0"/>
                    <w:jc w:val="both"/>
                    <w:rPr>
                      <w:rFonts w:hint="default" w:ascii="Times New Roman" w:hAnsi="Times New Roman" w:cs="Times New Roman"/>
                      <w:color w:val="auto"/>
                      <w:highlight w:val="none"/>
                    </w:rPr>
                  </w:pPr>
                </w:p>
              </w:tc>
            </w:tr>
          </w:tbl>
          <w:p w14:paraId="1FDC35CE">
            <w:pPr>
              <w:pStyle w:val="42"/>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根据遂宁市生态环境局发布的数据，202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年，遂宁全域环境空气质量符合《环境空气质量标准》（GB3095-2012）二级标准，项目区属于达标区域。</w:t>
            </w:r>
          </w:p>
          <w:p w14:paraId="2DF75CE7">
            <w:pPr>
              <w:pStyle w:val="42"/>
              <w:bidi w:val="0"/>
              <w:rPr>
                <w:rFonts w:hint="default" w:ascii="Times New Roman" w:hAnsi="Times New Roman" w:cs="Times New Roman"/>
                <w:color w:val="auto"/>
                <w:highlight w:val="none"/>
              </w:rPr>
            </w:pPr>
          </w:p>
          <w:p w14:paraId="576B655A">
            <w:pPr>
              <w:pStyle w:val="4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根据</w:t>
            </w:r>
            <w:r>
              <w:rPr>
                <w:rFonts w:hint="eastAsia" w:ascii="Times New Roman" w:hAnsi="Times New Roman" w:cs="Times New Roman"/>
                <w:color w:val="auto"/>
                <w:highlight w:val="none"/>
                <w:lang w:eastAsia="zh-CN"/>
              </w:rPr>
              <w:t>遂宁市生态环境保护委员会办公室</w:t>
            </w:r>
            <w:r>
              <w:rPr>
                <w:rFonts w:hint="default" w:ascii="Times New Roman" w:hAnsi="Times New Roman" w:cs="Times New Roman"/>
                <w:color w:val="auto"/>
                <w:highlight w:val="none"/>
              </w:rPr>
              <w:t>202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月发布的数据，20</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w:t>
            </w:r>
            <w:r>
              <w:rPr>
                <w:rFonts w:hint="eastAsia" w:ascii="Times New Roman" w:hAnsi="Times New Roman" w:cs="Times New Roman"/>
                <w:color w:val="auto"/>
                <w:highlight w:val="none"/>
                <w:lang w:eastAsia="zh-CN"/>
              </w:rPr>
              <w:t>大英</w:t>
            </w:r>
            <w:r>
              <w:rPr>
                <w:rFonts w:hint="default" w:ascii="Times New Roman" w:hAnsi="Times New Roman" w:cs="Times New Roman"/>
                <w:color w:val="auto"/>
                <w:highlight w:val="none"/>
              </w:rPr>
              <w:t>环境空气质量符合《环境空气质量标准》（GB3095-2012），项目区域环境空气质量属于达标区域</w:t>
            </w:r>
            <w:r>
              <w:rPr>
                <w:rFonts w:hint="default" w:ascii="Times New Roman" w:hAnsi="Times New Roman" w:cs="Times New Roman"/>
                <w:color w:val="auto"/>
                <w:highlight w:val="none"/>
                <w:lang w:eastAsia="zh-CN"/>
              </w:rPr>
              <w:t>。根据补充调查数据，</w:t>
            </w:r>
            <w:r>
              <w:rPr>
                <w:rFonts w:hint="default" w:ascii="Times New Roman" w:hAnsi="Times New Roman" w:cs="Times New Roman"/>
                <w:color w:val="auto"/>
                <w:highlight w:val="none"/>
              </w:rPr>
              <w:t>项目区域TSP满足《环境空气质量标准》（GB3095-2012）的二级限值要求</w:t>
            </w:r>
            <w:r>
              <w:rPr>
                <w:rFonts w:hint="default" w:ascii="Times New Roman" w:hAnsi="Times New Roman" w:cs="Times New Roman"/>
                <w:color w:val="auto"/>
                <w:highlight w:val="none"/>
                <w:lang w:val="en-US" w:eastAsia="zh-CN"/>
              </w:rPr>
              <w:t>。因此项目区域大气环境质量良好</w:t>
            </w:r>
          </w:p>
          <w:p w14:paraId="7B7EF937">
            <w:pPr>
              <w:pStyle w:val="42"/>
              <w:bidi w:val="0"/>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二、地表水环境</w:t>
            </w:r>
          </w:p>
          <w:p w14:paraId="6DC8B273">
            <w:pPr>
              <w:pStyle w:val="42"/>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本项目处于</w:t>
            </w:r>
            <w:r>
              <w:rPr>
                <w:rFonts w:hint="default" w:ascii="Times New Roman" w:hAnsi="Times New Roman" w:cs="Times New Roman"/>
                <w:color w:val="auto"/>
                <w:highlight w:val="none"/>
                <w:lang w:eastAsia="zh-CN"/>
              </w:rPr>
              <w:t>四川大英经开区</w:t>
            </w:r>
            <w:r>
              <w:rPr>
                <w:rFonts w:hint="default" w:ascii="Times New Roman" w:hAnsi="Times New Roman" w:cs="Times New Roman"/>
                <w:color w:val="auto"/>
                <w:highlight w:val="none"/>
              </w:rPr>
              <w:t>，项目附近地表水体为郪江。</w:t>
            </w:r>
            <w:r>
              <w:rPr>
                <w:rFonts w:hint="default" w:ascii="Times New Roman" w:hAnsi="Times New Roman" w:cs="Times New Roman"/>
                <w:color w:val="auto"/>
                <w:highlight w:val="none"/>
                <w:lang w:val="en-US" w:eastAsia="zh-CN"/>
              </w:rPr>
              <w:t>本次环境地表水质量现状评价引用</w:t>
            </w:r>
            <w:r>
              <w:rPr>
                <w:rFonts w:hint="eastAsia" w:ascii="Times New Roman" w:hAnsi="Times New Roman" w:cs="Times New Roman"/>
                <w:color w:val="auto"/>
                <w:highlight w:val="none"/>
                <w:lang w:val="en-US" w:eastAsia="zh-CN"/>
              </w:rPr>
              <w:t>遂宁市生态环境保护委员会办公室</w:t>
            </w:r>
            <w:r>
              <w:rPr>
                <w:rFonts w:hint="default" w:ascii="Times New Roman" w:hAnsi="Times New Roman" w:cs="Times New Roman"/>
                <w:color w:val="auto"/>
                <w:highlight w:val="none"/>
              </w:rPr>
              <w:t>202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日发布的</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关于20</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12月</w:t>
            </w:r>
            <w:r>
              <w:rPr>
                <w:rFonts w:hint="default" w:ascii="Times New Roman" w:hAnsi="Times New Roman" w:cs="Times New Roman"/>
                <w:color w:val="auto"/>
                <w:highlight w:val="none"/>
              </w:rPr>
              <w:t>全市</w:t>
            </w:r>
            <w:r>
              <w:rPr>
                <w:rFonts w:hint="default" w:ascii="Times New Roman" w:hAnsi="Times New Roman" w:cs="Times New Roman"/>
                <w:color w:val="auto"/>
                <w:highlight w:val="none"/>
                <w:lang w:val="en-US" w:eastAsia="zh-CN"/>
              </w:rPr>
              <w:t>地表水和</w:t>
            </w:r>
            <w:r>
              <w:rPr>
                <w:rFonts w:hint="default" w:ascii="Times New Roman" w:hAnsi="Times New Roman" w:cs="Times New Roman"/>
                <w:color w:val="auto"/>
                <w:highlight w:val="none"/>
              </w:rPr>
              <w:t>环境空气质量的</w:t>
            </w:r>
            <w:r>
              <w:rPr>
                <w:rFonts w:hint="default" w:ascii="Times New Roman" w:hAnsi="Times New Roman" w:cs="Times New Roman"/>
                <w:color w:val="auto"/>
                <w:highlight w:val="none"/>
                <w:lang w:val="en-US" w:eastAsia="zh-CN"/>
              </w:rPr>
              <w:t>排名情况的</w:t>
            </w:r>
            <w:r>
              <w:rPr>
                <w:rFonts w:hint="default" w:ascii="Times New Roman" w:hAnsi="Times New Roman" w:cs="Times New Roman"/>
                <w:color w:val="auto"/>
                <w:highlight w:val="none"/>
              </w:rPr>
              <w:t>通报</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（遂</w:t>
            </w:r>
            <w:r>
              <w:rPr>
                <w:rFonts w:hint="eastAsia" w:ascii="Times New Roman" w:hAnsi="Times New Roman" w:cs="Times New Roman"/>
                <w:color w:val="auto"/>
                <w:highlight w:val="none"/>
                <w:lang w:val="en-US" w:eastAsia="zh-CN"/>
              </w:rPr>
              <w:t>环委</w:t>
            </w:r>
            <w:r>
              <w:rPr>
                <w:rFonts w:hint="default" w:ascii="Times New Roman" w:hAnsi="Times New Roman" w:cs="Times New Roman"/>
                <w:color w:val="auto"/>
                <w:highlight w:val="none"/>
              </w:rPr>
              <w:t>办〔202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t>号）</w:t>
            </w:r>
            <w:r>
              <w:rPr>
                <w:rFonts w:hint="default" w:ascii="Times New Roman" w:hAnsi="Times New Roman" w:cs="Times New Roman"/>
                <w:color w:val="auto"/>
                <w:highlight w:val="none"/>
                <w:lang w:val="en-US" w:eastAsia="zh-CN"/>
              </w:rPr>
              <w:t>中公布的数据。根据“202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年1</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2月全市地表水水质指数累计排名表”，</w:t>
            </w:r>
            <w:r>
              <w:rPr>
                <w:rFonts w:hint="eastAsia" w:ascii="Times New Roman" w:hAnsi="Times New Roman" w:cs="Times New Roman"/>
                <w:color w:val="auto"/>
                <w:highlight w:val="none"/>
                <w:lang w:val="en-US" w:eastAsia="zh-CN"/>
              </w:rPr>
              <w:t>郪江</w:t>
            </w:r>
            <w:r>
              <w:rPr>
                <w:rFonts w:hint="default" w:ascii="Times New Roman" w:hAnsi="Times New Roman" w:cs="Times New Roman"/>
                <w:color w:val="auto"/>
                <w:highlight w:val="none"/>
                <w:lang w:val="en-US" w:eastAsia="zh-CN"/>
              </w:rPr>
              <w:t>水质评价详情如下</w:t>
            </w:r>
            <w:r>
              <w:rPr>
                <w:rFonts w:hint="default" w:ascii="Times New Roman" w:hAnsi="Times New Roman" w:cs="Times New Roman"/>
                <w:color w:val="auto"/>
                <w:highlight w:val="none"/>
              </w:rPr>
              <w:t>：</w:t>
            </w:r>
          </w:p>
          <w:p w14:paraId="54FF83D9">
            <w:pPr>
              <w:pStyle w:val="43"/>
              <w:rPr>
                <w:rFonts w:hint="default" w:ascii="Times New Roman" w:hAnsi="Times New Roman" w:cs="Times New Roman"/>
                <w:color w:val="auto"/>
                <w:highlight w:val="none"/>
              </w:rPr>
            </w:pPr>
            <w:r>
              <w:rPr>
                <w:rFonts w:hint="default" w:ascii="Times New Roman" w:hAnsi="Times New Roman" w:cs="Times New Roman"/>
                <w:color w:val="auto"/>
                <w:highlight w:val="none"/>
              </w:rPr>
              <w:t>表3-</w:t>
            </w:r>
            <w:r>
              <w:rPr>
                <w:rFonts w:hint="eastAsia" w:ascii="Times New Roman" w:hAnsi="Times New Roman" w:cs="Times New Roman"/>
                <w:color w:val="auto"/>
                <w:highlight w:val="none"/>
                <w:lang w:val="en-US" w:eastAsia="zh-CN"/>
              </w:rPr>
              <w:t xml:space="preserve">4 </w:t>
            </w:r>
            <w:r>
              <w:rPr>
                <w:rFonts w:hint="default" w:ascii="Times New Roman" w:hAnsi="Times New Roman" w:cs="Times New Roman"/>
                <w:b/>
                <w:color w:val="auto"/>
                <w:sz w:val="24"/>
                <w:highlight w:val="none"/>
              </w:rPr>
              <w:t>202</w:t>
            </w:r>
            <w:r>
              <w:rPr>
                <w:rFonts w:hint="eastAsia"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年</w:t>
            </w:r>
            <w:r>
              <w:rPr>
                <w:rFonts w:hint="eastAsia" w:ascii="Times New Roman" w:hAnsi="Times New Roman" w:cs="Times New Roman"/>
                <w:b/>
                <w:color w:val="auto"/>
                <w:sz w:val="24"/>
                <w:highlight w:val="none"/>
                <w:lang w:val="en-US" w:eastAsia="zh-CN"/>
              </w:rPr>
              <w:t>郪江</w:t>
            </w:r>
            <w:r>
              <w:rPr>
                <w:rFonts w:hint="default" w:ascii="Times New Roman" w:hAnsi="Times New Roman" w:cs="Times New Roman"/>
                <w:b/>
                <w:color w:val="auto"/>
                <w:sz w:val="24"/>
                <w:highlight w:val="none"/>
              </w:rPr>
              <w:t>水质评价结果表</w:t>
            </w:r>
          </w:p>
          <w:tbl>
            <w:tblPr>
              <w:tblStyle w:val="23"/>
              <w:tblW w:w="82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8"/>
              <w:gridCol w:w="710"/>
              <w:gridCol w:w="728"/>
              <w:gridCol w:w="711"/>
              <w:gridCol w:w="728"/>
              <w:gridCol w:w="695"/>
              <w:gridCol w:w="728"/>
              <w:gridCol w:w="728"/>
              <w:gridCol w:w="761"/>
              <w:gridCol w:w="860"/>
              <w:gridCol w:w="843"/>
            </w:tblGrid>
            <w:tr w14:paraId="3E8AD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jc w:val="center"/>
              </w:trPr>
              <w:tc>
                <w:tcPr>
                  <w:tcW w:w="728" w:type="dxa"/>
                  <w:tcBorders>
                    <w:top w:val="single" w:color="000000" w:sz="4" w:space="0"/>
                    <w:left w:val="nil"/>
                    <w:bottom w:val="single" w:color="000000" w:sz="4" w:space="0"/>
                    <w:right w:val="single" w:color="000000" w:sz="4" w:space="0"/>
                  </w:tcBorders>
                  <w:noWrap/>
                  <w:vAlign w:val="center"/>
                </w:tcPr>
                <w:p w14:paraId="70E3E9F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lang w:val="en-US"/>
                    </w:rPr>
                  </w:pPr>
                  <w:r>
                    <w:rPr>
                      <w:rFonts w:hint="default" w:ascii="Times New Roman" w:hAnsi="Times New Roman" w:eastAsia="宋体" w:cs="Times New Roman"/>
                      <w:b/>
                      <w:bCs/>
                      <w:i w:val="0"/>
                      <w:iCs w:val="0"/>
                      <w:color w:val="auto"/>
                      <w:kern w:val="0"/>
                      <w:sz w:val="21"/>
                      <w:szCs w:val="21"/>
                      <w:highlight w:val="none"/>
                      <w:u w:val="none"/>
                      <w:lang w:val="en-US" w:eastAsia="zh-CN" w:bidi="ar"/>
                    </w:rPr>
                    <w:t>断面所在辖区</w:t>
                  </w:r>
                </w:p>
              </w:tc>
              <w:tc>
                <w:tcPr>
                  <w:tcW w:w="710" w:type="dxa"/>
                  <w:tcBorders>
                    <w:top w:val="single" w:color="000000" w:sz="4" w:space="0"/>
                    <w:left w:val="single" w:color="000000" w:sz="4" w:space="0"/>
                    <w:bottom w:val="single" w:color="000000" w:sz="4" w:space="0"/>
                    <w:right w:val="single" w:color="000000" w:sz="4" w:space="0"/>
                  </w:tcBorders>
                  <w:noWrap/>
                  <w:vAlign w:val="center"/>
                </w:tcPr>
                <w:p w14:paraId="237437E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河流名称</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7135EAF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断面名称</w:t>
                  </w:r>
                </w:p>
              </w:tc>
              <w:tc>
                <w:tcPr>
                  <w:tcW w:w="711" w:type="dxa"/>
                  <w:tcBorders>
                    <w:top w:val="single" w:color="000000" w:sz="4" w:space="0"/>
                    <w:left w:val="single" w:color="000000" w:sz="4" w:space="0"/>
                    <w:bottom w:val="single" w:color="000000" w:sz="4" w:space="0"/>
                    <w:right w:val="single" w:color="000000" w:sz="4" w:space="0"/>
                  </w:tcBorders>
                  <w:noWrap/>
                  <w:vAlign w:val="center"/>
                </w:tcPr>
                <w:p w14:paraId="6744C9A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断面级别</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7EEAA0E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lang w:val="en-US"/>
                    </w:rPr>
                  </w:pPr>
                  <w:r>
                    <w:rPr>
                      <w:rFonts w:hint="default" w:ascii="Times New Roman" w:hAnsi="Times New Roman" w:eastAsia="宋体" w:cs="Times New Roman"/>
                      <w:b/>
                      <w:bCs/>
                      <w:i w:val="0"/>
                      <w:iCs w:val="0"/>
                      <w:color w:val="auto"/>
                      <w:kern w:val="0"/>
                      <w:sz w:val="21"/>
                      <w:szCs w:val="21"/>
                      <w:highlight w:val="none"/>
                      <w:u w:val="none"/>
                      <w:lang w:val="en-US" w:eastAsia="zh-CN" w:bidi="ar"/>
                    </w:rPr>
                    <w:t>断面级别</w:t>
                  </w:r>
                </w:p>
              </w:tc>
              <w:tc>
                <w:tcPr>
                  <w:tcW w:w="695" w:type="dxa"/>
                  <w:tcBorders>
                    <w:top w:val="single" w:color="000000" w:sz="4" w:space="0"/>
                    <w:left w:val="single" w:color="000000" w:sz="4" w:space="0"/>
                    <w:bottom w:val="single" w:color="000000" w:sz="4" w:space="0"/>
                    <w:right w:val="single" w:color="000000" w:sz="4" w:space="0"/>
                  </w:tcBorders>
                  <w:noWrap/>
                  <w:vAlign w:val="center"/>
                </w:tcPr>
                <w:p w14:paraId="3F86B9F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lang w:val="en-US" w:eastAsia="zh-CN"/>
                    </w:rPr>
                  </w:pPr>
                  <w:r>
                    <w:rPr>
                      <w:rFonts w:hint="default" w:ascii="Times New Roman" w:hAnsi="Times New Roman" w:eastAsia="宋体" w:cs="Times New Roman"/>
                      <w:b/>
                      <w:bCs/>
                      <w:i w:val="0"/>
                      <w:iCs w:val="0"/>
                      <w:color w:val="auto"/>
                      <w:sz w:val="21"/>
                      <w:szCs w:val="21"/>
                      <w:highlight w:val="none"/>
                      <w:u w:val="none"/>
                      <w:lang w:val="en-US" w:eastAsia="zh-CN"/>
                    </w:rPr>
                    <w:t>pH</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06A592C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lang w:val="en-US" w:eastAsia="zh-CN"/>
                    </w:rPr>
                  </w:pPr>
                  <w:r>
                    <w:rPr>
                      <w:rFonts w:hint="default" w:ascii="Times New Roman" w:hAnsi="Times New Roman" w:eastAsia="宋体" w:cs="Times New Roman"/>
                      <w:b/>
                      <w:bCs/>
                      <w:i w:val="0"/>
                      <w:iCs w:val="0"/>
                      <w:color w:val="auto"/>
                      <w:sz w:val="21"/>
                      <w:szCs w:val="21"/>
                      <w:highlight w:val="none"/>
                      <w:u w:val="none"/>
                      <w:lang w:val="en-US" w:eastAsia="zh-CN"/>
                    </w:rPr>
                    <w:t>溶解氧</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53AF629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lang w:val="en-US"/>
                    </w:rPr>
                  </w:pPr>
                  <w:r>
                    <w:rPr>
                      <w:rFonts w:hint="default" w:ascii="Times New Roman" w:hAnsi="Times New Roman" w:eastAsia="宋体" w:cs="Times New Roman"/>
                      <w:b/>
                      <w:bCs/>
                      <w:i w:val="0"/>
                      <w:iCs w:val="0"/>
                      <w:color w:val="auto"/>
                      <w:kern w:val="0"/>
                      <w:sz w:val="21"/>
                      <w:szCs w:val="21"/>
                      <w:highlight w:val="none"/>
                      <w:u w:val="none"/>
                      <w:lang w:val="en-US" w:eastAsia="zh-CN" w:bidi="ar"/>
                    </w:rPr>
                    <w:t>高锰酸盐指数</w:t>
                  </w:r>
                </w:p>
              </w:tc>
              <w:tc>
                <w:tcPr>
                  <w:tcW w:w="761" w:type="dxa"/>
                  <w:tcBorders>
                    <w:top w:val="single" w:color="000000" w:sz="4" w:space="0"/>
                    <w:left w:val="single" w:color="000000" w:sz="4" w:space="0"/>
                    <w:bottom w:val="single" w:color="000000" w:sz="4" w:space="0"/>
                    <w:right w:val="nil"/>
                  </w:tcBorders>
                  <w:noWrap/>
                  <w:vAlign w:val="center"/>
                </w:tcPr>
                <w:p w14:paraId="49D4476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化学需氧量</w:t>
                  </w:r>
                </w:p>
              </w:tc>
              <w:tc>
                <w:tcPr>
                  <w:tcW w:w="860" w:type="dxa"/>
                  <w:tcBorders>
                    <w:top w:val="single" w:color="000000" w:sz="4" w:space="0"/>
                    <w:left w:val="single" w:color="000000" w:sz="4" w:space="0"/>
                    <w:bottom w:val="single" w:color="000000" w:sz="4" w:space="0"/>
                    <w:right w:val="nil"/>
                  </w:tcBorders>
                  <w:noWrap/>
                  <w:vAlign w:val="center"/>
                </w:tcPr>
                <w:p w14:paraId="3CC0E25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氨氮</w:t>
                  </w:r>
                </w:p>
              </w:tc>
              <w:tc>
                <w:tcPr>
                  <w:tcW w:w="843" w:type="dxa"/>
                  <w:tcBorders>
                    <w:top w:val="single" w:color="000000" w:sz="4" w:space="0"/>
                    <w:left w:val="single" w:color="000000" w:sz="4" w:space="0"/>
                    <w:bottom w:val="single" w:color="000000" w:sz="4" w:space="0"/>
                    <w:right w:val="nil"/>
                  </w:tcBorders>
                  <w:noWrap/>
                  <w:vAlign w:val="center"/>
                </w:tcPr>
                <w:p w14:paraId="60FB3B2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总磷</w:t>
                  </w:r>
                </w:p>
              </w:tc>
            </w:tr>
            <w:tr w14:paraId="64ABE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728" w:type="dxa"/>
                  <w:tcBorders>
                    <w:top w:val="single" w:color="000000" w:sz="4" w:space="0"/>
                    <w:left w:val="nil"/>
                    <w:bottom w:val="single" w:color="000000" w:sz="4" w:space="0"/>
                    <w:right w:val="single" w:color="000000" w:sz="4" w:space="0"/>
                  </w:tcBorders>
                  <w:noWrap/>
                  <w:vAlign w:val="center"/>
                </w:tcPr>
                <w:p w14:paraId="31AF42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sz w:val="21"/>
                      <w:szCs w:val="21"/>
                      <w:highlight w:val="none"/>
                      <w:u w:val="none"/>
                      <w:lang w:val="en-US" w:eastAsia="zh-CN"/>
                    </w:rPr>
                    <w:t>大英县</w:t>
                  </w:r>
                </w:p>
              </w:tc>
              <w:tc>
                <w:tcPr>
                  <w:tcW w:w="710" w:type="dxa"/>
                  <w:tcBorders>
                    <w:top w:val="single" w:color="000000" w:sz="4" w:space="0"/>
                    <w:left w:val="single" w:color="000000" w:sz="4" w:space="0"/>
                    <w:bottom w:val="single" w:color="000000" w:sz="4" w:space="0"/>
                    <w:right w:val="single" w:color="000000" w:sz="4" w:space="0"/>
                  </w:tcBorders>
                  <w:noWrap/>
                  <w:vAlign w:val="center"/>
                </w:tcPr>
                <w:p w14:paraId="54C5A7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郪江</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65BC6A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郪江</w:t>
                  </w:r>
                  <w:r>
                    <w:rPr>
                      <w:rFonts w:hint="default" w:ascii="Times New Roman" w:hAnsi="Times New Roman" w:eastAsia="宋体" w:cs="Times New Roman"/>
                      <w:i w:val="0"/>
                      <w:iCs w:val="0"/>
                      <w:color w:val="auto"/>
                      <w:sz w:val="21"/>
                      <w:szCs w:val="21"/>
                      <w:highlight w:val="none"/>
                      <w:u w:val="none"/>
                      <w:lang w:val="en-US" w:eastAsia="zh-CN"/>
                    </w:rPr>
                    <w:t>口</w:t>
                  </w:r>
                </w:p>
              </w:tc>
              <w:tc>
                <w:tcPr>
                  <w:tcW w:w="711" w:type="dxa"/>
                  <w:tcBorders>
                    <w:top w:val="single" w:color="000000" w:sz="4" w:space="0"/>
                    <w:left w:val="single" w:color="000000" w:sz="4" w:space="0"/>
                    <w:bottom w:val="single" w:color="000000" w:sz="4" w:space="0"/>
                    <w:right w:val="single" w:color="000000" w:sz="4" w:space="0"/>
                  </w:tcBorders>
                  <w:noWrap/>
                  <w:vAlign w:val="center"/>
                </w:tcPr>
                <w:p w14:paraId="35DE93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国控</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1068E6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Ⅲ</w:t>
                  </w:r>
                </w:p>
              </w:tc>
              <w:tc>
                <w:tcPr>
                  <w:tcW w:w="695" w:type="dxa"/>
                  <w:tcBorders>
                    <w:top w:val="single" w:color="000000" w:sz="4" w:space="0"/>
                    <w:left w:val="single" w:color="000000" w:sz="4" w:space="0"/>
                    <w:bottom w:val="single" w:color="000000" w:sz="4" w:space="0"/>
                    <w:right w:val="single" w:color="000000" w:sz="4" w:space="0"/>
                  </w:tcBorders>
                  <w:noWrap/>
                  <w:vAlign w:val="center"/>
                </w:tcPr>
                <w:p w14:paraId="222A1A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8.1</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666BDE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8.08</w:t>
                  </w:r>
                </w:p>
              </w:tc>
              <w:tc>
                <w:tcPr>
                  <w:tcW w:w="728" w:type="dxa"/>
                  <w:tcBorders>
                    <w:top w:val="single" w:color="000000" w:sz="4" w:space="0"/>
                    <w:left w:val="single" w:color="000000" w:sz="4" w:space="0"/>
                    <w:bottom w:val="single" w:color="000000" w:sz="4" w:space="0"/>
                    <w:right w:val="single" w:color="000000" w:sz="4" w:space="0"/>
                  </w:tcBorders>
                  <w:noWrap/>
                  <w:vAlign w:val="center"/>
                </w:tcPr>
                <w:p w14:paraId="1701CA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4.5</w:t>
                  </w:r>
                </w:p>
              </w:tc>
              <w:tc>
                <w:tcPr>
                  <w:tcW w:w="761" w:type="dxa"/>
                  <w:tcBorders>
                    <w:top w:val="single" w:color="000000" w:sz="4" w:space="0"/>
                    <w:left w:val="single" w:color="000000" w:sz="4" w:space="0"/>
                    <w:bottom w:val="single" w:color="000000" w:sz="4" w:space="0"/>
                    <w:right w:val="nil"/>
                  </w:tcBorders>
                  <w:noWrap/>
                  <w:vAlign w:val="center"/>
                </w:tcPr>
                <w:p w14:paraId="5096CB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16.4</w:t>
                  </w:r>
                </w:p>
              </w:tc>
              <w:tc>
                <w:tcPr>
                  <w:tcW w:w="860" w:type="dxa"/>
                  <w:tcBorders>
                    <w:top w:val="single" w:color="000000" w:sz="4" w:space="0"/>
                    <w:left w:val="single" w:color="000000" w:sz="4" w:space="0"/>
                    <w:bottom w:val="single" w:color="000000" w:sz="4" w:space="0"/>
                    <w:right w:val="nil"/>
                  </w:tcBorders>
                  <w:noWrap/>
                  <w:vAlign w:val="center"/>
                </w:tcPr>
                <w:p w14:paraId="7632DB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0.204</w:t>
                  </w:r>
                </w:p>
              </w:tc>
              <w:tc>
                <w:tcPr>
                  <w:tcW w:w="843" w:type="dxa"/>
                  <w:tcBorders>
                    <w:top w:val="single" w:color="000000" w:sz="4" w:space="0"/>
                    <w:left w:val="single" w:color="000000" w:sz="4" w:space="0"/>
                    <w:bottom w:val="single" w:color="000000" w:sz="4" w:space="0"/>
                    <w:right w:val="nil"/>
                  </w:tcBorders>
                  <w:noWrap/>
                  <w:vAlign w:val="center"/>
                </w:tcPr>
                <w:p w14:paraId="2ACC06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0.08</w:t>
                  </w:r>
                </w:p>
              </w:tc>
            </w:tr>
          </w:tbl>
          <w:p w14:paraId="26B2E4BC">
            <w:pPr>
              <w:pStyle w:val="42"/>
              <w:spacing w:line="240" w:lineRule="auto"/>
              <w:ind w:firstLine="480"/>
              <w:jc w:val="both"/>
              <w:rPr>
                <w:rFonts w:hint="default" w:ascii="Times New Roman" w:hAnsi="Times New Roman" w:cs="Times New Roman"/>
                <w:color w:val="auto"/>
                <w:sz w:val="24"/>
                <w:highlight w:val="none"/>
                <w:lang w:val="en-US" w:eastAsia="zh-CN"/>
              </w:rPr>
            </w:pPr>
          </w:p>
          <w:p w14:paraId="71A3308C">
            <w:pPr>
              <w:pStyle w:val="42"/>
              <w:ind w:firstLine="480"/>
              <w:jc w:val="both"/>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 w:val="24"/>
                <w:highlight w:val="none"/>
                <w:lang w:val="en-US" w:eastAsia="zh-CN"/>
              </w:rPr>
              <w:t>因此</w:t>
            </w:r>
            <w:r>
              <w:rPr>
                <w:rFonts w:hint="default" w:ascii="Times New Roman" w:hAnsi="Times New Roman" w:cs="Times New Roman"/>
                <w:color w:val="auto"/>
                <w:sz w:val="24"/>
                <w:highlight w:val="none"/>
              </w:rPr>
              <w:t>，本项目附近地表水</w:t>
            </w:r>
            <w:r>
              <w:rPr>
                <w:rFonts w:hint="eastAsia" w:ascii="Times New Roman" w:hAnsi="Times New Roman" w:cs="Times New Roman"/>
                <w:color w:val="auto"/>
                <w:sz w:val="24"/>
                <w:highlight w:val="none"/>
                <w:lang w:val="en-US" w:eastAsia="zh-CN"/>
              </w:rPr>
              <w:t>郪江</w:t>
            </w:r>
            <w:r>
              <w:rPr>
                <w:rFonts w:hint="default" w:ascii="Times New Roman" w:hAnsi="Times New Roman" w:cs="Times New Roman"/>
                <w:color w:val="auto"/>
                <w:sz w:val="24"/>
                <w:highlight w:val="none"/>
              </w:rPr>
              <w:t>水质情况良好，满足《地表水环境质量标准》</w:t>
            </w:r>
            <w:r>
              <w:rPr>
                <w:rFonts w:hint="default" w:ascii="Times New Roman" w:hAnsi="Times New Roman" w:eastAsia="宋体" w:cs="Times New Roman"/>
                <w:color w:val="auto"/>
                <w:highlight w:val="none"/>
                <w:lang w:eastAsia="zh-CN"/>
              </w:rPr>
              <w:t>（GB3838-2002）</w:t>
            </w:r>
            <w:r>
              <w:rPr>
                <w:rFonts w:hint="eastAsia" w:ascii="Times New Roman" w:hAnsi="Times New Roman" w:cs="Times New Roman"/>
                <w:color w:val="auto"/>
                <w:highlight w:val="none"/>
                <w:lang w:eastAsia="zh-CN"/>
              </w:rPr>
              <w:t>Ⅲ</w:t>
            </w:r>
            <w:r>
              <w:rPr>
                <w:rFonts w:hint="default" w:ascii="Times New Roman" w:hAnsi="Times New Roman" w:cs="Times New Roman"/>
                <w:color w:val="auto"/>
                <w:sz w:val="24"/>
                <w:highlight w:val="none"/>
              </w:rPr>
              <w:t>类水质要求</w:t>
            </w:r>
            <w:r>
              <w:rPr>
                <w:rFonts w:hint="default" w:ascii="Times New Roman" w:hAnsi="Times New Roman" w:cs="Times New Roman"/>
                <w:color w:val="auto"/>
                <w:highlight w:val="none"/>
                <w:lang w:eastAsia="zh-CN"/>
              </w:rPr>
              <w:t>。</w:t>
            </w:r>
          </w:p>
          <w:p w14:paraId="72F052F2">
            <w:pPr>
              <w:numPr>
                <w:ilvl w:val="0"/>
                <w:numId w:val="3"/>
              </w:numPr>
              <w:bidi w:val="0"/>
              <w:spacing w:line="360" w:lineRule="auto"/>
              <w:ind w:left="0" w:leftChars="0" w:firstLineChars="0"/>
              <w:rPr>
                <w:rFonts w:hint="eastAsia" w:ascii="Times New Roman" w:hAnsi="Times New Roman" w:eastAsia="宋体" w:cs="Times New Roman"/>
                <w:b/>
                <w:bCs/>
                <w:color w:val="auto"/>
                <w:kern w:val="2"/>
                <w:sz w:val="24"/>
                <w:szCs w:val="21"/>
                <w:highlight w:val="none"/>
                <w:lang w:val="en-US" w:eastAsia="zh-CN" w:bidi="ar-SA"/>
              </w:rPr>
            </w:pPr>
            <w:r>
              <w:rPr>
                <w:rFonts w:hint="default" w:ascii="Times New Roman" w:hAnsi="Times New Roman" w:eastAsia="宋体" w:cs="Times New Roman"/>
                <w:b/>
                <w:bCs/>
                <w:color w:val="auto"/>
                <w:sz w:val="24"/>
                <w:szCs w:val="21"/>
                <w:highlight w:val="none"/>
                <w:lang w:val="en-US" w:eastAsia="zh-CN"/>
              </w:rPr>
              <w:t>土壤和地下水</w:t>
            </w:r>
            <w:r>
              <w:rPr>
                <w:rFonts w:hint="default" w:ascii="Times New Roman" w:hAnsi="Times New Roman" w:eastAsia="宋体" w:cs="Times New Roman"/>
                <w:b/>
                <w:bCs/>
                <w:color w:val="auto"/>
                <w:kern w:val="2"/>
                <w:sz w:val="24"/>
                <w:szCs w:val="21"/>
                <w:highlight w:val="none"/>
                <w:lang w:val="en-US" w:eastAsia="zh-CN" w:bidi="ar-SA"/>
              </w:rPr>
              <w:t>环</w:t>
            </w:r>
            <w:r>
              <w:rPr>
                <w:rFonts w:hint="eastAsia" w:ascii="Times New Roman" w:hAnsi="Times New Roman" w:eastAsia="宋体" w:cs="Times New Roman"/>
                <w:b/>
                <w:bCs/>
                <w:color w:val="auto"/>
                <w:kern w:val="2"/>
                <w:sz w:val="24"/>
                <w:szCs w:val="21"/>
                <w:highlight w:val="none"/>
                <w:lang w:val="en-US" w:eastAsia="zh-CN" w:bidi="ar-SA"/>
              </w:rPr>
              <w:t>境质量现状</w:t>
            </w:r>
          </w:p>
          <w:p w14:paraId="2B9A26DA">
            <w:pPr>
              <w:widowControl w:val="0"/>
              <w:bidi w:val="0"/>
              <w:adjustRightInd/>
              <w:snapToGrid/>
              <w:spacing w:line="360" w:lineRule="auto"/>
              <w:ind w:firstLine="480" w:firstLineChars="200"/>
              <w:jc w:val="both"/>
              <w:rPr>
                <w:rFonts w:hint="default" w:ascii="Times New Roman" w:hAnsi="Times New Roman" w:eastAsia="宋体" w:cs="Times New Roman"/>
                <w:b w:val="0"/>
                <w:bCs w:val="0"/>
                <w:color w:val="auto"/>
                <w:kern w:val="2"/>
                <w:sz w:val="24"/>
                <w:szCs w:val="21"/>
                <w:highlight w:val="none"/>
                <w:lang w:val="en-US" w:eastAsia="zh-CN" w:bidi="ar-SA"/>
              </w:rPr>
            </w:pPr>
            <w:r>
              <w:rPr>
                <w:rFonts w:hint="eastAsia" w:ascii="Times New Roman" w:hAnsi="Times New Roman" w:eastAsia="宋体" w:cs="Times New Roman"/>
                <w:color w:val="auto"/>
                <w:sz w:val="24"/>
                <w:szCs w:val="21"/>
                <w:highlight w:val="none"/>
                <w:lang w:eastAsia="zh-CN"/>
              </w:rPr>
              <w:t>根据《建设项目环境影响报告表编制技术指南（污染影响类）（试行）》，</w:t>
            </w:r>
            <w:r>
              <w:rPr>
                <w:rFonts w:hint="eastAsia" w:ascii="Times New Roman" w:hAnsi="Times New Roman" w:eastAsia="宋体" w:cs="Times New Roman"/>
                <w:color w:val="auto"/>
                <w:sz w:val="24"/>
                <w:szCs w:val="21"/>
                <w:highlight w:val="none"/>
                <w:lang w:val="en-US" w:eastAsia="zh-CN"/>
              </w:rPr>
              <w:t>本项目在</w:t>
            </w:r>
            <w:r>
              <w:rPr>
                <w:rFonts w:hint="eastAsia" w:ascii="Times New Roman" w:hAnsi="Times New Roman" w:eastAsia="宋体" w:cs="Times New Roman"/>
                <w:color w:val="auto"/>
                <w:sz w:val="24"/>
                <w:szCs w:val="21"/>
                <w:highlight w:val="none"/>
                <w:lang w:eastAsia="zh-CN"/>
              </w:rPr>
              <w:t>本项目可不开展土壤和地下水监测</w:t>
            </w:r>
          </w:p>
          <w:p w14:paraId="606F9688">
            <w:pPr>
              <w:pStyle w:val="10"/>
              <w:spacing w:line="360" w:lineRule="auto"/>
              <w:ind w:left="0" w:firstLine="0" w:firstLineChars="0"/>
              <w:rPr>
                <w:rFonts w:hint="default" w:ascii="Times New Roman" w:hAnsi="Times New Roman" w:eastAsia="宋体" w:cs="Times New Roman"/>
                <w:b/>
                <w:bCs/>
                <w:color w:val="auto"/>
                <w:kern w:val="2"/>
                <w:sz w:val="24"/>
                <w:szCs w:val="21"/>
                <w:highlight w:val="none"/>
                <w:lang w:val="en-US" w:eastAsia="zh-CN" w:bidi="ar-SA"/>
              </w:rPr>
            </w:pPr>
            <w:r>
              <w:rPr>
                <w:rFonts w:hint="default" w:ascii="Times New Roman" w:hAnsi="Times New Roman" w:eastAsia="宋体" w:cs="Times New Roman"/>
                <w:b/>
                <w:bCs/>
                <w:color w:val="auto"/>
                <w:kern w:val="2"/>
                <w:sz w:val="24"/>
                <w:szCs w:val="21"/>
                <w:highlight w:val="none"/>
                <w:lang w:val="en-US" w:eastAsia="zh-CN" w:bidi="ar-SA"/>
              </w:rPr>
              <w:t>四、声环境质量现状监测与评价</w:t>
            </w:r>
          </w:p>
          <w:p w14:paraId="159D37A8">
            <w:pPr>
              <w:pStyle w:val="4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lang w:val="en-US" w:eastAsia="zh-CN"/>
              </w:rPr>
              <w:t>50m范围无声环境敏感目标，</w:t>
            </w:r>
            <w:r>
              <w:rPr>
                <w:rFonts w:hint="default" w:ascii="Times New Roman" w:hAnsi="Times New Roman" w:cs="Times New Roman"/>
                <w:color w:val="auto"/>
                <w:highlight w:val="none"/>
                <w:lang w:eastAsia="zh-CN"/>
              </w:rPr>
              <w:t>根据</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建设项目环境影响报告表编制技术指南（污染影响类）</w:t>
            </w:r>
            <w:r>
              <w:rPr>
                <w:rFonts w:hint="default" w:ascii="Times New Roman" w:hAnsi="Times New Roman" w:cs="Times New Roman"/>
                <w:color w:val="auto"/>
                <w:highlight w:val="none"/>
              </w:rPr>
              <w:t>（试行）》</w:t>
            </w:r>
            <w:r>
              <w:rPr>
                <w:rFonts w:hint="default" w:ascii="Times New Roman" w:hAnsi="Times New Roman" w:cs="Times New Roman"/>
                <w:color w:val="auto"/>
                <w:highlight w:val="none"/>
                <w:lang w:eastAsia="zh-CN"/>
              </w:rPr>
              <w:t>本项目无需监测噪声环境。</w:t>
            </w:r>
          </w:p>
          <w:p w14:paraId="64A5CFAA">
            <w:pPr>
              <w:pStyle w:val="10"/>
              <w:spacing w:line="360" w:lineRule="auto"/>
              <w:ind w:left="0" w:firstLine="0" w:firstLineChars="0"/>
              <w:rPr>
                <w:rFonts w:hint="default" w:ascii="Times New Roman" w:hAnsi="Times New Roman" w:eastAsia="宋体" w:cs="Times New Roman"/>
                <w:b/>
                <w:bCs/>
                <w:color w:val="auto"/>
                <w:kern w:val="2"/>
                <w:sz w:val="24"/>
                <w:szCs w:val="21"/>
                <w:highlight w:val="none"/>
                <w:lang w:val="en-US" w:eastAsia="zh-CN" w:bidi="ar-SA"/>
              </w:rPr>
            </w:pPr>
            <w:r>
              <w:rPr>
                <w:rFonts w:hint="default" w:ascii="Times New Roman" w:hAnsi="Times New Roman" w:eastAsia="宋体" w:cs="Times New Roman"/>
                <w:b/>
                <w:bCs/>
                <w:color w:val="auto"/>
                <w:kern w:val="2"/>
                <w:sz w:val="24"/>
                <w:szCs w:val="21"/>
                <w:highlight w:val="none"/>
                <w:lang w:val="en-US" w:eastAsia="zh-CN" w:bidi="ar-SA"/>
              </w:rPr>
              <w:t>五、生态环境</w:t>
            </w:r>
          </w:p>
          <w:p w14:paraId="7FA513B6">
            <w:pPr>
              <w:pStyle w:val="42"/>
              <w:bidi w:val="0"/>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eastAsia="zh-CN"/>
              </w:rPr>
              <w:t>四川大英经开区</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在既有的厂房内建设，故不开展生态环境质量现状调查</w:t>
            </w:r>
            <w:r>
              <w:rPr>
                <w:rFonts w:hint="default" w:ascii="Times New Roman" w:hAnsi="Times New Roman" w:cs="Times New Roman"/>
                <w:color w:val="auto"/>
                <w:highlight w:val="none"/>
              </w:rPr>
              <w:t>。</w:t>
            </w:r>
          </w:p>
        </w:tc>
      </w:tr>
      <w:tr w14:paraId="1387BB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465" w:type="dxa"/>
            <w:noWrap w:val="0"/>
            <w:vAlign w:val="center"/>
          </w:tcPr>
          <w:p w14:paraId="6CBA0AC5">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14:paraId="047C0D52">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w:t>
            </w:r>
          </w:p>
          <w:p w14:paraId="230910C6">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目标</w:t>
            </w:r>
          </w:p>
        </w:tc>
        <w:tc>
          <w:tcPr>
            <w:tcW w:w="8525" w:type="dxa"/>
            <w:noWrap w:val="0"/>
            <w:vAlign w:val="top"/>
          </w:tcPr>
          <w:p w14:paraId="0CEA49EE">
            <w:pPr>
              <w:pStyle w:val="42"/>
              <w:numPr>
                <w:ilvl w:val="0"/>
                <w:numId w:val="4"/>
              </w:numPr>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外环境关系</w:t>
            </w:r>
          </w:p>
          <w:p w14:paraId="4396AC3D">
            <w:pPr>
              <w:pStyle w:val="42"/>
              <w:bidi w:val="0"/>
              <w:rPr>
                <w:rFonts w:hint="default"/>
                <w:color w:val="auto"/>
                <w:lang w:val="en-US" w:eastAsia="zh-CN"/>
              </w:rPr>
            </w:pPr>
            <w:r>
              <w:rPr>
                <w:rFonts w:hint="eastAsia"/>
                <w:color w:val="auto"/>
                <w:lang w:val="en-US" w:eastAsia="zh-CN"/>
              </w:rPr>
              <w:t>本项目</w:t>
            </w:r>
            <w:r>
              <w:rPr>
                <w:rFonts w:hint="default"/>
                <w:color w:val="auto"/>
                <w:lang w:val="en-US" w:eastAsia="zh-CN"/>
              </w:rPr>
              <w:t>位于四川大英经开区郪江东路南侧，项目东南侧72m为强泰建材、环图建材；项目南侧为自然山体绿地；</w:t>
            </w:r>
            <w:r>
              <w:rPr>
                <w:rFonts w:hint="eastAsia"/>
                <w:color w:val="auto"/>
                <w:lang w:val="en-US" w:eastAsia="zh-CN"/>
              </w:rPr>
              <w:t>项目</w:t>
            </w:r>
            <w:r>
              <w:rPr>
                <w:rFonts w:hint="default"/>
                <w:color w:val="auto"/>
                <w:lang w:val="en-US" w:eastAsia="zh-CN"/>
              </w:rPr>
              <w:t>北侧50m为巨能恒泰、华元纺织、亿利达纺织等公司，西北30m为四川鼎匠门业有限公司、大英炫煌科技有限公司等生产企业，项目北侧174m为地表水郪江，西侧370m为和顺苑公租房小区，东侧200m大英聚能科技有限公司。</w:t>
            </w:r>
          </w:p>
          <w:p w14:paraId="4A678430">
            <w:pPr>
              <w:pStyle w:val="42"/>
              <w:bidi w:val="0"/>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highlight w:val="none"/>
                <w:lang w:val="en-US" w:eastAsia="zh-CN"/>
              </w:rPr>
              <w:t>选址合理性及相容性分析：</w:t>
            </w:r>
            <w:r>
              <w:rPr>
                <w:rFonts w:hint="default"/>
                <w:color w:val="auto"/>
                <w:lang w:val="en-US" w:eastAsia="zh-CN"/>
              </w:rPr>
              <w:t>根据现场踏勘，本项目均在既有的工业厂房建筑内建设，不新增用地，项目不在郪江黄颡鱼国家级水产种质资源保护区范围内</w:t>
            </w:r>
            <w:r>
              <w:rPr>
                <w:rFonts w:hint="eastAsia"/>
                <w:color w:val="auto"/>
                <w:lang w:val="en-US" w:eastAsia="zh-CN"/>
              </w:rPr>
              <w:t>，</w:t>
            </w:r>
            <w:r>
              <w:rPr>
                <w:rFonts w:hint="default"/>
                <w:color w:val="auto"/>
                <w:lang w:val="en-US" w:eastAsia="zh-CN"/>
              </w:rPr>
              <w:t>项目在</w:t>
            </w:r>
            <w:r>
              <w:rPr>
                <w:rFonts w:hint="eastAsia"/>
                <w:color w:val="auto"/>
                <w:lang w:val="en-US" w:eastAsia="zh-CN"/>
              </w:rPr>
              <w:t>采取环评提出的污染防治措施后，</w:t>
            </w:r>
            <w:r>
              <w:rPr>
                <w:rFonts w:hint="default"/>
                <w:color w:val="auto"/>
                <w:lang w:val="en-US" w:eastAsia="zh-CN"/>
              </w:rPr>
              <w:t>可有效降低对周边环境的影响，对周边环境影响不明显</w:t>
            </w:r>
            <w:r>
              <w:rPr>
                <w:rFonts w:hint="eastAsia"/>
                <w:color w:val="auto"/>
                <w:lang w:val="en-US" w:eastAsia="zh-CN"/>
              </w:rPr>
              <w:t>。因此</w:t>
            </w:r>
            <w:r>
              <w:rPr>
                <w:rFonts w:hint="default"/>
                <w:color w:val="auto"/>
                <w:lang w:val="en-US" w:eastAsia="zh-CN"/>
              </w:rPr>
              <w:t>本环评认为项目选址同区域环境具有相容性，选址具有合理性</w:t>
            </w:r>
            <w:r>
              <w:rPr>
                <w:rFonts w:hint="default" w:ascii="Times New Roman" w:hAnsi="Times New Roman" w:cs="Times New Roman"/>
                <w:color w:val="auto"/>
                <w:highlight w:val="none"/>
                <w:lang w:val="en-US" w:eastAsia="zh-CN"/>
              </w:rPr>
              <w:t>。</w:t>
            </w:r>
          </w:p>
          <w:p w14:paraId="268171D0">
            <w:pPr>
              <w:pStyle w:val="42"/>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lang w:val="en-US" w:eastAsia="zh-CN"/>
              </w:rPr>
              <w:t>环境保护目标</w:t>
            </w:r>
          </w:p>
          <w:p w14:paraId="2916DDE9">
            <w:pPr>
              <w:pStyle w:val="4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根</w:t>
            </w:r>
            <w:r>
              <w:rPr>
                <w:rFonts w:hint="default" w:ascii="Times New Roman" w:hAnsi="Times New Roman" w:cs="Times New Roman"/>
                <w:color w:val="auto"/>
                <w:highlight w:val="none"/>
              </w:rPr>
              <w:t>据《</w:t>
            </w:r>
            <w:r>
              <w:rPr>
                <w:rFonts w:hint="default" w:ascii="Times New Roman" w:hAnsi="Times New Roman" w:cs="Times New Roman"/>
                <w:color w:val="auto"/>
                <w:highlight w:val="none"/>
                <w:lang w:eastAsia="zh-CN"/>
              </w:rPr>
              <w:t>建设项目环境影响报告表编制技术指南（污染影响类）</w:t>
            </w:r>
            <w:r>
              <w:rPr>
                <w:rFonts w:hint="eastAsia" w:ascii="Times New Roman" w:hAnsi="Times New Roman" w:cs="Times New Roman"/>
                <w:color w:val="auto"/>
                <w:highlight w:val="none"/>
                <w:lang w:eastAsia="zh-CN"/>
              </w:rPr>
              <w:t>（试行）》</w:t>
            </w:r>
            <w:r>
              <w:rPr>
                <w:rFonts w:hint="default" w:ascii="Times New Roman" w:hAnsi="Times New Roman" w:cs="Times New Roman"/>
                <w:color w:val="auto"/>
                <w:highlight w:val="none"/>
                <w:lang w:val="en-US" w:eastAsia="zh-CN"/>
              </w:rPr>
              <w:t>，结合本项目现场踏勘，确定本项目环境保护目标如下</w:t>
            </w:r>
            <w:r>
              <w:rPr>
                <w:rFonts w:hint="default" w:ascii="Times New Roman" w:hAnsi="Times New Roman" w:cs="Times New Roman"/>
                <w:color w:val="auto"/>
                <w:highlight w:val="none"/>
                <w:lang w:eastAsia="zh-CN"/>
              </w:rPr>
              <w:t>：</w:t>
            </w:r>
          </w:p>
          <w:p w14:paraId="729A7706">
            <w:pPr>
              <w:spacing w:line="420" w:lineRule="auto"/>
              <w:ind w:firstLine="0" w:firstLineChars="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表3-</w:t>
            </w:r>
            <w:r>
              <w:rPr>
                <w:rFonts w:hint="eastAsia"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项目主要环境保护目标一览表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54"/>
              <w:gridCol w:w="1123"/>
              <w:gridCol w:w="1767"/>
              <w:gridCol w:w="2050"/>
              <w:gridCol w:w="1283"/>
            </w:tblGrid>
            <w:tr w14:paraId="4E1D6B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954" w:type="dxa"/>
                  <w:noWrap w:val="0"/>
                  <w:vAlign w:val="center"/>
                </w:tcPr>
                <w:p w14:paraId="57D85E45">
                  <w:pPr>
                    <w:spacing w:line="240" w:lineRule="auto"/>
                    <w:ind w:firstLine="0" w:firstLineChars="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保护类别</w:t>
                  </w:r>
                </w:p>
              </w:tc>
              <w:tc>
                <w:tcPr>
                  <w:tcW w:w="1123" w:type="dxa"/>
                  <w:noWrap w:val="0"/>
                  <w:vAlign w:val="center"/>
                </w:tcPr>
                <w:p w14:paraId="5FD15905">
                  <w:pPr>
                    <w:spacing w:line="240" w:lineRule="auto"/>
                    <w:ind w:firstLine="0" w:firstLineChars="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保护目标</w:t>
                  </w:r>
                </w:p>
              </w:tc>
              <w:tc>
                <w:tcPr>
                  <w:tcW w:w="1767" w:type="dxa"/>
                  <w:noWrap w:val="0"/>
                  <w:vAlign w:val="center"/>
                </w:tcPr>
                <w:p w14:paraId="4816C55D">
                  <w:pPr>
                    <w:spacing w:line="240" w:lineRule="auto"/>
                    <w:ind w:firstLine="0" w:firstLineChars="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名称</w:t>
                  </w:r>
                </w:p>
              </w:tc>
              <w:tc>
                <w:tcPr>
                  <w:tcW w:w="2050" w:type="dxa"/>
                  <w:noWrap w:val="0"/>
                  <w:vAlign w:val="center"/>
                </w:tcPr>
                <w:p w14:paraId="3C3BE68F">
                  <w:pPr>
                    <w:spacing w:line="240" w:lineRule="auto"/>
                    <w:ind w:firstLine="0" w:firstLineChars="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与项目关系</w:t>
                  </w:r>
                </w:p>
              </w:tc>
              <w:tc>
                <w:tcPr>
                  <w:tcW w:w="1283" w:type="dxa"/>
                  <w:noWrap w:val="0"/>
                  <w:vAlign w:val="center"/>
                </w:tcPr>
                <w:p w14:paraId="31D092C2">
                  <w:pPr>
                    <w:spacing w:line="240" w:lineRule="auto"/>
                    <w:ind w:firstLine="0" w:firstLineChars="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功能类别</w:t>
                  </w:r>
                </w:p>
              </w:tc>
            </w:tr>
            <w:tr w14:paraId="3228B1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1" w:hRule="atLeast"/>
                <w:jc w:val="center"/>
              </w:trPr>
              <w:tc>
                <w:tcPr>
                  <w:tcW w:w="1954" w:type="dxa"/>
                  <w:noWrap w:val="0"/>
                  <w:vAlign w:val="center"/>
                </w:tcPr>
                <w:p w14:paraId="6BE36EB1">
                  <w:pPr>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生态保护目标</w:t>
                  </w:r>
                </w:p>
              </w:tc>
              <w:tc>
                <w:tcPr>
                  <w:tcW w:w="6223" w:type="dxa"/>
                  <w:gridSpan w:val="4"/>
                  <w:noWrap w:val="0"/>
                  <w:vAlign w:val="center"/>
                </w:tcPr>
                <w:p w14:paraId="2DDD9620">
                  <w:pPr>
                    <w:spacing w:line="240" w:lineRule="auto"/>
                    <w:ind w:firstLine="0" w:firstLineChars="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项目位于工业园区内，不涉及生态保护目标</w:t>
                  </w:r>
                </w:p>
              </w:tc>
            </w:tr>
            <w:tr w14:paraId="5ACDDC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954" w:type="dxa"/>
                  <w:noWrap w:val="0"/>
                  <w:vAlign w:val="center"/>
                </w:tcPr>
                <w:p w14:paraId="37BA7A56">
                  <w:pPr>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大气环境</w:t>
                  </w:r>
                </w:p>
                <w:p w14:paraId="5809D394">
                  <w:pPr>
                    <w:spacing w:line="240" w:lineRule="auto"/>
                    <w:ind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（调查范围</w:t>
                  </w:r>
                  <w:r>
                    <w:rPr>
                      <w:rFonts w:hint="default" w:ascii="Times New Roman" w:hAnsi="Times New Roman" w:cs="Times New Roman"/>
                      <w:bCs/>
                      <w:color w:val="000000" w:themeColor="text1"/>
                      <w:sz w:val="21"/>
                      <w:szCs w:val="21"/>
                      <w:lang w:val="en-US" w:eastAsia="zh-CN"/>
                      <w14:textFill>
                        <w14:solidFill>
                          <w14:schemeClr w14:val="tx1"/>
                        </w14:solidFill>
                      </w14:textFill>
                    </w:rPr>
                    <w:t>500m</w:t>
                  </w:r>
                  <w:r>
                    <w:rPr>
                      <w:rFonts w:hint="default" w:ascii="Times New Roman" w:hAnsi="Times New Roman" w:cs="Times New Roman"/>
                      <w:bCs/>
                      <w:color w:val="000000" w:themeColor="text1"/>
                      <w:sz w:val="21"/>
                      <w:szCs w:val="21"/>
                      <w:lang w:eastAsia="zh-CN"/>
                      <w14:textFill>
                        <w14:solidFill>
                          <w14:schemeClr w14:val="tx1"/>
                        </w14:solidFill>
                      </w14:textFill>
                    </w:rPr>
                    <w:t>）</w:t>
                  </w:r>
                </w:p>
              </w:tc>
              <w:tc>
                <w:tcPr>
                  <w:tcW w:w="1123" w:type="dxa"/>
                  <w:noWrap w:val="0"/>
                  <w:vAlign w:val="center"/>
                </w:tcPr>
                <w:p w14:paraId="1CE02FF9">
                  <w:pPr>
                    <w:spacing w:line="240" w:lineRule="auto"/>
                    <w:ind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居民</w:t>
                  </w:r>
                </w:p>
              </w:tc>
              <w:tc>
                <w:tcPr>
                  <w:tcW w:w="1767" w:type="dxa"/>
                  <w:noWrap w:val="0"/>
                  <w:vAlign w:val="center"/>
                </w:tcPr>
                <w:p w14:paraId="225A80F6">
                  <w:pPr>
                    <w:spacing w:line="240" w:lineRule="auto"/>
                    <w:ind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和顺苑</w:t>
                  </w:r>
                </w:p>
              </w:tc>
              <w:tc>
                <w:tcPr>
                  <w:tcW w:w="2050" w:type="dxa"/>
                  <w:noWrap w:val="0"/>
                  <w:vAlign w:val="center"/>
                </w:tcPr>
                <w:p w14:paraId="7370683E">
                  <w:pPr>
                    <w:spacing w:line="240" w:lineRule="auto"/>
                    <w:ind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项目西侧</w:t>
                  </w:r>
                  <w:r>
                    <w:rPr>
                      <w:rFonts w:hint="default" w:ascii="Times New Roman" w:hAnsi="Times New Roman" w:cs="Times New Roman"/>
                      <w:color w:val="000000" w:themeColor="text1"/>
                      <w:sz w:val="21"/>
                      <w:szCs w:val="21"/>
                      <w:lang w:val="en-US" w:eastAsia="zh-CN"/>
                      <w14:textFill>
                        <w14:solidFill>
                          <w14:schemeClr w14:val="tx1"/>
                        </w14:solidFill>
                      </w14:textFill>
                    </w:rPr>
                    <w:t>480</w:t>
                  </w:r>
                  <w:r>
                    <w:rPr>
                      <w:rFonts w:hint="default" w:ascii="Times New Roman" w:hAnsi="Times New Roman" w:cs="Times New Roman"/>
                      <w:color w:val="000000" w:themeColor="text1"/>
                      <w:sz w:val="21"/>
                      <w:szCs w:val="21"/>
                      <w:lang w:eastAsia="zh-CN"/>
                      <w14:textFill>
                        <w14:solidFill>
                          <w14:schemeClr w14:val="tx1"/>
                        </w14:solidFill>
                      </w14:textFill>
                    </w:rPr>
                    <w:t>km</w:t>
                  </w:r>
                </w:p>
                <w:p w14:paraId="0F2ABCA8">
                  <w:pPr>
                    <w:spacing w:line="240" w:lineRule="auto"/>
                    <w:ind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lang w:eastAsia="zh-CN"/>
                      <w14:textFill>
                        <w14:solidFill>
                          <w14:schemeClr w14:val="tx1"/>
                        </w14:solidFill>
                      </w14:textFill>
                    </w:rPr>
                    <w:t>约</w:t>
                  </w:r>
                  <w:r>
                    <w:rPr>
                      <w:rFonts w:hint="default" w:ascii="Times New Roman" w:hAnsi="Times New Roman" w:cs="Times New Roman"/>
                      <w:color w:val="000000" w:themeColor="text1"/>
                      <w:sz w:val="21"/>
                      <w:szCs w:val="21"/>
                      <w:lang w:val="en-US" w:eastAsia="zh-CN"/>
                      <w14:textFill>
                        <w14:solidFill>
                          <w14:schemeClr w14:val="tx1"/>
                        </w14:solidFill>
                      </w14:textFill>
                    </w:rPr>
                    <w:t>300</w:t>
                  </w:r>
                  <w:r>
                    <w:rPr>
                      <w:rFonts w:hint="default" w:ascii="Times New Roman" w:hAnsi="Times New Roman" w:cs="Times New Roman"/>
                      <w:color w:val="000000" w:themeColor="text1"/>
                      <w:sz w:val="21"/>
                      <w:szCs w:val="21"/>
                      <w:lang w:eastAsia="zh-CN"/>
                      <w14:textFill>
                        <w14:solidFill>
                          <w14:schemeClr w14:val="tx1"/>
                        </w14:solidFill>
                      </w14:textFill>
                    </w:rPr>
                    <w:t>户）</w:t>
                  </w:r>
                </w:p>
              </w:tc>
              <w:tc>
                <w:tcPr>
                  <w:tcW w:w="1283" w:type="dxa"/>
                  <w:noWrap w:val="0"/>
                  <w:vAlign w:val="center"/>
                </w:tcPr>
                <w:p w14:paraId="5C6203B8">
                  <w:pPr>
                    <w:spacing w:line="240" w:lineRule="auto"/>
                    <w:ind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p>
              </w:tc>
            </w:tr>
            <w:tr w14:paraId="3B1314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954" w:type="dxa"/>
                  <w:noWrap w:val="0"/>
                  <w:vAlign w:val="center"/>
                </w:tcPr>
                <w:p w14:paraId="363953C9">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声环境</w:t>
                  </w:r>
                </w:p>
                <w:p w14:paraId="160A50C7">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（调查范围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50m</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4940" w:type="dxa"/>
                  <w:gridSpan w:val="3"/>
                  <w:noWrap w:val="0"/>
                  <w:vAlign w:val="center"/>
                </w:tcPr>
                <w:p w14:paraId="5E49129B">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本项目50m范围内无声环境保护目标</w:t>
                  </w:r>
                </w:p>
              </w:tc>
              <w:tc>
                <w:tcPr>
                  <w:tcW w:w="1283" w:type="dxa"/>
                  <w:noWrap w:val="0"/>
                  <w:vAlign w:val="center"/>
                </w:tcPr>
                <w:p w14:paraId="58EA2629">
                  <w:pPr>
                    <w:spacing w:line="240" w:lineRule="auto"/>
                    <w:ind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《声环境质量标准》（GB3096-2008）</w:t>
                  </w:r>
                  <w:r>
                    <w:rPr>
                      <w:rFonts w:hint="default" w:ascii="Times New Roman" w:hAnsi="Times New Roman" w:cs="Times New Roman"/>
                      <w:color w:val="000000" w:themeColor="text1"/>
                      <w:sz w:val="21"/>
                      <w:szCs w:val="21"/>
                      <w:lang w:val="en-US" w:eastAsia="zh-CN"/>
                      <w14:textFill>
                        <w14:solidFill>
                          <w14:schemeClr w14:val="tx1"/>
                        </w14:solidFill>
                      </w14:textFill>
                    </w:rPr>
                    <w:t>3类</w:t>
                  </w:r>
                </w:p>
              </w:tc>
            </w:tr>
            <w:tr w14:paraId="2AA2B4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954" w:type="dxa"/>
                  <w:noWrap w:val="0"/>
                  <w:vAlign w:val="center"/>
                </w:tcPr>
                <w:p w14:paraId="509A0CC0">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地下水</w:t>
                  </w:r>
                </w:p>
                <w:p w14:paraId="1E0E3503">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（调查范围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500m</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4940" w:type="dxa"/>
                  <w:gridSpan w:val="3"/>
                  <w:noWrap w:val="0"/>
                  <w:vAlign w:val="center"/>
                </w:tcPr>
                <w:p w14:paraId="1C3B4898">
                  <w:pPr>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本项目厂界500m范围内无地下水集中式饮用水水源和热水、矿泉水、温泉等特殊地下水保护目标</w:t>
                  </w:r>
                </w:p>
              </w:tc>
              <w:tc>
                <w:tcPr>
                  <w:tcW w:w="1283" w:type="dxa"/>
                  <w:noWrap w:val="0"/>
                  <w:vAlign w:val="center"/>
                </w:tcPr>
                <w:p w14:paraId="6355BF49">
                  <w:pPr>
                    <w:spacing w:line="240" w:lineRule="auto"/>
                    <w:ind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p>
              </w:tc>
            </w:tr>
          </w:tbl>
          <w:p w14:paraId="65447286">
            <w:pPr>
              <w:pStyle w:val="11"/>
              <w:rPr>
                <w:rFonts w:hint="default"/>
                <w:lang w:val="en-US" w:eastAsia="zh-CN"/>
              </w:rPr>
            </w:pPr>
          </w:p>
          <w:p w14:paraId="7C20E13D">
            <w:pPr>
              <w:pStyle w:val="11"/>
              <w:rPr>
                <w:rFonts w:hint="default" w:ascii="Times New Roman" w:hAnsi="Times New Roman" w:cs="Times New Roman"/>
                <w:color w:val="auto"/>
                <w:highlight w:val="none"/>
                <w:lang w:eastAsia="zh-CN"/>
              </w:rPr>
            </w:pPr>
          </w:p>
        </w:tc>
      </w:tr>
      <w:tr w14:paraId="0489C4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3" w:hRule="atLeast"/>
          <w:jc w:val="center"/>
        </w:trPr>
        <w:tc>
          <w:tcPr>
            <w:tcW w:w="465" w:type="dxa"/>
            <w:noWrap w:val="0"/>
            <w:tcMar>
              <w:left w:w="28" w:type="dxa"/>
              <w:right w:w="28" w:type="dxa"/>
            </w:tcMar>
            <w:vAlign w:val="center"/>
          </w:tcPr>
          <w:p w14:paraId="430DEB6F">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w:t>
            </w:r>
          </w:p>
          <w:p w14:paraId="14CD382F">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物排</w:t>
            </w:r>
          </w:p>
          <w:p w14:paraId="1065412E">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放控</w:t>
            </w:r>
          </w:p>
          <w:p w14:paraId="0BE287A1">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制标</w:t>
            </w:r>
          </w:p>
          <w:p w14:paraId="67941E87">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准</w:t>
            </w:r>
          </w:p>
        </w:tc>
        <w:tc>
          <w:tcPr>
            <w:tcW w:w="8525" w:type="dxa"/>
            <w:noWrap w:val="0"/>
            <w:vAlign w:val="center"/>
          </w:tcPr>
          <w:p w14:paraId="5702E7B5">
            <w:pPr>
              <w:keepNext w:val="0"/>
              <w:keepLines w:val="0"/>
              <w:pageBreakBefore w:val="0"/>
              <w:widowControl w:val="0"/>
              <w:numPr>
                <w:ilvl w:val="0"/>
                <w:numId w:val="5"/>
              </w:numPr>
              <w:kinsoku/>
              <w:wordWrap/>
              <w:overflowPunct/>
              <w:topLinePunct w:val="0"/>
              <w:autoSpaceDE/>
              <w:autoSpaceDN/>
              <w:bidi w:val="0"/>
              <w:adjustRightInd/>
              <w:snapToGrid/>
              <w:spacing w:before="157" w:beforeLines="50" w:line="420" w:lineRule="auto"/>
              <w:ind w:firstLine="480" w:firstLineChars="200"/>
              <w:textAlignment w:val="auto"/>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sz w:val="24"/>
                <w:szCs w:val="24"/>
                <w:lang w:eastAsia="zh-CN"/>
              </w:rPr>
              <w:t>本项目颗粒物排放执行</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eastAsia="zh-CN"/>
              </w:rPr>
              <w:t>橡胶制品工业污染物排放标准</w:t>
            </w:r>
            <w:r>
              <w:rPr>
                <w:rFonts w:hint="default" w:ascii="Times New Roman" w:hAnsi="Times New Roman" w:eastAsia="宋体" w:cs="Times New Roman"/>
                <w:color w:val="auto"/>
                <w:sz w:val="24"/>
                <w:szCs w:val="20"/>
              </w:rPr>
              <w:t>》（GB</w:t>
            </w:r>
            <w:r>
              <w:rPr>
                <w:rFonts w:hint="default" w:ascii="Times New Roman" w:hAnsi="Times New Roman" w:eastAsia="宋体" w:cs="Times New Roman"/>
                <w:color w:val="auto"/>
                <w:sz w:val="24"/>
                <w:szCs w:val="20"/>
                <w:lang w:val="en-US" w:eastAsia="zh-CN"/>
              </w:rPr>
              <w:t>27632</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val="en-US" w:eastAsia="zh-CN"/>
              </w:rPr>
              <w:t>2011</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val="en-US" w:eastAsia="zh-CN"/>
              </w:rPr>
              <w:t>，VOCs</w:t>
            </w:r>
            <w:r>
              <w:rPr>
                <w:rFonts w:hint="eastAsia" w:cs="Times New Roman"/>
                <w:color w:val="auto"/>
                <w:sz w:val="24"/>
                <w:szCs w:val="20"/>
                <w:lang w:val="en-US" w:eastAsia="zh-CN"/>
              </w:rPr>
              <w:t>（非甲烷总烃）</w:t>
            </w:r>
            <w:r>
              <w:rPr>
                <w:rFonts w:hint="default" w:ascii="Times New Roman" w:hAnsi="Times New Roman" w:eastAsia="宋体" w:cs="Times New Roman"/>
                <w:color w:val="auto"/>
                <w:sz w:val="24"/>
                <w:szCs w:val="20"/>
                <w:lang w:eastAsia="zh-CN"/>
              </w:rPr>
              <w:t>排放执行《四川省固定污染源大气挥发性有机物排放标准》（</w:t>
            </w:r>
            <w:r>
              <w:rPr>
                <w:rFonts w:hint="default" w:ascii="Times New Roman" w:hAnsi="Times New Roman" w:eastAsia="宋体" w:cs="Times New Roman"/>
                <w:color w:val="auto"/>
                <w:sz w:val="24"/>
                <w:szCs w:val="20"/>
                <w:lang w:val="en-US" w:eastAsia="zh-CN"/>
              </w:rPr>
              <w:t>DB51/2377-2017</w:t>
            </w:r>
            <w:r>
              <w:rPr>
                <w:rFonts w:hint="default" w:ascii="Times New Roman" w:hAnsi="Times New Roman" w:eastAsia="宋体" w:cs="Times New Roman"/>
                <w:color w:val="auto"/>
                <w:sz w:val="24"/>
                <w:szCs w:val="20"/>
                <w:lang w:eastAsia="zh-CN"/>
              </w:rPr>
              <w:t>）</w:t>
            </w:r>
            <w:r>
              <w:rPr>
                <w:rFonts w:hint="default" w:cs="Times New Roman"/>
                <w:color w:val="auto"/>
                <w:sz w:val="24"/>
                <w:szCs w:val="20"/>
                <w:lang w:val="en-US" w:eastAsia="zh-CN"/>
              </w:rPr>
              <w:t>表3橡胶制品制造业</w:t>
            </w:r>
            <w:r>
              <w:rPr>
                <w:rFonts w:hint="default" w:ascii="Times New Roman" w:hAnsi="Times New Roman" w:eastAsia="宋体" w:cs="Times New Roman"/>
                <w:color w:val="auto"/>
                <w:sz w:val="24"/>
                <w:szCs w:val="20"/>
                <w:lang w:eastAsia="zh-CN"/>
              </w:rPr>
              <w:t>标准</w:t>
            </w:r>
            <w:r>
              <w:rPr>
                <w:rFonts w:hint="default" w:ascii="Times New Roman" w:hAnsi="Times New Roman" w:eastAsia="宋体" w:cs="Times New Roman"/>
                <w:color w:val="auto"/>
                <w:sz w:val="24"/>
                <w:szCs w:val="20"/>
                <w:lang w:val="en-US" w:eastAsia="zh-CN"/>
              </w:rPr>
              <w:t>限值</w:t>
            </w:r>
            <w:r>
              <w:rPr>
                <w:rFonts w:hint="default" w:ascii="Times New Roman" w:hAnsi="Times New Roman" w:eastAsia="宋体" w:cs="Times New Roman"/>
                <w:color w:val="auto"/>
                <w:sz w:val="24"/>
                <w:szCs w:val="20"/>
                <w:highlight w:val="none"/>
                <w:lang w:val="en-US" w:eastAsia="zh-CN"/>
              </w:rPr>
              <w:t>。</w:t>
            </w:r>
            <w:r>
              <w:rPr>
                <w:rFonts w:hint="eastAsia" w:cs="Times New Roman"/>
                <w:color w:val="auto"/>
                <w:sz w:val="24"/>
                <w:szCs w:val="20"/>
                <w:highlight w:val="none"/>
                <w:lang w:val="en-US" w:eastAsia="zh-CN"/>
              </w:rPr>
              <w:t>恶臭气体执行《恶臭污染物排放标准》（GB14554-1993）中的规定。</w:t>
            </w:r>
          </w:p>
          <w:p w14:paraId="7616633A">
            <w:pPr>
              <w:pStyle w:val="43"/>
              <w:bidi w:val="0"/>
              <w:rPr>
                <w:rFonts w:hint="eastAsia" w:cs="Times New Roman"/>
              </w:rPr>
            </w:pPr>
            <w:r>
              <w:rPr>
                <w:rFonts w:hint="eastAsia" w:ascii="Times New Roman" w:hAnsi="Times New Roman" w:eastAsia="宋体" w:cs="Times New Roman"/>
                <w:b/>
                <w:bCs/>
                <w:color w:val="auto"/>
                <w:kern w:val="2"/>
                <w:sz w:val="24"/>
                <w:szCs w:val="24"/>
                <w:highlight w:val="none"/>
                <w:lang w:val="en-US" w:eastAsia="zh-CN" w:bidi="ar-SA"/>
              </w:rPr>
              <w:t>表3-</w:t>
            </w:r>
            <w:r>
              <w:rPr>
                <w:rFonts w:hint="eastAsia" w:ascii="Times New Roman" w:hAnsi="Times New Roman" w:cs="Times New Roman"/>
                <w:b/>
                <w:bCs/>
                <w:color w:val="auto"/>
                <w:kern w:val="2"/>
                <w:sz w:val="24"/>
                <w:szCs w:val="24"/>
                <w:highlight w:val="none"/>
                <w:lang w:val="en-US" w:eastAsia="zh-CN" w:bidi="ar-SA"/>
              </w:rPr>
              <w:t>5</w:t>
            </w:r>
            <w:r>
              <w:rPr>
                <w:rFonts w:hint="eastAsia" w:cs="Times New Roman"/>
                <w:lang w:eastAsia="zh-CN"/>
              </w:rPr>
              <w:t>本项目有组织废气排放执行</w:t>
            </w:r>
            <w:r>
              <w:rPr>
                <w:rFonts w:hint="eastAsia" w:cs="Times New Roman"/>
              </w:rPr>
              <w:t>的标准</w:t>
            </w:r>
          </w:p>
          <w:tbl>
            <w:tblPr>
              <w:tblStyle w:val="23"/>
              <w:tblW w:w="80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178"/>
              <w:gridCol w:w="927"/>
              <w:gridCol w:w="1136"/>
              <w:gridCol w:w="1125"/>
              <w:gridCol w:w="1116"/>
              <w:gridCol w:w="1134"/>
            </w:tblGrid>
            <w:tr w14:paraId="7CA2C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401" w:type="dxa"/>
                  <w:vMerge w:val="restart"/>
                  <w:noWrap w:val="0"/>
                  <w:vAlign w:val="center"/>
                </w:tcPr>
                <w:p w14:paraId="266B0E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4"/>
                      <w:szCs w:val="20"/>
                      <w:lang w:eastAsia="zh-CN"/>
                    </w:rPr>
                  </w:pPr>
                  <w:r>
                    <w:rPr>
                      <w:rFonts w:hint="eastAsia" w:ascii="Times New Roman" w:hAnsi="Times New Roman" w:eastAsia="宋体" w:cs="Times New Roman"/>
                      <w:sz w:val="24"/>
                      <w:szCs w:val="20"/>
                      <w:lang w:eastAsia="zh-CN"/>
                    </w:rPr>
                    <w:t>执行标准</w:t>
                  </w:r>
                </w:p>
              </w:tc>
              <w:tc>
                <w:tcPr>
                  <w:tcW w:w="1178" w:type="dxa"/>
                  <w:vMerge w:val="restart"/>
                  <w:noWrap w:val="0"/>
                  <w:vAlign w:val="center"/>
                </w:tcPr>
                <w:p w14:paraId="111110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污染物</w:t>
                  </w:r>
                </w:p>
              </w:tc>
              <w:tc>
                <w:tcPr>
                  <w:tcW w:w="927" w:type="dxa"/>
                  <w:vMerge w:val="restart"/>
                  <w:noWrap w:val="0"/>
                  <w:vAlign w:val="center"/>
                </w:tcPr>
                <w:p w14:paraId="4FB91D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eastAsia="zh-CN"/>
                    </w:rPr>
                    <w:t>排气筒高度</w:t>
                  </w:r>
                  <w:r>
                    <w:rPr>
                      <w:rFonts w:hint="eastAsia" w:ascii="Times New Roman" w:hAnsi="Times New Roman" w:eastAsia="宋体" w:cs="Times New Roman"/>
                      <w:sz w:val="18"/>
                      <w:szCs w:val="18"/>
                      <w:lang w:eastAsia="zh-CN"/>
                    </w:rPr>
                    <w:t>（</w:t>
                  </w:r>
                  <w:r>
                    <w:rPr>
                      <w:rFonts w:hint="eastAsia" w:ascii="Times New Roman" w:hAnsi="Times New Roman" w:eastAsia="宋体" w:cs="Times New Roman"/>
                      <w:sz w:val="18"/>
                      <w:szCs w:val="18"/>
                      <w:lang w:val="en-US" w:eastAsia="zh-CN"/>
                    </w:rPr>
                    <w:t>m</w:t>
                  </w:r>
                  <w:r>
                    <w:rPr>
                      <w:rFonts w:hint="eastAsia" w:ascii="Times New Roman" w:hAnsi="Times New Roman" w:eastAsia="宋体" w:cs="Times New Roman"/>
                      <w:sz w:val="18"/>
                      <w:szCs w:val="18"/>
                      <w:lang w:eastAsia="zh-CN"/>
                    </w:rPr>
                    <w:t>）</w:t>
                  </w:r>
                </w:p>
              </w:tc>
              <w:tc>
                <w:tcPr>
                  <w:tcW w:w="1136" w:type="dxa"/>
                  <w:vMerge w:val="restart"/>
                  <w:noWrap w:val="0"/>
                  <w:vAlign w:val="center"/>
                </w:tcPr>
                <w:p w14:paraId="26E25D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最高允许排放</w:t>
                  </w:r>
                  <w:r>
                    <w:rPr>
                      <w:rFonts w:hint="eastAsia" w:ascii="Times New Roman" w:hAnsi="Times New Roman" w:eastAsia="宋体" w:cs="Times New Roman"/>
                      <w:sz w:val="24"/>
                      <w:szCs w:val="20"/>
                      <w:lang w:eastAsia="zh-CN"/>
                    </w:rPr>
                    <w:t>速率</w:t>
                  </w:r>
                  <w:r>
                    <w:rPr>
                      <w:rFonts w:hint="eastAsia" w:ascii="Times New Roman" w:hAnsi="Times New Roman" w:eastAsia="宋体" w:cs="Times New Roman"/>
                      <w:sz w:val="18"/>
                      <w:szCs w:val="18"/>
                    </w:rPr>
                    <w:t>（</w:t>
                  </w:r>
                  <w:r>
                    <w:rPr>
                      <w:rFonts w:hint="eastAsia" w:ascii="Times New Roman" w:hAnsi="Times New Roman" w:eastAsia="宋体" w:cs="Times New Roman"/>
                      <w:sz w:val="18"/>
                      <w:szCs w:val="18"/>
                      <w:lang w:val="en-US" w:eastAsia="zh-CN"/>
                    </w:rPr>
                    <w:t>kg</w:t>
                  </w:r>
                  <w:r>
                    <w:rPr>
                      <w:rFonts w:hint="eastAsia" w:ascii="Times New Roman" w:hAnsi="Times New Roman" w:eastAsia="宋体" w:cs="Times New Roman"/>
                      <w:sz w:val="18"/>
                      <w:szCs w:val="18"/>
                    </w:rPr>
                    <w:t>/</w:t>
                  </w:r>
                  <w:r>
                    <w:rPr>
                      <w:rFonts w:hint="eastAsia" w:ascii="Times New Roman" w:hAnsi="Times New Roman" w:eastAsia="宋体" w:cs="Times New Roman"/>
                      <w:sz w:val="18"/>
                      <w:szCs w:val="18"/>
                      <w:lang w:val="en-US" w:eastAsia="zh-CN"/>
                    </w:rPr>
                    <w:t>h</w:t>
                  </w:r>
                  <w:r>
                    <w:rPr>
                      <w:rFonts w:hint="eastAsia" w:ascii="Times New Roman" w:hAnsi="Times New Roman" w:eastAsia="宋体" w:cs="Times New Roman"/>
                      <w:sz w:val="18"/>
                      <w:szCs w:val="18"/>
                    </w:rPr>
                    <w:t>）</w:t>
                  </w:r>
                </w:p>
              </w:tc>
              <w:tc>
                <w:tcPr>
                  <w:tcW w:w="1125" w:type="dxa"/>
                  <w:vMerge w:val="restart"/>
                  <w:noWrap w:val="0"/>
                  <w:vAlign w:val="center"/>
                </w:tcPr>
                <w:p w14:paraId="54D90F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最高允许排放浓度</w:t>
                  </w:r>
                  <w:r>
                    <w:rPr>
                      <w:rFonts w:hint="eastAsia" w:ascii="Times New Roman" w:hAnsi="Times New Roman" w:eastAsia="宋体" w:cs="Times New Roman"/>
                      <w:sz w:val="18"/>
                      <w:szCs w:val="18"/>
                    </w:rPr>
                    <w:t>（mg/</w:t>
                  </w:r>
                  <w:r>
                    <w:rPr>
                      <w:rFonts w:hint="eastAsia" w:ascii="Times New Roman" w:hAnsi="Times New Roman" w:eastAsia="宋体" w:cs="Times New Roman"/>
                      <w:sz w:val="18"/>
                      <w:szCs w:val="18"/>
                      <w:highlight w:val="none"/>
                    </w:rPr>
                    <w:t>m</w:t>
                  </w:r>
                  <w:r>
                    <w:rPr>
                      <w:rFonts w:hint="eastAsia" w:ascii="Times New Roman" w:hAnsi="Times New Roman" w:eastAsia="宋体" w:cs="Times New Roman"/>
                      <w:sz w:val="18"/>
                      <w:szCs w:val="18"/>
                      <w:highlight w:val="none"/>
                      <w:vertAlign w:val="superscript"/>
                    </w:rPr>
                    <w:t>3</w:t>
                  </w:r>
                  <w:r>
                    <w:rPr>
                      <w:rFonts w:hint="eastAsia" w:ascii="Times New Roman" w:hAnsi="Times New Roman" w:eastAsia="宋体" w:cs="Times New Roman"/>
                      <w:sz w:val="18"/>
                      <w:szCs w:val="18"/>
                    </w:rPr>
                    <w:t>）</w:t>
                  </w:r>
                </w:p>
              </w:tc>
              <w:tc>
                <w:tcPr>
                  <w:tcW w:w="2250" w:type="dxa"/>
                  <w:gridSpan w:val="2"/>
                  <w:noWrap w:val="0"/>
                  <w:vAlign w:val="center"/>
                </w:tcPr>
                <w:p w14:paraId="11B3A0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无组织排放监控浓度限值</w:t>
                  </w:r>
                </w:p>
              </w:tc>
            </w:tr>
            <w:tr w14:paraId="6B366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401" w:type="dxa"/>
                  <w:vMerge w:val="continue"/>
                  <w:noWrap w:val="0"/>
                  <w:vAlign w:val="center"/>
                </w:tcPr>
                <w:p w14:paraId="13BE1B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4"/>
                      <w:szCs w:val="20"/>
                    </w:rPr>
                  </w:pPr>
                </w:p>
              </w:tc>
              <w:tc>
                <w:tcPr>
                  <w:tcW w:w="1178" w:type="dxa"/>
                  <w:vMerge w:val="continue"/>
                  <w:noWrap w:val="0"/>
                  <w:vAlign w:val="center"/>
                </w:tcPr>
                <w:p w14:paraId="15632B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4"/>
                      <w:szCs w:val="20"/>
                    </w:rPr>
                  </w:pPr>
                </w:p>
              </w:tc>
              <w:tc>
                <w:tcPr>
                  <w:tcW w:w="927" w:type="dxa"/>
                  <w:vMerge w:val="continue"/>
                  <w:noWrap w:val="0"/>
                  <w:vAlign w:val="center"/>
                </w:tcPr>
                <w:p w14:paraId="523A53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4"/>
                      <w:szCs w:val="20"/>
                    </w:rPr>
                  </w:pPr>
                </w:p>
              </w:tc>
              <w:tc>
                <w:tcPr>
                  <w:tcW w:w="1136" w:type="dxa"/>
                  <w:vMerge w:val="continue"/>
                  <w:noWrap w:val="0"/>
                  <w:vAlign w:val="center"/>
                </w:tcPr>
                <w:p w14:paraId="10690D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4"/>
                      <w:szCs w:val="20"/>
                    </w:rPr>
                  </w:pPr>
                </w:p>
              </w:tc>
              <w:tc>
                <w:tcPr>
                  <w:tcW w:w="1125" w:type="dxa"/>
                  <w:vMerge w:val="continue"/>
                  <w:noWrap w:val="0"/>
                  <w:vAlign w:val="center"/>
                </w:tcPr>
                <w:p w14:paraId="32A8CA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4"/>
                      <w:szCs w:val="20"/>
                    </w:rPr>
                  </w:pPr>
                </w:p>
              </w:tc>
              <w:tc>
                <w:tcPr>
                  <w:tcW w:w="1116" w:type="dxa"/>
                  <w:noWrap w:val="0"/>
                  <w:vAlign w:val="center"/>
                </w:tcPr>
                <w:p w14:paraId="6E02B5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监控点</w:t>
                  </w:r>
                </w:p>
              </w:tc>
              <w:tc>
                <w:tcPr>
                  <w:tcW w:w="1134" w:type="dxa"/>
                  <w:noWrap w:val="0"/>
                  <w:vAlign w:val="center"/>
                </w:tcPr>
                <w:p w14:paraId="2D5E0C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浓度</w:t>
                  </w:r>
                  <w:r>
                    <w:rPr>
                      <w:rFonts w:hint="eastAsia" w:ascii="Times New Roman" w:hAnsi="Times New Roman" w:eastAsia="宋体" w:cs="Times New Roman"/>
                      <w:sz w:val="18"/>
                      <w:szCs w:val="18"/>
                    </w:rPr>
                    <w:t>（mg/</w:t>
                  </w:r>
                  <w:r>
                    <w:rPr>
                      <w:rFonts w:hint="eastAsia" w:ascii="Times New Roman" w:hAnsi="Times New Roman" w:eastAsia="宋体" w:cs="Times New Roman"/>
                      <w:sz w:val="18"/>
                      <w:szCs w:val="18"/>
                      <w:highlight w:val="none"/>
                    </w:rPr>
                    <w:t>m</w:t>
                  </w:r>
                  <w:r>
                    <w:rPr>
                      <w:rFonts w:hint="eastAsia" w:ascii="Times New Roman" w:hAnsi="Times New Roman" w:eastAsia="宋体" w:cs="Times New Roman"/>
                      <w:sz w:val="18"/>
                      <w:szCs w:val="18"/>
                      <w:highlight w:val="none"/>
                      <w:vertAlign w:val="superscript"/>
                    </w:rPr>
                    <w:t>3</w:t>
                  </w:r>
                  <w:r>
                    <w:rPr>
                      <w:rFonts w:hint="eastAsia" w:ascii="Times New Roman" w:hAnsi="Times New Roman" w:eastAsia="宋体" w:cs="Times New Roman"/>
                      <w:sz w:val="18"/>
                      <w:szCs w:val="18"/>
                    </w:rPr>
                    <w:t>）</w:t>
                  </w:r>
                </w:p>
              </w:tc>
            </w:tr>
            <w:tr w14:paraId="1CF96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401" w:type="dxa"/>
                  <w:noWrap w:val="0"/>
                  <w:vAlign w:val="center"/>
                </w:tcPr>
                <w:p w14:paraId="52F5D5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GB27632</w:t>
                  </w:r>
                </w:p>
              </w:tc>
              <w:tc>
                <w:tcPr>
                  <w:tcW w:w="1178" w:type="dxa"/>
                  <w:noWrap w:val="0"/>
                  <w:vAlign w:val="center"/>
                </w:tcPr>
                <w:p w14:paraId="0BEB61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927" w:type="dxa"/>
                  <w:vMerge w:val="restart"/>
                  <w:noWrap w:val="0"/>
                  <w:vAlign w:val="center"/>
                </w:tcPr>
                <w:p w14:paraId="394374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1136" w:type="dxa"/>
                  <w:noWrap w:val="0"/>
                  <w:vAlign w:val="center"/>
                </w:tcPr>
                <w:p w14:paraId="666027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125" w:type="dxa"/>
                  <w:noWrap w:val="0"/>
                  <w:vAlign w:val="center"/>
                </w:tcPr>
                <w:p w14:paraId="75DECE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1116" w:type="dxa"/>
                  <w:noWrap w:val="0"/>
                  <w:vAlign w:val="center"/>
                </w:tcPr>
                <w:p w14:paraId="04CCE5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val="en-US" w:eastAsia="zh-CN"/>
                    </w:rPr>
                    <w:t>厂界</w:t>
                  </w:r>
                </w:p>
              </w:tc>
              <w:tc>
                <w:tcPr>
                  <w:tcW w:w="1134" w:type="dxa"/>
                  <w:noWrap w:val="0"/>
                  <w:vAlign w:val="center"/>
                </w:tcPr>
                <w:p w14:paraId="3304C3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1.0</w:t>
                  </w:r>
                </w:p>
              </w:tc>
            </w:tr>
            <w:tr w14:paraId="2BADD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401" w:type="dxa"/>
                  <w:noWrap w:val="0"/>
                  <w:vAlign w:val="center"/>
                </w:tcPr>
                <w:p w14:paraId="064D5F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DB51/2377表3橡胶制品制造业</w:t>
                  </w:r>
                </w:p>
              </w:tc>
              <w:tc>
                <w:tcPr>
                  <w:tcW w:w="1178" w:type="dxa"/>
                  <w:noWrap w:val="0"/>
                  <w:vAlign w:val="center"/>
                </w:tcPr>
                <w:p w14:paraId="3DE429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927" w:type="dxa"/>
                  <w:vMerge w:val="continue"/>
                  <w:noWrap w:val="0"/>
                  <w:vAlign w:val="center"/>
                </w:tcPr>
                <w:p w14:paraId="1DE33F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rPr>
                  </w:pPr>
                </w:p>
              </w:tc>
              <w:tc>
                <w:tcPr>
                  <w:tcW w:w="1136" w:type="dxa"/>
                  <w:noWrap w:val="0"/>
                  <w:vAlign w:val="center"/>
                </w:tcPr>
                <w:p w14:paraId="30BFB8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w:t>
                  </w:r>
                </w:p>
              </w:tc>
              <w:tc>
                <w:tcPr>
                  <w:tcW w:w="1125" w:type="dxa"/>
                  <w:noWrap w:val="0"/>
                  <w:vAlign w:val="center"/>
                </w:tcPr>
                <w:p w14:paraId="73372B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116" w:type="dxa"/>
                  <w:noWrap w:val="0"/>
                  <w:vAlign w:val="center"/>
                </w:tcPr>
                <w:p w14:paraId="143009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厂界</w:t>
                  </w:r>
                </w:p>
              </w:tc>
              <w:tc>
                <w:tcPr>
                  <w:tcW w:w="1134" w:type="dxa"/>
                  <w:noWrap w:val="0"/>
                  <w:vAlign w:val="center"/>
                </w:tcPr>
                <w:p w14:paraId="3E6C96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2</w:t>
                  </w:r>
                  <w:r>
                    <w:rPr>
                      <w:rFonts w:hint="eastAsia" w:ascii="Times New Roman" w:hAnsi="Times New Roman" w:eastAsia="宋体" w:cs="Times New Roman"/>
                      <w:sz w:val="21"/>
                      <w:szCs w:val="21"/>
                    </w:rPr>
                    <w:t>.0</w:t>
                  </w:r>
                </w:p>
              </w:tc>
            </w:tr>
            <w:tr w14:paraId="6E005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401" w:type="dxa"/>
                  <w:vMerge w:val="restart"/>
                  <w:noWrap w:val="0"/>
                  <w:vAlign w:val="center"/>
                </w:tcPr>
                <w:p w14:paraId="03B94E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GB14554</w:t>
                  </w:r>
                </w:p>
              </w:tc>
              <w:tc>
                <w:tcPr>
                  <w:tcW w:w="1178" w:type="dxa"/>
                  <w:noWrap w:val="0"/>
                  <w:vAlign w:val="center"/>
                </w:tcPr>
                <w:p w14:paraId="410867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cs="Times New Roman"/>
                      <w:sz w:val="21"/>
                      <w:szCs w:val="21"/>
                      <w:lang w:val="en-US" w:eastAsia="zh-CN"/>
                    </w:rPr>
                    <w:t>二硫化碳</w:t>
                  </w:r>
                </w:p>
              </w:tc>
              <w:tc>
                <w:tcPr>
                  <w:tcW w:w="927" w:type="dxa"/>
                  <w:vMerge w:val="continue"/>
                  <w:noWrap w:val="0"/>
                  <w:vAlign w:val="center"/>
                </w:tcPr>
                <w:p w14:paraId="62A1DF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rPr>
                  </w:pPr>
                </w:p>
              </w:tc>
              <w:tc>
                <w:tcPr>
                  <w:tcW w:w="1136" w:type="dxa"/>
                  <w:noWrap w:val="0"/>
                  <w:vAlign w:val="center"/>
                </w:tcPr>
                <w:p w14:paraId="577478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w:t>
                  </w:r>
                </w:p>
              </w:tc>
              <w:tc>
                <w:tcPr>
                  <w:tcW w:w="1125" w:type="dxa"/>
                  <w:noWrap w:val="0"/>
                  <w:vAlign w:val="center"/>
                </w:tcPr>
                <w:p w14:paraId="4EA85A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1116" w:type="dxa"/>
                  <w:vMerge w:val="restart"/>
                  <w:noWrap w:val="0"/>
                  <w:vAlign w:val="center"/>
                </w:tcPr>
                <w:p w14:paraId="7140F1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厂界</w:t>
                  </w:r>
                </w:p>
              </w:tc>
              <w:tc>
                <w:tcPr>
                  <w:tcW w:w="1134" w:type="dxa"/>
                  <w:noWrap w:val="0"/>
                  <w:vAlign w:val="center"/>
                </w:tcPr>
                <w:p w14:paraId="38F9DD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3.0</w:t>
                  </w:r>
                </w:p>
              </w:tc>
            </w:tr>
            <w:tr w14:paraId="3DC12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401" w:type="dxa"/>
                  <w:vMerge w:val="continue"/>
                  <w:noWrap w:val="0"/>
                  <w:vAlign w:val="center"/>
                </w:tcPr>
                <w:p w14:paraId="02824B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p>
              </w:tc>
              <w:tc>
                <w:tcPr>
                  <w:tcW w:w="1178" w:type="dxa"/>
                  <w:noWrap w:val="0"/>
                  <w:vAlign w:val="center"/>
                </w:tcPr>
                <w:p w14:paraId="182DC6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臭气浓度</w:t>
                  </w:r>
                </w:p>
              </w:tc>
              <w:tc>
                <w:tcPr>
                  <w:tcW w:w="927" w:type="dxa"/>
                  <w:vMerge w:val="continue"/>
                  <w:noWrap w:val="0"/>
                  <w:vAlign w:val="center"/>
                </w:tcPr>
                <w:p w14:paraId="0691A5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rPr>
                  </w:pPr>
                </w:p>
              </w:tc>
              <w:tc>
                <w:tcPr>
                  <w:tcW w:w="1136" w:type="dxa"/>
                  <w:noWrap w:val="0"/>
                  <w:vAlign w:val="center"/>
                </w:tcPr>
                <w:p w14:paraId="6DF265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w:t>
                  </w:r>
                </w:p>
              </w:tc>
              <w:tc>
                <w:tcPr>
                  <w:tcW w:w="1125" w:type="dxa"/>
                  <w:noWrap w:val="0"/>
                  <w:vAlign w:val="center"/>
                </w:tcPr>
                <w:p w14:paraId="4A0026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2000</w:t>
                  </w:r>
                </w:p>
                <w:p w14:paraId="26E35A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1"/>
                      <w:szCs w:val="21"/>
                      <w:lang w:val="en-US" w:eastAsia="zh-CN"/>
                    </w:rPr>
                  </w:pPr>
                  <w:r>
                    <w:rPr>
                      <w:rFonts w:hint="eastAsia" w:cs="Times New Roman"/>
                      <w:sz w:val="18"/>
                      <w:szCs w:val="18"/>
                      <w:lang w:val="en-US" w:eastAsia="zh-CN"/>
                    </w:rPr>
                    <w:t>（无量纲）</w:t>
                  </w:r>
                </w:p>
              </w:tc>
              <w:tc>
                <w:tcPr>
                  <w:tcW w:w="1116" w:type="dxa"/>
                  <w:vMerge w:val="continue"/>
                  <w:noWrap w:val="0"/>
                  <w:vAlign w:val="center"/>
                </w:tcPr>
                <w:p w14:paraId="65B913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p>
              </w:tc>
              <w:tc>
                <w:tcPr>
                  <w:tcW w:w="1134" w:type="dxa"/>
                  <w:noWrap w:val="0"/>
                  <w:vAlign w:val="center"/>
                </w:tcPr>
                <w:p w14:paraId="44AB2E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20</w:t>
                  </w:r>
                </w:p>
                <w:p w14:paraId="188AE2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18"/>
                      <w:szCs w:val="18"/>
                      <w:lang w:val="en-US" w:eastAsia="zh-CN"/>
                    </w:rPr>
                    <w:t>（无量纲）</w:t>
                  </w:r>
                </w:p>
              </w:tc>
            </w:tr>
            <w:tr w14:paraId="4FBE6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401" w:type="dxa"/>
                  <w:vMerge w:val="continue"/>
                  <w:noWrap w:val="0"/>
                  <w:vAlign w:val="center"/>
                </w:tcPr>
                <w:p w14:paraId="29747A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1178" w:type="dxa"/>
                  <w:noWrap w:val="0"/>
                  <w:vAlign w:val="center"/>
                </w:tcPr>
                <w:p w14:paraId="5FB418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硫化氢</w:t>
                  </w:r>
                </w:p>
              </w:tc>
              <w:tc>
                <w:tcPr>
                  <w:tcW w:w="927" w:type="dxa"/>
                  <w:vMerge w:val="continue"/>
                  <w:noWrap w:val="0"/>
                  <w:vAlign w:val="center"/>
                </w:tcPr>
                <w:p w14:paraId="6AB620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rPr>
                  </w:pPr>
                </w:p>
              </w:tc>
              <w:tc>
                <w:tcPr>
                  <w:tcW w:w="1136" w:type="dxa"/>
                  <w:noWrap w:val="0"/>
                  <w:vAlign w:val="center"/>
                </w:tcPr>
                <w:p w14:paraId="395FBB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0.33</w:t>
                  </w:r>
                </w:p>
              </w:tc>
              <w:tc>
                <w:tcPr>
                  <w:tcW w:w="1125" w:type="dxa"/>
                  <w:noWrap w:val="0"/>
                  <w:vAlign w:val="center"/>
                </w:tcPr>
                <w:p w14:paraId="32423C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1116" w:type="dxa"/>
                  <w:vMerge w:val="continue"/>
                  <w:noWrap w:val="0"/>
                  <w:vAlign w:val="center"/>
                </w:tcPr>
                <w:p w14:paraId="3074A7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rPr>
                  </w:pPr>
                </w:p>
              </w:tc>
              <w:tc>
                <w:tcPr>
                  <w:tcW w:w="1134" w:type="dxa"/>
                  <w:noWrap w:val="0"/>
                  <w:vAlign w:val="center"/>
                </w:tcPr>
                <w:p w14:paraId="5D4C9C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0.06</w:t>
                  </w:r>
                </w:p>
              </w:tc>
            </w:tr>
          </w:tbl>
          <w:p w14:paraId="70F19E0B">
            <w:pPr>
              <w:pStyle w:val="43"/>
              <w:bidi w:val="0"/>
              <w:rPr>
                <w:rFonts w:hint="eastAsia" w:ascii="Times New Roman" w:hAnsi="Times New Roman" w:eastAsia="宋体" w:cs="Times New Roman"/>
                <w:b/>
                <w:bCs/>
                <w:color w:val="auto"/>
                <w:kern w:val="2"/>
                <w:sz w:val="24"/>
                <w:szCs w:val="24"/>
                <w:highlight w:val="none"/>
                <w:lang w:val="en-US" w:eastAsia="zh-CN" w:bidi="ar-SA"/>
              </w:rPr>
            </w:pPr>
          </w:p>
          <w:p w14:paraId="3F097591">
            <w:pPr>
              <w:numPr>
                <w:ilvl w:val="0"/>
                <w:numId w:val="5"/>
              </w:numPr>
              <w:adjustRightInd w:val="0"/>
              <w:snapToGrid w:val="0"/>
              <w:spacing w:line="360" w:lineRule="auto"/>
              <w:ind w:firstLine="480" w:firstLineChars="200"/>
              <w:rPr>
                <w:rFonts w:hint="eastAsia" w:ascii="Times New Roman" w:hAnsi="Times New Roman" w:eastAsia="宋体" w:cs="Times New Roman"/>
                <w:sz w:val="24"/>
                <w:szCs w:val="20"/>
                <w:lang w:eastAsia="zh-CN"/>
              </w:rPr>
            </w:pPr>
            <w:r>
              <w:rPr>
                <w:rFonts w:hint="eastAsia" w:ascii="Times New Roman" w:hAnsi="Times New Roman" w:eastAsia="宋体" w:cs="Times New Roman"/>
                <w:color w:val="auto"/>
                <w:sz w:val="24"/>
                <w:szCs w:val="20"/>
              </w:rPr>
              <w:t>施工期、运营期</w:t>
            </w:r>
            <w:r>
              <w:rPr>
                <w:rFonts w:hint="eastAsia" w:cs="Times New Roman"/>
                <w:color w:val="auto"/>
                <w:sz w:val="24"/>
                <w:szCs w:val="20"/>
                <w:lang w:eastAsia="zh-CN"/>
              </w:rPr>
              <w:t>生活污水</w:t>
            </w:r>
            <w:r>
              <w:rPr>
                <w:rFonts w:ascii="Times New Roman" w:hAnsi="Times New Roman" w:eastAsia="宋体" w:cs="Times New Roman"/>
                <w:color w:val="auto"/>
                <w:sz w:val="24"/>
                <w:szCs w:val="20"/>
              </w:rPr>
              <w:t>排放执行《污水综合排放标准》（GB8978-1996）中</w:t>
            </w:r>
            <w:r>
              <w:rPr>
                <w:rFonts w:hint="eastAsia" w:ascii="Times New Roman" w:hAnsi="Times New Roman" w:eastAsia="宋体" w:cs="Times New Roman"/>
                <w:color w:val="auto"/>
                <w:sz w:val="24"/>
                <w:szCs w:val="20"/>
              </w:rPr>
              <w:t>的三</w:t>
            </w:r>
            <w:r>
              <w:rPr>
                <w:rFonts w:ascii="Times New Roman" w:hAnsi="Times New Roman" w:eastAsia="宋体" w:cs="Times New Roman"/>
                <w:color w:val="auto"/>
                <w:sz w:val="24"/>
                <w:szCs w:val="20"/>
              </w:rPr>
              <w:t>级排放标准</w:t>
            </w:r>
            <w:r>
              <w:rPr>
                <w:rFonts w:hint="eastAsia" w:ascii="Times New Roman" w:hAnsi="Times New Roman" w:eastAsia="宋体" w:cs="Times New Roman"/>
                <w:color w:val="auto"/>
                <w:sz w:val="24"/>
                <w:szCs w:val="20"/>
                <w:lang w:eastAsia="zh-CN"/>
              </w:rPr>
              <w:t>，生</w:t>
            </w:r>
            <w:r>
              <w:rPr>
                <w:rFonts w:hint="eastAsia" w:ascii="Times New Roman" w:hAnsi="Times New Roman" w:eastAsia="宋体" w:cs="Times New Roman"/>
                <w:sz w:val="24"/>
                <w:szCs w:val="20"/>
                <w:lang w:eastAsia="zh-CN"/>
              </w:rPr>
              <w:t>产废水预处理达到《</w:t>
            </w:r>
            <w:r>
              <w:rPr>
                <w:rFonts w:hint="eastAsia" w:ascii="Times New Roman" w:hAnsi="Times New Roman" w:eastAsia="宋体" w:cs="Times New Roman"/>
                <w:color w:val="auto"/>
                <w:sz w:val="24"/>
                <w:szCs w:val="20"/>
                <w:lang w:eastAsia="zh-CN"/>
              </w:rPr>
              <w:t>橡胶制品工业污染物排放标准</w:t>
            </w:r>
            <w:r>
              <w:rPr>
                <w:rFonts w:hint="eastAsia" w:ascii="Times New Roman" w:hAnsi="Times New Roman" w:eastAsia="宋体" w:cs="Times New Roman"/>
                <w:color w:val="auto"/>
                <w:sz w:val="24"/>
                <w:szCs w:val="20"/>
                <w:highlight w:val="none"/>
              </w:rPr>
              <w:t>》</w:t>
            </w:r>
            <w:r>
              <w:rPr>
                <w:rFonts w:hint="eastAsia" w:ascii="Times New Roman" w:hAnsi="Times New Roman" w:eastAsia="宋体" w:cs="Times New Roman"/>
                <w:color w:val="auto"/>
                <w:sz w:val="24"/>
                <w:szCs w:val="20"/>
              </w:rPr>
              <w:t>（GB</w:t>
            </w:r>
            <w:r>
              <w:rPr>
                <w:rFonts w:hint="eastAsia" w:ascii="Times New Roman" w:hAnsi="Times New Roman" w:eastAsia="宋体" w:cs="Times New Roman"/>
                <w:color w:val="auto"/>
                <w:sz w:val="24"/>
                <w:szCs w:val="20"/>
                <w:lang w:val="en-US" w:eastAsia="zh-CN"/>
              </w:rPr>
              <w:t>27632</w:t>
            </w:r>
            <w:r>
              <w:rPr>
                <w:rFonts w:hint="eastAsia"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val="en-US" w:eastAsia="zh-CN"/>
              </w:rPr>
              <w:t>2011</w:t>
            </w:r>
            <w:r>
              <w:rPr>
                <w:rFonts w:hint="eastAsia"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eastAsia="zh-CN"/>
              </w:rPr>
              <w:t>间接排放标准后排入市政污水管网送</w:t>
            </w:r>
            <w:r>
              <w:rPr>
                <w:rFonts w:hint="eastAsia" w:ascii="Times New Roman" w:hAnsi="Times New Roman" w:eastAsia="宋体" w:cs="Times New Roman"/>
                <w:sz w:val="24"/>
                <w:szCs w:val="20"/>
                <w:lang w:eastAsia="zh-CN"/>
              </w:rPr>
              <w:t>大英县工业污水处理厂处</w:t>
            </w:r>
            <w:r>
              <w:rPr>
                <w:rFonts w:hint="eastAsia" w:ascii="Times New Roman" w:hAnsi="Times New Roman" w:eastAsia="宋体" w:cs="Times New Roman"/>
                <w:color w:val="auto"/>
                <w:sz w:val="24"/>
                <w:szCs w:val="20"/>
                <w:lang w:eastAsia="zh-CN"/>
              </w:rPr>
              <w:t>，</w:t>
            </w:r>
            <w:r>
              <w:rPr>
                <w:rFonts w:ascii="Times New Roman" w:hAnsi="Times New Roman" w:eastAsia="宋体" w:cs="Times New Roman"/>
                <w:sz w:val="24"/>
                <w:szCs w:val="20"/>
              </w:rPr>
              <w:t>具体标准见</w:t>
            </w:r>
            <w:r>
              <w:rPr>
                <w:rFonts w:hint="eastAsia" w:ascii="Times New Roman" w:hAnsi="Times New Roman" w:eastAsia="宋体" w:cs="Times New Roman"/>
                <w:sz w:val="24"/>
                <w:szCs w:val="20"/>
                <w:lang w:eastAsia="zh-CN"/>
              </w:rPr>
              <w:t>下</w:t>
            </w:r>
            <w:r>
              <w:rPr>
                <w:rFonts w:ascii="Times New Roman" w:hAnsi="Times New Roman" w:eastAsia="宋体" w:cs="Times New Roman"/>
                <w:sz w:val="24"/>
                <w:szCs w:val="20"/>
              </w:rPr>
              <w:t>表</w:t>
            </w:r>
            <w:r>
              <w:rPr>
                <w:rFonts w:hint="eastAsia" w:ascii="Times New Roman" w:hAnsi="Times New Roman" w:eastAsia="宋体" w:cs="Times New Roman"/>
                <w:sz w:val="24"/>
                <w:szCs w:val="20"/>
                <w:lang w:eastAsia="zh-CN"/>
              </w:rPr>
              <w:t>。</w:t>
            </w:r>
          </w:p>
          <w:p w14:paraId="2BBA33B7">
            <w:pPr>
              <w:pStyle w:val="43"/>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cs="Times New Roman"/>
                <w:lang w:eastAsia="zh-CN"/>
              </w:rPr>
            </w:pPr>
            <w:r>
              <w:rPr>
                <w:rFonts w:hint="eastAsia" w:cs="Times New Roman"/>
              </w:rPr>
              <w:t>表</w:t>
            </w:r>
            <w:r>
              <w:rPr>
                <w:rFonts w:hint="eastAsia" w:cs="Times New Roman"/>
                <w:lang w:val="en-US" w:eastAsia="zh-CN"/>
              </w:rPr>
              <w:t>3-6</w:t>
            </w:r>
            <w:r>
              <w:rPr>
                <w:rFonts w:hint="eastAsia" w:cs="Times New Roman"/>
                <w:lang w:eastAsia="zh-CN"/>
              </w:rPr>
              <w:t>生活污水排放标准</w:t>
            </w:r>
          </w:p>
          <w:p w14:paraId="78DC42B9">
            <w:pPr>
              <w:adjustRightInd w:val="0"/>
              <w:snapToGrid w:val="0"/>
              <w:spacing w:line="360" w:lineRule="auto"/>
              <w:ind w:firstLine="300" w:firstLineChars="200"/>
              <w:jc w:val="right"/>
              <w:rPr>
                <w:rFonts w:ascii="宋体" w:hAnsi="宋体" w:eastAsia="黑体" w:cs="宋体"/>
                <w:sz w:val="15"/>
                <w:szCs w:val="15"/>
              </w:rPr>
            </w:pPr>
            <w:r>
              <w:rPr>
                <w:rFonts w:ascii="宋体" w:hAnsi="宋体" w:eastAsia="黑体" w:cs="宋体"/>
                <w:sz w:val="15"/>
                <w:szCs w:val="15"/>
              </w:rPr>
              <w:t>（单位：mg/L，pH无量纲）</w:t>
            </w:r>
          </w:p>
          <w:tbl>
            <w:tblPr>
              <w:tblStyle w:val="23"/>
              <w:tblW w:w="822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19"/>
              <w:gridCol w:w="946"/>
              <w:gridCol w:w="890"/>
              <w:gridCol w:w="835"/>
              <w:gridCol w:w="687"/>
              <w:gridCol w:w="854"/>
              <w:gridCol w:w="760"/>
              <w:gridCol w:w="687"/>
              <w:gridCol w:w="742"/>
            </w:tblGrid>
            <w:tr w14:paraId="5ACAEC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31" w:hRule="atLeast"/>
                <w:jc w:val="center"/>
              </w:trPr>
              <w:tc>
                <w:tcPr>
                  <w:tcW w:w="1819" w:type="dxa"/>
                  <w:noWrap w:val="0"/>
                  <w:tcMar>
                    <w:left w:w="28" w:type="dxa"/>
                    <w:right w:w="28" w:type="dxa"/>
                  </w:tcMar>
                  <w:vAlign w:val="center"/>
                </w:tcPr>
                <w:p w14:paraId="7184D8EC">
                  <w:pPr>
                    <w:spacing w:line="240" w:lineRule="atLeast"/>
                    <w:ind w:firstLine="0" w:firstLineChars="0"/>
                    <w:jc w:val="center"/>
                    <w:rPr>
                      <w:rFonts w:ascii="Times New Roman" w:hAnsi="Times New Roman" w:eastAsia="宋体" w:cs="Times New Roman"/>
                      <w:b/>
                      <w:bCs/>
                      <w:sz w:val="24"/>
                      <w:szCs w:val="21"/>
                    </w:rPr>
                  </w:pPr>
                  <w:r>
                    <w:rPr>
                      <w:rFonts w:ascii="Times New Roman" w:hAnsi="Times New Roman" w:eastAsia="宋体" w:cs="Times New Roman"/>
                      <w:b/>
                      <w:bCs/>
                      <w:sz w:val="24"/>
                      <w:szCs w:val="21"/>
                    </w:rPr>
                    <w:t>污染物</w:t>
                  </w:r>
                </w:p>
              </w:tc>
              <w:tc>
                <w:tcPr>
                  <w:tcW w:w="946" w:type="dxa"/>
                  <w:noWrap w:val="0"/>
                  <w:tcMar>
                    <w:left w:w="28" w:type="dxa"/>
                    <w:right w:w="28" w:type="dxa"/>
                  </w:tcMar>
                  <w:vAlign w:val="center"/>
                </w:tcPr>
                <w:p w14:paraId="3F8C3F59">
                  <w:pPr>
                    <w:spacing w:line="240" w:lineRule="atLeast"/>
                    <w:ind w:firstLine="0" w:firstLineChars="0"/>
                    <w:jc w:val="center"/>
                    <w:rPr>
                      <w:rFonts w:ascii="Times New Roman" w:hAnsi="Times New Roman" w:eastAsia="宋体" w:cs="Times New Roman"/>
                      <w:b/>
                      <w:bCs/>
                      <w:sz w:val="24"/>
                      <w:szCs w:val="21"/>
                    </w:rPr>
                  </w:pPr>
                  <w:r>
                    <w:rPr>
                      <w:rFonts w:ascii="Times New Roman" w:hAnsi="Times New Roman" w:eastAsia="宋体" w:cs="Times New Roman"/>
                      <w:b/>
                      <w:bCs/>
                      <w:sz w:val="24"/>
                      <w:szCs w:val="21"/>
                    </w:rPr>
                    <w:t>pH</w:t>
                  </w:r>
                </w:p>
              </w:tc>
              <w:tc>
                <w:tcPr>
                  <w:tcW w:w="890" w:type="dxa"/>
                  <w:noWrap w:val="0"/>
                  <w:tcMar>
                    <w:left w:w="28" w:type="dxa"/>
                    <w:right w:w="28" w:type="dxa"/>
                  </w:tcMar>
                  <w:vAlign w:val="center"/>
                </w:tcPr>
                <w:p w14:paraId="13D581A9">
                  <w:pPr>
                    <w:spacing w:line="240" w:lineRule="atLeast"/>
                    <w:ind w:firstLine="0" w:firstLineChars="0"/>
                    <w:jc w:val="center"/>
                    <w:rPr>
                      <w:rFonts w:ascii="Times New Roman" w:hAnsi="Times New Roman" w:eastAsia="宋体" w:cs="Times New Roman"/>
                      <w:b/>
                      <w:bCs/>
                      <w:sz w:val="24"/>
                      <w:szCs w:val="21"/>
                    </w:rPr>
                  </w:pPr>
                  <w:r>
                    <w:rPr>
                      <w:rFonts w:ascii="Times New Roman" w:hAnsi="Times New Roman" w:eastAsia="宋体" w:cs="Times New Roman"/>
                      <w:b/>
                      <w:bCs/>
                      <w:sz w:val="24"/>
                      <w:szCs w:val="21"/>
                    </w:rPr>
                    <w:t>COD</w:t>
                  </w:r>
                </w:p>
              </w:tc>
              <w:tc>
                <w:tcPr>
                  <w:tcW w:w="835" w:type="dxa"/>
                  <w:noWrap w:val="0"/>
                  <w:tcMar>
                    <w:left w:w="28" w:type="dxa"/>
                    <w:right w:w="28" w:type="dxa"/>
                  </w:tcMar>
                  <w:vAlign w:val="center"/>
                </w:tcPr>
                <w:p w14:paraId="6E41712C">
                  <w:pPr>
                    <w:spacing w:line="240" w:lineRule="atLeast"/>
                    <w:ind w:firstLine="0" w:firstLineChars="0"/>
                    <w:jc w:val="center"/>
                    <w:rPr>
                      <w:rFonts w:ascii="Times New Roman" w:hAnsi="Times New Roman" w:eastAsia="宋体" w:cs="Times New Roman"/>
                      <w:b/>
                      <w:bCs/>
                      <w:sz w:val="24"/>
                      <w:szCs w:val="21"/>
                    </w:rPr>
                  </w:pPr>
                  <w:r>
                    <w:rPr>
                      <w:rFonts w:ascii="Times New Roman" w:hAnsi="Times New Roman" w:eastAsia="宋体" w:cs="Times New Roman"/>
                      <w:b/>
                      <w:bCs/>
                      <w:sz w:val="24"/>
                      <w:szCs w:val="21"/>
                    </w:rPr>
                    <w:t>BOD</w:t>
                  </w:r>
                  <w:r>
                    <w:rPr>
                      <w:rFonts w:ascii="Times New Roman" w:hAnsi="Times New Roman" w:eastAsia="宋体" w:cs="Times New Roman"/>
                      <w:b/>
                      <w:bCs/>
                      <w:sz w:val="24"/>
                      <w:szCs w:val="21"/>
                      <w:vertAlign w:val="subscript"/>
                    </w:rPr>
                    <w:t>5</w:t>
                  </w:r>
                </w:p>
              </w:tc>
              <w:tc>
                <w:tcPr>
                  <w:tcW w:w="687" w:type="dxa"/>
                  <w:noWrap w:val="0"/>
                  <w:tcMar>
                    <w:left w:w="28" w:type="dxa"/>
                    <w:right w:w="28" w:type="dxa"/>
                  </w:tcMar>
                  <w:vAlign w:val="center"/>
                </w:tcPr>
                <w:p w14:paraId="427A2F46">
                  <w:pPr>
                    <w:spacing w:line="240" w:lineRule="atLeast"/>
                    <w:ind w:firstLine="0" w:firstLineChars="0"/>
                    <w:jc w:val="center"/>
                    <w:rPr>
                      <w:rFonts w:ascii="Times New Roman" w:hAnsi="Times New Roman" w:eastAsia="宋体" w:cs="Times New Roman"/>
                      <w:b/>
                      <w:bCs/>
                      <w:sz w:val="24"/>
                      <w:szCs w:val="21"/>
                    </w:rPr>
                  </w:pPr>
                  <w:r>
                    <w:rPr>
                      <w:rFonts w:ascii="Times New Roman" w:hAnsi="Times New Roman" w:eastAsia="宋体" w:cs="Times New Roman"/>
                      <w:b/>
                      <w:bCs/>
                      <w:sz w:val="24"/>
                      <w:szCs w:val="21"/>
                    </w:rPr>
                    <w:t>SS</w:t>
                  </w:r>
                </w:p>
              </w:tc>
              <w:tc>
                <w:tcPr>
                  <w:tcW w:w="854" w:type="dxa"/>
                  <w:noWrap w:val="0"/>
                  <w:tcMar>
                    <w:left w:w="28" w:type="dxa"/>
                    <w:right w:w="28" w:type="dxa"/>
                  </w:tcMar>
                  <w:vAlign w:val="center"/>
                </w:tcPr>
                <w:p w14:paraId="64F034CB">
                  <w:pPr>
                    <w:spacing w:line="240" w:lineRule="atLeast"/>
                    <w:ind w:firstLine="0" w:firstLineChars="0"/>
                    <w:jc w:val="center"/>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石油类</w:t>
                  </w:r>
                </w:p>
              </w:tc>
              <w:tc>
                <w:tcPr>
                  <w:tcW w:w="760" w:type="dxa"/>
                  <w:noWrap w:val="0"/>
                  <w:tcMar>
                    <w:left w:w="28" w:type="dxa"/>
                    <w:right w:w="28" w:type="dxa"/>
                  </w:tcMar>
                  <w:vAlign w:val="center"/>
                </w:tcPr>
                <w:p w14:paraId="17960D52">
                  <w:pPr>
                    <w:spacing w:line="240" w:lineRule="atLeast"/>
                    <w:ind w:firstLine="0" w:firstLineChars="0"/>
                    <w:jc w:val="center"/>
                    <w:rPr>
                      <w:rFonts w:hint="eastAsia" w:ascii="Times New Roman" w:hAnsi="Times New Roman" w:eastAsia="宋体" w:cs="Times New Roman"/>
                      <w:b/>
                      <w:bCs/>
                      <w:sz w:val="24"/>
                      <w:szCs w:val="21"/>
                      <w:lang w:eastAsia="zh-CN"/>
                    </w:rPr>
                  </w:pPr>
                  <w:r>
                    <w:rPr>
                      <w:rFonts w:hint="eastAsia" w:ascii="Times New Roman" w:hAnsi="Times New Roman" w:eastAsia="宋体" w:cs="Times New Roman"/>
                      <w:b/>
                      <w:bCs/>
                      <w:sz w:val="24"/>
                      <w:szCs w:val="21"/>
                      <w:lang w:eastAsia="zh-CN"/>
                    </w:rPr>
                    <w:t>氨氮</w:t>
                  </w:r>
                </w:p>
              </w:tc>
              <w:tc>
                <w:tcPr>
                  <w:tcW w:w="687" w:type="dxa"/>
                  <w:noWrap w:val="0"/>
                  <w:tcMar>
                    <w:left w:w="28" w:type="dxa"/>
                    <w:right w:w="28" w:type="dxa"/>
                  </w:tcMar>
                  <w:vAlign w:val="center"/>
                </w:tcPr>
                <w:p w14:paraId="4D16FDA0">
                  <w:pPr>
                    <w:spacing w:line="240" w:lineRule="atLeast"/>
                    <w:ind w:firstLine="0" w:firstLineChars="0"/>
                    <w:jc w:val="center"/>
                    <w:rPr>
                      <w:rFonts w:hint="eastAsia" w:ascii="Times New Roman" w:hAnsi="Times New Roman" w:eastAsia="宋体" w:cs="Times New Roman"/>
                      <w:b/>
                      <w:bCs/>
                      <w:sz w:val="24"/>
                      <w:szCs w:val="21"/>
                      <w:lang w:eastAsia="zh-CN"/>
                    </w:rPr>
                  </w:pPr>
                  <w:r>
                    <w:rPr>
                      <w:rFonts w:hint="eastAsia" w:ascii="Times New Roman" w:hAnsi="Times New Roman" w:eastAsia="宋体" w:cs="Times New Roman"/>
                      <w:b/>
                      <w:bCs/>
                      <w:sz w:val="24"/>
                      <w:szCs w:val="21"/>
                      <w:lang w:eastAsia="zh-CN"/>
                    </w:rPr>
                    <w:t>总磷</w:t>
                  </w:r>
                </w:p>
              </w:tc>
              <w:tc>
                <w:tcPr>
                  <w:tcW w:w="742" w:type="dxa"/>
                  <w:noWrap w:val="0"/>
                  <w:tcMar>
                    <w:left w:w="28" w:type="dxa"/>
                    <w:right w:w="28" w:type="dxa"/>
                  </w:tcMar>
                  <w:vAlign w:val="center"/>
                </w:tcPr>
                <w:p w14:paraId="27DC28BB">
                  <w:pPr>
                    <w:spacing w:line="240" w:lineRule="atLeast"/>
                    <w:ind w:firstLine="0" w:firstLineChars="0"/>
                    <w:jc w:val="center"/>
                    <w:rPr>
                      <w:rFonts w:hint="eastAsia" w:ascii="Times New Roman" w:hAnsi="Times New Roman" w:eastAsia="宋体" w:cs="Times New Roman"/>
                      <w:b/>
                      <w:bCs/>
                      <w:sz w:val="24"/>
                      <w:szCs w:val="21"/>
                      <w:lang w:eastAsia="zh-CN"/>
                    </w:rPr>
                  </w:pPr>
                  <w:r>
                    <w:rPr>
                      <w:rFonts w:hint="eastAsia" w:ascii="Times New Roman" w:hAnsi="Times New Roman" w:eastAsia="宋体" w:cs="Times New Roman"/>
                      <w:b/>
                      <w:bCs/>
                      <w:sz w:val="24"/>
                      <w:szCs w:val="21"/>
                      <w:lang w:eastAsia="zh-CN"/>
                    </w:rPr>
                    <w:t>总氮</w:t>
                  </w:r>
                </w:p>
              </w:tc>
            </w:tr>
            <w:tr w14:paraId="77A1C5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4" w:hRule="atLeast"/>
                <w:jc w:val="center"/>
              </w:trPr>
              <w:tc>
                <w:tcPr>
                  <w:tcW w:w="1819" w:type="dxa"/>
                  <w:noWrap w:val="0"/>
                  <w:tcMar>
                    <w:left w:w="28" w:type="dxa"/>
                    <w:right w:w="28" w:type="dxa"/>
                  </w:tcMar>
                  <w:vAlign w:val="center"/>
                </w:tcPr>
                <w:p w14:paraId="7224EFFE">
                  <w:pPr>
                    <w:spacing w:line="240" w:lineRule="atLeast"/>
                    <w:ind w:firstLine="0" w:firstLineChars="0"/>
                    <w:jc w:val="center"/>
                    <w:rPr>
                      <w:rFonts w:ascii="Times New Roman" w:hAnsi="Times New Roman" w:eastAsia="宋体" w:cs="Times New Roman"/>
                      <w:bCs/>
                      <w:sz w:val="24"/>
                      <w:szCs w:val="21"/>
                    </w:rPr>
                  </w:pPr>
                  <w:r>
                    <w:rPr>
                      <w:rFonts w:ascii="Times New Roman" w:hAnsi="Times New Roman" w:eastAsia="宋体" w:cs="Times New Roman"/>
                      <w:bCs/>
                      <w:sz w:val="24"/>
                      <w:szCs w:val="21"/>
                    </w:rPr>
                    <w:t>GB8978—1996</w:t>
                  </w:r>
                </w:p>
                <w:p w14:paraId="5CF056E0">
                  <w:pPr>
                    <w:spacing w:line="240" w:lineRule="atLeast"/>
                    <w:ind w:firstLine="0" w:firstLineChars="0"/>
                    <w:jc w:val="center"/>
                    <w:rPr>
                      <w:rFonts w:ascii="Times New Roman" w:hAnsi="Times New Roman" w:eastAsia="宋体" w:cs="Times New Roman"/>
                      <w:bCs/>
                      <w:sz w:val="24"/>
                      <w:szCs w:val="21"/>
                    </w:rPr>
                  </w:pPr>
                  <w:r>
                    <w:rPr>
                      <w:rFonts w:hint="eastAsia" w:ascii="Times New Roman" w:hAnsi="Times New Roman" w:eastAsia="宋体" w:cs="Times New Roman"/>
                      <w:bCs/>
                      <w:sz w:val="24"/>
                      <w:szCs w:val="21"/>
                    </w:rPr>
                    <w:t>三</w:t>
                  </w:r>
                  <w:r>
                    <w:rPr>
                      <w:rFonts w:ascii="Times New Roman" w:hAnsi="Times New Roman" w:eastAsia="宋体" w:cs="Times New Roman"/>
                      <w:bCs/>
                      <w:sz w:val="24"/>
                      <w:szCs w:val="21"/>
                    </w:rPr>
                    <w:t>级标准</w:t>
                  </w:r>
                </w:p>
              </w:tc>
              <w:tc>
                <w:tcPr>
                  <w:tcW w:w="946" w:type="dxa"/>
                  <w:noWrap w:val="0"/>
                  <w:tcMar>
                    <w:left w:w="28" w:type="dxa"/>
                    <w:right w:w="28" w:type="dxa"/>
                  </w:tcMar>
                  <w:vAlign w:val="center"/>
                </w:tcPr>
                <w:p w14:paraId="44CDBAA0">
                  <w:pPr>
                    <w:spacing w:line="240" w:lineRule="atLeast"/>
                    <w:ind w:firstLine="0" w:firstLineChars="0"/>
                    <w:jc w:val="center"/>
                    <w:rPr>
                      <w:rFonts w:ascii="Times New Roman" w:hAnsi="Times New Roman" w:eastAsia="宋体" w:cs="Times New Roman"/>
                      <w:bCs/>
                      <w:sz w:val="24"/>
                      <w:szCs w:val="21"/>
                    </w:rPr>
                  </w:pPr>
                  <w:r>
                    <w:rPr>
                      <w:rFonts w:ascii="Times New Roman" w:hAnsi="Times New Roman" w:eastAsia="宋体" w:cs="Times New Roman"/>
                      <w:bCs/>
                      <w:sz w:val="24"/>
                      <w:szCs w:val="21"/>
                    </w:rPr>
                    <w:t>6~9</w:t>
                  </w:r>
                </w:p>
              </w:tc>
              <w:tc>
                <w:tcPr>
                  <w:tcW w:w="890" w:type="dxa"/>
                  <w:noWrap w:val="0"/>
                  <w:tcMar>
                    <w:left w:w="28" w:type="dxa"/>
                    <w:right w:w="28" w:type="dxa"/>
                  </w:tcMar>
                  <w:vAlign w:val="center"/>
                </w:tcPr>
                <w:p w14:paraId="1D328CC5">
                  <w:pPr>
                    <w:spacing w:line="240" w:lineRule="atLeast"/>
                    <w:ind w:firstLine="0" w:firstLineChars="0"/>
                    <w:jc w:val="center"/>
                    <w:rPr>
                      <w:rFonts w:ascii="Times New Roman" w:hAnsi="Times New Roman" w:eastAsia="宋体" w:cs="Times New Roman"/>
                      <w:bCs/>
                      <w:sz w:val="24"/>
                      <w:szCs w:val="21"/>
                    </w:rPr>
                  </w:pPr>
                  <w:r>
                    <w:rPr>
                      <w:rFonts w:hint="eastAsia" w:ascii="Times New Roman" w:hAnsi="Times New Roman" w:eastAsia="宋体" w:cs="Times New Roman"/>
                      <w:bCs/>
                      <w:sz w:val="24"/>
                      <w:szCs w:val="21"/>
                    </w:rPr>
                    <w:t>500</w:t>
                  </w:r>
                </w:p>
              </w:tc>
              <w:tc>
                <w:tcPr>
                  <w:tcW w:w="835" w:type="dxa"/>
                  <w:noWrap w:val="0"/>
                  <w:tcMar>
                    <w:left w:w="28" w:type="dxa"/>
                    <w:right w:w="28" w:type="dxa"/>
                  </w:tcMar>
                  <w:vAlign w:val="center"/>
                </w:tcPr>
                <w:p w14:paraId="1FD7F43D">
                  <w:pPr>
                    <w:spacing w:line="240" w:lineRule="atLeast"/>
                    <w:ind w:firstLine="0" w:firstLineChars="0"/>
                    <w:jc w:val="center"/>
                    <w:rPr>
                      <w:rFonts w:ascii="Times New Roman" w:hAnsi="Times New Roman" w:eastAsia="宋体" w:cs="Times New Roman"/>
                      <w:bCs/>
                      <w:sz w:val="24"/>
                      <w:szCs w:val="21"/>
                    </w:rPr>
                  </w:pPr>
                  <w:r>
                    <w:rPr>
                      <w:rFonts w:hint="eastAsia" w:ascii="Times New Roman" w:hAnsi="Times New Roman" w:eastAsia="宋体" w:cs="Times New Roman"/>
                      <w:bCs/>
                      <w:sz w:val="24"/>
                      <w:szCs w:val="21"/>
                    </w:rPr>
                    <w:t>300</w:t>
                  </w:r>
                </w:p>
              </w:tc>
              <w:tc>
                <w:tcPr>
                  <w:tcW w:w="687" w:type="dxa"/>
                  <w:noWrap w:val="0"/>
                  <w:tcMar>
                    <w:left w:w="28" w:type="dxa"/>
                    <w:right w:w="28" w:type="dxa"/>
                  </w:tcMar>
                  <w:vAlign w:val="center"/>
                </w:tcPr>
                <w:p w14:paraId="574BC069">
                  <w:pPr>
                    <w:spacing w:line="240" w:lineRule="atLeast"/>
                    <w:ind w:firstLine="0" w:firstLineChars="0"/>
                    <w:jc w:val="center"/>
                    <w:rPr>
                      <w:rFonts w:ascii="Times New Roman" w:hAnsi="Times New Roman" w:eastAsia="宋体" w:cs="Times New Roman"/>
                      <w:bCs/>
                      <w:sz w:val="24"/>
                      <w:szCs w:val="21"/>
                    </w:rPr>
                  </w:pPr>
                  <w:r>
                    <w:rPr>
                      <w:rFonts w:hint="eastAsia" w:ascii="Times New Roman" w:hAnsi="Times New Roman" w:eastAsia="宋体" w:cs="Times New Roman"/>
                      <w:bCs/>
                      <w:sz w:val="24"/>
                      <w:szCs w:val="21"/>
                    </w:rPr>
                    <w:t>400</w:t>
                  </w:r>
                </w:p>
              </w:tc>
              <w:tc>
                <w:tcPr>
                  <w:tcW w:w="854" w:type="dxa"/>
                  <w:noWrap w:val="0"/>
                  <w:tcMar>
                    <w:left w:w="28" w:type="dxa"/>
                    <w:right w:w="28" w:type="dxa"/>
                  </w:tcMar>
                  <w:vAlign w:val="center"/>
                </w:tcPr>
                <w:p w14:paraId="7848A030">
                  <w:pPr>
                    <w:spacing w:line="240" w:lineRule="atLeast"/>
                    <w:ind w:firstLine="0" w:firstLineChars="0"/>
                    <w:jc w:val="center"/>
                    <w:rPr>
                      <w:rFonts w:ascii="Times New Roman" w:hAnsi="Times New Roman" w:eastAsia="宋体" w:cs="Times New Roman"/>
                      <w:bCs/>
                      <w:sz w:val="24"/>
                      <w:szCs w:val="21"/>
                    </w:rPr>
                  </w:pPr>
                  <w:r>
                    <w:rPr>
                      <w:rFonts w:hint="eastAsia" w:ascii="Times New Roman" w:hAnsi="Times New Roman" w:eastAsia="宋体" w:cs="Times New Roman"/>
                      <w:bCs/>
                      <w:sz w:val="24"/>
                      <w:szCs w:val="21"/>
                    </w:rPr>
                    <w:t>20</w:t>
                  </w:r>
                </w:p>
              </w:tc>
              <w:tc>
                <w:tcPr>
                  <w:tcW w:w="760" w:type="dxa"/>
                  <w:noWrap w:val="0"/>
                  <w:tcMar>
                    <w:left w:w="28" w:type="dxa"/>
                    <w:right w:w="28" w:type="dxa"/>
                  </w:tcMar>
                  <w:vAlign w:val="center"/>
                </w:tcPr>
                <w:p w14:paraId="05429EAE">
                  <w:pPr>
                    <w:spacing w:line="240" w:lineRule="atLeast"/>
                    <w:ind w:firstLine="0" w:firstLineChars="0"/>
                    <w:jc w:val="center"/>
                    <w:rPr>
                      <w:rFonts w:hint="eastAsia" w:ascii="Times New Roman" w:hAnsi="Times New Roman" w:eastAsia="宋体" w:cs="Times New Roman"/>
                      <w:bCs/>
                      <w:sz w:val="24"/>
                      <w:szCs w:val="21"/>
                      <w:lang w:val="en-US" w:eastAsia="zh-CN"/>
                    </w:rPr>
                  </w:pPr>
                  <w:r>
                    <w:rPr>
                      <w:rFonts w:hint="eastAsia" w:ascii="Times New Roman" w:hAnsi="Times New Roman" w:eastAsia="宋体" w:cs="Times New Roman"/>
                      <w:bCs/>
                      <w:sz w:val="24"/>
                      <w:szCs w:val="21"/>
                      <w:lang w:val="en-US" w:eastAsia="zh-CN"/>
                    </w:rPr>
                    <w:t>-</w:t>
                  </w:r>
                </w:p>
              </w:tc>
              <w:tc>
                <w:tcPr>
                  <w:tcW w:w="687" w:type="dxa"/>
                  <w:noWrap w:val="0"/>
                  <w:tcMar>
                    <w:left w:w="28" w:type="dxa"/>
                    <w:right w:w="28" w:type="dxa"/>
                  </w:tcMar>
                  <w:vAlign w:val="center"/>
                </w:tcPr>
                <w:p w14:paraId="524770C3">
                  <w:pPr>
                    <w:spacing w:line="240" w:lineRule="atLeast"/>
                    <w:ind w:firstLine="0" w:firstLineChars="0"/>
                    <w:jc w:val="center"/>
                    <w:rPr>
                      <w:rFonts w:hint="eastAsia" w:ascii="Times New Roman" w:hAnsi="Times New Roman" w:eastAsia="宋体" w:cs="Times New Roman"/>
                      <w:bCs/>
                      <w:sz w:val="24"/>
                      <w:szCs w:val="21"/>
                      <w:lang w:val="en-US" w:eastAsia="zh-CN"/>
                    </w:rPr>
                  </w:pPr>
                  <w:r>
                    <w:rPr>
                      <w:rFonts w:hint="eastAsia" w:ascii="Times New Roman" w:hAnsi="Times New Roman" w:eastAsia="宋体" w:cs="Times New Roman"/>
                      <w:bCs/>
                      <w:sz w:val="24"/>
                      <w:szCs w:val="21"/>
                      <w:lang w:val="en-US" w:eastAsia="zh-CN"/>
                    </w:rPr>
                    <w:t>-</w:t>
                  </w:r>
                </w:p>
              </w:tc>
              <w:tc>
                <w:tcPr>
                  <w:tcW w:w="742" w:type="dxa"/>
                  <w:noWrap w:val="0"/>
                  <w:tcMar>
                    <w:left w:w="28" w:type="dxa"/>
                    <w:right w:w="28" w:type="dxa"/>
                  </w:tcMar>
                  <w:vAlign w:val="center"/>
                </w:tcPr>
                <w:p w14:paraId="4FB89459">
                  <w:pPr>
                    <w:spacing w:line="240" w:lineRule="atLeast"/>
                    <w:ind w:firstLine="0" w:firstLineChars="0"/>
                    <w:jc w:val="center"/>
                    <w:rPr>
                      <w:rFonts w:hint="eastAsia" w:ascii="Times New Roman" w:hAnsi="Times New Roman" w:eastAsia="宋体" w:cs="Times New Roman"/>
                      <w:bCs/>
                      <w:sz w:val="24"/>
                      <w:szCs w:val="21"/>
                      <w:lang w:val="en-US" w:eastAsia="zh-CN"/>
                    </w:rPr>
                  </w:pPr>
                  <w:r>
                    <w:rPr>
                      <w:rFonts w:hint="eastAsia" w:ascii="Times New Roman" w:hAnsi="Times New Roman" w:eastAsia="宋体" w:cs="Times New Roman"/>
                      <w:bCs/>
                      <w:sz w:val="24"/>
                      <w:szCs w:val="21"/>
                      <w:lang w:val="en-US" w:eastAsia="zh-CN"/>
                    </w:rPr>
                    <w:t>-</w:t>
                  </w:r>
                </w:p>
              </w:tc>
            </w:tr>
          </w:tbl>
          <w:p w14:paraId="7F892A6F">
            <w:pPr>
              <w:pStyle w:val="11"/>
              <w:numPr>
                <w:ilvl w:val="-1"/>
                <w:numId w:val="0"/>
              </w:numPr>
              <w:ind w:firstLine="0" w:firstLineChars="0"/>
              <w:rPr>
                <w:rFonts w:hint="eastAsia"/>
                <w:lang w:eastAsia="zh-CN"/>
              </w:rPr>
            </w:pPr>
          </w:p>
          <w:p w14:paraId="32693BDC">
            <w:pPr>
              <w:pStyle w:val="43"/>
              <w:bidi w:val="0"/>
              <w:spacing w:line="0" w:lineRule="atLeast"/>
              <w:rPr>
                <w:rFonts w:hint="default" w:ascii="Times New Roman" w:hAnsi="Times New Roman" w:cs="Times New Roman"/>
                <w:color w:val="auto"/>
                <w:highlight w:val="none"/>
              </w:rPr>
            </w:pPr>
          </w:p>
          <w:p w14:paraId="2E529ABB">
            <w:pPr>
              <w:pStyle w:val="43"/>
              <w:bidi w:val="0"/>
              <w:spacing w:line="0" w:lineRule="atLeast"/>
              <w:rPr>
                <w:rFonts w:hint="default" w:ascii="Times New Roman" w:hAnsi="Times New Roman" w:cs="Times New Roman"/>
                <w:color w:val="auto"/>
                <w:highlight w:val="none"/>
              </w:rPr>
            </w:pPr>
          </w:p>
          <w:p w14:paraId="145898A8">
            <w:pPr>
              <w:pStyle w:val="43"/>
              <w:bidi w:val="0"/>
              <w:spacing w:line="0" w:lineRule="atLeast"/>
              <w:rPr>
                <w:rFonts w:hint="eastAsia" w:cs="Times New Roman"/>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3-</w:t>
            </w:r>
            <w:r>
              <w:rPr>
                <w:rFonts w:hint="eastAsia" w:ascii="Times New Roman" w:hAnsi="Times New Roman" w:cs="Times New Roman"/>
                <w:color w:val="auto"/>
                <w:highlight w:val="none"/>
                <w:lang w:val="en-US" w:eastAsia="zh-CN"/>
              </w:rPr>
              <w:t>7</w:t>
            </w:r>
            <w:r>
              <w:rPr>
                <w:rFonts w:hint="eastAsia" w:cs="Times New Roman"/>
              </w:rPr>
              <w:t>《</w:t>
            </w:r>
            <w:r>
              <w:rPr>
                <w:rFonts w:hint="eastAsia" w:cs="Times New Roman"/>
                <w:lang w:eastAsia="zh-CN"/>
              </w:rPr>
              <w:t>橡胶制品工业污染物排放标准</w:t>
            </w:r>
            <w:r>
              <w:rPr>
                <w:rFonts w:hint="eastAsia" w:cs="Times New Roman"/>
              </w:rPr>
              <w:t>》（GB</w:t>
            </w:r>
            <w:r>
              <w:rPr>
                <w:rFonts w:hint="eastAsia" w:cs="Times New Roman"/>
                <w:lang w:val="en-US" w:eastAsia="zh-CN"/>
              </w:rPr>
              <w:t>27632</w:t>
            </w:r>
            <w:r>
              <w:rPr>
                <w:rFonts w:hint="eastAsia" w:cs="Times New Roman"/>
              </w:rPr>
              <w:t>-</w:t>
            </w:r>
            <w:r>
              <w:rPr>
                <w:rFonts w:hint="eastAsia" w:cs="Times New Roman"/>
                <w:lang w:val="en-US" w:eastAsia="zh-CN"/>
              </w:rPr>
              <w:t>2011</w:t>
            </w:r>
            <w:r>
              <w:rPr>
                <w:rFonts w:hint="eastAsia" w:cs="Times New Roman"/>
              </w:rPr>
              <w:t>）</w:t>
            </w:r>
          </w:p>
          <w:p w14:paraId="6E439BA6">
            <w:pPr>
              <w:pStyle w:val="43"/>
              <w:adjustRightInd/>
              <w:snapToGrid/>
              <w:spacing w:before="0" w:beforeLines="0" w:line="0" w:lineRule="atLeast"/>
              <w:ind w:firstLine="5722" w:firstLineChars="3800"/>
              <w:jc w:val="right"/>
              <w:rPr>
                <w:rFonts w:hint="default" w:ascii="Times New Roman" w:hAnsi="Times New Roman" w:eastAsia="黑体" w:cs="Times New Roman"/>
                <w:color w:val="auto"/>
                <w:sz w:val="15"/>
                <w:szCs w:val="15"/>
                <w:highlight w:val="none"/>
              </w:rPr>
            </w:pPr>
            <w:r>
              <w:rPr>
                <w:rFonts w:hint="default" w:ascii="Times New Roman" w:hAnsi="Times New Roman" w:eastAsia="黑体" w:cs="Times New Roman"/>
                <w:color w:val="auto"/>
                <w:sz w:val="15"/>
                <w:szCs w:val="15"/>
                <w:highlight w:val="none"/>
              </w:rPr>
              <w:t>（单位：mg/L，pH无量纲）</w:t>
            </w:r>
          </w:p>
          <w:tbl>
            <w:tblPr>
              <w:tblStyle w:val="23"/>
              <w:tblW w:w="823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98"/>
              <w:gridCol w:w="745"/>
              <w:gridCol w:w="746"/>
              <w:gridCol w:w="774"/>
              <w:gridCol w:w="773"/>
              <w:gridCol w:w="880"/>
              <w:gridCol w:w="880"/>
              <w:gridCol w:w="880"/>
              <w:gridCol w:w="880"/>
            </w:tblGrid>
            <w:tr w14:paraId="6A6586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57" w:hRule="atLeast"/>
                <w:jc w:val="center"/>
              </w:trPr>
              <w:tc>
                <w:tcPr>
                  <w:tcW w:w="1598" w:type="dxa"/>
                  <w:noWrap w:val="0"/>
                  <w:tcMar>
                    <w:left w:w="28" w:type="dxa"/>
                    <w:right w:w="28" w:type="dxa"/>
                  </w:tcMar>
                  <w:vAlign w:val="center"/>
                </w:tcPr>
                <w:p w14:paraId="7586420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ascii="Times New Roman" w:hAnsi="Times New Roman" w:eastAsia="宋体" w:cs="Times New Roman"/>
                      <w:b/>
                      <w:bCs/>
                      <w:sz w:val="24"/>
                      <w:szCs w:val="21"/>
                    </w:rPr>
                  </w:pPr>
                  <w:r>
                    <w:rPr>
                      <w:rFonts w:ascii="Times New Roman" w:hAnsi="Times New Roman" w:eastAsia="宋体" w:cs="Times New Roman"/>
                      <w:b/>
                      <w:bCs/>
                      <w:sz w:val="24"/>
                      <w:szCs w:val="21"/>
                    </w:rPr>
                    <w:t>污染物</w:t>
                  </w:r>
                </w:p>
              </w:tc>
              <w:tc>
                <w:tcPr>
                  <w:tcW w:w="745" w:type="dxa"/>
                  <w:noWrap w:val="0"/>
                  <w:tcMar>
                    <w:left w:w="28" w:type="dxa"/>
                    <w:right w:w="28" w:type="dxa"/>
                  </w:tcMar>
                  <w:vAlign w:val="center"/>
                </w:tcPr>
                <w:p w14:paraId="00A0806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ascii="Times New Roman" w:hAnsi="Times New Roman" w:eastAsia="宋体" w:cs="Times New Roman"/>
                      <w:b/>
                      <w:bCs/>
                      <w:sz w:val="24"/>
                      <w:szCs w:val="21"/>
                    </w:rPr>
                  </w:pPr>
                  <w:r>
                    <w:rPr>
                      <w:rFonts w:ascii="Times New Roman" w:hAnsi="Times New Roman" w:eastAsia="宋体" w:cs="Times New Roman"/>
                      <w:b/>
                      <w:bCs/>
                      <w:sz w:val="24"/>
                      <w:szCs w:val="21"/>
                    </w:rPr>
                    <w:t>pH</w:t>
                  </w:r>
                </w:p>
              </w:tc>
              <w:tc>
                <w:tcPr>
                  <w:tcW w:w="746" w:type="dxa"/>
                  <w:noWrap w:val="0"/>
                  <w:tcMar>
                    <w:left w:w="28" w:type="dxa"/>
                    <w:right w:w="28" w:type="dxa"/>
                  </w:tcMar>
                  <w:vAlign w:val="center"/>
                </w:tcPr>
                <w:p w14:paraId="6EA9E44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ascii="Times New Roman" w:hAnsi="Times New Roman" w:eastAsia="宋体" w:cs="Times New Roman"/>
                      <w:b/>
                      <w:bCs/>
                      <w:sz w:val="24"/>
                      <w:szCs w:val="21"/>
                    </w:rPr>
                  </w:pPr>
                  <w:r>
                    <w:rPr>
                      <w:rFonts w:ascii="Times New Roman" w:hAnsi="Times New Roman" w:eastAsia="宋体" w:cs="Times New Roman"/>
                      <w:b/>
                      <w:bCs/>
                      <w:sz w:val="24"/>
                      <w:szCs w:val="21"/>
                    </w:rPr>
                    <w:t>COD</w:t>
                  </w:r>
                </w:p>
              </w:tc>
              <w:tc>
                <w:tcPr>
                  <w:tcW w:w="774" w:type="dxa"/>
                  <w:noWrap w:val="0"/>
                  <w:tcMar>
                    <w:left w:w="28" w:type="dxa"/>
                    <w:right w:w="28" w:type="dxa"/>
                  </w:tcMar>
                  <w:vAlign w:val="center"/>
                </w:tcPr>
                <w:p w14:paraId="238A8D0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ascii="Times New Roman" w:hAnsi="Times New Roman" w:eastAsia="宋体" w:cs="Times New Roman"/>
                      <w:b/>
                      <w:bCs/>
                      <w:sz w:val="24"/>
                      <w:szCs w:val="21"/>
                    </w:rPr>
                  </w:pPr>
                  <w:r>
                    <w:rPr>
                      <w:rFonts w:ascii="Times New Roman" w:hAnsi="Times New Roman" w:eastAsia="宋体" w:cs="Times New Roman"/>
                      <w:b/>
                      <w:bCs/>
                      <w:sz w:val="24"/>
                      <w:szCs w:val="21"/>
                    </w:rPr>
                    <w:t>BOD</w:t>
                  </w:r>
                  <w:r>
                    <w:rPr>
                      <w:rFonts w:ascii="Times New Roman" w:hAnsi="Times New Roman" w:eastAsia="宋体" w:cs="Times New Roman"/>
                      <w:b/>
                      <w:bCs/>
                      <w:sz w:val="24"/>
                      <w:szCs w:val="21"/>
                      <w:vertAlign w:val="subscript"/>
                    </w:rPr>
                    <w:t>5</w:t>
                  </w:r>
                </w:p>
              </w:tc>
              <w:tc>
                <w:tcPr>
                  <w:tcW w:w="773" w:type="dxa"/>
                  <w:noWrap w:val="0"/>
                  <w:tcMar>
                    <w:left w:w="28" w:type="dxa"/>
                    <w:right w:w="28" w:type="dxa"/>
                  </w:tcMar>
                  <w:vAlign w:val="center"/>
                </w:tcPr>
                <w:p w14:paraId="59A977A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ascii="Times New Roman" w:hAnsi="Times New Roman" w:eastAsia="宋体" w:cs="Times New Roman"/>
                      <w:b/>
                      <w:bCs/>
                      <w:sz w:val="24"/>
                      <w:szCs w:val="21"/>
                    </w:rPr>
                  </w:pPr>
                  <w:r>
                    <w:rPr>
                      <w:rFonts w:ascii="Times New Roman" w:hAnsi="Times New Roman" w:eastAsia="宋体" w:cs="Times New Roman"/>
                      <w:b/>
                      <w:bCs/>
                      <w:sz w:val="24"/>
                      <w:szCs w:val="21"/>
                    </w:rPr>
                    <w:t>SS</w:t>
                  </w:r>
                </w:p>
              </w:tc>
              <w:tc>
                <w:tcPr>
                  <w:tcW w:w="880" w:type="dxa"/>
                  <w:noWrap w:val="0"/>
                  <w:tcMar>
                    <w:left w:w="28" w:type="dxa"/>
                    <w:right w:w="28" w:type="dxa"/>
                  </w:tcMar>
                  <w:vAlign w:val="center"/>
                </w:tcPr>
                <w:p w14:paraId="29835DC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
                      <w:bCs/>
                      <w:sz w:val="24"/>
                      <w:szCs w:val="21"/>
                      <w:lang w:val="en-US" w:eastAsia="zh-CN"/>
                    </w:rPr>
                  </w:pPr>
                  <w:r>
                    <w:rPr>
                      <w:rFonts w:hint="eastAsia" w:ascii="Times New Roman" w:hAnsi="Times New Roman" w:eastAsia="宋体" w:cs="Times New Roman"/>
                      <w:b/>
                      <w:bCs/>
                      <w:sz w:val="24"/>
                      <w:szCs w:val="21"/>
                      <w:lang w:val="en-US" w:eastAsia="zh-CN"/>
                    </w:rPr>
                    <w:t>TP</w:t>
                  </w:r>
                </w:p>
              </w:tc>
              <w:tc>
                <w:tcPr>
                  <w:tcW w:w="880" w:type="dxa"/>
                  <w:noWrap w:val="0"/>
                  <w:tcMar>
                    <w:left w:w="28" w:type="dxa"/>
                    <w:right w:w="28" w:type="dxa"/>
                  </w:tcMar>
                  <w:vAlign w:val="center"/>
                </w:tcPr>
                <w:p w14:paraId="1949429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
                      <w:bCs/>
                      <w:sz w:val="24"/>
                      <w:szCs w:val="21"/>
                      <w:lang w:val="en-US" w:eastAsia="zh-CN"/>
                    </w:rPr>
                  </w:pPr>
                  <w:r>
                    <w:rPr>
                      <w:rFonts w:hint="eastAsia" w:ascii="Times New Roman" w:hAnsi="Times New Roman" w:eastAsia="宋体" w:cs="Times New Roman"/>
                      <w:b/>
                      <w:bCs/>
                      <w:sz w:val="24"/>
                      <w:szCs w:val="21"/>
                      <w:lang w:val="en-US" w:eastAsia="zh-CN"/>
                    </w:rPr>
                    <w:t>TN</w:t>
                  </w:r>
                </w:p>
              </w:tc>
              <w:tc>
                <w:tcPr>
                  <w:tcW w:w="880" w:type="dxa"/>
                  <w:noWrap w:val="0"/>
                  <w:tcMar>
                    <w:left w:w="28" w:type="dxa"/>
                    <w:right w:w="28" w:type="dxa"/>
                  </w:tcMar>
                  <w:vAlign w:val="center"/>
                </w:tcPr>
                <w:p w14:paraId="72636E2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
                      <w:bCs/>
                      <w:sz w:val="24"/>
                      <w:szCs w:val="21"/>
                      <w:lang w:val="en-US" w:eastAsia="zh-CN"/>
                    </w:rPr>
                  </w:pPr>
                  <w:r>
                    <w:rPr>
                      <w:rFonts w:hint="eastAsia" w:ascii="Times New Roman" w:hAnsi="Times New Roman" w:eastAsia="宋体" w:cs="Times New Roman"/>
                      <w:b/>
                      <w:bCs/>
                      <w:sz w:val="24"/>
                      <w:szCs w:val="21"/>
                      <w:lang w:val="en-US" w:eastAsia="zh-CN"/>
                    </w:rPr>
                    <w:t>石油类</w:t>
                  </w:r>
                </w:p>
              </w:tc>
              <w:tc>
                <w:tcPr>
                  <w:tcW w:w="880" w:type="dxa"/>
                  <w:noWrap w:val="0"/>
                  <w:tcMar>
                    <w:left w:w="28" w:type="dxa"/>
                    <w:right w:w="28" w:type="dxa"/>
                  </w:tcMar>
                  <w:vAlign w:val="center"/>
                </w:tcPr>
                <w:p w14:paraId="29B1E0F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b/>
                      <w:bCs/>
                      <w:sz w:val="24"/>
                      <w:szCs w:val="21"/>
                      <w:lang w:val="en-US" w:eastAsia="zh-CN"/>
                    </w:rPr>
                  </w:pPr>
                  <w:r>
                    <w:rPr>
                      <w:rFonts w:hint="eastAsia" w:ascii="Times New Roman" w:hAnsi="Times New Roman" w:eastAsia="宋体" w:cs="Times New Roman"/>
                      <w:b/>
                      <w:bCs/>
                      <w:sz w:val="24"/>
                      <w:szCs w:val="21"/>
                      <w:lang w:val="en-US" w:eastAsia="zh-CN"/>
                    </w:rPr>
                    <w:t>氨氮</w:t>
                  </w:r>
                </w:p>
              </w:tc>
            </w:tr>
            <w:tr w14:paraId="799625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6" w:hRule="atLeast"/>
                <w:jc w:val="center"/>
              </w:trPr>
              <w:tc>
                <w:tcPr>
                  <w:tcW w:w="1598" w:type="dxa"/>
                  <w:noWrap w:val="0"/>
                  <w:tcMar>
                    <w:left w:w="28" w:type="dxa"/>
                    <w:right w:w="28" w:type="dxa"/>
                  </w:tcMar>
                  <w:vAlign w:val="center"/>
                </w:tcPr>
                <w:p w14:paraId="138AEFD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ascii="Times New Roman" w:hAnsi="Times New Roman" w:eastAsia="宋体" w:cs="Times New Roman"/>
                      <w:bCs/>
                      <w:sz w:val="24"/>
                      <w:szCs w:val="21"/>
                    </w:rPr>
                  </w:pPr>
                  <w:r>
                    <w:rPr>
                      <w:rFonts w:hint="eastAsia" w:ascii="Times New Roman" w:hAnsi="Times New Roman" w:eastAsia="宋体" w:cs="Times New Roman"/>
                      <w:color w:val="auto"/>
                      <w:sz w:val="24"/>
                      <w:szCs w:val="20"/>
                    </w:rPr>
                    <w:t>GB</w:t>
                  </w:r>
                  <w:r>
                    <w:rPr>
                      <w:rFonts w:hint="eastAsia" w:ascii="Times New Roman" w:hAnsi="Times New Roman" w:eastAsia="宋体" w:cs="Times New Roman"/>
                      <w:color w:val="auto"/>
                      <w:sz w:val="24"/>
                      <w:szCs w:val="20"/>
                      <w:lang w:val="en-US" w:eastAsia="zh-CN"/>
                    </w:rPr>
                    <w:t>27632</w:t>
                  </w:r>
                  <w:r>
                    <w:rPr>
                      <w:rFonts w:hint="eastAsia"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val="en-US" w:eastAsia="zh-CN"/>
                    </w:rPr>
                    <w:t>2011</w:t>
                  </w:r>
                  <w:r>
                    <w:rPr>
                      <w:rFonts w:ascii="Times New Roman" w:hAnsi="Times New Roman" w:eastAsia="宋体" w:cs="Times New Roman"/>
                      <w:bCs/>
                      <w:sz w:val="24"/>
                      <w:szCs w:val="21"/>
                    </w:rPr>
                    <w:t>标准</w:t>
                  </w:r>
                </w:p>
              </w:tc>
              <w:tc>
                <w:tcPr>
                  <w:tcW w:w="745" w:type="dxa"/>
                  <w:noWrap w:val="0"/>
                  <w:tcMar>
                    <w:left w:w="28" w:type="dxa"/>
                    <w:right w:w="28" w:type="dxa"/>
                  </w:tcMar>
                  <w:vAlign w:val="center"/>
                </w:tcPr>
                <w:p w14:paraId="4C61F2A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ascii="Times New Roman" w:hAnsi="Times New Roman" w:eastAsia="宋体" w:cs="Times New Roman"/>
                      <w:bCs/>
                      <w:sz w:val="24"/>
                      <w:szCs w:val="21"/>
                    </w:rPr>
                  </w:pPr>
                  <w:r>
                    <w:rPr>
                      <w:rFonts w:ascii="Times New Roman" w:hAnsi="Times New Roman" w:eastAsia="宋体" w:cs="Times New Roman"/>
                      <w:bCs/>
                      <w:sz w:val="24"/>
                      <w:szCs w:val="21"/>
                    </w:rPr>
                    <w:t>6~9</w:t>
                  </w:r>
                </w:p>
              </w:tc>
              <w:tc>
                <w:tcPr>
                  <w:tcW w:w="746" w:type="dxa"/>
                  <w:noWrap w:val="0"/>
                  <w:tcMar>
                    <w:left w:w="28" w:type="dxa"/>
                    <w:right w:w="28" w:type="dxa"/>
                  </w:tcMar>
                  <w:vAlign w:val="center"/>
                </w:tcPr>
                <w:p w14:paraId="0D6C3EF4">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Cs/>
                      <w:sz w:val="24"/>
                      <w:szCs w:val="21"/>
                      <w:lang w:val="en-US" w:eastAsia="zh-CN"/>
                    </w:rPr>
                  </w:pPr>
                  <w:r>
                    <w:rPr>
                      <w:rFonts w:hint="eastAsia" w:ascii="Times New Roman" w:hAnsi="Times New Roman" w:eastAsia="宋体" w:cs="Times New Roman"/>
                      <w:bCs/>
                      <w:sz w:val="24"/>
                      <w:szCs w:val="21"/>
                      <w:lang w:val="en-US" w:eastAsia="zh-CN"/>
                    </w:rPr>
                    <w:t>300</w:t>
                  </w:r>
                </w:p>
              </w:tc>
              <w:tc>
                <w:tcPr>
                  <w:tcW w:w="774" w:type="dxa"/>
                  <w:noWrap w:val="0"/>
                  <w:tcMar>
                    <w:left w:w="28" w:type="dxa"/>
                    <w:right w:w="28" w:type="dxa"/>
                  </w:tcMar>
                  <w:vAlign w:val="center"/>
                </w:tcPr>
                <w:p w14:paraId="5C407CE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Cs/>
                      <w:sz w:val="24"/>
                      <w:szCs w:val="21"/>
                      <w:lang w:val="en-US" w:eastAsia="zh-CN"/>
                    </w:rPr>
                  </w:pPr>
                  <w:r>
                    <w:rPr>
                      <w:rFonts w:hint="eastAsia" w:ascii="Times New Roman" w:hAnsi="Times New Roman" w:eastAsia="宋体" w:cs="Times New Roman"/>
                      <w:bCs/>
                      <w:sz w:val="24"/>
                      <w:szCs w:val="21"/>
                      <w:lang w:val="en-US" w:eastAsia="zh-CN"/>
                    </w:rPr>
                    <w:t>80</w:t>
                  </w:r>
                </w:p>
              </w:tc>
              <w:tc>
                <w:tcPr>
                  <w:tcW w:w="773" w:type="dxa"/>
                  <w:noWrap w:val="0"/>
                  <w:tcMar>
                    <w:left w:w="28" w:type="dxa"/>
                    <w:right w:w="28" w:type="dxa"/>
                  </w:tcMar>
                  <w:vAlign w:val="center"/>
                </w:tcPr>
                <w:p w14:paraId="20598BA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Cs/>
                      <w:sz w:val="24"/>
                      <w:szCs w:val="21"/>
                      <w:lang w:val="en-US" w:eastAsia="zh-CN"/>
                    </w:rPr>
                  </w:pPr>
                  <w:r>
                    <w:rPr>
                      <w:rFonts w:hint="eastAsia" w:ascii="Times New Roman" w:hAnsi="Times New Roman" w:eastAsia="宋体" w:cs="Times New Roman"/>
                      <w:bCs/>
                      <w:sz w:val="24"/>
                      <w:szCs w:val="21"/>
                      <w:lang w:val="en-US" w:eastAsia="zh-CN"/>
                    </w:rPr>
                    <w:t>150</w:t>
                  </w:r>
                </w:p>
              </w:tc>
              <w:tc>
                <w:tcPr>
                  <w:tcW w:w="880" w:type="dxa"/>
                  <w:noWrap w:val="0"/>
                  <w:tcMar>
                    <w:left w:w="28" w:type="dxa"/>
                    <w:right w:w="28" w:type="dxa"/>
                  </w:tcMar>
                  <w:vAlign w:val="center"/>
                </w:tcPr>
                <w:p w14:paraId="6CFE888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Cs/>
                      <w:sz w:val="24"/>
                      <w:szCs w:val="21"/>
                      <w:lang w:val="en-US" w:eastAsia="zh-CN"/>
                    </w:rPr>
                  </w:pPr>
                  <w:r>
                    <w:rPr>
                      <w:rFonts w:hint="eastAsia" w:ascii="Times New Roman" w:hAnsi="Times New Roman" w:eastAsia="宋体" w:cs="Times New Roman"/>
                      <w:bCs/>
                      <w:sz w:val="24"/>
                      <w:szCs w:val="21"/>
                      <w:lang w:val="en-US" w:eastAsia="zh-CN"/>
                    </w:rPr>
                    <w:t>1.0</w:t>
                  </w:r>
                </w:p>
              </w:tc>
              <w:tc>
                <w:tcPr>
                  <w:tcW w:w="880" w:type="dxa"/>
                  <w:noWrap w:val="0"/>
                  <w:tcMar>
                    <w:left w:w="28" w:type="dxa"/>
                    <w:right w:w="28" w:type="dxa"/>
                  </w:tcMar>
                  <w:vAlign w:val="center"/>
                </w:tcPr>
                <w:p w14:paraId="35E7EE8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Cs/>
                      <w:sz w:val="24"/>
                      <w:szCs w:val="21"/>
                      <w:lang w:val="en-US" w:eastAsia="zh-CN"/>
                    </w:rPr>
                  </w:pPr>
                  <w:r>
                    <w:rPr>
                      <w:rFonts w:hint="eastAsia" w:ascii="Times New Roman" w:hAnsi="Times New Roman" w:eastAsia="宋体" w:cs="Times New Roman"/>
                      <w:bCs/>
                      <w:sz w:val="24"/>
                      <w:szCs w:val="21"/>
                      <w:lang w:val="en-US" w:eastAsia="zh-CN"/>
                    </w:rPr>
                    <w:t>4</w:t>
                  </w:r>
                  <w:r>
                    <w:rPr>
                      <w:rFonts w:hint="eastAsia" w:cs="Times New Roman"/>
                      <w:bCs/>
                      <w:sz w:val="24"/>
                      <w:szCs w:val="21"/>
                      <w:lang w:val="en-US" w:eastAsia="zh-CN"/>
                    </w:rPr>
                    <w:t>0</w:t>
                  </w:r>
                </w:p>
              </w:tc>
              <w:tc>
                <w:tcPr>
                  <w:tcW w:w="880" w:type="dxa"/>
                  <w:noWrap w:val="0"/>
                  <w:tcMar>
                    <w:left w:w="28" w:type="dxa"/>
                    <w:right w:w="28" w:type="dxa"/>
                  </w:tcMar>
                  <w:vAlign w:val="center"/>
                </w:tcPr>
                <w:p w14:paraId="47598E38">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Cs/>
                      <w:sz w:val="24"/>
                      <w:szCs w:val="21"/>
                      <w:lang w:val="en-US" w:eastAsia="zh-CN"/>
                    </w:rPr>
                  </w:pPr>
                  <w:r>
                    <w:rPr>
                      <w:rFonts w:hint="eastAsia" w:ascii="Times New Roman" w:hAnsi="Times New Roman" w:eastAsia="宋体" w:cs="Times New Roman"/>
                      <w:bCs/>
                      <w:sz w:val="24"/>
                      <w:szCs w:val="21"/>
                      <w:lang w:val="en-US" w:eastAsia="zh-CN"/>
                    </w:rPr>
                    <w:t>10</w:t>
                  </w:r>
                </w:p>
              </w:tc>
              <w:tc>
                <w:tcPr>
                  <w:tcW w:w="880" w:type="dxa"/>
                  <w:noWrap w:val="0"/>
                  <w:tcMar>
                    <w:left w:w="28" w:type="dxa"/>
                    <w:right w:w="28" w:type="dxa"/>
                  </w:tcMar>
                  <w:vAlign w:val="center"/>
                </w:tcPr>
                <w:p w14:paraId="5FA3A45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Cs/>
                      <w:sz w:val="24"/>
                      <w:szCs w:val="21"/>
                      <w:lang w:val="en-US" w:eastAsia="zh-CN"/>
                    </w:rPr>
                  </w:pPr>
                  <w:r>
                    <w:rPr>
                      <w:rFonts w:hint="eastAsia" w:ascii="Times New Roman" w:hAnsi="Times New Roman" w:eastAsia="宋体" w:cs="Times New Roman"/>
                      <w:bCs/>
                      <w:sz w:val="24"/>
                      <w:szCs w:val="21"/>
                      <w:lang w:val="en-US" w:eastAsia="zh-CN"/>
                    </w:rPr>
                    <w:t>30</w:t>
                  </w:r>
                </w:p>
              </w:tc>
            </w:tr>
          </w:tbl>
          <w:p w14:paraId="441E7231">
            <w:pPr>
              <w:spacing w:line="360" w:lineRule="auto"/>
              <w:ind w:firstLine="0" w:firstLineChars="0"/>
              <w:rPr>
                <w:rFonts w:hint="default" w:ascii="Times New Roman" w:hAnsi="Times New Roman" w:eastAsia="宋体" w:cs="Times New Roman"/>
                <w:color w:val="auto"/>
                <w:sz w:val="24"/>
                <w:szCs w:val="20"/>
                <w:highlight w:val="none"/>
              </w:rPr>
            </w:pPr>
          </w:p>
          <w:p w14:paraId="0D6850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2"/>
                <w:highlight w:val="none"/>
              </w:rPr>
            </w:pPr>
            <w:r>
              <w:rPr>
                <w:rFonts w:hint="eastAsia" w:cs="Times New Roman"/>
                <w:color w:val="auto"/>
                <w:sz w:val="24"/>
                <w:szCs w:val="22"/>
                <w:highlight w:val="none"/>
                <w:lang w:val="en-US" w:eastAsia="zh-CN"/>
              </w:rPr>
              <w:t>3.</w:t>
            </w:r>
            <w:r>
              <w:rPr>
                <w:rFonts w:hint="default" w:ascii="Times New Roman" w:hAnsi="Times New Roman" w:eastAsia="宋体" w:cs="Times New Roman"/>
                <w:color w:val="auto"/>
                <w:sz w:val="24"/>
                <w:szCs w:val="22"/>
                <w:highlight w:val="none"/>
              </w:rPr>
              <w:t>施工期噪声执行《建筑施工场界环境噪声排放标准》（GB12523-2011）中相应标准限值，如下表所示：</w:t>
            </w:r>
          </w:p>
          <w:p w14:paraId="6A3010D1">
            <w:pPr>
              <w:pStyle w:val="4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3-</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《建筑施工场界环境噪声排放标准》GB12523-2011</w:t>
            </w:r>
          </w:p>
          <w:tbl>
            <w:tblPr>
              <w:tblStyle w:val="23"/>
              <w:tblW w:w="819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95"/>
              <w:gridCol w:w="2550"/>
              <w:gridCol w:w="2554"/>
            </w:tblGrid>
            <w:tr w14:paraId="01E79B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3095" w:type="dxa"/>
                  <w:vMerge w:val="restart"/>
                  <w:noWrap w:val="0"/>
                  <w:tcMar>
                    <w:left w:w="28" w:type="dxa"/>
                    <w:right w:w="28" w:type="dxa"/>
                  </w:tcMar>
                  <w:vAlign w:val="center"/>
                </w:tcPr>
                <w:p w14:paraId="6FB8551E">
                  <w:pPr>
                    <w:spacing w:line="240" w:lineRule="atLeast"/>
                    <w:ind w:firstLine="0" w:firstLineChars="0"/>
                    <w:jc w:val="center"/>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执行标准</w:t>
                  </w:r>
                </w:p>
              </w:tc>
              <w:tc>
                <w:tcPr>
                  <w:tcW w:w="5104" w:type="dxa"/>
                  <w:gridSpan w:val="2"/>
                  <w:noWrap w:val="0"/>
                  <w:tcMar>
                    <w:left w:w="28" w:type="dxa"/>
                    <w:right w:w="28" w:type="dxa"/>
                  </w:tcMar>
                  <w:vAlign w:val="center"/>
                </w:tcPr>
                <w:p w14:paraId="7B040FA1">
                  <w:pPr>
                    <w:spacing w:line="240" w:lineRule="atLeast"/>
                    <w:ind w:firstLine="0" w:firstLineChars="0"/>
                    <w:jc w:val="center"/>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标准值Leq：dB(A)</w:t>
                  </w:r>
                </w:p>
              </w:tc>
            </w:tr>
            <w:tr w14:paraId="09CEAA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3095" w:type="dxa"/>
                  <w:vMerge w:val="continue"/>
                  <w:noWrap w:val="0"/>
                  <w:tcMar>
                    <w:left w:w="28" w:type="dxa"/>
                    <w:right w:w="28" w:type="dxa"/>
                  </w:tcMar>
                  <w:vAlign w:val="center"/>
                </w:tcPr>
                <w:p w14:paraId="561B4EA0">
                  <w:pPr>
                    <w:spacing w:line="240" w:lineRule="atLeast"/>
                    <w:ind w:firstLine="0" w:firstLineChars="0"/>
                    <w:jc w:val="center"/>
                    <w:rPr>
                      <w:rFonts w:hint="default" w:ascii="Times New Roman" w:hAnsi="Times New Roman" w:eastAsia="宋体" w:cs="Times New Roman"/>
                      <w:bCs/>
                      <w:color w:val="auto"/>
                      <w:sz w:val="24"/>
                      <w:szCs w:val="21"/>
                      <w:highlight w:val="none"/>
                    </w:rPr>
                  </w:pPr>
                </w:p>
              </w:tc>
              <w:tc>
                <w:tcPr>
                  <w:tcW w:w="2550" w:type="dxa"/>
                  <w:noWrap w:val="0"/>
                  <w:tcMar>
                    <w:left w:w="28" w:type="dxa"/>
                    <w:right w:w="28" w:type="dxa"/>
                  </w:tcMar>
                  <w:vAlign w:val="center"/>
                </w:tcPr>
                <w:p w14:paraId="1D7BCE55">
                  <w:pPr>
                    <w:spacing w:line="240" w:lineRule="atLeast"/>
                    <w:ind w:firstLine="0" w:firstLineChars="0"/>
                    <w:jc w:val="center"/>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昼间</w:t>
                  </w:r>
                </w:p>
              </w:tc>
              <w:tc>
                <w:tcPr>
                  <w:tcW w:w="2554" w:type="dxa"/>
                  <w:noWrap w:val="0"/>
                  <w:tcMar>
                    <w:left w:w="28" w:type="dxa"/>
                    <w:right w:w="28" w:type="dxa"/>
                  </w:tcMar>
                  <w:vAlign w:val="center"/>
                </w:tcPr>
                <w:p w14:paraId="15A60878">
                  <w:pPr>
                    <w:spacing w:line="240" w:lineRule="atLeast"/>
                    <w:ind w:firstLine="0" w:firstLineChars="0"/>
                    <w:jc w:val="center"/>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夜间</w:t>
                  </w:r>
                </w:p>
              </w:tc>
            </w:tr>
            <w:tr w14:paraId="19D785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3095" w:type="dxa"/>
                  <w:noWrap w:val="0"/>
                  <w:tcMar>
                    <w:left w:w="28" w:type="dxa"/>
                    <w:right w:w="28" w:type="dxa"/>
                  </w:tcMar>
                  <w:vAlign w:val="center"/>
                </w:tcPr>
                <w:p w14:paraId="0120759B">
                  <w:pPr>
                    <w:spacing w:line="240" w:lineRule="atLeast"/>
                    <w:ind w:firstLine="0" w:firstLineChars="0"/>
                    <w:jc w:val="center"/>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color w:val="auto"/>
                      <w:sz w:val="24"/>
                      <w:szCs w:val="20"/>
                      <w:highlight w:val="none"/>
                    </w:rPr>
                    <w:t>GB12523-2011</w:t>
                  </w:r>
                </w:p>
              </w:tc>
              <w:tc>
                <w:tcPr>
                  <w:tcW w:w="2550" w:type="dxa"/>
                  <w:noWrap w:val="0"/>
                  <w:tcMar>
                    <w:left w:w="28" w:type="dxa"/>
                    <w:right w:w="28" w:type="dxa"/>
                  </w:tcMar>
                  <w:vAlign w:val="center"/>
                </w:tcPr>
                <w:p w14:paraId="041BE388">
                  <w:pPr>
                    <w:spacing w:line="240" w:lineRule="atLeast"/>
                    <w:ind w:firstLine="0" w:firstLineChars="0"/>
                    <w:jc w:val="center"/>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70</w:t>
                  </w:r>
                </w:p>
              </w:tc>
              <w:tc>
                <w:tcPr>
                  <w:tcW w:w="2554" w:type="dxa"/>
                  <w:noWrap w:val="0"/>
                  <w:tcMar>
                    <w:left w:w="28" w:type="dxa"/>
                    <w:right w:w="28" w:type="dxa"/>
                  </w:tcMar>
                  <w:vAlign w:val="center"/>
                </w:tcPr>
                <w:p w14:paraId="2EDA77BF">
                  <w:pPr>
                    <w:spacing w:line="240" w:lineRule="atLeast"/>
                    <w:ind w:firstLine="0" w:firstLineChars="0"/>
                    <w:jc w:val="center"/>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55</w:t>
                  </w:r>
                </w:p>
              </w:tc>
            </w:tr>
          </w:tbl>
          <w:p w14:paraId="62B6537C">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运营期执行《工业企业厂界环境噪声排放标准》（GB12348-2008）</w:t>
            </w:r>
            <w:r>
              <w:rPr>
                <w:rFonts w:hint="default" w:ascii="Times New Roman" w:hAnsi="Times New Roman" w:eastAsia="宋体" w:cs="Times New Roman"/>
                <w:color w:val="auto"/>
                <w:kern w:val="28"/>
                <w:sz w:val="24"/>
                <w:szCs w:val="20"/>
                <w:highlight w:val="none"/>
              </w:rPr>
              <w:t>3</w:t>
            </w:r>
            <w:r>
              <w:rPr>
                <w:rFonts w:hint="default" w:ascii="Times New Roman" w:hAnsi="Times New Roman" w:eastAsia="宋体" w:cs="Times New Roman"/>
                <w:color w:val="auto"/>
                <w:sz w:val="24"/>
                <w:szCs w:val="20"/>
                <w:highlight w:val="none"/>
              </w:rPr>
              <w:t>类标准，昼间65dB(A)，夜间55dB(A)。</w:t>
            </w:r>
          </w:p>
          <w:p w14:paraId="01D78B1E">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具体标准限值如下表：</w:t>
            </w:r>
          </w:p>
          <w:p w14:paraId="174C3B8C">
            <w:pPr>
              <w:pStyle w:val="4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3-</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《工业企业厂界环境噪声排放标准》GB12348-2008</w:t>
            </w:r>
          </w:p>
          <w:tbl>
            <w:tblPr>
              <w:tblStyle w:val="23"/>
              <w:tblW w:w="822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69"/>
              <w:gridCol w:w="1679"/>
              <w:gridCol w:w="2035"/>
              <w:gridCol w:w="2037"/>
            </w:tblGrid>
            <w:tr w14:paraId="700238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1" w:hRule="atLeast"/>
                <w:jc w:val="center"/>
              </w:trPr>
              <w:tc>
                <w:tcPr>
                  <w:tcW w:w="2469" w:type="dxa"/>
                  <w:vMerge w:val="restart"/>
                  <w:noWrap w:val="0"/>
                  <w:tcMar>
                    <w:left w:w="28" w:type="dxa"/>
                    <w:right w:w="28" w:type="dxa"/>
                  </w:tcMar>
                  <w:vAlign w:val="center"/>
                </w:tcPr>
                <w:p w14:paraId="6E0A0604">
                  <w:pPr>
                    <w:spacing w:line="240" w:lineRule="atLeast"/>
                    <w:ind w:firstLine="0" w:firstLineChars="0"/>
                    <w:jc w:val="center"/>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rPr>
                    <w:t>执行标准</w:t>
                  </w:r>
                </w:p>
              </w:tc>
              <w:tc>
                <w:tcPr>
                  <w:tcW w:w="1679" w:type="dxa"/>
                  <w:vMerge w:val="restart"/>
                  <w:noWrap w:val="0"/>
                  <w:tcMar>
                    <w:left w:w="28" w:type="dxa"/>
                    <w:right w:w="28" w:type="dxa"/>
                  </w:tcMar>
                  <w:vAlign w:val="center"/>
                </w:tcPr>
                <w:p w14:paraId="32FD9958">
                  <w:pPr>
                    <w:spacing w:line="240" w:lineRule="atLeast"/>
                    <w:ind w:firstLine="0" w:firstLineChars="0"/>
                    <w:jc w:val="center"/>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rPr>
                    <w:t>类别</w:t>
                  </w:r>
                </w:p>
              </w:tc>
              <w:tc>
                <w:tcPr>
                  <w:tcW w:w="4072" w:type="dxa"/>
                  <w:gridSpan w:val="2"/>
                  <w:noWrap w:val="0"/>
                  <w:tcMar>
                    <w:left w:w="28" w:type="dxa"/>
                    <w:right w:w="28" w:type="dxa"/>
                  </w:tcMar>
                  <w:vAlign w:val="center"/>
                </w:tcPr>
                <w:p w14:paraId="3E6F043A">
                  <w:pPr>
                    <w:spacing w:line="240" w:lineRule="atLeast"/>
                    <w:ind w:firstLine="0" w:firstLineChars="0"/>
                    <w:jc w:val="center"/>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rPr>
                    <w:t>标准值Leq：dB(A)</w:t>
                  </w:r>
                </w:p>
              </w:tc>
            </w:tr>
            <w:tr w14:paraId="7F6E3C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2469" w:type="dxa"/>
                  <w:vMerge w:val="continue"/>
                  <w:noWrap w:val="0"/>
                  <w:tcMar>
                    <w:left w:w="28" w:type="dxa"/>
                    <w:right w:w="28" w:type="dxa"/>
                  </w:tcMar>
                  <w:vAlign w:val="center"/>
                </w:tcPr>
                <w:p w14:paraId="4CE90670">
                  <w:pPr>
                    <w:spacing w:line="240" w:lineRule="atLeast"/>
                    <w:ind w:firstLine="0" w:firstLineChars="0"/>
                    <w:jc w:val="center"/>
                    <w:rPr>
                      <w:rFonts w:hint="default" w:ascii="Times New Roman" w:hAnsi="Times New Roman" w:eastAsia="宋体" w:cs="Times New Roman"/>
                      <w:bCs/>
                      <w:color w:val="auto"/>
                      <w:sz w:val="24"/>
                      <w:szCs w:val="21"/>
                      <w:highlight w:val="none"/>
                    </w:rPr>
                  </w:pPr>
                </w:p>
              </w:tc>
              <w:tc>
                <w:tcPr>
                  <w:tcW w:w="1679" w:type="dxa"/>
                  <w:vMerge w:val="continue"/>
                  <w:noWrap w:val="0"/>
                  <w:tcMar>
                    <w:left w:w="28" w:type="dxa"/>
                    <w:right w:w="28" w:type="dxa"/>
                  </w:tcMar>
                  <w:vAlign w:val="center"/>
                </w:tcPr>
                <w:p w14:paraId="74ADBA16">
                  <w:pPr>
                    <w:spacing w:line="240" w:lineRule="atLeast"/>
                    <w:ind w:firstLine="0" w:firstLineChars="0"/>
                    <w:jc w:val="center"/>
                    <w:rPr>
                      <w:rFonts w:hint="default" w:ascii="Times New Roman" w:hAnsi="Times New Roman" w:eastAsia="宋体" w:cs="Times New Roman"/>
                      <w:bCs/>
                      <w:color w:val="auto"/>
                      <w:sz w:val="24"/>
                      <w:szCs w:val="21"/>
                      <w:highlight w:val="none"/>
                    </w:rPr>
                  </w:pPr>
                </w:p>
              </w:tc>
              <w:tc>
                <w:tcPr>
                  <w:tcW w:w="2035" w:type="dxa"/>
                  <w:noWrap w:val="0"/>
                  <w:tcMar>
                    <w:left w:w="28" w:type="dxa"/>
                    <w:right w:w="28" w:type="dxa"/>
                  </w:tcMar>
                  <w:vAlign w:val="center"/>
                </w:tcPr>
                <w:p w14:paraId="5E7D14CB">
                  <w:pPr>
                    <w:spacing w:line="240" w:lineRule="atLeast"/>
                    <w:ind w:firstLine="0" w:firstLineChars="0"/>
                    <w:jc w:val="center"/>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昼间</w:t>
                  </w:r>
                </w:p>
              </w:tc>
              <w:tc>
                <w:tcPr>
                  <w:tcW w:w="2037" w:type="dxa"/>
                  <w:noWrap w:val="0"/>
                  <w:tcMar>
                    <w:left w:w="28" w:type="dxa"/>
                    <w:right w:w="28" w:type="dxa"/>
                  </w:tcMar>
                  <w:vAlign w:val="center"/>
                </w:tcPr>
                <w:p w14:paraId="64193B38">
                  <w:pPr>
                    <w:spacing w:line="240" w:lineRule="atLeast"/>
                    <w:ind w:firstLine="0" w:firstLineChars="0"/>
                    <w:jc w:val="center"/>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夜间</w:t>
                  </w:r>
                </w:p>
              </w:tc>
            </w:tr>
            <w:tr w14:paraId="368D3D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2469" w:type="dxa"/>
                  <w:noWrap w:val="0"/>
                  <w:tcMar>
                    <w:left w:w="28" w:type="dxa"/>
                    <w:right w:w="28" w:type="dxa"/>
                  </w:tcMar>
                  <w:vAlign w:val="center"/>
                </w:tcPr>
                <w:p w14:paraId="4E048B14">
                  <w:pPr>
                    <w:spacing w:line="240" w:lineRule="atLeast"/>
                    <w:ind w:firstLine="0" w:firstLineChars="0"/>
                    <w:jc w:val="center"/>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GB12348-2008</w:t>
                  </w:r>
                </w:p>
              </w:tc>
              <w:tc>
                <w:tcPr>
                  <w:tcW w:w="1679" w:type="dxa"/>
                  <w:noWrap w:val="0"/>
                  <w:tcMar>
                    <w:left w:w="28" w:type="dxa"/>
                    <w:right w:w="28" w:type="dxa"/>
                  </w:tcMar>
                  <w:vAlign w:val="center"/>
                </w:tcPr>
                <w:p w14:paraId="34660C59">
                  <w:pPr>
                    <w:spacing w:line="240" w:lineRule="atLeast"/>
                    <w:ind w:firstLine="0" w:firstLineChars="0"/>
                    <w:jc w:val="center"/>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3类</w:t>
                  </w:r>
                </w:p>
              </w:tc>
              <w:tc>
                <w:tcPr>
                  <w:tcW w:w="2035" w:type="dxa"/>
                  <w:noWrap w:val="0"/>
                  <w:tcMar>
                    <w:left w:w="28" w:type="dxa"/>
                    <w:right w:w="28" w:type="dxa"/>
                  </w:tcMar>
                  <w:vAlign w:val="center"/>
                </w:tcPr>
                <w:p w14:paraId="421BBB1F">
                  <w:pPr>
                    <w:spacing w:line="240" w:lineRule="atLeast"/>
                    <w:ind w:firstLine="0" w:firstLineChars="0"/>
                    <w:jc w:val="center"/>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65</w:t>
                  </w:r>
                </w:p>
              </w:tc>
              <w:tc>
                <w:tcPr>
                  <w:tcW w:w="2037" w:type="dxa"/>
                  <w:noWrap w:val="0"/>
                  <w:tcMar>
                    <w:left w:w="28" w:type="dxa"/>
                    <w:right w:w="28" w:type="dxa"/>
                  </w:tcMar>
                  <w:vAlign w:val="center"/>
                </w:tcPr>
                <w:p w14:paraId="41806811">
                  <w:pPr>
                    <w:spacing w:line="240" w:lineRule="atLeast"/>
                    <w:ind w:firstLine="0" w:firstLineChars="0"/>
                    <w:jc w:val="center"/>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rPr>
                    <w:t>55</w:t>
                  </w:r>
                </w:p>
              </w:tc>
            </w:tr>
          </w:tbl>
          <w:p w14:paraId="46D3C38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color w:val="auto"/>
                <w:kern w:val="28"/>
                <w:sz w:val="24"/>
                <w:szCs w:val="20"/>
                <w:highlight w:val="none"/>
              </w:rPr>
            </w:pPr>
            <w:r>
              <w:rPr>
                <w:rFonts w:hint="eastAsia" w:cs="Times New Roman"/>
                <w:color w:val="auto"/>
                <w:sz w:val="24"/>
                <w:szCs w:val="20"/>
                <w:highlight w:val="none"/>
                <w:lang w:eastAsia="zh-CN"/>
              </w:rPr>
              <w:t>4.</w:t>
            </w:r>
            <w:r>
              <w:rPr>
                <w:rFonts w:hint="eastAsia"/>
                <w:color w:val="auto"/>
                <w:sz w:val="24"/>
                <w:szCs w:val="20"/>
                <w:highlight w:val="none"/>
              </w:rPr>
              <w:t>危险废物贮存执行《危险废物贮存污染控制标准》</w:t>
            </w:r>
            <w:r>
              <w:rPr>
                <w:rFonts w:hint="eastAsia"/>
                <w:color w:val="auto"/>
                <w:sz w:val="24"/>
                <w:szCs w:val="20"/>
                <w:highlight w:val="none"/>
                <w:lang w:eastAsia="zh-CN"/>
              </w:rPr>
              <w:t>（</w:t>
            </w:r>
            <w:r>
              <w:rPr>
                <w:rFonts w:hint="eastAsia"/>
                <w:color w:val="auto"/>
                <w:sz w:val="24"/>
                <w:szCs w:val="20"/>
                <w:highlight w:val="none"/>
              </w:rPr>
              <w:t>GB18597－2023</w:t>
            </w:r>
            <w:r>
              <w:rPr>
                <w:rFonts w:hint="eastAsia"/>
                <w:color w:val="auto"/>
                <w:sz w:val="24"/>
                <w:szCs w:val="20"/>
                <w:highlight w:val="none"/>
                <w:lang w:eastAsia="zh-CN"/>
              </w:rPr>
              <w:t>）</w:t>
            </w:r>
            <w:r>
              <w:rPr>
                <w:rFonts w:hint="eastAsia"/>
                <w:color w:val="auto"/>
                <w:sz w:val="24"/>
                <w:szCs w:val="20"/>
                <w:highlight w:val="none"/>
              </w:rPr>
              <w:t>的规定。</w:t>
            </w:r>
          </w:p>
          <w:p w14:paraId="597F8832">
            <w:pPr>
              <w:adjustRightInd w:val="0"/>
              <w:snapToGrid w:val="0"/>
              <w:jc w:val="center"/>
              <w:rPr>
                <w:rFonts w:hint="default" w:ascii="Times New Roman" w:hAnsi="Times New Roman" w:cs="Times New Roman"/>
                <w:color w:val="auto"/>
                <w:kern w:val="0"/>
                <w:szCs w:val="21"/>
                <w:highlight w:val="none"/>
              </w:rPr>
            </w:pPr>
          </w:p>
        </w:tc>
      </w:tr>
      <w:tr w14:paraId="5311A4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dxa"/>
            <w:noWrap w:val="0"/>
            <w:vAlign w:val="center"/>
          </w:tcPr>
          <w:p w14:paraId="56D92772">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总量</w:t>
            </w:r>
          </w:p>
          <w:p w14:paraId="4D567B58">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控制</w:t>
            </w:r>
          </w:p>
          <w:p w14:paraId="6B4956FF">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highlight w:val="none"/>
              </w:rPr>
              <w:t>指标</w:t>
            </w:r>
          </w:p>
        </w:tc>
        <w:tc>
          <w:tcPr>
            <w:tcW w:w="8525" w:type="dxa"/>
            <w:noWrap w:val="0"/>
            <w:vAlign w:val="center"/>
          </w:tcPr>
          <w:p w14:paraId="61C8CDBC">
            <w:pPr>
              <w:adjustRightInd w:val="0"/>
              <w:snapToGrid w:val="0"/>
              <w:spacing w:line="360" w:lineRule="auto"/>
              <w:ind w:firstLine="480" w:firstLineChars="200"/>
              <w:rPr>
                <w:rFonts w:hint="default" w:ascii="Times New Roman" w:hAnsi="Times New Roman" w:eastAsia="宋体" w:cs="Times New Roman"/>
                <w:color w:val="auto"/>
                <w:sz w:val="24"/>
                <w:szCs w:val="20"/>
                <w:highlight w:val="none"/>
                <w:lang w:eastAsia="zh-CN"/>
              </w:rPr>
            </w:pPr>
            <w:r>
              <w:rPr>
                <w:rFonts w:hint="eastAsia" w:cs="Times New Roman"/>
                <w:color w:val="auto"/>
                <w:sz w:val="24"/>
                <w:szCs w:val="20"/>
                <w:highlight w:val="none"/>
                <w:lang w:val="en-US" w:eastAsia="zh-CN"/>
              </w:rPr>
              <w:t>本项目建成后全厂</w:t>
            </w:r>
            <w:r>
              <w:rPr>
                <w:rFonts w:hint="default" w:ascii="Times New Roman" w:hAnsi="Times New Roman" w:eastAsia="宋体" w:cs="Times New Roman"/>
                <w:color w:val="auto"/>
                <w:sz w:val="24"/>
                <w:szCs w:val="20"/>
                <w:highlight w:val="none"/>
                <w:lang w:eastAsia="zh-CN"/>
              </w:rPr>
              <w:t>总量控制</w:t>
            </w:r>
            <w:r>
              <w:rPr>
                <w:rFonts w:hint="eastAsia" w:cs="Times New Roman"/>
                <w:color w:val="auto"/>
                <w:sz w:val="24"/>
                <w:szCs w:val="20"/>
                <w:highlight w:val="none"/>
                <w:lang w:val="en-US" w:eastAsia="zh-CN"/>
              </w:rPr>
              <w:t>建议指标如下</w:t>
            </w:r>
            <w:r>
              <w:rPr>
                <w:rFonts w:hint="default" w:ascii="Times New Roman" w:hAnsi="Times New Roman" w:eastAsia="宋体" w:cs="Times New Roman"/>
                <w:color w:val="auto"/>
                <w:sz w:val="24"/>
                <w:szCs w:val="20"/>
                <w:highlight w:val="none"/>
                <w:lang w:eastAsia="zh-CN"/>
              </w:rPr>
              <w:t>：</w:t>
            </w:r>
          </w:p>
          <w:p w14:paraId="526A9061">
            <w:pPr>
              <w:pStyle w:val="2"/>
              <w:keepNext w:val="0"/>
              <w:keepLines w:val="0"/>
              <w:pageBreakBefore w:val="0"/>
              <w:widowControl w:val="0"/>
              <w:kinsoku/>
              <w:wordWrap/>
              <w:overflowPunct/>
              <w:topLinePunct w:val="0"/>
              <w:autoSpaceDE/>
              <w:autoSpaceDN/>
              <w:bidi w:val="0"/>
              <w:adjustRightInd/>
              <w:snapToGrid/>
              <w:ind w:firstLine="630" w:firstLineChars="3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废气：</w:t>
            </w:r>
          </w:p>
          <w:tbl>
            <w:tblPr>
              <w:tblStyle w:val="23"/>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299"/>
              <w:gridCol w:w="1413"/>
              <w:gridCol w:w="1146"/>
              <w:gridCol w:w="1125"/>
              <w:gridCol w:w="876"/>
              <w:gridCol w:w="1299"/>
              <w:gridCol w:w="1062"/>
            </w:tblGrid>
            <w:tr w14:paraId="0252DD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68" w:hRule="atLeast"/>
                <w:jc w:val="center"/>
              </w:trPr>
              <w:tc>
                <w:tcPr>
                  <w:tcW w:w="1299" w:type="dxa"/>
                  <w:vMerge w:val="restart"/>
                  <w:tcBorders>
                    <w:tl2br w:val="nil"/>
                    <w:tr2bl w:val="nil"/>
                  </w:tcBorders>
                  <w:shd w:val="clear" w:color="auto" w:fill="auto"/>
                  <w:noWrap/>
                  <w:vAlign w:val="center"/>
                </w:tcPr>
                <w:p w14:paraId="7D4BFD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污染物</w:t>
                  </w:r>
                </w:p>
              </w:tc>
              <w:tc>
                <w:tcPr>
                  <w:tcW w:w="2559" w:type="dxa"/>
                  <w:gridSpan w:val="2"/>
                  <w:tcBorders>
                    <w:tl2br w:val="nil"/>
                    <w:tr2bl w:val="nil"/>
                  </w:tcBorders>
                  <w:shd w:val="clear" w:color="auto" w:fill="auto"/>
                  <w:noWrap/>
                  <w:vAlign w:val="center"/>
                </w:tcPr>
                <w:p w14:paraId="7C6526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现有项目（已扣消减量）</w:t>
                  </w:r>
                </w:p>
              </w:tc>
              <w:tc>
                <w:tcPr>
                  <w:tcW w:w="2001" w:type="dxa"/>
                  <w:gridSpan w:val="2"/>
                  <w:tcBorders>
                    <w:tl2br w:val="nil"/>
                    <w:tr2bl w:val="nil"/>
                  </w:tcBorders>
                  <w:shd w:val="clear" w:color="auto" w:fill="auto"/>
                  <w:vAlign w:val="center"/>
                </w:tcPr>
                <w:p w14:paraId="7ED865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本工程</w:t>
                  </w:r>
                </w:p>
              </w:tc>
              <w:tc>
                <w:tcPr>
                  <w:tcW w:w="2361" w:type="dxa"/>
                  <w:gridSpan w:val="2"/>
                  <w:tcBorders>
                    <w:tl2br w:val="nil"/>
                    <w:tr2bl w:val="nil"/>
                  </w:tcBorders>
                  <w:shd w:val="clear" w:color="auto" w:fill="auto"/>
                  <w:noWrap/>
                  <w:vAlign w:val="center"/>
                </w:tcPr>
                <w:p w14:paraId="029CFD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建议</w:t>
                  </w:r>
                  <w:r>
                    <w:rPr>
                      <w:rFonts w:hint="default" w:ascii="Times New Roman" w:hAnsi="Times New Roman" w:eastAsia="宋体" w:cs="Times New Roman"/>
                      <w:i w:val="0"/>
                      <w:iCs w:val="0"/>
                      <w:color w:val="000000"/>
                      <w:kern w:val="0"/>
                      <w:sz w:val="21"/>
                      <w:szCs w:val="21"/>
                      <w:u w:val="none"/>
                      <w:lang w:val="en-US" w:eastAsia="zh-CN" w:bidi="ar"/>
                    </w:rPr>
                    <w:t>全厂</w:t>
                  </w:r>
                  <w:r>
                    <w:rPr>
                      <w:rFonts w:hint="eastAsia" w:ascii="Times New Roman" w:hAnsi="Times New Roman" w:eastAsia="宋体" w:cs="Times New Roman"/>
                      <w:i w:val="0"/>
                      <w:iCs w:val="0"/>
                      <w:color w:val="000000"/>
                      <w:kern w:val="0"/>
                      <w:sz w:val="21"/>
                      <w:szCs w:val="21"/>
                      <w:u w:val="none"/>
                      <w:lang w:val="en-US" w:eastAsia="zh-CN" w:bidi="ar"/>
                    </w:rPr>
                    <w:t>总量控制指标</w:t>
                  </w:r>
                </w:p>
              </w:tc>
            </w:tr>
            <w:tr w14:paraId="5261D9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1299" w:type="dxa"/>
                  <w:vMerge w:val="continue"/>
                  <w:tcBorders>
                    <w:tl2br w:val="nil"/>
                    <w:tr2bl w:val="nil"/>
                  </w:tcBorders>
                  <w:shd w:val="clear" w:color="auto" w:fill="auto"/>
                  <w:noWrap/>
                  <w:vAlign w:val="center"/>
                </w:tcPr>
                <w:p w14:paraId="4CED6D7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413" w:type="dxa"/>
                  <w:tcBorders>
                    <w:tl2br w:val="nil"/>
                    <w:tr2bl w:val="nil"/>
                  </w:tcBorders>
                  <w:shd w:val="clear" w:color="auto" w:fill="auto"/>
                  <w:noWrap/>
                  <w:vAlign w:val="center"/>
                </w:tcPr>
                <w:p w14:paraId="36C71B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有组织</w:t>
                  </w:r>
                </w:p>
              </w:tc>
              <w:tc>
                <w:tcPr>
                  <w:tcW w:w="1146" w:type="dxa"/>
                  <w:tcBorders>
                    <w:tl2br w:val="nil"/>
                    <w:tr2bl w:val="nil"/>
                  </w:tcBorders>
                  <w:shd w:val="clear" w:color="auto" w:fill="auto"/>
                  <w:noWrap/>
                  <w:vAlign w:val="center"/>
                </w:tcPr>
                <w:p w14:paraId="5F5630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无组织</w:t>
                  </w:r>
                </w:p>
              </w:tc>
              <w:tc>
                <w:tcPr>
                  <w:tcW w:w="1125" w:type="dxa"/>
                  <w:tcBorders>
                    <w:tl2br w:val="nil"/>
                    <w:tr2bl w:val="nil"/>
                  </w:tcBorders>
                  <w:shd w:val="clear" w:color="auto" w:fill="auto"/>
                  <w:noWrap/>
                  <w:vAlign w:val="center"/>
                </w:tcPr>
                <w:p w14:paraId="5F0234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有组织</w:t>
                  </w:r>
                </w:p>
              </w:tc>
              <w:tc>
                <w:tcPr>
                  <w:tcW w:w="876" w:type="dxa"/>
                  <w:tcBorders>
                    <w:tl2br w:val="nil"/>
                    <w:tr2bl w:val="nil"/>
                  </w:tcBorders>
                  <w:shd w:val="clear" w:color="auto" w:fill="auto"/>
                  <w:noWrap/>
                  <w:vAlign w:val="center"/>
                </w:tcPr>
                <w:p w14:paraId="612A32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无组织</w:t>
                  </w:r>
                </w:p>
              </w:tc>
              <w:tc>
                <w:tcPr>
                  <w:tcW w:w="1299" w:type="dxa"/>
                  <w:tcBorders>
                    <w:tl2br w:val="nil"/>
                    <w:tr2bl w:val="nil"/>
                  </w:tcBorders>
                  <w:shd w:val="clear" w:color="auto" w:fill="auto"/>
                  <w:noWrap/>
                  <w:vAlign w:val="center"/>
                </w:tcPr>
                <w:p w14:paraId="0B9661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有组织</w:t>
                  </w:r>
                </w:p>
              </w:tc>
              <w:tc>
                <w:tcPr>
                  <w:tcW w:w="1062" w:type="dxa"/>
                  <w:tcBorders>
                    <w:tl2br w:val="nil"/>
                    <w:tr2bl w:val="nil"/>
                  </w:tcBorders>
                  <w:shd w:val="clear" w:color="auto" w:fill="auto"/>
                  <w:noWrap/>
                  <w:vAlign w:val="center"/>
                </w:tcPr>
                <w:p w14:paraId="6543E6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无组织</w:t>
                  </w:r>
                </w:p>
              </w:tc>
            </w:tr>
            <w:tr w14:paraId="61A1D4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5" w:hRule="atLeast"/>
                <w:jc w:val="center"/>
              </w:trPr>
              <w:tc>
                <w:tcPr>
                  <w:tcW w:w="1299" w:type="dxa"/>
                  <w:tcBorders>
                    <w:tl2br w:val="nil"/>
                    <w:tr2bl w:val="nil"/>
                  </w:tcBorders>
                  <w:shd w:val="clear" w:color="auto" w:fill="auto"/>
                  <w:noWrap/>
                  <w:vAlign w:val="center"/>
                </w:tcPr>
                <w:p w14:paraId="3B41B8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413" w:type="dxa"/>
                  <w:tcBorders>
                    <w:tl2br w:val="nil"/>
                    <w:tr2bl w:val="nil"/>
                  </w:tcBorders>
                  <w:shd w:val="clear" w:color="auto" w:fill="auto"/>
                  <w:noWrap/>
                  <w:vAlign w:val="center"/>
                </w:tcPr>
                <w:p w14:paraId="2C0EFD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0.1582 </w:t>
                  </w:r>
                </w:p>
              </w:tc>
              <w:tc>
                <w:tcPr>
                  <w:tcW w:w="1146" w:type="dxa"/>
                  <w:tcBorders>
                    <w:tl2br w:val="nil"/>
                    <w:tr2bl w:val="nil"/>
                  </w:tcBorders>
                  <w:shd w:val="clear" w:color="auto" w:fill="auto"/>
                  <w:noWrap/>
                  <w:vAlign w:val="center"/>
                </w:tcPr>
                <w:p w14:paraId="709273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0.1977 </w:t>
                  </w:r>
                </w:p>
              </w:tc>
              <w:tc>
                <w:tcPr>
                  <w:tcW w:w="1125" w:type="dxa"/>
                  <w:tcBorders>
                    <w:tl2br w:val="nil"/>
                    <w:tr2bl w:val="nil"/>
                  </w:tcBorders>
                  <w:shd w:val="clear" w:color="auto" w:fill="auto"/>
                  <w:noWrap/>
                  <w:vAlign w:val="center"/>
                </w:tcPr>
                <w:p w14:paraId="0092E6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0.7437 </w:t>
                  </w:r>
                </w:p>
              </w:tc>
              <w:tc>
                <w:tcPr>
                  <w:tcW w:w="876" w:type="dxa"/>
                  <w:tcBorders>
                    <w:tl2br w:val="nil"/>
                    <w:tr2bl w:val="nil"/>
                  </w:tcBorders>
                  <w:shd w:val="clear" w:color="auto" w:fill="auto"/>
                  <w:noWrap/>
                  <w:vAlign w:val="center"/>
                </w:tcPr>
                <w:p w14:paraId="3F9C7A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0.6736 </w:t>
                  </w:r>
                </w:p>
              </w:tc>
              <w:tc>
                <w:tcPr>
                  <w:tcW w:w="1299" w:type="dxa"/>
                  <w:tcBorders>
                    <w:tl2br w:val="nil"/>
                    <w:tr2bl w:val="nil"/>
                  </w:tcBorders>
                  <w:shd w:val="clear" w:color="auto" w:fill="auto"/>
                  <w:noWrap/>
                  <w:vAlign w:val="center"/>
                </w:tcPr>
                <w:p w14:paraId="72A46F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0.9019 </w:t>
                  </w:r>
                </w:p>
              </w:tc>
              <w:tc>
                <w:tcPr>
                  <w:tcW w:w="1062" w:type="dxa"/>
                  <w:tcBorders>
                    <w:tl2br w:val="nil"/>
                    <w:tr2bl w:val="nil"/>
                  </w:tcBorders>
                  <w:shd w:val="clear" w:color="auto" w:fill="auto"/>
                  <w:noWrap/>
                  <w:vAlign w:val="center"/>
                </w:tcPr>
                <w:p w14:paraId="46DD7B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0.8713 </w:t>
                  </w:r>
                </w:p>
              </w:tc>
            </w:tr>
            <w:tr w14:paraId="50F53D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5" w:hRule="atLeast"/>
                <w:jc w:val="center"/>
              </w:trPr>
              <w:tc>
                <w:tcPr>
                  <w:tcW w:w="1299" w:type="dxa"/>
                  <w:tcBorders>
                    <w:tl2br w:val="nil"/>
                    <w:tr2bl w:val="nil"/>
                  </w:tcBorders>
                  <w:shd w:val="clear" w:color="auto" w:fill="auto"/>
                  <w:noWrap/>
                  <w:vAlign w:val="center"/>
                </w:tcPr>
                <w:p w14:paraId="60D9B4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氮氧化物</w:t>
                  </w:r>
                </w:p>
              </w:tc>
              <w:tc>
                <w:tcPr>
                  <w:tcW w:w="1413" w:type="dxa"/>
                  <w:tcBorders>
                    <w:tl2br w:val="nil"/>
                    <w:tr2bl w:val="nil"/>
                  </w:tcBorders>
                  <w:shd w:val="clear" w:color="auto" w:fill="auto"/>
                  <w:noWrap/>
                  <w:vAlign w:val="center"/>
                </w:tcPr>
                <w:p w14:paraId="51CDA5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46" w:type="dxa"/>
                  <w:tcBorders>
                    <w:tl2br w:val="nil"/>
                    <w:tr2bl w:val="nil"/>
                  </w:tcBorders>
                  <w:shd w:val="clear" w:color="auto" w:fill="auto"/>
                  <w:noWrap/>
                  <w:vAlign w:val="center"/>
                </w:tcPr>
                <w:p w14:paraId="4620B8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25" w:type="dxa"/>
                  <w:tcBorders>
                    <w:tl2br w:val="nil"/>
                    <w:tr2bl w:val="nil"/>
                  </w:tcBorders>
                  <w:shd w:val="clear" w:color="auto" w:fill="auto"/>
                  <w:noWrap/>
                  <w:vAlign w:val="center"/>
                </w:tcPr>
                <w:p w14:paraId="5E08DE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0.4489</w:t>
                  </w:r>
                </w:p>
              </w:tc>
              <w:tc>
                <w:tcPr>
                  <w:tcW w:w="876" w:type="dxa"/>
                  <w:tcBorders>
                    <w:tl2br w:val="nil"/>
                    <w:tr2bl w:val="nil"/>
                  </w:tcBorders>
                  <w:shd w:val="clear" w:color="auto" w:fill="auto"/>
                  <w:noWrap/>
                  <w:vAlign w:val="center"/>
                </w:tcPr>
                <w:p w14:paraId="23A1D9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99" w:type="dxa"/>
                  <w:tcBorders>
                    <w:tl2br w:val="nil"/>
                    <w:tr2bl w:val="nil"/>
                  </w:tcBorders>
                  <w:shd w:val="clear" w:color="auto" w:fill="auto"/>
                  <w:noWrap/>
                  <w:vAlign w:val="center"/>
                </w:tcPr>
                <w:p w14:paraId="3DDD4E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0.4489 </w:t>
                  </w:r>
                </w:p>
              </w:tc>
              <w:tc>
                <w:tcPr>
                  <w:tcW w:w="1062" w:type="dxa"/>
                  <w:tcBorders>
                    <w:tl2br w:val="nil"/>
                    <w:tr2bl w:val="nil"/>
                  </w:tcBorders>
                  <w:shd w:val="clear" w:color="auto" w:fill="auto"/>
                  <w:noWrap/>
                  <w:vAlign w:val="center"/>
                </w:tcPr>
                <w:p w14:paraId="40B6BDA2">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07D9E1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3" w:hRule="atLeast"/>
                <w:jc w:val="center"/>
              </w:trPr>
              <w:tc>
                <w:tcPr>
                  <w:tcW w:w="1299" w:type="dxa"/>
                  <w:tcBorders>
                    <w:tl2br w:val="nil"/>
                    <w:tr2bl w:val="nil"/>
                  </w:tcBorders>
                  <w:shd w:val="clear" w:color="auto" w:fill="auto"/>
                  <w:noWrap/>
                  <w:vAlign w:val="center"/>
                </w:tcPr>
                <w:p w14:paraId="70725F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二氧化硫</w:t>
                  </w:r>
                </w:p>
              </w:tc>
              <w:tc>
                <w:tcPr>
                  <w:tcW w:w="1413" w:type="dxa"/>
                  <w:tcBorders>
                    <w:tl2br w:val="nil"/>
                    <w:tr2bl w:val="nil"/>
                  </w:tcBorders>
                  <w:shd w:val="clear" w:color="auto" w:fill="auto"/>
                  <w:noWrap/>
                  <w:vAlign w:val="center"/>
                </w:tcPr>
                <w:p w14:paraId="762115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46" w:type="dxa"/>
                  <w:tcBorders>
                    <w:tl2br w:val="nil"/>
                    <w:tr2bl w:val="nil"/>
                  </w:tcBorders>
                  <w:shd w:val="clear" w:color="auto" w:fill="auto"/>
                  <w:noWrap/>
                  <w:vAlign w:val="center"/>
                </w:tcPr>
                <w:p w14:paraId="5EBF9B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25" w:type="dxa"/>
                  <w:tcBorders>
                    <w:tl2br w:val="nil"/>
                    <w:tr2bl w:val="nil"/>
                  </w:tcBorders>
                  <w:shd w:val="clear" w:color="auto" w:fill="auto"/>
                  <w:noWrap/>
                  <w:vAlign w:val="center"/>
                </w:tcPr>
                <w:p w14:paraId="259190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0.026</w:t>
                  </w:r>
                  <w:r>
                    <w:rPr>
                      <w:rFonts w:hint="eastAsia" w:ascii="Times New Roman" w:hAnsi="Times New Roman" w:eastAsia="宋体" w:cs="Times New Roman"/>
                      <w:i w:val="0"/>
                      <w:iCs w:val="0"/>
                      <w:color w:val="000000"/>
                      <w:kern w:val="0"/>
                      <w:sz w:val="21"/>
                      <w:szCs w:val="21"/>
                      <w:u w:val="none"/>
                      <w:lang w:val="en-US" w:eastAsia="zh-CN" w:bidi="ar"/>
                    </w:rPr>
                    <w:t>4</w:t>
                  </w:r>
                </w:p>
              </w:tc>
              <w:tc>
                <w:tcPr>
                  <w:tcW w:w="876" w:type="dxa"/>
                  <w:tcBorders>
                    <w:tl2br w:val="nil"/>
                    <w:tr2bl w:val="nil"/>
                  </w:tcBorders>
                  <w:shd w:val="clear" w:color="auto" w:fill="auto"/>
                  <w:noWrap/>
                  <w:vAlign w:val="center"/>
                </w:tcPr>
                <w:p w14:paraId="48D08F1F">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1299" w:type="dxa"/>
                  <w:tcBorders>
                    <w:tl2br w:val="nil"/>
                    <w:tr2bl w:val="nil"/>
                  </w:tcBorders>
                  <w:shd w:val="clear" w:color="auto" w:fill="auto"/>
                  <w:noWrap/>
                  <w:vAlign w:val="center"/>
                </w:tcPr>
                <w:p w14:paraId="38DFC3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0.0264 </w:t>
                  </w:r>
                </w:p>
              </w:tc>
              <w:tc>
                <w:tcPr>
                  <w:tcW w:w="1062" w:type="dxa"/>
                  <w:tcBorders>
                    <w:tl2br w:val="nil"/>
                    <w:tr2bl w:val="nil"/>
                  </w:tcBorders>
                  <w:shd w:val="clear" w:color="auto" w:fill="auto"/>
                  <w:noWrap/>
                  <w:vAlign w:val="center"/>
                </w:tcPr>
                <w:p w14:paraId="44DAAA5B">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r>
            <w:tr w14:paraId="0EA1E1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jc w:val="center"/>
              </w:trPr>
              <w:tc>
                <w:tcPr>
                  <w:tcW w:w="1299" w:type="dxa"/>
                  <w:tcBorders>
                    <w:tl2br w:val="nil"/>
                    <w:tr2bl w:val="nil"/>
                  </w:tcBorders>
                  <w:shd w:val="clear" w:color="auto" w:fill="auto"/>
                  <w:noWrap/>
                  <w:vAlign w:val="center"/>
                </w:tcPr>
                <w:p w14:paraId="7DA3F6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1413" w:type="dxa"/>
                  <w:tcBorders>
                    <w:tl2br w:val="nil"/>
                    <w:tr2bl w:val="nil"/>
                  </w:tcBorders>
                  <w:shd w:val="clear" w:color="auto" w:fill="auto"/>
                  <w:noWrap/>
                  <w:vAlign w:val="center"/>
                </w:tcPr>
                <w:p w14:paraId="306217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0.1139 </w:t>
                  </w:r>
                </w:p>
              </w:tc>
              <w:tc>
                <w:tcPr>
                  <w:tcW w:w="1146" w:type="dxa"/>
                  <w:tcBorders>
                    <w:tl2br w:val="nil"/>
                    <w:tr2bl w:val="nil"/>
                  </w:tcBorders>
                  <w:shd w:val="clear" w:color="auto" w:fill="auto"/>
                  <w:noWrap/>
                  <w:vAlign w:val="center"/>
                </w:tcPr>
                <w:p w14:paraId="14F23D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0.7121 </w:t>
                  </w:r>
                </w:p>
              </w:tc>
              <w:tc>
                <w:tcPr>
                  <w:tcW w:w="1125" w:type="dxa"/>
                  <w:tcBorders>
                    <w:tl2br w:val="nil"/>
                    <w:tr2bl w:val="nil"/>
                  </w:tcBorders>
                  <w:shd w:val="clear" w:color="auto" w:fill="auto"/>
                  <w:noWrap/>
                  <w:vAlign w:val="center"/>
                </w:tcPr>
                <w:p w14:paraId="7FF2B3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0.6576 </w:t>
                  </w:r>
                </w:p>
              </w:tc>
              <w:tc>
                <w:tcPr>
                  <w:tcW w:w="876" w:type="dxa"/>
                  <w:tcBorders>
                    <w:tl2br w:val="nil"/>
                    <w:tr2bl w:val="nil"/>
                  </w:tcBorders>
                  <w:shd w:val="clear" w:color="auto" w:fill="auto"/>
                  <w:noWrap/>
                  <w:vAlign w:val="center"/>
                </w:tcPr>
                <w:p w14:paraId="5BF84C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0.7835 </w:t>
                  </w:r>
                </w:p>
              </w:tc>
              <w:tc>
                <w:tcPr>
                  <w:tcW w:w="1299" w:type="dxa"/>
                  <w:tcBorders>
                    <w:tl2br w:val="nil"/>
                    <w:tr2bl w:val="nil"/>
                  </w:tcBorders>
                  <w:shd w:val="clear" w:color="auto" w:fill="auto"/>
                  <w:noWrap/>
                  <w:vAlign w:val="center"/>
                </w:tcPr>
                <w:p w14:paraId="04BB5F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0.7715 </w:t>
                  </w:r>
                </w:p>
              </w:tc>
              <w:tc>
                <w:tcPr>
                  <w:tcW w:w="1062" w:type="dxa"/>
                  <w:tcBorders>
                    <w:tl2br w:val="nil"/>
                    <w:tr2bl w:val="nil"/>
                  </w:tcBorders>
                  <w:shd w:val="clear" w:color="auto" w:fill="auto"/>
                  <w:noWrap/>
                  <w:vAlign w:val="center"/>
                </w:tcPr>
                <w:p w14:paraId="731FAA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1.4956 </w:t>
                  </w:r>
                </w:p>
              </w:tc>
            </w:tr>
          </w:tbl>
          <w:p w14:paraId="1B6C9FA4">
            <w:pPr>
              <w:pStyle w:val="2"/>
              <w:keepNext w:val="0"/>
              <w:keepLines w:val="0"/>
              <w:pageBreakBefore w:val="0"/>
              <w:widowControl w:val="0"/>
              <w:kinsoku/>
              <w:wordWrap/>
              <w:overflowPunct/>
              <w:topLinePunct w:val="0"/>
              <w:autoSpaceDE/>
              <w:autoSpaceDN/>
              <w:bidi w:val="0"/>
              <w:adjustRightInd/>
              <w:snapToGrid/>
              <w:ind w:firstLine="630" w:firstLineChars="300"/>
              <w:textAlignment w:val="auto"/>
              <w:rPr>
                <w:rFonts w:hint="eastAsia" w:ascii="Times New Roman" w:hAnsi="Times New Roman" w:eastAsia="宋体" w:cs="Times New Roman"/>
                <w:color w:val="auto"/>
                <w:highlight w:val="none"/>
                <w:lang w:val="en-US" w:eastAsia="zh-CN"/>
              </w:rPr>
            </w:pPr>
          </w:p>
          <w:p w14:paraId="6E0A61A3">
            <w:pPr>
              <w:pStyle w:val="2"/>
              <w:keepNext w:val="0"/>
              <w:keepLines w:val="0"/>
              <w:pageBreakBefore w:val="0"/>
              <w:widowControl w:val="0"/>
              <w:kinsoku/>
              <w:wordWrap/>
              <w:overflowPunct/>
              <w:topLinePunct w:val="0"/>
              <w:autoSpaceDE/>
              <w:autoSpaceDN/>
              <w:bidi w:val="0"/>
              <w:adjustRightInd/>
              <w:snapToGrid/>
              <w:ind w:firstLine="630" w:firstLineChars="30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废水 :</w:t>
            </w:r>
          </w:p>
          <w:tbl>
            <w:tblPr>
              <w:tblStyle w:val="23"/>
              <w:tblW w:w="74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74"/>
              <w:gridCol w:w="2084"/>
              <w:gridCol w:w="3"/>
              <w:gridCol w:w="2095"/>
              <w:gridCol w:w="1942"/>
            </w:tblGrid>
            <w:tr w14:paraId="531CA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374" w:type="dxa"/>
                  <w:tcBorders>
                    <w:tl2br w:val="nil"/>
                    <w:tr2bl w:val="nil"/>
                  </w:tcBorders>
                  <w:shd w:val="clear" w:color="auto" w:fill="auto"/>
                  <w:noWrap/>
                  <w:vAlign w:val="center"/>
                </w:tcPr>
                <w:p w14:paraId="4CDCBE8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污染物</w:t>
                  </w:r>
                </w:p>
              </w:tc>
              <w:tc>
                <w:tcPr>
                  <w:tcW w:w="2087" w:type="dxa"/>
                  <w:gridSpan w:val="2"/>
                  <w:tcBorders>
                    <w:tl2br w:val="nil"/>
                    <w:tr2bl w:val="nil"/>
                  </w:tcBorders>
                  <w:shd w:val="clear" w:color="auto" w:fill="auto"/>
                  <w:noWrap/>
                  <w:vAlign w:val="center"/>
                </w:tcPr>
                <w:p w14:paraId="67BD0F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废水排放量（t/a)</w:t>
                  </w:r>
                </w:p>
              </w:tc>
              <w:tc>
                <w:tcPr>
                  <w:tcW w:w="2095" w:type="dxa"/>
                  <w:tcBorders>
                    <w:tl2br w:val="nil"/>
                    <w:tr2bl w:val="nil"/>
                  </w:tcBorders>
                  <w:shd w:val="clear" w:color="auto" w:fill="auto"/>
                  <w:noWrap/>
                  <w:vAlign w:val="center"/>
                </w:tcPr>
                <w:p w14:paraId="1A6997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外排污水处理厂（t/a)</w:t>
                  </w:r>
                </w:p>
              </w:tc>
              <w:tc>
                <w:tcPr>
                  <w:tcW w:w="1942" w:type="dxa"/>
                  <w:tcBorders>
                    <w:tl2br w:val="nil"/>
                    <w:tr2bl w:val="nil"/>
                  </w:tcBorders>
                  <w:shd w:val="clear" w:color="auto" w:fill="auto"/>
                  <w:noWrap/>
                  <w:vAlign w:val="center"/>
                </w:tcPr>
                <w:p w14:paraId="6B9257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污水处理厂外排郪江（t/a)</w:t>
                  </w:r>
                </w:p>
              </w:tc>
            </w:tr>
            <w:tr w14:paraId="288FC6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6" w:hRule="atLeast"/>
                <w:jc w:val="center"/>
              </w:trPr>
              <w:tc>
                <w:tcPr>
                  <w:tcW w:w="1374" w:type="dxa"/>
                  <w:tcBorders>
                    <w:tl2br w:val="nil"/>
                    <w:tr2bl w:val="nil"/>
                  </w:tcBorders>
                  <w:shd w:val="clear" w:color="auto" w:fill="auto"/>
                  <w:noWrap/>
                  <w:vAlign w:val="center"/>
                </w:tcPr>
                <w:p w14:paraId="0D46A8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化学耗氧量</w:t>
                  </w:r>
                </w:p>
              </w:tc>
              <w:tc>
                <w:tcPr>
                  <w:tcW w:w="2084" w:type="dxa"/>
                  <w:vMerge w:val="restart"/>
                  <w:tcBorders>
                    <w:tl2br w:val="nil"/>
                    <w:tr2bl w:val="nil"/>
                  </w:tcBorders>
                  <w:shd w:val="clear" w:color="auto" w:fill="auto"/>
                  <w:noWrap/>
                  <w:vAlign w:val="center"/>
                </w:tcPr>
                <w:p w14:paraId="0A09B3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19080</w:t>
                  </w:r>
                </w:p>
              </w:tc>
              <w:tc>
                <w:tcPr>
                  <w:tcW w:w="2098" w:type="dxa"/>
                  <w:gridSpan w:val="2"/>
                  <w:tcBorders>
                    <w:tl2br w:val="nil"/>
                    <w:tr2bl w:val="nil"/>
                  </w:tcBorders>
                  <w:shd w:val="clear" w:color="auto" w:fill="auto"/>
                  <w:noWrap/>
                  <w:vAlign w:val="center"/>
                </w:tcPr>
                <w:p w14:paraId="4E5B97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9.1800 </w:t>
                  </w:r>
                </w:p>
              </w:tc>
              <w:tc>
                <w:tcPr>
                  <w:tcW w:w="1942" w:type="dxa"/>
                  <w:tcBorders>
                    <w:tl2br w:val="nil"/>
                    <w:tr2bl w:val="nil"/>
                  </w:tcBorders>
                  <w:shd w:val="clear" w:color="auto" w:fill="auto"/>
                  <w:noWrap/>
                  <w:vAlign w:val="center"/>
                </w:tcPr>
                <w:p w14:paraId="3D49DF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0.3816 </w:t>
                  </w:r>
                </w:p>
              </w:tc>
            </w:tr>
            <w:tr w14:paraId="51249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374" w:type="dxa"/>
                  <w:tcBorders>
                    <w:tl2br w:val="nil"/>
                    <w:tr2bl w:val="nil"/>
                  </w:tcBorders>
                  <w:shd w:val="clear" w:color="auto" w:fill="auto"/>
                  <w:noWrap/>
                  <w:vAlign w:val="center"/>
                </w:tcPr>
                <w:p w14:paraId="232524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2084" w:type="dxa"/>
                  <w:vMerge w:val="continue"/>
                  <w:tcBorders>
                    <w:tl2br w:val="nil"/>
                    <w:tr2bl w:val="nil"/>
                  </w:tcBorders>
                  <w:shd w:val="clear" w:color="auto" w:fill="auto"/>
                  <w:noWrap/>
                  <w:vAlign w:val="center"/>
                </w:tcPr>
                <w:p w14:paraId="51349E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98" w:type="dxa"/>
                  <w:gridSpan w:val="2"/>
                  <w:tcBorders>
                    <w:tl2br w:val="nil"/>
                    <w:tr2bl w:val="nil"/>
                  </w:tcBorders>
                  <w:shd w:val="clear" w:color="auto" w:fill="auto"/>
                  <w:noWrap/>
                  <w:vAlign w:val="center"/>
                </w:tcPr>
                <w:p w14:paraId="5C755B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0.8316 </w:t>
                  </w:r>
                </w:p>
              </w:tc>
              <w:tc>
                <w:tcPr>
                  <w:tcW w:w="1942" w:type="dxa"/>
                  <w:tcBorders>
                    <w:tl2br w:val="nil"/>
                    <w:tr2bl w:val="nil"/>
                  </w:tcBorders>
                  <w:shd w:val="clear" w:color="auto" w:fill="auto"/>
                  <w:noWrap/>
                  <w:vAlign w:val="center"/>
                </w:tcPr>
                <w:p w14:paraId="5C9C47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0.0286 </w:t>
                  </w:r>
                </w:p>
              </w:tc>
            </w:tr>
            <w:tr w14:paraId="59606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374" w:type="dxa"/>
                  <w:tcBorders>
                    <w:tl2br w:val="nil"/>
                    <w:tr2bl w:val="nil"/>
                  </w:tcBorders>
                  <w:shd w:val="clear" w:color="auto" w:fill="auto"/>
                  <w:noWrap/>
                  <w:vAlign w:val="center"/>
                </w:tcPr>
                <w:p w14:paraId="19CA28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TP</w:t>
                  </w:r>
                </w:p>
              </w:tc>
              <w:tc>
                <w:tcPr>
                  <w:tcW w:w="2084" w:type="dxa"/>
                  <w:vMerge w:val="continue"/>
                  <w:tcBorders>
                    <w:tl2br w:val="nil"/>
                    <w:tr2bl w:val="nil"/>
                  </w:tcBorders>
                  <w:shd w:val="clear" w:color="auto" w:fill="auto"/>
                  <w:noWrap/>
                  <w:vAlign w:val="center"/>
                </w:tcPr>
                <w:p w14:paraId="2D8B85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98" w:type="dxa"/>
                  <w:gridSpan w:val="2"/>
                  <w:tcBorders>
                    <w:tl2br w:val="nil"/>
                    <w:tr2bl w:val="nil"/>
                  </w:tcBorders>
                  <w:shd w:val="clear" w:color="auto" w:fill="auto"/>
                  <w:noWrap/>
                  <w:vAlign w:val="center"/>
                </w:tcPr>
                <w:p w14:paraId="4A1725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0.1400 </w:t>
                  </w:r>
                </w:p>
              </w:tc>
              <w:tc>
                <w:tcPr>
                  <w:tcW w:w="1942" w:type="dxa"/>
                  <w:tcBorders>
                    <w:tl2br w:val="nil"/>
                    <w:tr2bl w:val="nil"/>
                  </w:tcBorders>
                  <w:shd w:val="clear" w:color="auto" w:fill="auto"/>
                  <w:noWrap/>
                  <w:vAlign w:val="center"/>
                </w:tcPr>
                <w:p w14:paraId="1B82F5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0.0038 </w:t>
                  </w:r>
                </w:p>
              </w:tc>
            </w:tr>
            <w:tr w14:paraId="7DFE4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374" w:type="dxa"/>
                  <w:tcBorders>
                    <w:tl2br w:val="nil"/>
                    <w:tr2bl w:val="nil"/>
                  </w:tcBorders>
                  <w:shd w:val="clear" w:color="auto" w:fill="auto"/>
                  <w:noWrap/>
                  <w:vAlign w:val="center"/>
                </w:tcPr>
                <w:p w14:paraId="4E5DFC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TN</w:t>
                  </w:r>
                </w:p>
              </w:tc>
              <w:tc>
                <w:tcPr>
                  <w:tcW w:w="2084" w:type="dxa"/>
                  <w:vMerge w:val="continue"/>
                  <w:tcBorders>
                    <w:tl2br w:val="nil"/>
                    <w:tr2bl w:val="nil"/>
                  </w:tcBorders>
                  <w:shd w:val="clear" w:color="auto" w:fill="auto"/>
                  <w:noWrap/>
                  <w:vAlign w:val="center"/>
                </w:tcPr>
                <w:p w14:paraId="74394B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98" w:type="dxa"/>
                  <w:gridSpan w:val="2"/>
                  <w:tcBorders>
                    <w:tl2br w:val="nil"/>
                    <w:tr2bl w:val="nil"/>
                  </w:tcBorders>
                  <w:shd w:val="clear" w:color="auto" w:fill="auto"/>
                  <w:noWrap/>
                  <w:vAlign w:val="center"/>
                </w:tcPr>
                <w:p w14:paraId="09DF9D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1.2816 </w:t>
                  </w:r>
                </w:p>
              </w:tc>
              <w:tc>
                <w:tcPr>
                  <w:tcW w:w="1942" w:type="dxa"/>
                  <w:tcBorders>
                    <w:tl2br w:val="nil"/>
                    <w:tr2bl w:val="nil"/>
                  </w:tcBorders>
                  <w:shd w:val="clear" w:color="auto" w:fill="auto"/>
                  <w:noWrap/>
                  <w:vAlign w:val="center"/>
                </w:tcPr>
                <w:p w14:paraId="4EDA9B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0.0191 </w:t>
                  </w:r>
                </w:p>
              </w:tc>
            </w:tr>
          </w:tbl>
          <w:p w14:paraId="321E1472">
            <w:pPr>
              <w:rPr>
                <w:rFonts w:hint="default" w:ascii="Times New Roman" w:hAnsi="Times New Roman" w:cs="Times New Roman"/>
                <w:color w:val="auto"/>
                <w:highlight w:val="none"/>
                <w:lang w:val="en-US" w:eastAsia="zh-CN"/>
              </w:rPr>
            </w:pPr>
          </w:p>
          <w:p w14:paraId="767D025A">
            <w:pPr>
              <w:rPr>
                <w:rFonts w:hint="default" w:ascii="Times New Roman" w:hAnsi="Times New Roman" w:cs="Times New Roman"/>
                <w:color w:val="auto"/>
                <w:highlight w:val="none"/>
                <w:lang w:val="en-US" w:eastAsia="zh-CN"/>
              </w:rPr>
            </w:pPr>
          </w:p>
          <w:p w14:paraId="21A8B9B2">
            <w:pPr>
              <w:rPr>
                <w:rFonts w:hint="default" w:ascii="Times New Roman" w:hAnsi="Times New Roman" w:cs="Times New Roman"/>
                <w:color w:val="auto"/>
                <w:highlight w:val="none"/>
                <w:lang w:val="en-US" w:eastAsia="zh-CN"/>
              </w:rPr>
            </w:pPr>
          </w:p>
          <w:p w14:paraId="38A26733">
            <w:pPr>
              <w:pStyle w:val="2"/>
              <w:rPr>
                <w:rFonts w:hint="default" w:ascii="Times New Roman" w:hAnsi="Times New Roman" w:cs="Times New Roman"/>
                <w:color w:val="auto"/>
                <w:highlight w:val="none"/>
                <w:lang w:val="en-US" w:eastAsia="zh-CN"/>
              </w:rPr>
            </w:pPr>
          </w:p>
          <w:p w14:paraId="316765EE">
            <w:pPr>
              <w:pStyle w:val="2"/>
              <w:rPr>
                <w:rFonts w:hint="default" w:ascii="Times New Roman" w:hAnsi="Times New Roman" w:cs="Times New Roman"/>
                <w:color w:val="auto"/>
                <w:highlight w:val="none"/>
                <w:lang w:val="en-US" w:eastAsia="zh-CN"/>
              </w:rPr>
            </w:pPr>
          </w:p>
          <w:p w14:paraId="0D3B4E8E">
            <w:pPr>
              <w:pStyle w:val="2"/>
              <w:rPr>
                <w:rFonts w:hint="default" w:ascii="Times New Roman" w:hAnsi="Times New Roman" w:cs="Times New Roman"/>
                <w:color w:val="auto"/>
                <w:highlight w:val="none"/>
                <w:lang w:val="en-US" w:eastAsia="zh-CN"/>
              </w:rPr>
            </w:pPr>
          </w:p>
          <w:p w14:paraId="21395502">
            <w:pPr>
              <w:pStyle w:val="2"/>
              <w:rPr>
                <w:rFonts w:hint="default" w:ascii="Times New Roman" w:hAnsi="Times New Roman" w:cs="Times New Roman"/>
                <w:color w:val="auto"/>
                <w:highlight w:val="none"/>
                <w:lang w:val="en-US" w:eastAsia="zh-CN"/>
              </w:rPr>
            </w:pPr>
          </w:p>
          <w:p w14:paraId="54EC1165">
            <w:pPr>
              <w:pStyle w:val="2"/>
              <w:rPr>
                <w:rFonts w:hint="default" w:ascii="Times New Roman" w:hAnsi="Times New Roman" w:cs="Times New Roman"/>
                <w:color w:val="auto"/>
                <w:highlight w:val="none"/>
                <w:lang w:val="en-US" w:eastAsia="zh-CN"/>
              </w:rPr>
            </w:pPr>
          </w:p>
          <w:p w14:paraId="6FECA9A7">
            <w:pPr>
              <w:pStyle w:val="2"/>
              <w:rPr>
                <w:rFonts w:hint="default" w:ascii="Times New Roman" w:hAnsi="Times New Roman" w:cs="Times New Roman"/>
                <w:color w:val="auto"/>
                <w:highlight w:val="none"/>
                <w:lang w:val="en-US" w:eastAsia="zh-CN"/>
              </w:rPr>
            </w:pPr>
          </w:p>
          <w:p w14:paraId="4C16C272">
            <w:pPr>
              <w:pStyle w:val="2"/>
              <w:rPr>
                <w:rFonts w:hint="default" w:ascii="Times New Roman" w:hAnsi="Times New Roman" w:cs="Times New Roman"/>
                <w:color w:val="auto"/>
                <w:highlight w:val="none"/>
                <w:lang w:val="en-US" w:eastAsia="zh-CN"/>
              </w:rPr>
            </w:pPr>
          </w:p>
          <w:p w14:paraId="0FEC03DA">
            <w:pPr>
              <w:pStyle w:val="2"/>
              <w:rPr>
                <w:rFonts w:hint="default" w:ascii="Times New Roman" w:hAnsi="Times New Roman" w:cs="Times New Roman"/>
                <w:color w:val="auto"/>
                <w:highlight w:val="none"/>
                <w:lang w:val="en-US" w:eastAsia="zh-CN"/>
              </w:rPr>
            </w:pPr>
          </w:p>
          <w:p w14:paraId="6F791466">
            <w:pPr>
              <w:pStyle w:val="2"/>
              <w:rPr>
                <w:rFonts w:hint="default" w:ascii="Times New Roman" w:hAnsi="Times New Roman" w:cs="Times New Roman"/>
                <w:color w:val="auto"/>
                <w:highlight w:val="none"/>
                <w:lang w:val="en-US" w:eastAsia="zh-CN"/>
              </w:rPr>
            </w:pPr>
          </w:p>
          <w:p w14:paraId="60A70E78">
            <w:pPr>
              <w:pStyle w:val="2"/>
              <w:rPr>
                <w:rFonts w:hint="default" w:ascii="Times New Roman" w:hAnsi="Times New Roman" w:cs="Times New Roman"/>
                <w:color w:val="auto"/>
                <w:highlight w:val="none"/>
                <w:lang w:val="en-US" w:eastAsia="zh-CN"/>
              </w:rPr>
            </w:pPr>
          </w:p>
          <w:p w14:paraId="61D01B16">
            <w:pPr>
              <w:pStyle w:val="2"/>
              <w:rPr>
                <w:rFonts w:hint="default" w:ascii="Times New Roman" w:hAnsi="Times New Roman" w:cs="Times New Roman"/>
                <w:color w:val="auto"/>
                <w:highlight w:val="none"/>
                <w:lang w:val="en-US" w:eastAsia="zh-CN"/>
              </w:rPr>
            </w:pPr>
          </w:p>
          <w:p w14:paraId="59F151EA">
            <w:pPr>
              <w:pStyle w:val="2"/>
              <w:rPr>
                <w:rFonts w:hint="default" w:ascii="Times New Roman" w:hAnsi="Times New Roman" w:cs="Times New Roman"/>
                <w:color w:val="auto"/>
                <w:highlight w:val="none"/>
                <w:lang w:val="en-US" w:eastAsia="zh-CN"/>
              </w:rPr>
            </w:pPr>
          </w:p>
          <w:p w14:paraId="051B8267">
            <w:pPr>
              <w:pStyle w:val="2"/>
              <w:rPr>
                <w:rFonts w:hint="default" w:ascii="Times New Roman" w:hAnsi="Times New Roman" w:cs="Times New Roman"/>
                <w:color w:val="auto"/>
                <w:highlight w:val="none"/>
                <w:lang w:val="en-US" w:eastAsia="zh-CN"/>
              </w:rPr>
            </w:pPr>
          </w:p>
          <w:p w14:paraId="00F74E33">
            <w:pPr>
              <w:pStyle w:val="2"/>
              <w:rPr>
                <w:rFonts w:hint="default" w:ascii="Times New Roman" w:hAnsi="Times New Roman" w:cs="Times New Roman"/>
                <w:color w:val="auto"/>
                <w:highlight w:val="none"/>
                <w:lang w:val="en-US" w:eastAsia="zh-CN"/>
              </w:rPr>
            </w:pPr>
          </w:p>
          <w:p w14:paraId="5D4E276C">
            <w:pPr>
              <w:pStyle w:val="2"/>
              <w:rPr>
                <w:rFonts w:hint="default" w:ascii="Times New Roman" w:hAnsi="Times New Roman" w:cs="Times New Roman"/>
                <w:color w:val="auto"/>
                <w:highlight w:val="none"/>
                <w:lang w:val="en-US" w:eastAsia="zh-CN"/>
              </w:rPr>
            </w:pPr>
          </w:p>
          <w:p w14:paraId="08F545DF">
            <w:pPr>
              <w:pStyle w:val="2"/>
              <w:rPr>
                <w:rFonts w:hint="default" w:ascii="Times New Roman" w:hAnsi="Times New Roman" w:cs="Times New Roman"/>
                <w:color w:val="auto"/>
                <w:highlight w:val="none"/>
                <w:lang w:val="en-US" w:eastAsia="zh-CN"/>
              </w:rPr>
            </w:pPr>
          </w:p>
          <w:p w14:paraId="2CFF0561">
            <w:pPr>
              <w:rPr>
                <w:rFonts w:hint="default" w:ascii="Times New Roman" w:hAnsi="Times New Roman" w:cs="Times New Roman"/>
                <w:color w:val="auto"/>
                <w:highlight w:val="none"/>
                <w:lang w:val="en-US" w:eastAsia="zh-CN"/>
              </w:rPr>
            </w:pPr>
          </w:p>
          <w:p w14:paraId="1AFB891F">
            <w:pPr>
              <w:rPr>
                <w:rFonts w:hint="default" w:ascii="Times New Roman" w:hAnsi="Times New Roman" w:cs="Times New Roman"/>
                <w:color w:val="auto"/>
                <w:highlight w:val="none"/>
                <w:lang w:val="en-US" w:eastAsia="zh-CN"/>
              </w:rPr>
            </w:pPr>
          </w:p>
        </w:tc>
      </w:tr>
    </w:tbl>
    <w:p w14:paraId="2B86C063">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none"/>
        </w:rPr>
        <w:br w:type="page"/>
      </w:r>
      <w:r>
        <w:rPr>
          <w:rFonts w:hint="default" w:ascii="Times New Roman" w:hAnsi="Times New Roman" w:eastAsia="黑体" w:cs="Times New Roman"/>
          <w:snapToGrid w:val="0"/>
          <w:color w:val="auto"/>
          <w:sz w:val="30"/>
          <w:szCs w:val="30"/>
          <w:highlight w:val="none"/>
        </w:rPr>
        <w:t>四、主要环境影响和保护措施</w:t>
      </w:r>
    </w:p>
    <w:tbl>
      <w:tblPr>
        <w:tblStyle w:val="2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7"/>
        <w:gridCol w:w="8401"/>
      </w:tblGrid>
      <w:tr w14:paraId="4FDB07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507" w:type="dxa"/>
            <w:noWrap w:val="0"/>
            <w:tcMar>
              <w:left w:w="28" w:type="dxa"/>
              <w:right w:w="28" w:type="dxa"/>
            </w:tcMar>
            <w:vAlign w:val="center"/>
          </w:tcPr>
          <w:p w14:paraId="6F83291D">
            <w:pPr>
              <w:pStyle w:val="20"/>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施工</w:t>
            </w:r>
          </w:p>
          <w:p w14:paraId="1D7539E8">
            <w:pPr>
              <w:pStyle w:val="20"/>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期环</w:t>
            </w:r>
          </w:p>
          <w:p w14:paraId="20D385EB">
            <w:pPr>
              <w:pStyle w:val="20"/>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境保</w:t>
            </w:r>
          </w:p>
          <w:p w14:paraId="68F3FE3E">
            <w:pPr>
              <w:pStyle w:val="20"/>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护措</w:t>
            </w:r>
          </w:p>
          <w:p w14:paraId="353B27AD">
            <w:pPr>
              <w:pStyle w:val="20"/>
              <w:adjustRightInd w:val="0"/>
              <w:snapToGrid w:val="0"/>
              <w:spacing w:before="0" w:beforeAutospacing="0" w:after="0" w:afterAutospacing="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1"/>
                <w:szCs w:val="21"/>
                <w:highlight w:val="none"/>
              </w:rPr>
              <w:t>施</w:t>
            </w:r>
          </w:p>
        </w:tc>
        <w:tc>
          <w:tcPr>
            <w:tcW w:w="8401" w:type="dxa"/>
            <w:noWrap w:val="0"/>
            <w:vAlign w:val="center"/>
          </w:tcPr>
          <w:p w14:paraId="5B89C1C2">
            <w:pPr>
              <w:spacing w:line="42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（1）废气</w:t>
            </w:r>
          </w:p>
          <w:p w14:paraId="50F003D1">
            <w:pPr>
              <w:spacing w:line="42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施工期对大气环境的影响主要为施工扬尘、运输车辆汽车尾气。施工扬尘主要是车辆运输过程中引起的地面扬尘和材料搬运过程中的扬尘，扬尘经降低车速，轻拿轻放材料，保持地面</w:t>
            </w:r>
            <w:r>
              <w:rPr>
                <w:rFonts w:hint="eastAsia" w:cs="Times New Roman"/>
                <w:color w:val="auto"/>
                <w:sz w:val="24"/>
                <w:szCs w:val="20"/>
                <w:highlight w:val="none"/>
                <w:lang w:eastAsia="zh-CN"/>
              </w:rPr>
              <w:t>清洁</w:t>
            </w:r>
            <w:r>
              <w:rPr>
                <w:rFonts w:hint="default" w:ascii="Times New Roman" w:hAnsi="Times New Roman" w:eastAsia="宋体" w:cs="Times New Roman"/>
                <w:color w:val="auto"/>
                <w:sz w:val="24"/>
                <w:szCs w:val="20"/>
                <w:highlight w:val="none"/>
              </w:rPr>
              <w:t>措施处理后，可有效降低扬尘浓度；运输车辆的汽车尾气其特点是排放量小，且属间断性无组织排放，项目施工期主要在已建的车间内施工，车间结构降低施工粉尘对外环境的影响，</w:t>
            </w:r>
            <w:r>
              <w:rPr>
                <w:rFonts w:hint="default" w:ascii="Times New Roman" w:hAnsi="Times New Roman" w:eastAsia="宋体" w:cs="Times New Roman"/>
                <w:color w:val="auto"/>
                <w:sz w:val="24"/>
                <w:szCs w:val="22"/>
                <w:highlight w:val="none"/>
              </w:rPr>
              <w:t>项目施工期在严格按照《四川省打赢蓝天保卫战实施方案》和《四川省施工场地扬尘排放标准》（DB51/2682-2020）中对施工场地采取扬尘治理措施降低施工粉尘对外环境影响。</w:t>
            </w:r>
          </w:p>
          <w:p w14:paraId="0F1121E4">
            <w:pPr>
              <w:spacing w:line="42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（2）废水</w:t>
            </w:r>
          </w:p>
          <w:p w14:paraId="62FA9BF5">
            <w:pPr>
              <w:spacing w:line="420" w:lineRule="auto"/>
              <w:ind w:firstLine="480" w:firstLineChars="20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rPr>
              <w:t>施工期产生的废水主要是施工人员产生的生活污水。</w:t>
            </w:r>
            <w:r>
              <w:rPr>
                <w:rFonts w:hint="eastAsia" w:cs="Times New Roman"/>
                <w:color w:val="auto"/>
                <w:sz w:val="24"/>
                <w:szCs w:val="20"/>
                <w:highlight w:val="none"/>
                <w:lang w:eastAsia="zh-CN"/>
              </w:rPr>
              <w:t>生活污水</w:t>
            </w:r>
            <w:r>
              <w:rPr>
                <w:rFonts w:hint="default" w:ascii="Times New Roman" w:hAnsi="Times New Roman" w:eastAsia="宋体" w:cs="Times New Roman"/>
                <w:color w:val="auto"/>
                <w:sz w:val="24"/>
                <w:szCs w:val="20"/>
                <w:highlight w:val="none"/>
              </w:rPr>
              <w:t>经过</w:t>
            </w:r>
            <w:r>
              <w:rPr>
                <w:rFonts w:hint="eastAsia" w:cs="Times New Roman"/>
                <w:color w:val="auto"/>
                <w:sz w:val="24"/>
                <w:szCs w:val="20"/>
                <w:highlight w:val="none"/>
                <w:lang w:val="en-US" w:eastAsia="zh-CN"/>
              </w:rPr>
              <w:t>公司</w:t>
            </w:r>
            <w:r>
              <w:rPr>
                <w:rFonts w:hint="default" w:ascii="Times New Roman" w:hAnsi="Times New Roman" w:eastAsia="宋体" w:cs="Times New Roman"/>
                <w:color w:val="auto"/>
                <w:sz w:val="24"/>
                <w:szCs w:val="20"/>
                <w:highlight w:val="none"/>
              </w:rPr>
              <w:t>既有的</w:t>
            </w:r>
            <w:r>
              <w:rPr>
                <w:rFonts w:hint="eastAsia" w:cs="Times New Roman"/>
                <w:color w:val="auto"/>
                <w:sz w:val="24"/>
                <w:szCs w:val="20"/>
                <w:highlight w:val="none"/>
                <w:lang w:eastAsia="zh-CN"/>
              </w:rPr>
              <w:t>化粪池</w:t>
            </w:r>
            <w:r>
              <w:rPr>
                <w:rFonts w:hint="default" w:ascii="Times New Roman" w:hAnsi="Times New Roman" w:eastAsia="宋体" w:cs="Times New Roman"/>
                <w:color w:val="auto"/>
                <w:sz w:val="24"/>
                <w:szCs w:val="20"/>
                <w:highlight w:val="none"/>
              </w:rPr>
              <w:t>处理后排入市政污水管网，本项目不涉及装修工具、设备安装工具的清洗水，故不产生生产废水的排放。</w:t>
            </w:r>
            <w:r>
              <w:rPr>
                <w:rFonts w:hint="default" w:ascii="Times New Roman" w:hAnsi="Times New Roman" w:eastAsia="宋体" w:cs="Times New Roman"/>
                <w:color w:val="auto"/>
                <w:sz w:val="24"/>
                <w:szCs w:val="20"/>
                <w:highlight w:val="none"/>
                <w:lang w:eastAsia="zh-CN"/>
              </w:rPr>
              <w:t>生活废水经过</w:t>
            </w:r>
            <w:r>
              <w:rPr>
                <w:rFonts w:hint="eastAsia" w:cs="Times New Roman"/>
                <w:color w:val="auto"/>
                <w:sz w:val="24"/>
                <w:szCs w:val="20"/>
                <w:highlight w:val="none"/>
                <w:lang w:eastAsia="zh-CN"/>
              </w:rPr>
              <w:t>化粪池</w:t>
            </w:r>
            <w:r>
              <w:rPr>
                <w:rFonts w:hint="default" w:ascii="Times New Roman" w:hAnsi="Times New Roman" w:eastAsia="宋体" w:cs="Times New Roman"/>
                <w:color w:val="auto"/>
                <w:sz w:val="24"/>
                <w:szCs w:val="20"/>
                <w:highlight w:val="none"/>
                <w:lang w:eastAsia="zh-CN"/>
              </w:rPr>
              <w:t>收集后排入市政污水管网送大英县工业污水处理厂处理。</w:t>
            </w:r>
          </w:p>
          <w:p w14:paraId="014B0C72">
            <w:pPr>
              <w:spacing w:line="42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（3）噪声</w:t>
            </w:r>
          </w:p>
          <w:p w14:paraId="727E4775">
            <w:pPr>
              <w:spacing w:line="42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本项目施工期的噪声主要是设备安装时产生的噪声，源强为70~100dB，通过采取厂房隔声、距离衰减、加强管理、合理安排作业时段等措施后，产生的噪声不会对周围环境产生明显不利影响。</w:t>
            </w:r>
          </w:p>
          <w:p w14:paraId="17E79C57">
            <w:pPr>
              <w:spacing w:line="42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（4）固废</w:t>
            </w:r>
          </w:p>
          <w:p w14:paraId="67819248">
            <w:pPr>
              <w:spacing w:line="420" w:lineRule="auto"/>
              <w:ind w:firstLine="480" w:firstLineChars="200"/>
              <w:rPr>
                <w:rFonts w:hint="default" w:ascii="Times New Roman" w:hAnsi="Times New Roman" w:eastAsia="宋体" w:cs="Times New Roman"/>
                <w:bCs/>
                <w:color w:val="auto"/>
                <w:sz w:val="24"/>
                <w:szCs w:val="20"/>
                <w:highlight w:val="none"/>
              </w:rPr>
            </w:pPr>
            <w:r>
              <w:rPr>
                <w:rFonts w:hint="default" w:ascii="Times New Roman" w:hAnsi="Times New Roman" w:eastAsia="宋体" w:cs="Times New Roman"/>
                <w:bCs/>
                <w:color w:val="auto"/>
                <w:sz w:val="24"/>
                <w:szCs w:val="20"/>
                <w:highlight w:val="none"/>
              </w:rPr>
              <w:t>施工期固废主要来源于设备的废包装材料、施工人员产生的生活垃圾。废包装材料经收集后出售给废品回收站回收；生活垃圾经集中收集后由大英县市政环卫部门统一处置。</w:t>
            </w:r>
          </w:p>
          <w:p w14:paraId="0AB0A450">
            <w:pPr>
              <w:spacing w:line="420" w:lineRule="auto"/>
              <w:ind w:firstLine="480" w:firstLineChars="200"/>
              <w:jc w:val="left"/>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（5）生态环境防治措施</w:t>
            </w:r>
          </w:p>
          <w:p w14:paraId="363DE3DB">
            <w:pPr>
              <w:spacing w:line="42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本项目在</w:t>
            </w:r>
            <w:r>
              <w:rPr>
                <w:rFonts w:hint="default" w:ascii="Times New Roman" w:hAnsi="Times New Roman" w:eastAsia="宋体" w:cs="Times New Roman"/>
                <w:color w:val="auto"/>
                <w:sz w:val="24"/>
                <w:szCs w:val="20"/>
                <w:highlight w:val="none"/>
                <w:lang w:eastAsia="zh-CN"/>
              </w:rPr>
              <w:t>四川大英经开区</w:t>
            </w:r>
            <w:r>
              <w:rPr>
                <w:rFonts w:hint="default" w:ascii="Times New Roman" w:hAnsi="Times New Roman" w:eastAsia="宋体" w:cs="Times New Roman"/>
                <w:color w:val="auto"/>
                <w:sz w:val="24"/>
                <w:szCs w:val="20"/>
                <w:highlight w:val="none"/>
              </w:rPr>
              <w:t>现有厂房布设生产线，安装设备。不涉及新增占地和植被破坏，故本项目不会对生态环境造成影响。</w:t>
            </w:r>
          </w:p>
          <w:p w14:paraId="5E3F1C19">
            <w:pPr>
              <w:adjustRightInd w:val="0"/>
              <w:snapToGrid w:val="0"/>
              <w:rPr>
                <w:rFonts w:hint="default" w:ascii="Times New Roman" w:hAnsi="Times New Roman" w:cs="Times New Roman"/>
                <w:bCs/>
                <w:color w:val="auto"/>
                <w:spacing w:val="-10"/>
                <w:szCs w:val="21"/>
                <w:highlight w:val="none"/>
              </w:rPr>
            </w:pPr>
          </w:p>
        </w:tc>
      </w:tr>
      <w:tr w14:paraId="1B0389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5" w:hRule="atLeast"/>
          <w:jc w:val="center"/>
        </w:trPr>
        <w:tc>
          <w:tcPr>
            <w:tcW w:w="507" w:type="dxa"/>
            <w:noWrap w:val="0"/>
            <w:tcMar>
              <w:left w:w="28" w:type="dxa"/>
              <w:right w:w="28" w:type="dxa"/>
            </w:tcMar>
            <w:vAlign w:val="center"/>
          </w:tcPr>
          <w:p w14:paraId="0483BAFC">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14:paraId="4E63A736">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14:paraId="3605F164">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14:paraId="6280099C">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14:paraId="65EFF136">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14:paraId="5FB417B8">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措施</w:t>
            </w:r>
          </w:p>
        </w:tc>
        <w:tc>
          <w:tcPr>
            <w:tcW w:w="8401" w:type="dxa"/>
            <w:noWrap w:val="0"/>
            <w:vAlign w:val="center"/>
          </w:tcPr>
          <w:p w14:paraId="67A45EC4">
            <w:pPr>
              <w:spacing w:line="420" w:lineRule="auto"/>
              <w:ind w:firstLine="482" w:firstLineChars="200"/>
              <w:rPr>
                <w:rFonts w:hint="default" w:ascii="Times New Roman" w:hAnsi="Times New Roman" w:eastAsia="宋体" w:cs="Times New Roman"/>
                <w:b/>
                <w:bCs/>
                <w:color w:val="auto"/>
                <w:sz w:val="24"/>
                <w:szCs w:val="20"/>
                <w:highlight w:val="none"/>
              </w:rPr>
            </w:pPr>
            <w:r>
              <w:rPr>
                <w:rFonts w:hint="eastAsia" w:cs="Times New Roman"/>
                <w:b/>
                <w:bCs/>
                <w:color w:val="auto"/>
                <w:sz w:val="24"/>
                <w:szCs w:val="20"/>
                <w:highlight w:val="none"/>
                <w:lang w:eastAsia="zh-CN"/>
              </w:rPr>
              <w:t>1.</w:t>
            </w:r>
            <w:r>
              <w:rPr>
                <w:rFonts w:hint="default" w:ascii="Times New Roman" w:hAnsi="Times New Roman" w:eastAsia="宋体" w:cs="Times New Roman"/>
                <w:b/>
                <w:bCs/>
                <w:color w:val="auto"/>
                <w:sz w:val="24"/>
                <w:szCs w:val="20"/>
                <w:highlight w:val="none"/>
              </w:rPr>
              <w:t>废气排放及治理措施</w:t>
            </w:r>
          </w:p>
          <w:p w14:paraId="2460F98A">
            <w:pPr>
              <w:spacing w:line="420" w:lineRule="auto"/>
              <w:ind w:firstLine="511" w:firstLineChars="212"/>
              <w:rPr>
                <w:b/>
                <w:bCs/>
                <w:snapToGrid w:val="0"/>
                <w:color w:val="auto"/>
                <w:kern w:val="0"/>
                <w:sz w:val="24"/>
                <w:szCs w:val="22"/>
                <w:highlight w:val="none"/>
              </w:rPr>
            </w:pPr>
            <w:r>
              <w:rPr>
                <w:b/>
                <w:bCs/>
                <w:snapToGrid w:val="0"/>
                <w:color w:val="auto"/>
                <w:kern w:val="0"/>
                <w:sz w:val="24"/>
                <w:szCs w:val="22"/>
                <w:highlight w:val="none"/>
              </w:rPr>
              <w:t>（1）产污与治理</w:t>
            </w:r>
          </w:p>
          <w:p w14:paraId="7B0F945E">
            <w:pPr>
              <w:spacing w:line="420" w:lineRule="auto"/>
              <w:ind w:firstLine="508" w:firstLineChars="212"/>
              <w:rPr>
                <w:snapToGrid w:val="0"/>
                <w:color w:val="auto"/>
                <w:kern w:val="0"/>
                <w:sz w:val="24"/>
                <w:szCs w:val="22"/>
                <w:highlight w:val="none"/>
              </w:rPr>
            </w:pPr>
            <w:r>
              <w:rPr>
                <w:snapToGrid w:val="0"/>
                <w:color w:val="auto"/>
                <w:kern w:val="0"/>
                <w:sz w:val="24"/>
                <w:szCs w:val="22"/>
                <w:highlight w:val="none"/>
              </w:rPr>
              <w:t>本项目营运期主要废气产污环节为</w:t>
            </w:r>
            <w:r>
              <w:rPr>
                <w:b/>
                <w:bCs/>
                <w:snapToGrid w:val="0"/>
                <w:color w:val="auto"/>
                <w:kern w:val="0"/>
                <w:sz w:val="24"/>
                <w:szCs w:val="22"/>
                <w:highlight w:val="none"/>
              </w:rPr>
              <w:t>：</w:t>
            </w:r>
            <w:r>
              <w:rPr>
                <w:rFonts w:hint="eastAsia" w:cs="Times New Roman"/>
                <w:snapToGrid w:val="0"/>
                <w:color w:val="auto"/>
                <w:kern w:val="0"/>
                <w:sz w:val="24"/>
                <w:szCs w:val="22"/>
                <w:highlight w:val="none"/>
                <w:lang w:val="en-US" w:eastAsia="zh-CN"/>
              </w:rPr>
              <w:t>上料及密炼粉尘、炼胶有机废气、硫化废气、锅炉天然气燃烧废气</w:t>
            </w:r>
            <w:r>
              <w:rPr>
                <w:rFonts w:hint="eastAsia"/>
                <w:snapToGrid w:val="0"/>
                <w:color w:val="auto"/>
                <w:kern w:val="0"/>
                <w:sz w:val="24"/>
                <w:szCs w:val="22"/>
                <w:highlight w:val="none"/>
                <w:lang w:eastAsia="zh-CN"/>
              </w:rPr>
              <w:t>。</w:t>
            </w:r>
          </w:p>
          <w:p w14:paraId="7D94E6FB">
            <w:pPr>
              <w:pStyle w:val="11"/>
              <w:numPr>
                <w:ilvl w:val="0"/>
                <w:numId w:val="6"/>
              </w:numPr>
              <w:spacing w:before="0" w:after="0" w:line="420" w:lineRule="auto"/>
              <w:ind w:firstLine="480" w:firstLineChars="200"/>
              <w:rPr>
                <w:rFonts w:hint="eastAsia" w:cs="Times New Roman"/>
                <w:snapToGrid w:val="0"/>
                <w:color w:val="auto"/>
                <w:kern w:val="0"/>
                <w:sz w:val="24"/>
                <w:szCs w:val="22"/>
                <w:highlight w:val="none"/>
                <w:lang w:val="en-US" w:eastAsia="zh-CN"/>
              </w:rPr>
            </w:pPr>
            <w:r>
              <w:rPr>
                <w:rFonts w:hint="eastAsia" w:cs="Times New Roman"/>
                <w:snapToGrid w:val="0"/>
                <w:color w:val="auto"/>
                <w:kern w:val="0"/>
                <w:sz w:val="24"/>
                <w:szCs w:val="22"/>
                <w:highlight w:val="none"/>
                <w:lang w:val="en-US" w:eastAsia="zh-CN"/>
              </w:rPr>
              <w:t>上料及密炼粉尘</w:t>
            </w:r>
          </w:p>
          <w:p w14:paraId="2155AF8E">
            <w:pPr>
              <w:pStyle w:val="11"/>
              <w:numPr>
                <w:ilvl w:val="0"/>
                <w:numId w:val="0"/>
              </w:numPr>
              <w:spacing w:before="0" w:after="0" w:line="420" w:lineRule="auto"/>
              <w:ind w:right="113" w:rightChars="0" w:firstLine="480" w:firstLineChars="200"/>
              <w:rPr>
                <w:rFonts w:hint="default" w:ascii="Times New Roman" w:hAnsi="Times New Roman" w:cs="Times New Roman"/>
                <w:snapToGrid w:val="0"/>
                <w:color w:val="auto"/>
                <w:sz w:val="24"/>
                <w:szCs w:val="22"/>
                <w:highlight w:val="none"/>
              </w:rPr>
            </w:pPr>
            <w:r>
              <w:rPr>
                <w:rFonts w:hint="default" w:ascii="Times New Roman" w:hAnsi="Times New Roman" w:cs="Times New Roman"/>
                <w:snapToGrid w:val="0"/>
                <w:color w:val="auto"/>
                <w:sz w:val="24"/>
                <w:szCs w:val="22"/>
                <w:highlight w:val="none"/>
              </w:rPr>
              <w:t>本项目</w:t>
            </w:r>
            <w:r>
              <w:rPr>
                <w:rFonts w:hint="eastAsia" w:cs="Times New Roman"/>
                <w:snapToGrid w:val="0"/>
                <w:color w:val="auto"/>
                <w:sz w:val="24"/>
                <w:szCs w:val="22"/>
                <w:highlight w:val="none"/>
                <w:lang w:val="en-US" w:eastAsia="zh-CN"/>
              </w:rPr>
              <w:t>粉状原料经过计量后通过管道输送至密炼机内进行密炼，密炼机炼胶期间设备为全封闭状态，密炼机上料机开门期间会有少量粉尘外泄，项目通过设置粉尘集气罩对上料粉尘和密炼粉尘进行收集，收集后汇入布袋除尘器处理后再进入活性炭吸附单元进一步处理有机废气后，最后经一根15m的排气筒(DA002)排放</w:t>
            </w:r>
            <w:r>
              <w:rPr>
                <w:rFonts w:hint="default" w:ascii="Times New Roman" w:hAnsi="Times New Roman" w:cs="Times New Roman"/>
                <w:snapToGrid w:val="0"/>
                <w:color w:val="auto"/>
                <w:sz w:val="24"/>
                <w:szCs w:val="22"/>
                <w:highlight w:val="none"/>
              </w:rPr>
              <w:t>。</w:t>
            </w:r>
          </w:p>
          <w:p w14:paraId="7CBB0FD7">
            <w:pPr>
              <w:numPr>
                <w:ilvl w:val="0"/>
                <w:numId w:val="0"/>
              </w:numPr>
              <w:spacing w:line="420" w:lineRule="auto"/>
              <w:ind w:firstLine="508" w:firstLineChars="212"/>
              <w:rPr>
                <w:rFonts w:hint="default" w:ascii="Times New Roman" w:hAnsi="Times New Roman" w:cs="Times New Roman"/>
                <w:snapToGrid w:val="0"/>
                <w:color w:val="auto"/>
                <w:kern w:val="0"/>
                <w:sz w:val="24"/>
                <w:szCs w:val="22"/>
                <w:highlight w:val="none"/>
                <w:lang w:val="en-US"/>
              </w:rPr>
            </w:pPr>
            <w:r>
              <w:rPr>
                <w:rFonts w:hint="default" w:ascii="Times New Roman" w:hAnsi="Times New Roman" w:cs="Times New Roman"/>
                <w:snapToGrid w:val="0"/>
                <w:color w:val="auto"/>
                <w:kern w:val="0"/>
                <w:sz w:val="24"/>
                <w:szCs w:val="22"/>
                <w:highlight w:val="none"/>
                <w:lang w:val="en-US" w:eastAsia="zh-CN" w:bidi="ar-SA"/>
              </w:rPr>
              <w:t>2）</w:t>
            </w:r>
            <w:r>
              <w:rPr>
                <w:rFonts w:hint="eastAsia" w:cs="Times New Roman"/>
                <w:snapToGrid w:val="0"/>
                <w:color w:val="auto"/>
                <w:kern w:val="0"/>
                <w:sz w:val="24"/>
                <w:szCs w:val="22"/>
                <w:highlight w:val="none"/>
                <w:lang w:val="en-US" w:eastAsia="zh-CN"/>
              </w:rPr>
              <w:t>炼胶有机废气</w:t>
            </w:r>
          </w:p>
          <w:p w14:paraId="34A050CA">
            <w:pPr>
              <w:pStyle w:val="42"/>
              <w:ind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本项目炼胶废气分为密炼有机废气和开炼有机废气，项目通过在炼胶机处设置集气罩对炼胶有机废气进行收集，收集后的废气经活性炭吸附处理后，最后经15m的排气筒（DA002）排放</w:t>
            </w:r>
            <w:r>
              <w:rPr>
                <w:rFonts w:hint="default" w:ascii="Times New Roman" w:hAnsi="Times New Roman" w:cs="Times New Roman"/>
                <w:color w:val="auto"/>
                <w:highlight w:val="none"/>
              </w:rPr>
              <w:t>。</w:t>
            </w:r>
          </w:p>
          <w:p w14:paraId="75E31CAD">
            <w:pPr>
              <w:pStyle w:val="42"/>
              <w:numPr>
                <w:ilvl w:val="0"/>
                <w:numId w:val="0"/>
              </w:numPr>
              <w:ind w:firstLine="508" w:firstLineChars="212"/>
              <w:rPr>
                <w:rFonts w:hint="default" w:ascii="Times New Roman" w:hAnsi="Times New Roman" w:cs="Times New Roman"/>
                <w:snapToGrid w:val="0"/>
                <w:color w:val="auto"/>
                <w:kern w:val="0"/>
                <w:szCs w:val="22"/>
                <w:highlight w:val="none"/>
                <w:lang w:val="en-US"/>
              </w:rPr>
            </w:pPr>
            <w:r>
              <w:rPr>
                <w:rFonts w:hint="default" w:ascii="Times New Roman" w:hAnsi="Times New Roman" w:cs="Times New Roman"/>
                <w:snapToGrid w:val="0"/>
                <w:color w:val="auto"/>
                <w:kern w:val="0"/>
                <w:sz w:val="24"/>
                <w:szCs w:val="22"/>
                <w:highlight w:val="none"/>
                <w:lang w:val="en-US" w:eastAsia="zh-CN" w:bidi="ar-SA"/>
              </w:rPr>
              <w:t>3</w:t>
            </w:r>
            <w:r>
              <w:rPr>
                <w:rFonts w:hint="default" w:ascii="Times New Roman" w:hAnsi="Times New Roman" w:eastAsia="宋体" w:cs="Times New Roman"/>
                <w:snapToGrid w:val="0"/>
                <w:color w:val="auto"/>
                <w:kern w:val="0"/>
                <w:sz w:val="24"/>
                <w:szCs w:val="22"/>
                <w:highlight w:val="none"/>
                <w:lang w:val="en-US" w:eastAsia="zh-CN" w:bidi="ar-SA"/>
              </w:rPr>
              <w:t>）</w:t>
            </w:r>
            <w:r>
              <w:rPr>
                <w:rFonts w:hint="eastAsia" w:cs="Times New Roman"/>
                <w:snapToGrid w:val="0"/>
                <w:color w:val="auto"/>
                <w:kern w:val="0"/>
                <w:sz w:val="24"/>
                <w:szCs w:val="22"/>
                <w:highlight w:val="none"/>
                <w:lang w:val="en-US" w:eastAsia="zh-CN"/>
              </w:rPr>
              <w:t>硫化废气</w:t>
            </w:r>
          </w:p>
          <w:p w14:paraId="55E61253">
            <w:pPr>
              <w:pStyle w:val="42"/>
              <w:ind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本项目橡胶硫化采用蒸汽高压硫化，高温蒸汽通入高压硫化罐内进行硫化，高温硫化罐关闭期间无废气外溢，开罐过程中会有水蒸气和有机废气排放，项目设置集气罩对废气进行收集，收集后经干湿过滤和二级活性炭吸附系统处理后离地15m的排气筒（DA001）排放</w:t>
            </w:r>
          </w:p>
          <w:p w14:paraId="73565DB9">
            <w:pPr>
              <w:spacing w:line="420" w:lineRule="auto"/>
              <w:ind w:firstLine="480" w:firstLineChars="200"/>
              <w:rPr>
                <w:rFonts w:hint="default" w:ascii="Times New Roman" w:hAnsi="Times New Roman" w:cs="Times New Roman"/>
                <w:color w:val="auto"/>
                <w:highlight w:val="none"/>
                <w:lang w:val="en-US"/>
              </w:rPr>
            </w:pPr>
            <w:r>
              <w:rPr>
                <w:rFonts w:hint="default" w:ascii="Times New Roman" w:hAnsi="Times New Roman" w:cs="Times New Roman"/>
                <w:snapToGrid w:val="0"/>
                <w:color w:val="auto"/>
                <w:kern w:val="0"/>
                <w:sz w:val="24"/>
                <w:szCs w:val="22"/>
                <w:highlight w:val="none"/>
                <w:lang w:val="en-US" w:eastAsia="zh-CN"/>
              </w:rPr>
              <w:t>4</w:t>
            </w:r>
            <w:r>
              <w:rPr>
                <w:rFonts w:hint="default" w:ascii="Times New Roman" w:hAnsi="Times New Roman" w:cs="Times New Roman"/>
                <w:snapToGrid w:val="0"/>
                <w:color w:val="auto"/>
                <w:kern w:val="0"/>
                <w:sz w:val="24"/>
                <w:szCs w:val="22"/>
                <w:highlight w:val="none"/>
              </w:rPr>
              <w:t>）</w:t>
            </w:r>
            <w:r>
              <w:rPr>
                <w:rFonts w:hint="eastAsia" w:cs="Times New Roman"/>
                <w:snapToGrid w:val="0"/>
                <w:color w:val="auto"/>
                <w:kern w:val="0"/>
                <w:sz w:val="24"/>
                <w:szCs w:val="22"/>
                <w:highlight w:val="none"/>
                <w:lang w:val="en-US" w:eastAsia="zh-CN"/>
              </w:rPr>
              <w:t>锅炉天然气燃烧废气</w:t>
            </w:r>
          </w:p>
          <w:p w14:paraId="2BB92E14">
            <w:pPr>
              <w:pStyle w:val="42"/>
              <w:ind w:firstLine="480"/>
              <w:rPr>
                <w:rFonts w:hint="default" w:ascii="Times New Roman" w:hAnsi="Times New Roman" w:cs="Times New Roman"/>
                <w:color w:val="auto"/>
                <w:highlight w:val="none"/>
                <w:lang w:val="en-US"/>
              </w:rPr>
            </w:pPr>
            <w:r>
              <w:rPr>
                <w:rFonts w:hint="eastAsia" w:ascii="Times New Roman" w:hAnsi="Times New Roman" w:cs="Times New Roman"/>
                <w:color w:val="auto"/>
                <w:highlight w:val="none"/>
                <w:lang w:val="en-US" w:eastAsia="zh-CN"/>
              </w:rPr>
              <w:t>本项目锅炉采用低氮燃烧机燃烧后离地12m排放（DA008）</w:t>
            </w:r>
            <w:r>
              <w:rPr>
                <w:rFonts w:hint="default" w:ascii="Times New Roman" w:hAnsi="Times New Roman" w:cs="Times New Roman"/>
                <w:color w:val="auto"/>
                <w:highlight w:val="none"/>
                <w:lang w:val="en-US" w:eastAsia="zh-CN"/>
              </w:rPr>
              <w:t>。</w:t>
            </w:r>
          </w:p>
          <w:p w14:paraId="3A433AE6">
            <w:pPr>
              <w:numPr>
                <w:ilvl w:val="0"/>
                <w:numId w:val="7"/>
              </w:numPr>
              <w:spacing w:line="420" w:lineRule="auto"/>
              <w:ind w:firstLine="511" w:firstLineChars="212"/>
              <w:rPr>
                <w:rFonts w:hint="default" w:ascii="Times New Roman" w:hAnsi="Times New Roman" w:cs="Times New Roman"/>
                <w:b/>
                <w:bCs/>
                <w:snapToGrid w:val="0"/>
                <w:color w:val="auto"/>
                <w:kern w:val="0"/>
                <w:sz w:val="24"/>
                <w:szCs w:val="22"/>
                <w:highlight w:val="none"/>
              </w:rPr>
            </w:pPr>
            <w:r>
              <w:rPr>
                <w:rFonts w:hint="default" w:ascii="Times New Roman" w:hAnsi="Times New Roman" w:cs="Times New Roman"/>
                <w:b/>
                <w:bCs/>
                <w:snapToGrid w:val="0"/>
                <w:color w:val="auto"/>
                <w:kern w:val="0"/>
                <w:sz w:val="24"/>
                <w:szCs w:val="22"/>
                <w:highlight w:val="none"/>
              </w:rPr>
              <w:t>源强核算过程</w:t>
            </w:r>
          </w:p>
          <w:p w14:paraId="48A9BC78">
            <w:pPr>
              <w:pStyle w:val="42"/>
              <w:rPr>
                <w:rFonts w:hint="default" w:ascii="Times New Roman" w:hAnsi="Times New Roman" w:eastAsia="宋体" w:cs="Times New Roman"/>
                <w:b w:val="0"/>
                <w:bCs w:val="0"/>
                <w:snapToGrid/>
                <w:color w:val="auto"/>
                <w:sz w:val="24"/>
                <w:szCs w:val="20"/>
                <w:highlight w:val="none"/>
                <w:lang w:val="en-US" w:eastAsia="zh-CN"/>
              </w:rPr>
            </w:pPr>
            <w:r>
              <w:rPr>
                <w:rFonts w:hint="default" w:ascii="Times New Roman" w:hAnsi="Times New Roman" w:eastAsia="宋体" w:cs="Times New Roman"/>
                <w:snapToGrid/>
                <w:color w:val="auto"/>
                <w:kern w:val="0"/>
                <w:sz w:val="24"/>
                <w:szCs w:val="20"/>
                <w:highlight w:val="none"/>
                <w:lang w:val="en-US" w:eastAsia="zh-CN" w:bidi="ar-SA"/>
              </w:rPr>
              <w:t>根据《污染源源强核算技术指南准则》（HJ884-2018），可采用实测法、物料衡算法、产污系数法、排污系数法、类比法、实验法等方法进行源强核算。</w:t>
            </w:r>
          </w:p>
          <w:p w14:paraId="109D49F0">
            <w:pPr>
              <w:pStyle w:val="42"/>
              <w:ind w:firstLine="0" w:firstLineChars="0"/>
              <w:rPr>
                <w:rFonts w:hint="default" w:ascii="Times New Roman" w:hAnsi="Times New Roman" w:eastAsia="宋体" w:cs="Times New Roman"/>
                <w:snapToGrid/>
                <w:kern w:val="0"/>
                <w:sz w:val="24"/>
                <w:szCs w:val="20"/>
                <w:lang w:val="en-US" w:eastAsia="zh-CN" w:bidi="ar-SA"/>
              </w:rPr>
            </w:pPr>
            <w:r>
              <w:rPr>
                <w:rFonts w:hint="eastAsia"/>
                <w:lang w:val="en-US" w:eastAsia="zh-CN"/>
              </w:rPr>
              <w:t>根据本项目实际情况，本项目粉尘和非甲烷总烃采用</w:t>
            </w:r>
            <w:r>
              <w:rPr>
                <w:rFonts w:hint="default" w:ascii="Times New Roman" w:hAnsi="Times New Roman" w:eastAsia="宋体" w:cs="Times New Roman"/>
                <w:snapToGrid/>
                <w:color w:val="auto"/>
                <w:kern w:val="0"/>
                <w:sz w:val="24"/>
                <w:szCs w:val="20"/>
                <w:highlight w:val="none"/>
                <w:lang w:val="en-US" w:eastAsia="zh-CN" w:bidi="ar-SA"/>
              </w:rPr>
              <w:t>实测法</w:t>
            </w:r>
            <w:r>
              <w:rPr>
                <w:rFonts w:hint="eastAsia" w:ascii="Times New Roman" w:hAnsi="Times New Roman" w:cs="Times New Roman"/>
                <w:snapToGrid/>
                <w:color w:val="auto"/>
                <w:kern w:val="0"/>
                <w:sz w:val="24"/>
                <w:szCs w:val="20"/>
                <w:highlight w:val="none"/>
                <w:lang w:val="en-US" w:eastAsia="zh-CN" w:bidi="ar-SA"/>
              </w:rPr>
              <w:t>进行</w:t>
            </w:r>
            <w:r>
              <w:rPr>
                <w:rFonts w:hint="eastAsia" w:ascii="Times New Roman" w:hAnsi="Times New Roman" w:eastAsia="宋体" w:cs="Times New Roman"/>
                <w:snapToGrid/>
                <w:kern w:val="0"/>
                <w:sz w:val="24"/>
                <w:szCs w:val="20"/>
                <w:lang w:val="en-US" w:eastAsia="zh-CN" w:bidi="ar-SA"/>
              </w:rPr>
              <w:t>核算</w:t>
            </w:r>
            <w:r>
              <w:rPr>
                <w:rFonts w:hint="eastAsia" w:ascii="Times New Roman" w:hAnsi="Times New Roman" w:cs="Times New Roman"/>
                <w:snapToGrid/>
                <w:kern w:val="0"/>
                <w:sz w:val="24"/>
                <w:szCs w:val="20"/>
                <w:lang w:val="en-US" w:eastAsia="zh-CN" w:bidi="ar-SA"/>
              </w:rPr>
              <w:t>，二硫化碳和硫化氢采样系数法核算</w:t>
            </w:r>
            <w:r>
              <w:rPr>
                <w:rFonts w:hint="eastAsia" w:ascii="Times New Roman" w:hAnsi="Times New Roman" w:eastAsia="宋体" w:cs="Times New Roman"/>
                <w:snapToGrid/>
                <w:kern w:val="0"/>
                <w:sz w:val="24"/>
                <w:szCs w:val="20"/>
                <w:lang w:val="en-US" w:eastAsia="zh-CN" w:bidi="ar-SA"/>
              </w:rPr>
              <w:t>。</w:t>
            </w:r>
          </w:p>
          <w:p w14:paraId="7C237C28">
            <w:pPr>
              <w:pStyle w:val="42"/>
              <w:ind w:firstLine="482" w:firstLineChars="200"/>
              <w:rPr>
                <w:rFonts w:hint="default" w:ascii="Times New Roman" w:hAnsi="Times New Roman" w:cs="Times New Roman"/>
                <w:b/>
                <w:bCs/>
                <w:snapToGrid w:val="0"/>
                <w:color w:val="auto"/>
                <w:sz w:val="24"/>
                <w:szCs w:val="22"/>
                <w:highlight w:val="none"/>
              </w:rPr>
            </w:pPr>
            <w:r>
              <w:rPr>
                <w:rFonts w:hint="default" w:ascii="Times New Roman" w:hAnsi="Times New Roman" w:cs="Times New Roman"/>
                <w:b/>
                <w:bCs/>
                <w:snapToGrid w:val="0"/>
                <w:color w:val="auto"/>
                <w:sz w:val="24"/>
                <w:szCs w:val="22"/>
                <w:highlight w:val="none"/>
              </w:rPr>
              <w:t>①上料及密炼粉尘</w:t>
            </w:r>
          </w:p>
          <w:p w14:paraId="0933D950">
            <w:pPr>
              <w:pStyle w:val="11"/>
              <w:numPr>
                <w:ilvl w:val="0"/>
                <w:numId w:val="0"/>
              </w:numPr>
              <w:spacing w:before="0" w:after="0" w:line="420" w:lineRule="auto"/>
              <w:ind w:right="113" w:rightChars="0" w:firstLine="480" w:firstLineChars="200"/>
              <w:rPr>
                <w:rFonts w:hint="eastAsia" w:ascii="Times New Roman" w:hAnsi="Times New Roman" w:eastAsia="宋体" w:cs="Times New Roman"/>
                <w:snapToGrid w:val="0"/>
                <w:color w:val="auto"/>
                <w:sz w:val="24"/>
                <w:szCs w:val="22"/>
                <w:highlight w:val="none"/>
                <w:lang w:val="en-US" w:eastAsia="zh-CN"/>
              </w:rPr>
            </w:pPr>
            <w:r>
              <w:rPr>
                <w:rFonts w:hint="eastAsia" w:cs="Times New Roman"/>
                <w:snapToGrid w:val="0"/>
                <w:color w:val="auto"/>
                <w:sz w:val="24"/>
                <w:szCs w:val="22"/>
                <w:highlight w:val="none"/>
                <w:lang w:val="en-US" w:eastAsia="zh-CN"/>
              </w:rPr>
              <w:t>本项目上料及密炼粉尘源强根据实测数据和产能规模进行折算</w:t>
            </w:r>
            <w:r>
              <w:rPr>
                <w:rFonts w:hint="eastAsia" w:ascii="Times New Roman" w:hAnsi="Times New Roman" w:eastAsia="宋体" w:cs="Times New Roman"/>
                <w:snapToGrid w:val="0"/>
                <w:color w:val="auto"/>
                <w:sz w:val="24"/>
                <w:szCs w:val="22"/>
                <w:highlight w:val="none"/>
                <w:lang w:val="en-US" w:eastAsia="zh-CN"/>
              </w:rPr>
              <w:t>，现状上料及炼胶废</w:t>
            </w:r>
            <w:r>
              <w:rPr>
                <w:rFonts w:hint="eastAsia" w:cs="Times New Roman"/>
                <w:snapToGrid w:val="0"/>
                <w:color w:val="auto"/>
                <w:sz w:val="24"/>
                <w:szCs w:val="22"/>
                <w:highlight w:val="none"/>
                <w:lang w:val="en-US" w:eastAsia="zh-CN"/>
              </w:rPr>
              <w:t>气系统风量为12800m³/h，上料及密炼工序现状产能为橡胶流体管道1280t/a，橡胶减震垫56t/a，</w:t>
            </w:r>
            <w:r>
              <w:rPr>
                <w:rFonts w:hint="eastAsia" w:ascii="Times New Roman" w:hAnsi="Times New Roman" w:eastAsia="宋体" w:cs="Times New Roman"/>
                <w:snapToGrid w:val="0"/>
                <w:color w:val="auto"/>
                <w:sz w:val="24"/>
                <w:szCs w:val="22"/>
                <w:highlight w:val="none"/>
                <w:lang w:val="en-US" w:eastAsia="zh-CN"/>
              </w:rPr>
              <w:t>扩建后系统风量按</w:t>
            </w:r>
            <w:r>
              <w:rPr>
                <w:rFonts w:hint="eastAsia" w:cs="Times New Roman"/>
                <w:snapToGrid w:val="0"/>
                <w:color w:val="auto"/>
                <w:sz w:val="24"/>
                <w:szCs w:val="22"/>
                <w:highlight w:val="none"/>
                <w:lang w:val="en-US" w:eastAsia="zh-CN"/>
              </w:rPr>
              <w:t>2</w:t>
            </w:r>
            <w:r>
              <w:rPr>
                <w:rFonts w:hint="eastAsia" w:ascii="Times New Roman" w:hAnsi="Times New Roman" w:eastAsia="宋体" w:cs="Times New Roman"/>
                <w:snapToGrid w:val="0"/>
                <w:color w:val="auto"/>
                <w:sz w:val="24"/>
                <w:szCs w:val="22"/>
                <w:highlight w:val="none"/>
                <w:lang w:val="en-US" w:eastAsia="zh-CN"/>
              </w:rPr>
              <w:t>5000m³/h进行设计</w:t>
            </w:r>
            <w:r>
              <w:rPr>
                <w:rFonts w:hint="eastAsia" w:cs="Times New Roman"/>
                <w:snapToGrid w:val="0"/>
                <w:color w:val="auto"/>
                <w:sz w:val="24"/>
                <w:szCs w:val="22"/>
                <w:highlight w:val="none"/>
                <w:lang w:eastAsia="zh-CN"/>
              </w:rPr>
              <w:t>，</w:t>
            </w:r>
            <w:r>
              <w:rPr>
                <w:rFonts w:hint="eastAsia" w:cs="Times New Roman"/>
                <w:snapToGrid w:val="0"/>
                <w:color w:val="auto"/>
                <w:sz w:val="24"/>
                <w:szCs w:val="22"/>
                <w:highlight w:val="none"/>
                <w:lang w:val="en-US" w:eastAsia="zh-CN"/>
              </w:rPr>
              <w:t>上料及密炼工序扩建后产能为橡胶流体管道2780t/a，橡胶减震垫56t/a。粉尘废气收集</w:t>
            </w:r>
            <w:r>
              <w:rPr>
                <w:rFonts w:hint="eastAsia" w:ascii="Times New Roman" w:hAnsi="Times New Roman" w:eastAsia="宋体" w:cs="Times New Roman"/>
                <w:snapToGrid w:val="0"/>
                <w:color w:val="auto"/>
                <w:sz w:val="24"/>
                <w:szCs w:val="22"/>
                <w:highlight w:val="none"/>
                <w:lang w:val="en-US" w:eastAsia="zh-CN"/>
              </w:rPr>
              <w:t>9</w:t>
            </w:r>
            <w:r>
              <w:rPr>
                <w:rFonts w:hint="eastAsia" w:cs="Times New Roman"/>
                <w:snapToGrid w:val="0"/>
                <w:color w:val="auto"/>
                <w:sz w:val="24"/>
                <w:szCs w:val="22"/>
                <w:highlight w:val="none"/>
                <w:lang w:val="en-US" w:eastAsia="zh-CN"/>
              </w:rPr>
              <w:t>5</w:t>
            </w:r>
            <w:r>
              <w:rPr>
                <w:rFonts w:hint="eastAsia" w:ascii="Times New Roman" w:hAnsi="Times New Roman" w:eastAsia="宋体" w:cs="Times New Roman"/>
                <w:snapToGrid w:val="0"/>
                <w:color w:val="auto"/>
                <w:sz w:val="24"/>
                <w:szCs w:val="22"/>
                <w:highlight w:val="none"/>
                <w:lang w:val="en-US" w:eastAsia="zh-CN"/>
              </w:rPr>
              <w:t>%计算，除尘系统效率按9</w:t>
            </w:r>
            <w:r>
              <w:rPr>
                <w:rFonts w:hint="eastAsia" w:cs="Times New Roman"/>
                <w:snapToGrid w:val="0"/>
                <w:color w:val="auto"/>
                <w:sz w:val="24"/>
                <w:szCs w:val="22"/>
                <w:highlight w:val="none"/>
                <w:lang w:val="en-US" w:eastAsia="zh-CN"/>
              </w:rPr>
              <w:t>6</w:t>
            </w:r>
            <w:r>
              <w:rPr>
                <w:rFonts w:hint="eastAsia" w:ascii="Times New Roman" w:hAnsi="Times New Roman" w:eastAsia="宋体" w:cs="Times New Roman"/>
                <w:snapToGrid w:val="0"/>
                <w:color w:val="auto"/>
                <w:sz w:val="24"/>
                <w:szCs w:val="22"/>
                <w:highlight w:val="none"/>
                <w:lang w:val="en-US" w:eastAsia="zh-CN"/>
              </w:rPr>
              <w:t>%计算，则上料及密炼过程中粉尘的产排污情况如下：</w:t>
            </w:r>
          </w:p>
          <w:p w14:paraId="4A3798F1">
            <w:pPr>
              <w:pStyle w:val="43"/>
              <w:rPr>
                <w:rFonts w:hint="default"/>
                <w:lang w:val="en-US" w:eastAsia="zh-CN"/>
              </w:rPr>
            </w:pPr>
            <w:r>
              <w:rPr>
                <w:rFonts w:hint="default"/>
                <w:lang w:val="en-US" w:eastAsia="zh-CN"/>
              </w:rPr>
              <w:t>表4-1 上料及密炼粉尘产排污情况</w:t>
            </w:r>
          </w:p>
          <w:tbl>
            <w:tblPr>
              <w:tblStyle w:val="23"/>
              <w:tblW w:w="82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85"/>
              <w:gridCol w:w="767"/>
              <w:gridCol w:w="808"/>
              <w:gridCol w:w="550"/>
              <w:gridCol w:w="592"/>
              <w:gridCol w:w="742"/>
              <w:gridCol w:w="808"/>
              <w:gridCol w:w="758"/>
              <w:gridCol w:w="842"/>
              <w:gridCol w:w="792"/>
              <w:gridCol w:w="800"/>
            </w:tblGrid>
            <w:tr w14:paraId="036D19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0" w:hRule="atLeast"/>
                <w:jc w:val="center"/>
              </w:trPr>
              <w:tc>
                <w:tcPr>
                  <w:tcW w:w="785" w:type="dxa"/>
                  <w:tcBorders>
                    <w:tl2br w:val="nil"/>
                    <w:tr2bl w:val="nil"/>
                  </w:tcBorders>
                  <w:shd w:val="clear" w:color="auto" w:fill="auto"/>
                  <w:noWrap/>
                  <w:vAlign w:val="center"/>
                </w:tcPr>
                <w:p w14:paraId="7A1E784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实测数据</w:t>
                  </w:r>
                </w:p>
              </w:tc>
              <w:tc>
                <w:tcPr>
                  <w:tcW w:w="7459" w:type="dxa"/>
                  <w:gridSpan w:val="10"/>
                  <w:tcBorders>
                    <w:tl2br w:val="nil"/>
                    <w:tr2bl w:val="nil"/>
                  </w:tcBorders>
                  <w:shd w:val="clear" w:color="auto" w:fill="auto"/>
                  <w:noWrap/>
                  <w:vAlign w:val="center"/>
                </w:tcPr>
                <w:p w14:paraId="6A3DD0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扩建后产排污情况</w:t>
                  </w:r>
                </w:p>
              </w:tc>
            </w:tr>
            <w:tr w14:paraId="416A30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785" w:type="dxa"/>
                  <w:tcBorders>
                    <w:tl2br w:val="nil"/>
                    <w:tr2bl w:val="nil"/>
                  </w:tcBorders>
                  <w:shd w:val="clear" w:color="auto" w:fill="auto"/>
                  <w:noWrap/>
                  <w:vAlign w:val="center"/>
                </w:tcPr>
                <w:p w14:paraId="4E64FA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产生速率kg/h</w:t>
                  </w:r>
                </w:p>
              </w:tc>
              <w:tc>
                <w:tcPr>
                  <w:tcW w:w="767" w:type="dxa"/>
                  <w:tcBorders>
                    <w:tl2br w:val="nil"/>
                    <w:tr2bl w:val="nil"/>
                  </w:tcBorders>
                  <w:shd w:val="clear" w:color="auto" w:fill="auto"/>
                  <w:noWrap/>
                  <w:vAlign w:val="center"/>
                </w:tcPr>
                <w:p w14:paraId="4B3590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产能换算系数</w:t>
                  </w:r>
                </w:p>
              </w:tc>
              <w:tc>
                <w:tcPr>
                  <w:tcW w:w="808" w:type="dxa"/>
                  <w:tcBorders>
                    <w:tl2br w:val="nil"/>
                    <w:tr2bl w:val="nil"/>
                  </w:tcBorders>
                  <w:shd w:val="clear" w:color="auto" w:fill="auto"/>
                  <w:noWrap/>
                  <w:vAlign w:val="center"/>
                </w:tcPr>
                <w:p w14:paraId="6FC494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产生速率kg/h</w:t>
                  </w:r>
                </w:p>
              </w:tc>
              <w:tc>
                <w:tcPr>
                  <w:tcW w:w="550" w:type="dxa"/>
                  <w:tcBorders>
                    <w:tl2br w:val="nil"/>
                    <w:tr2bl w:val="nil"/>
                  </w:tcBorders>
                  <w:shd w:val="clear" w:color="auto" w:fill="auto"/>
                  <w:noWrap/>
                  <w:vAlign w:val="center"/>
                </w:tcPr>
                <w:p w14:paraId="62F7EB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收集率</w:t>
                  </w:r>
                </w:p>
              </w:tc>
              <w:tc>
                <w:tcPr>
                  <w:tcW w:w="592" w:type="dxa"/>
                  <w:tcBorders>
                    <w:tl2br w:val="nil"/>
                    <w:tr2bl w:val="nil"/>
                  </w:tcBorders>
                  <w:shd w:val="clear" w:color="auto" w:fill="auto"/>
                  <w:noWrap/>
                  <w:vAlign w:val="center"/>
                </w:tcPr>
                <w:p w14:paraId="19065E44">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去除率</w:t>
                  </w:r>
                </w:p>
              </w:tc>
              <w:tc>
                <w:tcPr>
                  <w:tcW w:w="742" w:type="dxa"/>
                  <w:tcBorders>
                    <w:tl2br w:val="nil"/>
                    <w:tr2bl w:val="nil"/>
                  </w:tcBorders>
                  <w:shd w:val="clear" w:color="auto" w:fill="auto"/>
                  <w:noWrap/>
                  <w:vAlign w:val="center"/>
                </w:tcPr>
                <w:p w14:paraId="1EA9E35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设计</w:t>
                  </w:r>
                  <w:r>
                    <w:rPr>
                      <w:rFonts w:hint="default" w:ascii="Times New Roman" w:hAnsi="Times New Roman" w:eastAsia="宋体" w:cs="Times New Roman"/>
                      <w:i w:val="0"/>
                      <w:iCs w:val="0"/>
                      <w:color w:val="000000"/>
                      <w:kern w:val="0"/>
                      <w:sz w:val="18"/>
                      <w:szCs w:val="18"/>
                      <w:u w:val="none"/>
                      <w:lang w:val="en-US" w:eastAsia="zh-CN" w:bidi="ar"/>
                    </w:rPr>
                    <w:t>排气量</w:t>
                  </w:r>
                </w:p>
                <w:p w14:paraId="4EEDA34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snapToGrid w:val="0"/>
                      <w:color w:val="auto"/>
                      <w:sz w:val="15"/>
                      <w:szCs w:val="15"/>
                      <w:highlight w:val="none"/>
                      <w:lang w:val="en-US" w:eastAsia="zh-CN"/>
                    </w:rPr>
                    <w:t>m³/h</w:t>
                  </w:r>
                </w:p>
              </w:tc>
              <w:tc>
                <w:tcPr>
                  <w:tcW w:w="808" w:type="dxa"/>
                  <w:tcBorders>
                    <w:tl2br w:val="nil"/>
                    <w:tr2bl w:val="nil"/>
                  </w:tcBorders>
                  <w:shd w:val="clear" w:color="auto" w:fill="auto"/>
                  <w:noWrap/>
                  <w:vAlign w:val="center"/>
                </w:tcPr>
                <w:p w14:paraId="5021D6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cs="Times New Roman"/>
                      <w:i w:val="0"/>
                      <w:iCs w:val="0"/>
                      <w:color w:val="000000"/>
                      <w:kern w:val="0"/>
                      <w:sz w:val="18"/>
                      <w:szCs w:val="18"/>
                      <w:u w:val="none"/>
                      <w:lang w:val="en-US" w:eastAsia="zh-CN" w:bidi="ar"/>
                    </w:rPr>
                    <w:t>有组织</w:t>
                  </w:r>
                  <w:r>
                    <w:rPr>
                      <w:rFonts w:hint="default" w:ascii="Times New Roman" w:hAnsi="Times New Roman" w:eastAsia="宋体" w:cs="Times New Roman"/>
                      <w:i w:val="0"/>
                      <w:iCs w:val="0"/>
                      <w:color w:val="000000"/>
                      <w:kern w:val="0"/>
                      <w:sz w:val="18"/>
                      <w:szCs w:val="18"/>
                      <w:u w:val="none"/>
                      <w:lang w:val="en-US" w:eastAsia="zh-CN" w:bidi="ar"/>
                    </w:rPr>
                    <w:t>排放速率kg/h</w:t>
                  </w:r>
                </w:p>
              </w:tc>
              <w:tc>
                <w:tcPr>
                  <w:tcW w:w="758" w:type="dxa"/>
                  <w:tcBorders>
                    <w:tl2br w:val="nil"/>
                    <w:tr2bl w:val="nil"/>
                  </w:tcBorders>
                  <w:shd w:val="clear" w:color="auto" w:fill="auto"/>
                  <w:noWrap/>
                  <w:vAlign w:val="center"/>
                </w:tcPr>
                <w:p w14:paraId="670B4F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排放浓度mg/m</w:t>
                  </w:r>
                  <w:r>
                    <w:rPr>
                      <w:rFonts w:hint="default" w:ascii="Times New Roman" w:hAnsi="Times New Roman" w:eastAsia="宋体" w:cs="Times New Roman"/>
                      <w:i w:val="0"/>
                      <w:iCs w:val="0"/>
                      <w:color w:val="000000"/>
                      <w:kern w:val="0"/>
                      <w:sz w:val="18"/>
                      <w:szCs w:val="18"/>
                      <w:u w:val="none"/>
                      <w:vertAlign w:val="superscript"/>
                      <w:lang w:val="en-US" w:eastAsia="zh-CN" w:bidi="ar"/>
                    </w:rPr>
                    <w:t>3</w:t>
                  </w:r>
                </w:p>
              </w:tc>
              <w:tc>
                <w:tcPr>
                  <w:tcW w:w="842" w:type="dxa"/>
                  <w:tcBorders>
                    <w:tl2br w:val="nil"/>
                    <w:tr2bl w:val="nil"/>
                  </w:tcBorders>
                  <w:shd w:val="clear" w:color="auto" w:fill="auto"/>
                  <w:noWrap/>
                  <w:vAlign w:val="center"/>
                </w:tcPr>
                <w:p w14:paraId="4E1E2D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无组织</w:t>
                  </w:r>
                  <w:r>
                    <w:rPr>
                      <w:rFonts w:hint="default" w:ascii="Times New Roman" w:hAnsi="Times New Roman" w:eastAsia="宋体" w:cs="Times New Roman"/>
                      <w:i w:val="0"/>
                      <w:iCs w:val="0"/>
                      <w:color w:val="000000"/>
                      <w:kern w:val="0"/>
                      <w:sz w:val="18"/>
                      <w:szCs w:val="18"/>
                      <w:u w:val="none"/>
                      <w:lang w:val="en-US" w:eastAsia="zh-CN" w:bidi="ar"/>
                    </w:rPr>
                    <w:t>排放速率kg/h</w:t>
                  </w:r>
                </w:p>
              </w:tc>
              <w:tc>
                <w:tcPr>
                  <w:tcW w:w="792" w:type="dxa"/>
                  <w:tcBorders>
                    <w:tl2br w:val="nil"/>
                    <w:tr2bl w:val="nil"/>
                  </w:tcBorders>
                  <w:shd w:val="clear" w:color="auto" w:fill="auto"/>
                  <w:noWrap/>
                  <w:vAlign w:val="center"/>
                </w:tcPr>
                <w:p w14:paraId="515E7B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有组织排放量</w:t>
                  </w:r>
                  <w:r>
                    <w:rPr>
                      <w:rFonts w:hint="eastAsia" w:cs="Times New Roman"/>
                      <w:i w:val="0"/>
                      <w:iCs w:val="0"/>
                      <w:color w:val="000000"/>
                      <w:kern w:val="0"/>
                      <w:sz w:val="13"/>
                      <w:szCs w:val="13"/>
                      <w:u w:val="none"/>
                      <w:lang w:val="en-US" w:eastAsia="zh-CN" w:bidi="ar"/>
                    </w:rPr>
                    <w:t>（t/a）</w:t>
                  </w:r>
                </w:p>
              </w:tc>
              <w:tc>
                <w:tcPr>
                  <w:tcW w:w="800" w:type="dxa"/>
                  <w:tcBorders>
                    <w:tl2br w:val="nil"/>
                    <w:tr2bl w:val="nil"/>
                  </w:tcBorders>
                  <w:shd w:val="clear" w:color="auto" w:fill="auto"/>
                  <w:noWrap/>
                  <w:vAlign w:val="center"/>
                </w:tcPr>
                <w:p w14:paraId="07F008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无组织排放量</w:t>
                  </w:r>
                  <w:r>
                    <w:rPr>
                      <w:rFonts w:hint="eastAsia" w:cs="Times New Roman"/>
                      <w:i w:val="0"/>
                      <w:iCs w:val="0"/>
                      <w:color w:val="000000"/>
                      <w:kern w:val="0"/>
                      <w:sz w:val="13"/>
                      <w:szCs w:val="13"/>
                      <w:u w:val="none"/>
                      <w:lang w:val="en-US" w:eastAsia="zh-CN" w:bidi="ar"/>
                    </w:rPr>
                    <w:t>（t/a）</w:t>
                  </w:r>
                </w:p>
              </w:tc>
            </w:tr>
            <w:tr w14:paraId="069199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8" w:hRule="atLeast"/>
                <w:jc w:val="center"/>
              </w:trPr>
              <w:tc>
                <w:tcPr>
                  <w:tcW w:w="785" w:type="dxa"/>
                  <w:tcBorders>
                    <w:tl2br w:val="nil"/>
                    <w:tr2bl w:val="nil"/>
                  </w:tcBorders>
                  <w:shd w:val="clear" w:color="auto" w:fill="auto"/>
                  <w:noWrap/>
                  <w:vAlign w:val="center"/>
                </w:tcPr>
                <w:p w14:paraId="24886D87">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p>
              </w:tc>
              <w:tc>
                <w:tcPr>
                  <w:tcW w:w="767" w:type="dxa"/>
                  <w:tcBorders>
                    <w:tl2br w:val="nil"/>
                    <w:tr2bl w:val="nil"/>
                  </w:tcBorders>
                  <w:shd w:val="clear" w:color="auto" w:fill="auto"/>
                  <w:noWrap/>
                  <w:vAlign w:val="center"/>
                </w:tcPr>
                <w:p w14:paraId="48A9A0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08" w:type="dxa"/>
                  <w:tcBorders>
                    <w:tl2br w:val="nil"/>
                    <w:tr2bl w:val="nil"/>
                  </w:tcBorders>
                  <w:shd w:val="clear" w:color="auto" w:fill="auto"/>
                  <w:noWrap/>
                  <w:vAlign w:val="center"/>
                </w:tcPr>
                <w:p w14:paraId="2668FC2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550" w:type="dxa"/>
                  <w:tcBorders>
                    <w:tl2br w:val="nil"/>
                    <w:tr2bl w:val="nil"/>
                  </w:tcBorders>
                  <w:shd w:val="clear" w:color="auto" w:fill="auto"/>
                  <w:noWrap/>
                  <w:vAlign w:val="center"/>
                </w:tcPr>
                <w:p w14:paraId="141B6F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592" w:type="dxa"/>
                  <w:tcBorders>
                    <w:tl2br w:val="nil"/>
                    <w:tr2bl w:val="nil"/>
                  </w:tcBorders>
                  <w:shd w:val="clear" w:color="auto" w:fill="auto"/>
                  <w:noWrap/>
                  <w:vAlign w:val="center"/>
                </w:tcPr>
                <w:p w14:paraId="58EEBBF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42" w:type="dxa"/>
                  <w:tcBorders>
                    <w:tl2br w:val="nil"/>
                    <w:tr2bl w:val="nil"/>
                  </w:tcBorders>
                  <w:shd w:val="clear" w:color="auto" w:fill="auto"/>
                  <w:noWrap/>
                  <w:vAlign w:val="center"/>
                </w:tcPr>
                <w:p w14:paraId="713BB6D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08" w:type="dxa"/>
                  <w:tcBorders>
                    <w:tl2br w:val="nil"/>
                    <w:tr2bl w:val="nil"/>
                  </w:tcBorders>
                  <w:shd w:val="clear" w:color="auto" w:fill="auto"/>
                  <w:noWrap/>
                  <w:vAlign w:val="center"/>
                </w:tcPr>
                <w:p w14:paraId="21F4FCA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58" w:type="dxa"/>
                  <w:tcBorders>
                    <w:tl2br w:val="nil"/>
                    <w:tr2bl w:val="nil"/>
                  </w:tcBorders>
                  <w:shd w:val="clear" w:color="auto" w:fill="auto"/>
                  <w:noWrap/>
                  <w:vAlign w:val="center"/>
                </w:tcPr>
                <w:p w14:paraId="2737F4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42" w:type="dxa"/>
                  <w:tcBorders>
                    <w:tl2br w:val="nil"/>
                    <w:tr2bl w:val="nil"/>
                  </w:tcBorders>
                  <w:shd w:val="clear" w:color="auto" w:fill="auto"/>
                  <w:noWrap/>
                  <w:vAlign w:val="center"/>
                </w:tcPr>
                <w:p w14:paraId="725E0AF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92" w:type="dxa"/>
                  <w:tcBorders>
                    <w:tl2br w:val="nil"/>
                    <w:tr2bl w:val="nil"/>
                  </w:tcBorders>
                  <w:shd w:val="clear" w:color="auto" w:fill="auto"/>
                  <w:noWrap/>
                  <w:vAlign w:val="center"/>
                </w:tcPr>
                <w:p w14:paraId="489C746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00" w:type="dxa"/>
                  <w:tcBorders>
                    <w:tl2br w:val="nil"/>
                    <w:tr2bl w:val="nil"/>
                  </w:tcBorders>
                  <w:shd w:val="clear" w:color="auto" w:fill="auto"/>
                  <w:noWrap/>
                  <w:vAlign w:val="center"/>
                </w:tcPr>
                <w:p w14:paraId="46C72E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r>
          </w:tbl>
          <w:p w14:paraId="142D3B17">
            <w:pP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本环评约定：实测数据产生速率根据监测数据最大排放速率，废气收集率、处理效率换算而来，</w:t>
            </w:r>
          </w:p>
          <w:p w14:paraId="6B6BD52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20" w:lineRule="auto"/>
              <w:ind w:firstLine="511" w:firstLineChars="212"/>
              <w:textAlignment w:val="auto"/>
              <w:rPr>
                <w:rFonts w:hint="default" w:ascii="Times New Roman" w:hAnsi="Times New Roman" w:cs="Times New Roman"/>
                <w:snapToGrid w:val="0"/>
                <w:color w:val="auto"/>
                <w:kern w:val="0"/>
                <w:sz w:val="24"/>
                <w:szCs w:val="22"/>
                <w:highlight w:val="none"/>
                <w:lang w:val="en-US"/>
              </w:rPr>
            </w:pPr>
            <w:r>
              <w:rPr>
                <w:rFonts w:hint="default" w:ascii="Times New Roman" w:hAnsi="Times New Roman" w:cs="Times New Roman"/>
                <w:b/>
                <w:bCs/>
                <w:color w:val="auto"/>
                <w:sz w:val="24"/>
                <w:highlight w:val="none"/>
              </w:rPr>
              <w:t>②</w:t>
            </w:r>
            <w:r>
              <w:rPr>
                <w:rFonts w:hint="eastAsia" w:cs="Times New Roman"/>
                <w:snapToGrid w:val="0"/>
                <w:color w:val="auto"/>
                <w:kern w:val="0"/>
                <w:sz w:val="24"/>
                <w:szCs w:val="22"/>
                <w:highlight w:val="none"/>
                <w:lang w:val="en-US" w:eastAsia="zh-CN"/>
              </w:rPr>
              <w:t>炼胶有机废气</w:t>
            </w:r>
          </w:p>
          <w:p w14:paraId="6C6346FC">
            <w:pPr>
              <w:pStyle w:val="11"/>
              <w:numPr>
                <w:ilvl w:val="0"/>
                <w:numId w:val="0"/>
              </w:numPr>
              <w:spacing w:before="0" w:after="0" w:line="420" w:lineRule="auto"/>
              <w:ind w:right="113" w:rightChars="0" w:firstLine="480" w:firstLineChars="200"/>
              <w:rPr>
                <w:rFonts w:hint="eastAsia" w:ascii="Times New Roman" w:hAnsi="Times New Roman" w:eastAsia="宋体" w:cs="Times New Roman"/>
                <w:snapToGrid w:val="0"/>
                <w:color w:val="auto"/>
                <w:sz w:val="24"/>
                <w:szCs w:val="22"/>
                <w:highlight w:val="none"/>
                <w:lang w:val="en-US" w:eastAsia="zh-CN"/>
              </w:rPr>
            </w:pPr>
            <w:r>
              <w:rPr>
                <w:rFonts w:hint="eastAsia" w:cs="Times New Roman"/>
                <w:snapToGrid w:val="0"/>
                <w:color w:val="auto"/>
                <w:sz w:val="24"/>
                <w:szCs w:val="22"/>
                <w:highlight w:val="none"/>
                <w:lang w:val="en-US" w:eastAsia="zh-CN"/>
              </w:rPr>
              <w:t>本项目炼胶（密炼+开炼）废气源强根据实测数据和产能规模进行折算</w:t>
            </w:r>
            <w:r>
              <w:rPr>
                <w:rFonts w:hint="eastAsia" w:ascii="Times New Roman" w:hAnsi="Times New Roman" w:eastAsia="宋体" w:cs="Times New Roman"/>
                <w:snapToGrid w:val="0"/>
                <w:color w:val="auto"/>
                <w:sz w:val="24"/>
                <w:szCs w:val="22"/>
                <w:highlight w:val="none"/>
                <w:lang w:val="en-US" w:eastAsia="zh-CN"/>
              </w:rPr>
              <w:t>，现状上料及炼胶废</w:t>
            </w:r>
            <w:r>
              <w:rPr>
                <w:rFonts w:hint="eastAsia" w:cs="Times New Roman"/>
                <w:snapToGrid w:val="0"/>
                <w:color w:val="auto"/>
                <w:sz w:val="24"/>
                <w:szCs w:val="22"/>
                <w:highlight w:val="none"/>
                <w:lang w:val="en-US" w:eastAsia="zh-CN"/>
              </w:rPr>
              <w:t>气系统风量为12800m³/h，上料及密炼工序现状产能为橡胶流体管道1280t/a，橡胶减震垫56t/a，</w:t>
            </w:r>
            <w:r>
              <w:rPr>
                <w:rFonts w:hint="eastAsia" w:ascii="Times New Roman" w:hAnsi="Times New Roman" w:eastAsia="宋体" w:cs="Times New Roman"/>
                <w:snapToGrid w:val="0"/>
                <w:color w:val="auto"/>
                <w:sz w:val="24"/>
                <w:szCs w:val="22"/>
                <w:highlight w:val="none"/>
                <w:lang w:val="en-US" w:eastAsia="zh-CN"/>
              </w:rPr>
              <w:t>扩建后系统风量按</w:t>
            </w:r>
            <w:r>
              <w:rPr>
                <w:rFonts w:hint="eastAsia" w:cs="Times New Roman"/>
                <w:snapToGrid w:val="0"/>
                <w:color w:val="auto"/>
                <w:sz w:val="24"/>
                <w:szCs w:val="22"/>
                <w:highlight w:val="none"/>
                <w:lang w:val="en-US" w:eastAsia="zh-CN"/>
              </w:rPr>
              <w:t>2</w:t>
            </w:r>
            <w:r>
              <w:rPr>
                <w:rFonts w:hint="eastAsia" w:ascii="Times New Roman" w:hAnsi="Times New Roman" w:eastAsia="宋体" w:cs="Times New Roman"/>
                <w:snapToGrid w:val="0"/>
                <w:color w:val="auto"/>
                <w:sz w:val="24"/>
                <w:szCs w:val="22"/>
                <w:highlight w:val="none"/>
                <w:lang w:val="en-US" w:eastAsia="zh-CN"/>
              </w:rPr>
              <w:t>5000m³/h进行设计</w:t>
            </w:r>
            <w:r>
              <w:rPr>
                <w:rFonts w:hint="eastAsia" w:cs="Times New Roman"/>
                <w:snapToGrid w:val="0"/>
                <w:color w:val="auto"/>
                <w:sz w:val="24"/>
                <w:szCs w:val="22"/>
                <w:highlight w:val="none"/>
                <w:lang w:eastAsia="zh-CN"/>
              </w:rPr>
              <w:t>，</w:t>
            </w:r>
            <w:r>
              <w:rPr>
                <w:rFonts w:hint="eastAsia" w:cs="Times New Roman"/>
                <w:snapToGrid w:val="0"/>
                <w:color w:val="auto"/>
                <w:sz w:val="24"/>
                <w:szCs w:val="22"/>
                <w:highlight w:val="none"/>
                <w:lang w:val="en-US" w:eastAsia="zh-CN"/>
              </w:rPr>
              <w:t>上料及密炼工序扩建后产能为橡胶流体管道2780t/a，橡胶减震垫56t/a。密炼+开炼废气平均收集85</w:t>
            </w:r>
            <w:r>
              <w:rPr>
                <w:rFonts w:hint="eastAsia" w:ascii="Times New Roman" w:hAnsi="Times New Roman" w:eastAsia="宋体" w:cs="Times New Roman"/>
                <w:snapToGrid w:val="0"/>
                <w:color w:val="auto"/>
                <w:sz w:val="24"/>
                <w:szCs w:val="22"/>
                <w:highlight w:val="none"/>
                <w:lang w:val="en-US" w:eastAsia="zh-CN"/>
              </w:rPr>
              <w:t>%计算，</w:t>
            </w:r>
            <w:r>
              <w:rPr>
                <w:rFonts w:hint="eastAsia" w:cs="Times New Roman"/>
                <w:snapToGrid w:val="0"/>
                <w:color w:val="auto"/>
                <w:sz w:val="24"/>
                <w:szCs w:val="22"/>
                <w:highlight w:val="none"/>
                <w:lang w:val="en-US" w:eastAsia="zh-CN"/>
              </w:rPr>
              <w:t>废气处理效率</w:t>
            </w:r>
            <w:r>
              <w:rPr>
                <w:rFonts w:hint="eastAsia" w:ascii="Times New Roman" w:hAnsi="Times New Roman" w:eastAsia="宋体" w:cs="Times New Roman"/>
                <w:snapToGrid w:val="0"/>
                <w:color w:val="auto"/>
                <w:sz w:val="24"/>
                <w:szCs w:val="22"/>
                <w:highlight w:val="none"/>
                <w:lang w:val="en-US" w:eastAsia="zh-CN"/>
              </w:rPr>
              <w:t>按</w:t>
            </w:r>
            <w:r>
              <w:rPr>
                <w:rFonts w:hint="eastAsia" w:cs="Times New Roman"/>
                <w:snapToGrid w:val="0"/>
                <w:color w:val="auto"/>
                <w:sz w:val="24"/>
                <w:szCs w:val="22"/>
                <w:highlight w:val="none"/>
                <w:lang w:val="en-US" w:eastAsia="zh-CN"/>
              </w:rPr>
              <w:t>80</w:t>
            </w:r>
            <w:r>
              <w:rPr>
                <w:rFonts w:hint="eastAsia" w:ascii="Times New Roman" w:hAnsi="Times New Roman" w:eastAsia="宋体" w:cs="Times New Roman"/>
                <w:snapToGrid w:val="0"/>
                <w:color w:val="auto"/>
                <w:sz w:val="24"/>
                <w:szCs w:val="22"/>
                <w:highlight w:val="none"/>
                <w:lang w:val="en-US" w:eastAsia="zh-CN"/>
              </w:rPr>
              <w:t>%计算，则</w:t>
            </w:r>
            <w:r>
              <w:rPr>
                <w:rFonts w:hint="eastAsia" w:cs="Times New Roman"/>
                <w:snapToGrid w:val="0"/>
                <w:color w:val="auto"/>
                <w:sz w:val="24"/>
                <w:szCs w:val="22"/>
                <w:highlight w:val="none"/>
                <w:lang w:val="en-US" w:eastAsia="zh-CN"/>
              </w:rPr>
              <w:t>炼胶（密炼+开炼）废气</w:t>
            </w:r>
            <w:r>
              <w:rPr>
                <w:rFonts w:hint="eastAsia" w:ascii="Times New Roman" w:hAnsi="Times New Roman" w:eastAsia="宋体" w:cs="Times New Roman"/>
                <w:snapToGrid w:val="0"/>
                <w:color w:val="auto"/>
                <w:sz w:val="24"/>
                <w:szCs w:val="22"/>
                <w:highlight w:val="none"/>
                <w:lang w:val="en-US" w:eastAsia="zh-CN"/>
              </w:rPr>
              <w:t>的产排污情况如下：</w:t>
            </w:r>
          </w:p>
          <w:p w14:paraId="28B017DE">
            <w:pPr>
              <w:pStyle w:val="43"/>
              <w:rPr>
                <w:rFonts w:hint="default"/>
                <w:lang w:val="en-US" w:eastAsia="zh-CN"/>
              </w:rPr>
            </w:pPr>
            <w:r>
              <w:rPr>
                <w:rFonts w:hint="default"/>
                <w:lang w:val="en-US" w:eastAsia="zh-CN"/>
              </w:rPr>
              <w:t>表4-</w:t>
            </w:r>
            <w:r>
              <w:rPr>
                <w:rFonts w:hint="eastAsia"/>
                <w:lang w:val="en-US" w:eastAsia="zh-CN"/>
              </w:rPr>
              <w:t>2炼胶有机废气</w:t>
            </w:r>
            <w:r>
              <w:rPr>
                <w:rFonts w:hint="default"/>
                <w:lang w:val="en-US" w:eastAsia="zh-CN"/>
              </w:rPr>
              <w:t>产排污情况</w:t>
            </w:r>
          </w:p>
          <w:tbl>
            <w:tblPr>
              <w:tblStyle w:val="23"/>
              <w:tblW w:w="82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85"/>
              <w:gridCol w:w="767"/>
              <w:gridCol w:w="808"/>
              <w:gridCol w:w="550"/>
              <w:gridCol w:w="592"/>
              <w:gridCol w:w="742"/>
              <w:gridCol w:w="808"/>
              <w:gridCol w:w="758"/>
              <w:gridCol w:w="842"/>
              <w:gridCol w:w="792"/>
              <w:gridCol w:w="800"/>
            </w:tblGrid>
            <w:tr w14:paraId="4437EA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0" w:hRule="atLeast"/>
                <w:jc w:val="center"/>
              </w:trPr>
              <w:tc>
                <w:tcPr>
                  <w:tcW w:w="785" w:type="dxa"/>
                  <w:tcBorders>
                    <w:tl2br w:val="nil"/>
                    <w:tr2bl w:val="nil"/>
                  </w:tcBorders>
                  <w:shd w:val="clear" w:color="auto" w:fill="auto"/>
                  <w:noWrap/>
                  <w:vAlign w:val="center"/>
                </w:tcPr>
                <w:p w14:paraId="2F9EE07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实测数据</w:t>
                  </w:r>
                </w:p>
              </w:tc>
              <w:tc>
                <w:tcPr>
                  <w:tcW w:w="7459" w:type="dxa"/>
                  <w:gridSpan w:val="10"/>
                  <w:tcBorders>
                    <w:tl2br w:val="nil"/>
                    <w:tr2bl w:val="nil"/>
                  </w:tcBorders>
                  <w:shd w:val="clear" w:color="auto" w:fill="auto"/>
                  <w:noWrap/>
                  <w:vAlign w:val="center"/>
                </w:tcPr>
                <w:p w14:paraId="04600B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扩建后产排污情况</w:t>
                  </w:r>
                </w:p>
              </w:tc>
            </w:tr>
            <w:tr w14:paraId="66B5C1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785" w:type="dxa"/>
                  <w:tcBorders>
                    <w:tl2br w:val="nil"/>
                    <w:tr2bl w:val="nil"/>
                  </w:tcBorders>
                  <w:shd w:val="clear" w:color="auto" w:fill="auto"/>
                  <w:noWrap/>
                  <w:vAlign w:val="center"/>
                </w:tcPr>
                <w:p w14:paraId="193875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产生速率kg/h</w:t>
                  </w:r>
                </w:p>
              </w:tc>
              <w:tc>
                <w:tcPr>
                  <w:tcW w:w="767" w:type="dxa"/>
                  <w:tcBorders>
                    <w:tl2br w:val="nil"/>
                    <w:tr2bl w:val="nil"/>
                  </w:tcBorders>
                  <w:shd w:val="clear" w:color="auto" w:fill="auto"/>
                  <w:noWrap/>
                  <w:vAlign w:val="center"/>
                </w:tcPr>
                <w:p w14:paraId="159E258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产能换算系数</w:t>
                  </w:r>
                </w:p>
              </w:tc>
              <w:tc>
                <w:tcPr>
                  <w:tcW w:w="808" w:type="dxa"/>
                  <w:tcBorders>
                    <w:tl2br w:val="nil"/>
                    <w:tr2bl w:val="nil"/>
                  </w:tcBorders>
                  <w:shd w:val="clear" w:color="auto" w:fill="auto"/>
                  <w:noWrap/>
                  <w:vAlign w:val="center"/>
                </w:tcPr>
                <w:p w14:paraId="7C7EE5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产生速率kg/h</w:t>
                  </w:r>
                </w:p>
              </w:tc>
              <w:tc>
                <w:tcPr>
                  <w:tcW w:w="550" w:type="dxa"/>
                  <w:tcBorders>
                    <w:tl2br w:val="nil"/>
                    <w:tr2bl w:val="nil"/>
                  </w:tcBorders>
                  <w:shd w:val="clear" w:color="auto" w:fill="auto"/>
                  <w:noWrap/>
                  <w:vAlign w:val="center"/>
                </w:tcPr>
                <w:p w14:paraId="71654C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收集率</w:t>
                  </w:r>
                </w:p>
              </w:tc>
              <w:tc>
                <w:tcPr>
                  <w:tcW w:w="592" w:type="dxa"/>
                  <w:tcBorders>
                    <w:tl2br w:val="nil"/>
                    <w:tr2bl w:val="nil"/>
                  </w:tcBorders>
                  <w:shd w:val="clear" w:color="auto" w:fill="auto"/>
                  <w:noWrap/>
                  <w:vAlign w:val="center"/>
                </w:tcPr>
                <w:p w14:paraId="4C23D503">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去除率</w:t>
                  </w:r>
                </w:p>
              </w:tc>
              <w:tc>
                <w:tcPr>
                  <w:tcW w:w="742" w:type="dxa"/>
                  <w:tcBorders>
                    <w:tl2br w:val="nil"/>
                    <w:tr2bl w:val="nil"/>
                  </w:tcBorders>
                  <w:shd w:val="clear" w:color="auto" w:fill="auto"/>
                  <w:noWrap/>
                  <w:vAlign w:val="center"/>
                </w:tcPr>
                <w:p w14:paraId="0A9FE8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设计</w:t>
                  </w:r>
                  <w:r>
                    <w:rPr>
                      <w:rFonts w:hint="default" w:ascii="Times New Roman" w:hAnsi="Times New Roman" w:eastAsia="宋体" w:cs="Times New Roman"/>
                      <w:i w:val="0"/>
                      <w:iCs w:val="0"/>
                      <w:color w:val="000000"/>
                      <w:kern w:val="0"/>
                      <w:sz w:val="18"/>
                      <w:szCs w:val="18"/>
                      <w:u w:val="none"/>
                      <w:lang w:val="en-US" w:eastAsia="zh-CN" w:bidi="ar"/>
                    </w:rPr>
                    <w:t>排气量</w:t>
                  </w:r>
                </w:p>
                <w:p w14:paraId="7A792E8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snapToGrid w:val="0"/>
                      <w:color w:val="auto"/>
                      <w:sz w:val="15"/>
                      <w:szCs w:val="15"/>
                      <w:highlight w:val="none"/>
                      <w:lang w:val="en-US" w:eastAsia="zh-CN"/>
                    </w:rPr>
                    <w:t>m³/h</w:t>
                  </w:r>
                </w:p>
              </w:tc>
              <w:tc>
                <w:tcPr>
                  <w:tcW w:w="808" w:type="dxa"/>
                  <w:tcBorders>
                    <w:tl2br w:val="nil"/>
                    <w:tr2bl w:val="nil"/>
                  </w:tcBorders>
                  <w:shd w:val="clear" w:color="auto" w:fill="auto"/>
                  <w:noWrap/>
                  <w:vAlign w:val="center"/>
                </w:tcPr>
                <w:p w14:paraId="0D7564C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cs="Times New Roman"/>
                      <w:i w:val="0"/>
                      <w:iCs w:val="0"/>
                      <w:color w:val="000000"/>
                      <w:kern w:val="0"/>
                      <w:sz w:val="18"/>
                      <w:szCs w:val="18"/>
                      <w:u w:val="none"/>
                      <w:lang w:val="en-US" w:eastAsia="zh-CN" w:bidi="ar"/>
                    </w:rPr>
                    <w:t>有组织</w:t>
                  </w:r>
                  <w:r>
                    <w:rPr>
                      <w:rFonts w:hint="default" w:ascii="Times New Roman" w:hAnsi="Times New Roman" w:eastAsia="宋体" w:cs="Times New Roman"/>
                      <w:i w:val="0"/>
                      <w:iCs w:val="0"/>
                      <w:color w:val="000000"/>
                      <w:kern w:val="0"/>
                      <w:sz w:val="18"/>
                      <w:szCs w:val="18"/>
                      <w:u w:val="none"/>
                      <w:lang w:val="en-US" w:eastAsia="zh-CN" w:bidi="ar"/>
                    </w:rPr>
                    <w:t>排放速率kg/h</w:t>
                  </w:r>
                </w:p>
              </w:tc>
              <w:tc>
                <w:tcPr>
                  <w:tcW w:w="758" w:type="dxa"/>
                  <w:tcBorders>
                    <w:tl2br w:val="nil"/>
                    <w:tr2bl w:val="nil"/>
                  </w:tcBorders>
                  <w:shd w:val="clear" w:color="auto" w:fill="auto"/>
                  <w:noWrap/>
                  <w:vAlign w:val="center"/>
                </w:tcPr>
                <w:p w14:paraId="2CEE19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排放浓度mg/m</w:t>
                  </w:r>
                  <w:r>
                    <w:rPr>
                      <w:rFonts w:hint="default" w:ascii="Times New Roman" w:hAnsi="Times New Roman" w:eastAsia="宋体" w:cs="Times New Roman"/>
                      <w:i w:val="0"/>
                      <w:iCs w:val="0"/>
                      <w:color w:val="000000"/>
                      <w:kern w:val="0"/>
                      <w:sz w:val="18"/>
                      <w:szCs w:val="18"/>
                      <w:u w:val="none"/>
                      <w:vertAlign w:val="superscript"/>
                      <w:lang w:val="en-US" w:eastAsia="zh-CN" w:bidi="ar"/>
                    </w:rPr>
                    <w:t>3</w:t>
                  </w:r>
                </w:p>
              </w:tc>
              <w:tc>
                <w:tcPr>
                  <w:tcW w:w="842" w:type="dxa"/>
                  <w:tcBorders>
                    <w:tl2br w:val="nil"/>
                    <w:tr2bl w:val="nil"/>
                  </w:tcBorders>
                  <w:shd w:val="clear" w:color="auto" w:fill="auto"/>
                  <w:noWrap/>
                  <w:vAlign w:val="center"/>
                </w:tcPr>
                <w:p w14:paraId="11BD620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无组织</w:t>
                  </w:r>
                  <w:r>
                    <w:rPr>
                      <w:rFonts w:hint="default" w:ascii="Times New Roman" w:hAnsi="Times New Roman" w:eastAsia="宋体" w:cs="Times New Roman"/>
                      <w:i w:val="0"/>
                      <w:iCs w:val="0"/>
                      <w:color w:val="000000"/>
                      <w:kern w:val="0"/>
                      <w:sz w:val="18"/>
                      <w:szCs w:val="18"/>
                      <w:u w:val="none"/>
                      <w:lang w:val="en-US" w:eastAsia="zh-CN" w:bidi="ar"/>
                    </w:rPr>
                    <w:t>排放速率kg/h</w:t>
                  </w:r>
                </w:p>
              </w:tc>
              <w:tc>
                <w:tcPr>
                  <w:tcW w:w="792" w:type="dxa"/>
                  <w:tcBorders>
                    <w:tl2br w:val="nil"/>
                    <w:tr2bl w:val="nil"/>
                  </w:tcBorders>
                  <w:shd w:val="clear" w:color="auto" w:fill="auto"/>
                  <w:noWrap/>
                  <w:vAlign w:val="center"/>
                </w:tcPr>
                <w:p w14:paraId="7012C1C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有组织排放量</w:t>
                  </w:r>
                  <w:r>
                    <w:rPr>
                      <w:rFonts w:hint="eastAsia" w:cs="Times New Roman"/>
                      <w:i w:val="0"/>
                      <w:iCs w:val="0"/>
                      <w:color w:val="000000"/>
                      <w:kern w:val="0"/>
                      <w:sz w:val="13"/>
                      <w:szCs w:val="13"/>
                      <w:u w:val="none"/>
                      <w:lang w:val="en-US" w:eastAsia="zh-CN" w:bidi="ar"/>
                    </w:rPr>
                    <w:t>（t/a）</w:t>
                  </w:r>
                </w:p>
              </w:tc>
              <w:tc>
                <w:tcPr>
                  <w:tcW w:w="800" w:type="dxa"/>
                  <w:tcBorders>
                    <w:tl2br w:val="nil"/>
                    <w:tr2bl w:val="nil"/>
                  </w:tcBorders>
                  <w:shd w:val="clear" w:color="auto" w:fill="auto"/>
                  <w:noWrap/>
                  <w:vAlign w:val="center"/>
                </w:tcPr>
                <w:p w14:paraId="4FEC999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无组织排放量</w:t>
                  </w:r>
                  <w:r>
                    <w:rPr>
                      <w:rFonts w:hint="eastAsia" w:cs="Times New Roman"/>
                      <w:i w:val="0"/>
                      <w:iCs w:val="0"/>
                      <w:color w:val="000000"/>
                      <w:kern w:val="0"/>
                      <w:sz w:val="13"/>
                      <w:szCs w:val="13"/>
                      <w:u w:val="none"/>
                      <w:lang w:val="en-US" w:eastAsia="zh-CN" w:bidi="ar"/>
                    </w:rPr>
                    <w:t>（t/a）</w:t>
                  </w:r>
                </w:p>
              </w:tc>
            </w:tr>
            <w:tr w14:paraId="01F683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785" w:type="dxa"/>
                  <w:tcBorders>
                    <w:tl2br w:val="nil"/>
                    <w:tr2bl w:val="nil"/>
                  </w:tcBorders>
                  <w:shd w:val="clear" w:color="auto" w:fill="auto"/>
                  <w:noWrap/>
                  <w:vAlign w:val="center"/>
                </w:tcPr>
                <w:p w14:paraId="67CDD41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67" w:type="dxa"/>
                  <w:tcBorders>
                    <w:tl2br w:val="nil"/>
                    <w:tr2bl w:val="nil"/>
                  </w:tcBorders>
                  <w:shd w:val="clear" w:color="auto" w:fill="auto"/>
                  <w:noWrap/>
                  <w:vAlign w:val="center"/>
                </w:tcPr>
                <w:p w14:paraId="5F108BF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08" w:type="dxa"/>
                  <w:tcBorders>
                    <w:tl2br w:val="nil"/>
                    <w:tr2bl w:val="nil"/>
                  </w:tcBorders>
                  <w:shd w:val="clear" w:color="auto" w:fill="auto"/>
                  <w:noWrap/>
                  <w:vAlign w:val="center"/>
                </w:tcPr>
                <w:p w14:paraId="6C9397B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550" w:type="dxa"/>
                  <w:tcBorders>
                    <w:tl2br w:val="nil"/>
                    <w:tr2bl w:val="nil"/>
                  </w:tcBorders>
                  <w:shd w:val="clear" w:color="auto" w:fill="auto"/>
                  <w:noWrap/>
                  <w:vAlign w:val="center"/>
                </w:tcPr>
                <w:p w14:paraId="21C45E9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592" w:type="dxa"/>
                  <w:tcBorders>
                    <w:tl2br w:val="nil"/>
                    <w:tr2bl w:val="nil"/>
                  </w:tcBorders>
                  <w:shd w:val="clear" w:color="auto" w:fill="auto"/>
                  <w:noWrap/>
                  <w:vAlign w:val="center"/>
                </w:tcPr>
                <w:p w14:paraId="7FEBB30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42" w:type="dxa"/>
                  <w:tcBorders>
                    <w:tl2br w:val="nil"/>
                    <w:tr2bl w:val="nil"/>
                  </w:tcBorders>
                  <w:shd w:val="clear" w:color="auto" w:fill="auto"/>
                  <w:noWrap/>
                  <w:vAlign w:val="center"/>
                </w:tcPr>
                <w:p w14:paraId="166D43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08" w:type="dxa"/>
                  <w:tcBorders>
                    <w:tl2br w:val="nil"/>
                    <w:tr2bl w:val="nil"/>
                  </w:tcBorders>
                  <w:shd w:val="clear" w:color="auto" w:fill="auto"/>
                  <w:noWrap/>
                  <w:vAlign w:val="center"/>
                </w:tcPr>
                <w:p w14:paraId="0D3F40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58" w:type="dxa"/>
                  <w:tcBorders>
                    <w:tl2br w:val="nil"/>
                    <w:tr2bl w:val="nil"/>
                  </w:tcBorders>
                  <w:shd w:val="clear" w:color="auto" w:fill="auto"/>
                  <w:noWrap/>
                  <w:vAlign w:val="center"/>
                </w:tcPr>
                <w:p w14:paraId="3BEE8DE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42" w:type="dxa"/>
                  <w:tcBorders>
                    <w:tl2br w:val="nil"/>
                    <w:tr2bl w:val="nil"/>
                  </w:tcBorders>
                  <w:shd w:val="clear" w:color="auto" w:fill="auto"/>
                  <w:noWrap/>
                  <w:vAlign w:val="center"/>
                </w:tcPr>
                <w:p w14:paraId="785004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92" w:type="dxa"/>
                  <w:tcBorders>
                    <w:tl2br w:val="nil"/>
                    <w:tr2bl w:val="nil"/>
                  </w:tcBorders>
                  <w:shd w:val="clear" w:color="auto" w:fill="auto"/>
                  <w:noWrap/>
                  <w:vAlign w:val="center"/>
                </w:tcPr>
                <w:p w14:paraId="6AC0DE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00" w:type="dxa"/>
                  <w:tcBorders>
                    <w:tl2br w:val="nil"/>
                    <w:tr2bl w:val="nil"/>
                  </w:tcBorders>
                  <w:shd w:val="clear" w:color="auto" w:fill="auto"/>
                  <w:noWrap/>
                  <w:vAlign w:val="center"/>
                </w:tcPr>
                <w:p w14:paraId="33A453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r>
          </w:tbl>
          <w:p w14:paraId="69EA10A8">
            <w:pPr>
              <w:numPr>
                <w:ilvl w:val="0"/>
                <w:numId w:val="0"/>
              </w:numPr>
              <w:spacing w:line="420" w:lineRule="auto"/>
              <w:ind w:firstLine="445" w:firstLineChars="212"/>
              <w:rPr>
                <w:rFonts w:hint="eastAsia"/>
                <w:color w:val="FF0000"/>
                <w:lang w:val="en-US" w:eastAsia="zh-CN"/>
              </w:rPr>
            </w:pPr>
          </w:p>
          <w:p w14:paraId="3AD2060B">
            <w:pPr>
              <w:numPr>
                <w:ilvl w:val="0"/>
                <w:numId w:val="0"/>
              </w:numPr>
              <w:spacing w:line="420" w:lineRule="auto"/>
              <w:ind w:firstLine="445" w:firstLineChars="212"/>
              <w:rPr>
                <w:rFonts w:hint="eastAsia" w:cs="Times New Roman"/>
                <w:snapToGrid w:val="0"/>
                <w:color w:val="auto"/>
                <w:kern w:val="0"/>
                <w:sz w:val="24"/>
                <w:szCs w:val="22"/>
                <w:highlight w:val="none"/>
                <w:lang w:val="en-US" w:eastAsia="zh-CN"/>
              </w:rPr>
            </w:pPr>
            <w:r>
              <w:rPr>
                <w:rFonts w:hint="eastAsia"/>
                <w:color w:val="FF0000"/>
                <w:lang w:val="en-US" w:eastAsia="zh-CN"/>
              </w:rPr>
              <w:t xml:space="preserve"> </w:t>
            </w:r>
            <w:r>
              <w:rPr>
                <w:rFonts w:hint="eastAsia" w:ascii="Times New Roman" w:hAnsi="Times New Roman" w:cs="Times New Roman"/>
                <w:b/>
                <w:bCs/>
                <w:color w:val="auto"/>
                <w:sz w:val="24"/>
                <w:highlight w:val="none"/>
                <w:lang w:val="en-US" w:eastAsia="zh-CN"/>
              </w:rPr>
              <w:t>③</w:t>
            </w:r>
            <w:r>
              <w:rPr>
                <w:rFonts w:hint="eastAsia" w:cs="Times New Roman"/>
                <w:snapToGrid w:val="0"/>
                <w:color w:val="auto"/>
                <w:kern w:val="0"/>
                <w:sz w:val="24"/>
                <w:szCs w:val="22"/>
                <w:highlight w:val="none"/>
                <w:lang w:val="en-US" w:eastAsia="zh-CN"/>
              </w:rPr>
              <w:t>硫化有机废气</w:t>
            </w:r>
          </w:p>
          <w:p w14:paraId="1D828DC1">
            <w:pPr>
              <w:pStyle w:val="11"/>
              <w:numPr>
                <w:ilvl w:val="0"/>
                <w:numId w:val="0"/>
              </w:numPr>
              <w:spacing w:before="0" w:after="0" w:line="420" w:lineRule="auto"/>
              <w:ind w:right="113" w:rightChars="0" w:firstLine="480" w:firstLineChars="200"/>
              <w:rPr>
                <w:rFonts w:hint="default" w:ascii="Times New Roman" w:hAnsi="Times New Roman" w:eastAsia="宋体" w:cs="Times New Roman"/>
                <w:snapToGrid w:val="0"/>
                <w:color w:val="auto"/>
                <w:sz w:val="24"/>
                <w:szCs w:val="22"/>
                <w:highlight w:val="none"/>
                <w:lang w:val="en-US"/>
              </w:rPr>
            </w:pPr>
            <w:r>
              <w:rPr>
                <w:rFonts w:hint="eastAsia" w:cs="Times New Roman"/>
                <w:snapToGrid w:val="0"/>
                <w:color w:val="auto"/>
                <w:sz w:val="24"/>
                <w:szCs w:val="22"/>
                <w:highlight w:val="none"/>
                <w:lang w:val="en-US" w:eastAsia="zh-CN"/>
              </w:rPr>
              <w:t>本项目炼胶（密炼+开炼）废气源强根据实测数据和产能规模进行折算</w:t>
            </w:r>
            <w:r>
              <w:rPr>
                <w:rFonts w:hint="eastAsia" w:ascii="Times New Roman" w:hAnsi="Times New Roman" w:eastAsia="宋体" w:cs="Times New Roman"/>
                <w:snapToGrid w:val="0"/>
                <w:color w:val="auto"/>
                <w:sz w:val="24"/>
                <w:szCs w:val="22"/>
                <w:highlight w:val="none"/>
                <w:lang w:val="en-US" w:eastAsia="zh-CN"/>
              </w:rPr>
              <w:t>，现状硫化系统风量为25000m³/h，该系统风机为2022年设备维修时更新改造后的风量，该风量已预留后期扩产需求，根据核算现有风量满足扩产后废气收集需要</w:t>
            </w:r>
            <w:r>
              <w:rPr>
                <w:rFonts w:hint="default" w:ascii="Times New Roman" w:hAnsi="Times New Roman" w:eastAsia="宋体" w:cs="Times New Roman"/>
                <w:snapToGrid w:val="0"/>
                <w:color w:val="auto"/>
                <w:sz w:val="24"/>
                <w:szCs w:val="22"/>
                <w:highlight w:val="none"/>
              </w:rPr>
              <w:t>。</w:t>
            </w:r>
            <w:r>
              <w:rPr>
                <w:rFonts w:hint="eastAsia" w:cs="Times New Roman"/>
                <w:snapToGrid w:val="0"/>
                <w:color w:val="auto"/>
                <w:sz w:val="24"/>
                <w:szCs w:val="22"/>
                <w:highlight w:val="none"/>
                <w:lang w:val="en-US" w:eastAsia="zh-CN"/>
              </w:rPr>
              <w:t>本项目橡胶减震垫在橡胶制品线采用硫化机挤出硫化，橡胶流体管道采用蒸汽硫化罐硫化，蒸汽硫化罐为高压密闭管，通入蒸汽加压后密闭30分钟进行硫化反应，硫化过程无废气排放，硫化完成后再打开硫化罐，废气集中在30s～1min内完成排放，根据核算项目硫化有机废气有效排放时间为220h/a。</w:t>
            </w:r>
          </w:p>
          <w:p w14:paraId="49E8B06D">
            <w:pPr>
              <w:pStyle w:val="11"/>
              <w:numPr>
                <w:ilvl w:val="0"/>
                <w:numId w:val="0"/>
              </w:numPr>
              <w:spacing w:before="0" w:after="0" w:line="420" w:lineRule="auto"/>
              <w:ind w:right="113" w:rightChars="0" w:firstLine="480" w:firstLineChars="200"/>
              <w:rPr>
                <w:rFonts w:hint="eastAsia" w:cs="Times New Roman"/>
                <w:snapToGrid w:val="0"/>
                <w:color w:val="auto"/>
                <w:sz w:val="24"/>
                <w:szCs w:val="22"/>
                <w:highlight w:val="none"/>
                <w:lang w:val="en-US" w:eastAsia="zh-CN"/>
              </w:rPr>
            </w:pPr>
            <w:r>
              <w:rPr>
                <w:rFonts w:hint="eastAsia" w:cs="Times New Roman"/>
                <w:snapToGrid w:val="0"/>
                <w:color w:val="auto"/>
                <w:sz w:val="24"/>
                <w:szCs w:val="22"/>
                <w:highlight w:val="none"/>
                <w:lang w:val="en-US" w:eastAsia="zh-CN"/>
              </w:rPr>
              <w:t>硫化工序现状产能为橡胶流体管道1280t/a，扩建后产能为橡胶流体管道2780t/a。废气收集80</w:t>
            </w:r>
            <w:r>
              <w:rPr>
                <w:rFonts w:hint="eastAsia" w:ascii="Times New Roman" w:hAnsi="Times New Roman" w:eastAsia="宋体" w:cs="Times New Roman"/>
                <w:snapToGrid w:val="0"/>
                <w:color w:val="auto"/>
                <w:sz w:val="24"/>
                <w:szCs w:val="22"/>
                <w:highlight w:val="none"/>
                <w:lang w:val="en-US" w:eastAsia="zh-CN"/>
              </w:rPr>
              <w:t>%计算，</w:t>
            </w:r>
            <w:r>
              <w:rPr>
                <w:rFonts w:hint="eastAsia" w:cs="Times New Roman"/>
                <w:snapToGrid w:val="0"/>
                <w:color w:val="auto"/>
                <w:sz w:val="24"/>
                <w:szCs w:val="22"/>
                <w:highlight w:val="none"/>
                <w:lang w:val="en-US" w:eastAsia="zh-CN"/>
              </w:rPr>
              <w:t>现状废气处理设施为喷淋+光氧处理工艺，根基产排污系数手册，该工艺的废气处理效率约50</w:t>
            </w:r>
            <w:r>
              <w:rPr>
                <w:rFonts w:hint="eastAsia" w:ascii="Times New Roman" w:hAnsi="Times New Roman" w:eastAsia="宋体" w:cs="Times New Roman"/>
                <w:snapToGrid w:val="0"/>
                <w:color w:val="auto"/>
                <w:sz w:val="24"/>
                <w:szCs w:val="22"/>
                <w:highlight w:val="none"/>
                <w:lang w:val="en-US" w:eastAsia="zh-CN"/>
              </w:rPr>
              <w:t>%</w:t>
            </w:r>
            <w:r>
              <w:rPr>
                <w:rFonts w:hint="eastAsia" w:cs="Times New Roman"/>
                <w:snapToGrid w:val="0"/>
                <w:color w:val="auto"/>
                <w:sz w:val="24"/>
                <w:szCs w:val="22"/>
                <w:highlight w:val="none"/>
                <w:lang w:val="en-US" w:eastAsia="zh-CN"/>
              </w:rPr>
              <w:t>，本次升级改造后，淘汰光氧，变更为二级活性炭吸附处理系统，设计处理效率为80%。</w:t>
            </w:r>
          </w:p>
          <w:p w14:paraId="7E306526">
            <w:pPr>
              <w:pStyle w:val="11"/>
              <w:numPr>
                <w:ilvl w:val="0"/>
                <w:numId w:val="0"/>
              </w:numPr>
              <w:spacing w:before="0" w:after="0" w:line="420" w:lineRule="auto"/>
              <w:ind w:right="113" w:rightChars="0" w:firstLine="480" w:firstLineChars="200"/>
              <w:rPr>
                <w:rFonts w:hint="eastAsia" w:ascii="Times New Roman" w:hAnsi="Times New Roman" w:eastAsia="宋体" w:cs="Times New Roman"/>
                <w:snapToGrid w:val="0"/>
                <w:color w:val="auto"/>
                <w:sz w:val="24"/>
                <w:szCs w:val="22"/>
                <w:highlight w:val="none"/>
                <w:lang w:val="en-US" w:eastAsia="zh-CN"/>
              </w:rPr>
            </w:pPr>
            <w:r>
              <w:rPr>
                <w:rFonts w:hint="eastAsia" w:cs="Times New Roman"/>
                <w:snapToGrid w:val="0"/>
                <w:color w:val="auto"/>
                <w:sz w:val="24"/>
                <w:szCs w:val="22"/>
                <w:highlight w:val="none"/>
                <w:lang w:val="en-US" w:eastAsia="zh-CN"/>
              </w:rPr>
              <w:t>项目扩建完成后硫化</w:t>
            </w:r>
            <w:r>
              <w:rPr>
                <w:rFonts w:hint="eastAsia" w:ascii="Times New Roman" w:hAnsi="Times New Roman" w:eastAsia="宋体" w:cs="Times New Roman"/>
                <w:snapToGrid w:val="0"/>
                <w:color w:val="auto"/>
                <w:sz w:val="24"/>
                <w:szCs w:val="22"/>
                <w:highlight w:val="none"/>
                <w:lang w:val="en-US" w:eastAsia="zh-CN"/>
              </w:rPr>
              <w:t>过程中</w:t>
            </w:r>
            <w:r>
              <w:rPr>
                <w:rFonts w:hint="eastAsia" w:cs="Times New Roman"/>
                <w:snapToGrid w:val="0"/>
                <w:color w:val="auto"/>
                <w:sz w:val="24"/>
                <w:szCs w:val="22"/>
                <w:highlight w:val="none"/>
                <w:lang w:val="en-US" w:eastAsia="zh-CN"/>
              </w:rPr>
              <w:t>有机废气</w:t>
            </w:r>
            <w:r>
              <w:rPr>
                <w:rFonts w:hint="eastAsia" w:ascii="Times New Roman" w:hAnsi="Times New Roman" w:eastAsia="宋体" w:cs="Times New Roman"/>
                <w:snapToGrid w:val="0"/>
                <w:color w:val="auto"/>
                <w:sz w:val="24"/>
                <w:szCs w:val="22"/>
                <w:highlight w:val="none"/>
                <w:lang w:val="en-US" w:eastAsia="zh-CN"/>
              </w:rPr>
              <w:t>的产排污情况如下：</w:t>
            </w:r>
          </w:p>
          <w:p w14:paraId="03DC23D8">
            <w:pPr>
              <w:pStyle w:val="43"/>
              <w:rPr>
                <w:rFonts w:hint="default"/>
                <w:lang w:val="en-US" w:eastAsia="zh-CN"/>
              </w:rPr>
            </w:pPr>
          </w:p>
          <w:p w14:paraId="3845E1E3">
            <w:pPr>
              <w:pStyle w:val="43"/>
              <w:rPr>
                <w:rFonts w:hint="default"/>
                <w:lang w:val="en-US" w:eastAsia="zh-CN"/>
              </w:rPr>
            </w:pPr>
          </w:p>
          <w:p w14:paraId="29043FD4">
            <w:pPr>
              <w:pStyle w:val="43"/>
              <w:rPr>
                <w:rFonts w:hint="default"/>
                <w:lang w:val="en-US" w:eastAsia="zh-CN"/>
              </w:rPr>
            </w:pPr>
          </w:p>
          <w:p w14:paraId="11903B63">
            <w:pPr>
              <w:pStyle w:val="43"/>
              <w:rPr>
                <w:rFonts w:hint="default"/>
                <w:lang w:val="en-US" w:eastAsia="zh-CN"/>
              </w:rPr>
            </w:pPr>
            <w:r>
              <w:rPr>
                <w:rFonts w:hint="default"/>
                <w:lang w:val="en-US" w:eastAsia="zh-CN"/>
              </w:rPr>
              <w:t>表4-</w:t>
            </w:r>
            <w:r>
              <w:rPr>
                <w:rFonts w:hint="eastAsia"/>
                <w:lang w:val="en-US" w:eastAsia="zh-CN"/>
              </w:rPr>
              <w:t>3硫化有机废气</w:t>
            </w:r>
            <w:r>
              <w:rPr>
                <w:rFonts w:hint="default"/>
                <w:lang w:val="en-US" w:eastAsia="zh-CN"/>
              </w:rPr>
              <w:t>产排污情况</w:t>
            </w:r>
          </w:p>
          <w:tbl>
            <w:tblPr>
              <w:tblStyle w:val="23"/>
              <w:tblW w:w="82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85"/>
              <w:gridCol w:w="767"/>
              <w:gridCol w:w="808"/>
              <w:gridCol w:w="550"/>
              <w:gridCol w:w="592"/>
              <w:gridCol w:w="742"/>
              <w:gridCol w:w="808"/>
              <w:gridCol w:w="758"/>
              <w:gridCol w:w="842"/>
              <w:gridCol w:w="792"/>
              <w:gridCol w:w="800"/>
            </w:tblGrid>
            <w:tr w14:paraId="1D8371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0" w:hRule="atLeast"/>
                <w:jc w:val="center"/>
              </w:trPr>
              <w:tc>
                <w:tcPr>
                  <w:tcW w:w="785" w:type="dxa"/>
                  <w:tcBorders>
                    <w:tl2br w:val="nil"/>
                    <w:tr2bl w:val="nil"/>
                  </w:tcBorders>
                  <w:shd w:val="clear" w:color="auto" w:fill="auto"/>
                  <w:noWrap/>
                  <w:vAlign w:val="center"/>
                </w:tcPr>
                <w:p w14:paraId="0BC9BD9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实测数据</w:t>
                  </w:r>
                </w:p>
              </w:tc>
              <w:tc>
                <w:tcPr>
                  <w:tcW w:w="7459" w:type="dxa"/>
                  <w:gridSpan w:val="10"/>
                  <w:tcBorders>
                    <w:tl2br w:val="nil"/>
                    <w:tr2bl w:val="nil"/>
                  </w:tcBorders>
                  <w:shd w:val="clear" w:color="auto" w:fill="auto"/>
                  <w:noWrap/>
                  <w:vAlign w:val="center"/>
                </w:tcPr>
                <w:p w14:paraId="3D6CF1F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扩建后产排污情况</w:t>
                  </w:r>
                </w:p>
              </w:tc>
            </w:tr>
            <w:tr w14:paraId="0FB4F6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785" w:type="dxa"/>
                  <w:tcBorders>
                    <w:tl2br w:val="nil"/>
                    <w:tr2bl w:val="nil"/>
                  </w:tcBorders>
                  <w:shd w:val="clear" w:color="auto" w:fill="auto"/>
                  <w:noWrap/>
                  <w:vAlign w:val="center"/>
                </w:tcPr>
                <w:p w14:paraId="180F7C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产生速率kg/h</w:t>
                  </w:r>
                </w:p>
              </w:tc>
              <w:tc>
                <w:tcPr>
                  <w:tcW w:w="767" w:type="dxa"/>
                  <w:tcBorders>
                    <w:tl2br w:val="nil"/>
                    <w:tr2bl w:val="nil"/>
                  </w:tcBorders>
                  <w:shd w:val="clear" w:color="auto" w:fill="auto"/>
                  <w:noWrap/>
                  <w:vAlign w:val="center"/>
                </w:tcPr>
                <w:p w14:paraId="632F27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产能换算系数</w:t>
                  </w:r>
                </w:p>
              </w:tc>
              <w:tc>
                <w:tcPr>
                  <w:tcW w:w="808" w:type="dxa"/>
                  <w:tcBorders>
                    <w:tl2br w:val="nil"/>
                    <w:tr2bl w:val="nil"/>
                  </w:tcBorders>
                  <w:shd w:val="clear" w:color="auto" w:fill="auto"/>
                  <w:noWrap/>
                  <w:vAlign w:val="center"/>
                </w:tcPr>
                <w:p w14:paraId="67EE6E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产生速率kg/h</w:t>
                  </w:r>
                </w:p>
              </w:tc>
              <w:tc>
                <w:tcPr>
                  <w:tcW w:w="550" w:type="dxa"/>
                  <w:tcBorders>
                    <w:tl2br w:val="nil"/>
                    <w:tr2bl w:val="nil"/>
                  </w:tcBorders>
                  <w:shd w:val="clear" w:color="auto" w:fill="auto"/>
                  <w:noWrap/>
                  <w:vAlign w:val="center"/>
                </w:tcPr>
                <w:p w14:paraId="259EA4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收集率</w:t>
                  </w:r>
                </w:p>
              </w:tc>
              <w:tc>
                <w:tcPr>
                  <w:tcW w:w="592" w:type="dxa"/>
                  <w:tcBorders>
                    <w:tl2br w:val="nil"/>
                    <w:tr2bl w:val="nil"/>
                  </w:tcBorders>
                  <w:shd w:val="clear" w:color="auto" w:fill="auto"/>
                  <w:noWrap/>
                  <w:vAlign w:val="center"/>
                </w:tcPr>
                <w:p w14:paraId="3470D249">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去除率</w:t>
                  </w:r>
                </w:p>
              </w:tc>
              <w:tc>
                <w:tcPr>
                  <w:tcW w:w="742" w:type="dxa"/>
                  <w:tcBorders>
                    <w:tl2br w:val="nil"/>
                    <w:tr2bl w:val="nil"/>
                  </w:tcBorders>
                  <w:shd w:val="clear" w:color="auto" w:fill="auto"/>
                  <w:noWrap/>
                  <w:vAlign w:val="center"/>
                </w:tcPr>
                <w:p w14:paraId="02A1CD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设计</w:t>
                  </w:r>
                  <w:r>
                    <w:rPr>
                      <w:rFonts w:hint="default" w:ascii="Times New Roman" w:hAnsi="Times New Roman" w:eastAsia="宋体" w:cs="Times New Roman"/>
                      <w:i w:val="0"/>
                      <w:iCs w:val="0"/>
                      <w:color w:val="000000"/>
                      <w:kern w:val="0"/>
                      <w:sz w:val="18"/>
                      <w:szCs w:val="18"/>
                      <w:u w:val="none"/>
                      <w:lang w:val="en-US" w:eastAsia="zh-CN" w:bidi="ar"/>
                    </w:rPr>
                    <w:t>排气量</w:t>
                  </w:r>
                </w:p>
                <w:p w14:paraId="3EC4A79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snapToGrid w:val="0"/>
                      <w:color w:val="auto"/>
                      <w:sz w:val="15"/>
                      <w:szCs w:val="15"/>
                      <w:highlight w:val="none"/>
                      <w:lang w:val="en-US" w:eastAsia="zh-CN"/>
                    </w:rPr>
                    <w:t>m³/h</w:t>
                  </w:r>
                </w:p>
              </w:tc>
              <w:tc>
                <w:tcPr>
                  <w:tcW w:w="808" w:type="dxa"/>
                  <w:tcBorders>
                    <w:tl2br w:val="nil"/>
                    <w:tr2bl w:val="nil"/>
                  </w:tcBorders>
                  <w:shd w:val="clear" w:color="auto" w:fill="auto"/>
                  <w:noWrap/>
                  <w:vAlign w:val="center"/>
                </w:tcPr>
                <w:p w14:paraId="450080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cs="Times New Roman"/>
                      <w:i w:val="0"/>
                      <w:iCs w:val="0"/>
                      <w:color w:val="000000"/>
                      <w:kern w:val="0"/>
                      <w:sz w:val="18"/>
                      <w:szCs w:val="18"/>
                      <w:u w:val="none"/>
                      <w:lang w:val="en-US" w:eastAsia="zh-CN" w:bidi="ar"/>
                    </w:rPr>
                    <w:t>有组织</w:t>
                  </w:r>
                  <w:r>
                    <w:rPr>
                      <w:rFonts w:hint="default" w:ascii="Times New Roman" w:hAnsi="Times New Roman" w:eastAsia="宋体" w:cs="Times New Roman"/>
                      <w:i w:val="0"/>
                      <w:iCs w:val="0"/>
                      <w:color w:val="000000"/>
                      <w:kern w:val="0"/>
                      <w:sz w:val="18"/>
                      <w:szCs w:val="18"/>
                      <w:u w:val="none"/>
                      <w:lang w:val="en-US" w:eastAsia="zh-CN" w:bidi="ar"/>
                    </w:rPr>
                    <w:t>排放速率kg/h</w:t>
                  </w:r>
                </w:p>
              </w:tc>
              <w:tc>
                <w:tcPr>
                  <w:tcW w:w="758" w:type="dxa"/>
                  <w:tcBorders>
                    <w:tl2br w:val="nil"/>
                    <w:tr2bl w:val="nil"/>
                  </w:tcBorders>
                  <w:shd w:val="clear" w:color="auto" w:fill="auto"/>
                  <w:noWrap/>
                  <w:vAlign w:val="center"/>
                </w:tcPr>
                <w:p w14:paraId="15E09B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排放浓度mg/m</w:t>
                  </w:r>
                  <w:r>
                    <w:rPr>
                      <w:rFonts w:hint="default" w:ascii="Times New Roman" w:hAnsi="Times New Roman" w:eastAsia="宋体" w:cs="Times New Roman"/>
                      <w:i w:val="0"/>
                      <w:iCs w:val="0"/>
                      <w:color w:val="000000"/>
                      <w:kern w:val="0"/>
                      <w:sz w:val="18"/>
                      <w:szCs w:val="18"/>
                      <w:u w:val="none"/>
                      <w:vertAlign w:val="superscript"/>
                      <w:lang w:val="en-US" w:eastAsia="zh-CN" w:bidi="ar"/>
                    </w:rPr>
                    <w:t>3</w:t>
                  </w:r>
                </w:p>
              </w:tc>
              <w:tc>
                <w:tcPr>
                  <w:tcW w:w="842" w:type="dxa"/>
                  <w:tcBorders>
                    <w:tl2br w:val="nil"/>
                    <w:tr2bl w:val="nil"/>
                  </w:tcBorders>
                  <w:shd w:val="clear" w:color="auto" w:fill="auto"/>
                  <w:noWrap/>
                  <w:vAlign w:val="center"/>
                </w:tcPr>
                <w:p w14:paraId="2C1F33C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无组织</w:t>
                  </w:r>
                  <w:r>
                    <w:rPr>
                      <w:rFonts w:hint="default" w:ascii="Times New Roman" w:hAnsi="Times New Roman" w:eastAsia="宋体" w:cs="Times New Roman"/>
                      <w:i w:val="0"/>
                      <w:iCs w:val="0"/>
                      <w:color w:val="000000"/>
                      <w:kern w:val="0"/>
                      <w:sz w:val="18"/>
                      <w:szCs w:val="18"/>
                      <w:u w:val="none"/>
                      <w:lang w:val="en-US" w:eastAsia="zh-CN" w:bidi="ar"/>
                    </w:rPr>
                    <w:t>排放速率kg/h</w:t>
                  </w:r>
                </w:p>
              </w:tc>
              <w:tc>
                <w:tcPr>
                  <w:tcW w:w="792" w:type="dxa"/>
                  <w:tcBorders>
                    <w:tl2br w:val="nil"/>
                    <w:tr2bl w:val="nil"/>
                  </w:tcBorders>
                  <w:shd w:val="clear" w:color="auto" w:fill="auto"/>
                  <w:noWrap/>
                  <w:vAlign w:val="center"/>
                </w:tcPr>
                <w:p w14:paraId="1AF57EA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有组织排放量</w:t>
                  </w:r>
                  <w:r>
                    <w:rPr>
                      <w:rFonts w:hint="eastAsia" w:cs="Times New Roman"/>
                      <w:i w:val="0"/>
                      <w:iCs w:val="0"/>
                      <w:color w:val="000000"/>
                      <w:kern w:val="0"/>
                      <w:sz w:val="13"/>
                      <w:szCs w:val="13"/>
                      <w:u w:val="none"/>
                      <w:lang w:val="en-US" w:eastAsia="zh-CN" w:bidi="ar"/>
                    </w:rPr>
                    <w:t>（t/a）</w:t>
                  </w:r>
                </w:p>
              </w:tc>
              <w:tc>
                <w:tcPr>
                  <w:tcW w:w="800" w:type="dxa"/>
                  <w:tcBorders>
                    <w:tl2br w:val="nil"/>
                    <w:tr2bl w:val="nil"/>
                  </w:tcBorders>
                  <w:shd w:val="clear" w:color="auto" w:fill="auto"/>
                  <w:noWrap/>
                  <w:vAlign w:val="center"/>
                </w:tcPr>
                <w:p w14:paraId="796F76B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无组织排放量</w:t>
                  </w:r>
                  <w:r>
                    <w:rPr>
                      <w:rFonts w:hint="eastAsia" w:cs="Times New Roman"/>
                      <w:i w:val="0"/>
                      <w:iCs w:val="0"/>
                      <w:color w:val="000000"/>
                      <w:kern w:val="0"/>
                      <w:sz w:val="13"/>
                      <w:szCs w:val="13"/>
                      <w:u w:val="none"/>
                      <w:lang w:val="en-US" w:eastAsia="zh-CN" w:bidi="ar"/>
                    </w:rPr>
                    <w:t>（t/a）</w:t>
                  </w:r>
                </w:p>
              </w:tc>
            </w:tr>
            <w:tr w14:paraId="75F8C3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785" w:type="dxa"/>
                  <w:tcBorders>
                    <w:tl2br w:val="nil"/>
                    <w:tr2bl w:val="nil"/>
                  </w:tcBorders>
                  <w:shd w:val="clear" w:color="auto" w:fill="auto"/>
                  <w:noWrap/>
                  <w:vAlign w:val="center"/>
                </w:tcPr>
                <w:p w14:paraId="2D9696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67" w:type="dxa"/>
                  <w:tcBorders>
                    <w:tl2br w:val="nil"/>
                    <w:tr2bl w:val="nil"/>
                  </w:tcBorders>
                  <w:shd w:val="clear" w:color="auto" w:fill="auto"/>
                  <w:noWrap/>
                  <w:vAlign w:val="center"/>
                </w:tcPr>
                <w:p w14:paraId="4E3DBD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08" w:type="dxa"/>
                  <w:tcBorders>
                    <w:tl2br w:val="nil"/>
                    <w:tr2bl w:val="nil"/>
                  </w:tcBorders>
                  <w:shd w:val="clear" w:color="auto" w:fill="auto"/>
                  <w:noWrap/>
                  <w:vAlign w:val="center"/>
                </w:tcPr>
                <w:p w14:paraId="23F2CEB3">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p>
              </w:tc>
              <w:tc>
                <w:tcPr>
                  <w:tcW w:w="550" w:type="dxa"/>
                  <w:tcBorders>
                    <w:tl2br w:val="nil"/>
                    <w:tr2bl w:val="nil"/>
                  </w:tcBorders>
                  <w:shd w:val="clear" w:color="auto" w:fill="auto"/>
                  <w:noWrap/>
                  <w:vAlign w:val="center"/>
                </w:tcPr>
                <w:p w14:paraId="19BCE773">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p>
              </w:tc>
              <w:tc>
                <w:tcPr>
                  <w:tcW w:w="592" w:type="dxa"/>
                  <w:tcBorders>
                    <w:tl2br w:val="nil"/>
                    <w:tr2bl w:val="nil"/>
                  </w:tcBorders>
                  <w:shd w:val="clear" w:color="auto" w:fill="auto"/>
                  <w:noWrap/>
                  <w:vAlign w:val="center"/>
                </w:tcPr>
                <w:p w14:paraId="51CB23E6">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p>
              </w:tc>
              <w:tc>
                <w:tcPr>
                  <w:tcW w:w="742" w:type="dxa"/>
                  <w:tcBorders>
                    <w:tl2br w:val="nil"/>
                    <w:tr2bl w:val="nil"/>
                  </w:tcBorders>
                  <w:shd w:val="clear" w:color="auto" w:fill="auto"/>
                  <w:noWrap/>
                  <w:vAlign w:val="center"/>
                </w:tcPr>
                <w:p w14:paraId="5D005EB4">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p>
              </w:tc>
              <w:tc>
                <w:tcPr>
                  <w:tcW w:w="808" w:type="dxa"/>
                  <w:tcBorders>
                    <w:tl2br w:val="nil"/>
                    <w:tr2bl w:val="nil"/>
                  </w:tcBorders>
                  <w:shd w:val="clear" w:color="auto" w:fill="auto"/>
                  <w:noWrap/>
                  <w:vAlign w:val="center"/>
                </w:tcPr>
                <w:p w14:paraId="39B3F286">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p>
              </w:tc>
              <w:tc>
                <w:tcPr>
                  <w:tcW w:w="758" w:type="dxa"/>
                  <w:tcBorders>
                    <w:tl2br w:val="nil"/>
                    <w:tr2bl w:val="nil"/>
                  </w:tcBorders>
                  <w:shd w:val="clear" w:color="auto" w:fill="auto"/>
                  <w:noWrap/>
                  <w:vAlign w:val="center"/>
                </w:tcPr>
                <w:p w14:paraId="3D38988F">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p>
              </w:tc>
              <w:tc>
                <w:tcPr>
                  <w:tcW w:w="842" w:type="dxa"/>
                  <w:tcBorders>
                    <w:tl2br w:val="nil"/>
                    <w:tr2bl w:val="nil"/>
                  </w:tcBorders>
                  <w:shd w:val="clear" w:color="auto" w:fill="auto"/>
                  <w:noWrap/>
                  <w:vAlign w:val="center"/>
                </w:tcPr>
                <w:p w14:paraId="76895038">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p>
              </w:tc>
              <w:tc>
                <w:tcPr>
                  <w:tcW w:w="792" w:type="dxa"/>
                  <w:tcBorders>
                    <w:tl2br w:val="nil"/>
                    <w:tr2bl w:val="nil"/>
                  </w:tcBorders>
                  <w:shd w:val="clear" w:color="auto" w:fill="auto"/>
                  <w:noWrap/>
                  <w:vAlign w:val="center"/>
                </w:tcPr>
                <w:p w14:paraId="2D00CEDE">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p>
              </w:tc>
              <w:tc>
                <w:tcPr>
                  <w:tcW w:w="800" w:type="dxa"/>
                  <w:tcBorders>
                    <w:tl2br w:val="nil"/>
                    <w:tr2bl w:val="nil"/>
                  </w:tcBorders>
                  <w:shd w:val="clear" w:color="auto" w:fill="auto"/>
                  <w:noWrap/>
                  <w:vAlign w:val="center"/>
                </w:tcPr>
                <w:p w14:paraId="5DBCF5F5">
                  <w:pPr>
                    <w:keepNext w:val="0"/>
                    <w:keepLines w:val="0"/>
                    <w:widowControl/>
                    <w:suppressLineNumbers w:val="0"/>
                    <w:jc w:val="center"/>
                    <w:textAlignment w:val="center"/>
                    <w:rPr>
                      <w:rFonts w:hint="default" w:cs="Times New Roman"/>
                      <w:i w:val="0"/>
                      <w:iCs w:val="0"/>
                      <w:color w:val="000000"/>
                      <w:kern w:val="0"/>
                      <w:sz w:val="18"/>
                      <w:szCs w:val="18"/>
                      <w:u w:val="none"/>
                      <w:lang w:val="en-US" w:eastAsia="zh-CN" w:bidi="ar"/>
                    </w:rPr>
                  </w:pPr>
                </w:p>
              </w:tc>
            </w:tr>
          </w:tbl>
          <w:p w14:paraId="4CA2FEE2">
            <w:pPr>
              <w:pStyle w:val="43"/>
              <w:rPr>
                <w:rFonts w:hint="default"/>
                <w:lang w:val="en-US" w:eastAsia="zh-CN"/>
              </w:rPr>
            </w:pPr>
          </w:p>
          <w:p w14:paraId="6B09E93C">
            <w:pPr>
              <w:pStyle w:val="42"/>
              <w:bidi w:val="0"/>
              <w:rPr>
                <w:rFonts w:hint="eastAsia"/>
                <w:lang w:val="en-US" w:eastAsia="zh-CN"/>
              </w:rPr>
            </w:pPr>
            <w:r>
              <w:rPr>
                <w:rFonts w:hint="eastAsia"/>
                <w:lang w:val="en-US" w:eastAsia="zh-CN"/>
              </w:rPr>
              <w:t>炼胶和硫化颗粒物及非甲烷总烃排放标准校核：</w:t>
            </w:r>
          </w:p>
          <w:p w14:paraId="2B7BC881">
            <w:pPr>
              <w:pStyle w:val="42"/>
              <w:bidi w:val="0"/>
              <w:rPr>
                <w:rFonts w:hint="default" w:ascii="Times New Roman" w:hAnsi="Times New Roman" w:cs="Times New Roman"/>
                <w:color w:val="auto"/>
                <w:sz w:val="24"/>
                <w:szCs w:val="20"/>
                <w:lang w:val="en-US" w:eastAsia="zh-CN"/>
              </w:rPr>
            </w:pPr>
            <w:r>
              <w:rPr>
                <w:rFonts w:hint="eastAsia" w:ascii="Times New Roman" w:hAnsi="Times New Roman" w:eastAsia="宋体" w:cs="Times New Roman"/>
                <w:color w:val="auto"/>
                <w:sz w:val="24"/>
                <w:szCs w:val="20"/>
                <w:lang w:val="en-US" w:eastAsia="zh-CN"/>
              </w:rPr>
              <w:t>本项目炼胶和硫化废气中非甲烷总烃执行《四川省固定污染物源大气挥发性有机物排放标准》（DB51/2377-2017）、颗粒物执行</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eastAsia="zh-CN"/>
              </w:rPr>
              <w:t>橡胶制品工业污染物排放标准</w:t>
            </w:r>
            <w:r>
              <w:rPr>
                <w:rFonts w:hint="default" w:ascii="Times New Roman" w:hAnsi="Times New Roman" w:eastAsia="宋体" w:cs="Times New Roman"/>
                <w:color w:val="auto"/>
                <w:sz w:val="24"/>
                <w:szCs w:val="20"/>
              </w:rPr>
              <w:t>》（GB</w:t>
            </w:r>
            <w:r>
              <w:rPr>
                <w:rFonts w:hint="default" w:ascii="Times New Roman" w:hAnsi="Times New Roman" w:eastAsia="宋体" w:cs="Times New Roman"/>
                <w:color w:val="auto"/>
                <w:sz w:val="24"/>
                <w:szCs w:val="20"/>
                <w:lang w:val="en-US" w:eastAsia="zh-CN"/>
              </w:rPr>
              <w:t>27632</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val="en-US" w:eastAsia="zh-CN"/>
              </w:rPr>
              <w:t>2011</w:t>
            </w:r>
            <w:r>
              <w:rPr>
                <w:rFonts w:hint="default" w:ascii="Times New Roman" w:hAnsi="Times New Roman" w:eastAsia="宋体" w:cs="Times New Roman"/>
                <w:color w:val="auto"/>
                <w:sz w:val="24"/>
                <w:szCs w:val="20"/>
              </w:rPr>
              <w:t>）</w:t>
            </w:r>
            <w:r>
              <w:rPr>
                <w:rFonts w:hint="eastAsia" w:ascii="Times New Roman" w:hAnsi="Times New Roman" w:cs="Times New Roman"/>
                <w:color w:val="auto"/>
                <w:sz w:val="24"/>
                <w:szCs w:val="20"/>
                <w:lang w:eastAsia="zh-CN"/>
              </w:rPr>
              <w:t>。</w:t>
            </w:r>
            <w:r>
              <w:rPr>
                <w:rFonts w:hint="eastAsia" w:ascii="Times New Roman" w:hAnsi="Times New Roman" w:cs="Times New Roman"/>
                <w:color w:val="auto"/>
                <w:sz w:val="24"/>
                <w:szCs w:val="20"/>
                <w:lang w:val="en-US" w:eastAsia="zh-CN"/>
              </w:rPr>
              <w:t>根据《关于橡胶（轮胎）行业执行标准问题的复函》（环函〔2014〕244号），“考虑企业对生胶可能需经过多次重复炼胶，基准排气量可以将计算炼胶次数后的总胶量作为企业用胶量进行核算，同时也应将计算炼胶次数后的总气量作为企业排气量进行核算”。对照《橡胶制品工业污染物排放标准》（GB27632-2011）中橡胶制品企业非甲烷总烃基准排气量为 2000m</w:t>
            </w:r>
            <w:r>
              <w:rPr>
                <w:rFonts w:hint="eastAsia" w:ascii="Times New Roman" w:hAnsi="Times New Roman" w:cs="Times New Roman"/>
                <w:color w:val="auto"/>
                <w:sz w:val="24"/>
                <w:szCs w:val="20"/>
                <w:vertAlign w:val="superscript"/>
                <w:lang w:val="en-US" w:eastAsia="zh-CN"/>
              </w:rPr>
              <w:t>3</w:t>
            </w:r>
            <w:r>
              <w:rPr>
                <w:rFonts w:hint="eastAsia" w:ascii="Times New Roman" w:hAnsi="Times New Roman" w:cs="Times New Roman"/>
                <w:color w:val="auto"/>
                <w:sz w:val="24"/>
                <w:szCs w:val="20"/>
                <w:lang w:val="en-US" w:eastAsia="zh-CN"/>
              </w:rPr>
              <w:t>/t 胶。本项目炼胶工序重复炼胶次数为15-20次，本项目从严按15次计算，则小时总炼胶量为6.318t，硫化废气每30分钟完成一次硫化，废气集中在0.5-1min内完成排放，本项目从严按1min计算，则有效排放时间内硫化总胶量为12.636t。</w:t>
            </w:r>
          </w:p>
          <w:p w14:paraId="52AF9EE0">
            <w:pPr>
              <w:pStyle w:val="42"/>
              <w:bidi w:val="0"/>
              <w:rPr>
                <w:rFonts w:hint="eastAsia" w:ascii="Times New Roman" w:hAnsi="Times New Roman" w:cs="Times New Roman"/>
                <w:color w:val="auto"/>
                <w:sz w:val="24"/>
                <w:szCs w:val="20"/>
                <w:lang w:val="en-US" w:eastAsia="zh-CN"/>
              </w:rPr>
            </w:pPr>
            <w:r>
              <w:rPr>
                <w:rFonts w:hint="eastAsia" w:ascii="Times New Roman" w:hAnsi="Times New Roman" w:cs="Times New Roman"/>
                <w:color w:val="auto"/>
                <w:sz w:val="24"/>
                <w:szCs w:val="20"/>
                <w:lang w:val="en-US" w:eastAsia="zh-CN"/>
              </w:rPr>
              <w:t>项目混炼、硫化过程产生的非甲烷总烃、颗粒物进行达标排放的分析如下：</w:t>
            </w:r>
          </w:p>
          <w:p w14:paraId="46A81ABE">
            <w:pPr>
              <w:pStyle w:val="43"/>
              <w:rPr>
                <w:rFonts w:hint="default" w:ascii="Times New Roman" w:hAnsi="Times New Roman" w:cs="Times New Roman"/>
                <w:color w:val="auto"/>
                <w:sz w:val="24"/>
                <w:szCs w:val="20"/>
                <w:lang w:val="en-US" w:eastAsia="zh-CN"/>
              </w:rPr>
            </w:pPr>
            <w:r>
              <w:rPr>
                <w:rFonts w:hint="default"/>
                <w:lang w:val="en-US" w:eastAsia="zh-CN"/>
              </w:rPr>
              <w:t>表4-</w:t>
            </w:r>
            <w:r>
              <w:rPr>
                <w:rFonts w:hint="eastAsia"/>
                <w:lang w:val="en-US" w:eastAsia="zh-CN"/>
              </w:rPr>
              <w:t>4 颗粒物和有机废气达标排放分析</w:t>
            </w:r>
          </w:p>
          <w:tbl>
            <w:tblPr>
              <w:tblStyle w:val="23"/>
              <w:tblW w:w="815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47"/>
              <w:gridCol w:w="782"/>
              <w:gridCol w:w="459"/>
              <w:gridCol w:w="746"/>
              <w:gridCol w:w="887"/>
              <w:gridCol w:w="934"/>
              <w:gridCol w:w="933"/>
              <w:gridCol w:w="925"/>
              <w:gridCol w:w="975"/>
              <w:gridCol w:w="768"/>
            </w:tblGrid>
            <w:tr w14:paraId="1A3E93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43" w:hRule="atLeast"/>
                <w:jc w:val="center"/>
              </w:trPr>
              <w:tc>
                <w:tcPr>
                  <w:tcW w:w="747" w:type="dxa"/>
                  <w:tcBorders>
                    <w:tl2br w:val="nil"/>
                    <w:tr2bl w:val="nil"/>
                  </w:tcBorders>
                  <w:shd w:val="clear" w:color="auto" w:fill="auto"/>
                  <w:noWrap/>
                  <w:vAlign w:val="center"/>
                </w:tcPr>
                <w:p w14:paraId="52F64B7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000000"/>
                      <w:sz w:val="21"/>
                      <w:szCs w:val="21"/>
                      <w:u w:val="none"/>
                      <w:lang w:val="en-US" w:eastAsia="zh-CN"/>
                    </w:rPr>
                  </w:pPr>
                </w:p>
                <w:p w14:paraId="0DF314F1">
                  <w:pPr>
                    <w:pStyle w:val="2"/>
                    <w:keepNext w:val="0"/>
                    <w:keepLines w:val="0"/>
                    <w:pageBreakBefore w:val="0"/>
                    <w:kinsoku/>
                    <w:wordWrap/>
                    <w:overflowPunct/>
                    <w:topLinePunct w:val="0"/>
                    <w:autoSpaceDE/>
                    <w:autoSpaceDN/>
                    <w:bidi w:val="0"/>
                    <w:adjustRightInd/>
                    <w:snapToGrid/>
                    <w:spacing w:line="0" w:lineRule="atLeast"/>
                    <w:rPr>
                      <w:rFonts w:hint="default"/>
                      <w:lang w:val="en-US" w:eastAsia="zh-CN"/>
                    </w:rPr>
                  </w:pPr>
                  <w:r>
                    <w:rPr>
                      <w:rFonts w:hint="eastAsia"/>
                      <w:lang w:val="en-US" w:eastAsia="zh-CN"/>
                    </w:rPr>
                    <w:t>排气筒编号</w:t>
                  </w:r>
                </w:p>
              </w:tc>
              <w:tc>
                <w:tcPr>
                  <w:tcW w:w="782" w:type="dxa"/>
                  <w:tcBorders>
                    <w:tl2br w:val="nil"/>
                    <w:tr2bl w:val="nil"/>
                  </w:tcBorders>
                  <w:shd w:val="clear" w:color="auto" w:fill="auto"/>
                  <w:noWrap/>
                  <w:vAlign w:val="center"/>
                </w:tcPr>
                <w:p w14:paraId="5A2AAF0F">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污染物</w:t>
                  </w:r>
                </w:p>
              </w:tc>
              <w:tc>
                <w:tcPr>
                  <w:tcW w:w="459" w:type="dxa"/>
                  <w:tcBorders>
                    <w:tl2br w:val="nil"/>
                    <w:tr2bl w:val="nil"/>
                  </w:tcBorders>
                  <w:shd w:val="clear" w:color="auto" w:fill="auto"/>
                  <w:noWrap/>
                  <w:vAlign w:val="center"/>
                </w:tcPr>
                <w:p w14:paraId="3748FF1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工序</w:t>
                  </w:r>
                </w:p>
              </w:tc>
              <w:tc>
                <w:tcPr>
                  <w:tcW w:w="746" w:type="dxa"/>
                  <w:tcBorders>
                    <w:tl2br w:val="nil"/>
                    <w:tr2bl w:val="nil"/>
                  </w:tcBorders>
                  <w:shd w:val="clear" w:color="auto" w:fill="auto"/>
                  <w:noWrap/>
                  <w:vAlign w:val="center"/>
                </w:tcPr>
                <w:p w14:paraId="1E42F67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总胶量t/h</w:t>
                  </w:r>
                </w:p>
              </w:tc>
              <w:tc>
                <w:tcPr>
                  <w:tcW w:w="887" w:type="dxa"/>
                  <w:tcBorders>
                    <w:tl2br w:val="nil"/>
                    <w:tr2bl w:val="nil"/>
                  </w:tcBorders>
                  <w:shd w:val="clear" w:color="auto" w:fill="auto"/>
                  <w:noWrap/>
                  <w:vAlign w:val="center"/>
                </w:tcPr>
                <w:p w14:paraId="57EC47C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实际</w:t>
                  </w:r>
                  <w:r>
                    <w:rPr>
                      <w:rFonts w:hint="default" w:ascii="Times New Roman" w:hAnsi="Times New Roman" w:eastAsia="宋体" w:cs="Times New Roman"/>
                      <w:i w:val="0"/>
                      <w:iCs w:val="0"/>
                      <w:color w:val="000000"/>
                      <w:kern w:val="0"/>
                      <w:sz w:val="21"/>
                      <w:szCs w:val="21"/>
                      <w:u w:val="none"/>
                      <w:lang w:val="en-US" w:eastAsia="zh-CN" w:bidi="ar"/>
                    </w:rPr>
                    <w:t>排气量</w:t>
                  </w:r>
                </w:p>
                <w:p w14:paraId="0311BD6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snapToGrid w:val="0"/>
                      <w:color w:val="auto"/>
                      <w:sz w:val="21"/>
                      <w:szCs w:val="21"/>
                      <w:highlight w:val="none"/>
                      <w:lang w:val="en-US" w:eastAsia="zh-CN"/>
                    </w:rPr>
                    <w:t>m³/</w:t>
                  </w:r>
                  <w:r>
                    <w:rPr>
                      <w:rFonts w:hint="eastAsia" w:cs="Times New Roman"/>
                      <w:snapToGrid w:val="0"/>
                      <w:color w:val="auto"/>
                      <w:sz w:val="21"/>
                      <w:szCs w:val="21"/>
                      <w:highlight w:val="none"/>
                      <w:lang w:val="en-US" w:eastAsia="zh-CN"/>
                    </w:rPr>
                    <w:t>t胶</w:t>
                  </w:r>
                </w:p>
              </w:tc>
              <w:tc>
                <w:tcPr>
                  <w:tcW w:w="934" w:type="dxa"/>
                  <w:tcBorders>
                    <w:tl2br w:val="nil"/>
                    <w:tr2bl w:val="nil"/>
                  </w:tcBorders>
                  <w:shd w:val="clear" w:color="auto" w:fill="auto"/>
                  <w:noWrap/>
                  <w:vAlign w:val="center"/>
                </w:tcPr>
                <w:p w14:paraId="5A8B864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实际排放浓度</w:t>
                  </w: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33" w:type="dxa"/>
                  <w:tcBorders>
                    <w:tl2br w:val="nil"/>
                    <w:tr2bl w:val="nil"/>
                  </w:tcBorders>
                  <w:shd w:val="clear" w:color="auto" w:fill="auto"/>
                  <w:noWrap/>
                  <w:vAlign w:val="center"/>
                </w:tcPr>
                <w:p w14:paraId="4F9BB11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基准</w:t>
                  </w:r>
                  <w:r>
                    <w:rPr>
                      <w:rFonts w:hint="default" w:ascii="Times New Roman" w:hAnsi="Times New Roman" w:eastAsia="宋体" w:cs="Times New Roman"/>
                      <w:i w:val="0"/>
                      <w:iCs w:val="0"/>
                      <w:color w:val="000000"/>
                      <w:kern w:val="0"/>
                      <w:sz w:val="21"/>
                      <w:szCs w:val="21"/>
                      <w:u w:val="none"/>
                      <w:lang w:val="en-US" w:eastAsia="zh-CN" w:bidi="ar"/>
                    </w:rPr>
                    <w:t>排气量</w:t>
                  </w:r>
                </w:p>
                <w:p w14:paraId="0B12B33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snapToGrid w:val="0"/>
                      <w:color w:val="auto"/>
                      <w:sz w:val="21"/>
                      <w:szCs w:val="21"/>
                      <w:highlight w:val="none"/>
                      <w:lang w:val="en-US" w:eastAsia="zh-CN"/>
                    </w:rPr>
                    <w:t>m³/</w:t>
                  </w:r>
                  <w:r>
                    <w:rPr>
                      <w:rFonts w:hint="eastAsia" w:cs="Times New Roman"/>
                      <w:snapToGrid w:val="0"/>
                      <w:color w:val="auto"/>
                      <w:sz w:val="21"/>
                      <w:szCs w:val="21"/>
                      <w:highlight w:val="none"/>
                      <w:lang w:val="en-US" w:eastAsia="zh-CN"/>
                    </w:rPr>
                    <w:t>t胶</w:t>
                  </w:r>
                </w:p>
              </w:tc>
              <w:tc>
                <w:tcPr>
                  <w:tcW w:w="925" w:type="dxa"/>
                  <w:tcBorders>
                    <w:tl2br w:val="nil"/>
                    <w:tr2bl w:val="nil"/>
                  </w:tcBorders>
                  <w:shd w:val="clear" w:color="auto" w:fill="auto"/>
                  <w:noWrap/>
                  <w:vAlign w:val="center"/>
                </w:tcPr>
                <w:p w14:paraId="267ADB8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基准</w:t>
                  </w:r>
                  <w:r>
                    <w:rPr>
                      <w:rFonts w:hint="default" w:ascii="Times New Roman" w:hAnsi="Times New Roman" w:eastAsia="宋体" w:cs="Times New Roman"/>
                      <w:i w:val="0"/>
                      <w:iCs w:val="0"/>
                      <w:color w:val="000000"/>
                      <w:kern w:val="0"/>
                      <w:sz w:val="21"/>
                      <w:szCs w:val="21"/>
                      <w:u w:val="none"/>
                      <w:lang w:val="en-US" w:eastAsia="zh-CN" w:bidi="ar"/>
                    </w:rPr>
                    <w:t>排放浓度mg/m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75" w:type="dxa"/>
                  <w:tcBorders>
                    <w:tl2br w:val="nil"/>
                    <w:tr2bl w:val="nil"/>
                  </w:tcBorders>
                  <w:shd w:val="clear" w:color="auto" w:fill="auto"/>
                  <w:noWrap/>
                  <w:vAlign w:val="center"/>
                </w:tcPr>
                <w:p w14:paraId="6BF69FB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排放</w:t>
                  </w:r>
                  <w:r>
                    <w:rPr>
                      <w:rFonts w:hint="eastAsia" w:cs="Times New Roman"/>
                      <w:i w:val="0"/>
                      <w:iCs w:val="0"/>
                      <w:color w:val="000000"/>
                      <w:kern w:val="0"/>
                      <w:sz w:val="21"/>
                      <w:szCs w:val="21"/>
                      <w:u w:val="none"/>
                      <w:lang w:val="en-US" w:eastAsia="zh-CN" w:bidi="ar"/>
                    </w:rPr>
                    <w:t>限值</w:t>
                  </w:r>
                  <w:r>
                    <w:rPr>
                      <w:rFonts w:hint="default" w:ascii="Times New Roman" w:hAnsi="Times New Roman" w:eastAsia="宋体" w:cs="Times New Roman"/>
                      <w:i w:val="0"/>
                      <w:iCs w:val="0"/>
                      <w:color w:val="000000"/>
                      <w:kern w:val="0"/>
                      <w:sz w:val="21"/>
                      <w:szCs w:val="21"/>
                      <w:u w:val="none"/>
                      <w:lang w:val="en-US" w:eastAsia="zh-CN" w:bidi="ar"/>
                    </w:rPr>
                    <w:t>浓度mg/m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68" w:type="dxa"/>
                  <w:tcBorders>
                    <w:tl2br w:val="nil"/>
                    <w:tr2bl w:val="nil"/>
                  </w:tcBorders>
                  <w:shd w:val="clear" w:color="auto" w:fill="auto"/>
                  <w:noWrap/>
                  <w:vAlign w:val="center"/>
                </w:tcPr>
                <w:p w14:paraId="125B210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达标情况</w:t>
                  </w:r>
                </w:p>
              </w:tc>
            </w:tr>
            <w:tr w14:paraId="561E81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5" w:hRule="atLeast"/>
                <w:jc w:val="center"/>
              </w:trPr>
              <w:tc>
                <w:tcPr>
                  <w:tcW w:w="747" w:type="dxa"/>
                  <w:tcBorders>
                    <w:tl2br w:val="nil"/>
                    <w:tr2bl w:val="nil"/>
                  </w:tcBorders>
                  <w:shd w:val="clear" w:color="auto" w:fill="auto"/>
                  <w:noWrap/>
                  <w:vAlign w:val="center"/>
                </w:tcPr>
                <w:p w14:paraId="4D6A740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DA001</w:t>
                  </w:r>
                </w:p>
              </w:tc>
              <w:tc>
                <w:tcPr>
                  <w:tcW w:w="782" w:type="dxa"/>
                  <w:tcBorders>
                    <w:tl2br w:val="nil"/>
                    <w:tr2bl w:val="nil"/>
                  </w:tcBorders>
                  <w:shd w:val="clear" w:color="auto" w:fill="auto"/>
                  <w:noWrap/>
                  <w:vAlign w:val="center"/>
                </w:tcPr>
                <w:p w14:paraId="10261C7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非甲烷总烃</w:t>
                  </w:r>
                </w:p>
              </w:tc>
              <w:tc>
                <w:tcPr>
                  <w:tcW w:w="459" w:type="dxa"/>
                  <w:tcBorders>
                    <w:tl2br w:val="nil"/>
                    <w:tr2bl w:val="nil"/>
                  </w:tcBorders>
                  <w:shd w:val="clear" w:color="auto" w:fill="auto"/>
                  <w:noWrap/>
                  <w:vAlign w:val="center"/>
                </w:tcPr>
                <w:p w14:paraId="3E7EC50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硫化</w:t>
                  </w:r>
                </w:p>
              </w:tc>
              <w:tc>
                <w:tcPr>
                  <w:tcW w:w="746" w:type="dxa"/>
                  <w:tcBorders>
                    <w:tl2br w:val="nil"/>
                    <w:tr2bl w:val="nil"/>
                  </w:tcBorders>
                  <w:shd w:val="clear" w:color="auto" w:fill="auto"/>
                  <w:noWrap/>
                  <w:vAlign w:val="center"/>
                </w:tcPr>
                <w:p w14:paraId="558BFF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12.36</w:t>
                  </w:r>
                </w:p>
              </w:tc>
              <w:tc>
                <w:tcPr>
                  <w:tcW w:w="887" w:type="dxa"/>
                  <w:tcBorders>
                    <w:tl2br w:val="nil"/>
                    <w:tr2bl w:val="nil"/>
                  </w:tcBorders>
                  <w:shd w:val="clear" w:color="auto" w:fill="auto"/>
                  <w:noWrap/>
                  <w:vAlign w:val="center"/>
                </w:tcPr>
                <w:p w14:paraId="67B489E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1978</w:t>
                  </w:r>
                </w:p>
              </w:tc>
              <w:tc>
                <w:tcPr>
                  <w:tcW w:w="934" w:type="dxa"/>
                  <w:tcBorders>
                    <w:tl2br w:val="nil"/>
                    <w:tr2bl w:val="nil"/>
                  </w:tcBorders>
                  <w:shd w:val="clear" w:color="auto" w:fill="auto"/>
                  <w:noWrap/>
                  <w:vAlign w:val="center"/>
                </w:tcPr>
                <w:p w14:paraId="444912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8.6180</w:t>
                  </w:r>
                </w:p>
              </w:tc>
              <w:tc>
                <w:tcPr>
                  <w:tcW w:w="933" w:type="dxa"/>
                  <w:tcBorders>
                    <w:tl2br w:val="nil"/>
                    <w:tr2bl w:val="nil"/>
                  </w:tcBorders>
                  <w:shd w:val="clear" w:color="auto" w:fill="auto"/>
                  <w:noWrap/>
                  <w:vAlign w:val="center"/>
                </w:tcPr>
                <w:p w14:paraId="78D3C6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2000</w:t>
                  </w:r>
                </w:p>
              </w:tc>
              <w:tc>
                <w:tcPr>
                  <w:tcW w:w="925" w:type="dxa"/>
                  <w:tcBorders>
                    <w:tl2br w:val="nil"/>
                    <w:tr2bl w:val="nil"/>
                  </w:tcBorders>
                  <w:shd w:val="clear" w:color="auto" w:fill="auto"/>
                  <w:noWrap/>
                  <w:vAlign w:val="center"/>
                </w:tcPr>
                <w:p w14:paraId="6655A0D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8.5250</w:t>
                  </w:r>
                </w:p>
              </w:tc>
              <w:tc>
                <w:tcPr>
                  <w:tcW w:w="975" w:type="dxa"/>
                  <w:tcBorders>
                    <w:tl2br w:val="nil"/>
                    <w:tr2bl w:val="nil"/>
                  </w:tcBorders>
                  <w:shd w:val="clear" w:color="auto" w:fill="auto"/>
                  <w:noWrap/>
                  <w:vAlign w:val="center"/>
                </w:tcPr>
                <w:p w14:paraId="3A24FB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10</w:t>
                  </w:r>
                </w:p>
              </w:tc>
              <w:tc>
                <w:tcPr>
                  <w:tcW w:w="768" w:type="dxa"/>
                  <w:tcBorders>
                    <w:tl2br w:val="nil"/>
                    <w:tr2bl w:val="nil"/>
                  </w:tcBorders>
                  <w:shd w:val="clear" w:color="auto" w:fill="auto"/>
                  <w:noWrap/>
                  <w:vAlign w:val="center"/>
                </w:tcPr>
                <w:p w14:paraId="74B4855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达标</w:t>
                  </w:r>
                </w:p>
              </w:tc>
            </w:tr>
            <w:tr w14:paraId="36E5CB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0" w:hRule="atLeast"/>
                <w:jc w:val="center"/>
              </w:trPr>
              <w:tc>
                <w:tcPr>
                  <w:tcW w:w="747" w:type="dxa"/>
                  <w:vMerge w:val="restart"/>
                  <w:tcBorders>
                    <w:tl2br w:val="nil"/>
                    <w:tr2bl w:val="nil"/>
                  </w:tcBorders>
                  <w:shd w:val="clear" w:color="auto" w:fill="auto"/>
                  <w:noWrap/>
                  <w:vAlign w:val="center"/>
                </w:tcPr>
                <w:p w14:paraId="79962CE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DA002</w:t>
                  </w:r>
                </w:p>
              </w:tc>
              <w:tc>
                <w:tcPr>
                  <w:tcW w:w="782" w:type="dxa"/>
                  <w:tcBorders>
                    <w:tl2br w:val="nil"/>
                    <w:tr2bl w:val="nil"/>
                  </w:tcBorders>
                  <w:shd w:val="clear" w:color="auto" w:fill="auto"/>
                  <w:noWrap/>
                  <w:vAlign w:val="center"/>
                </w:tcPr>
                <w:p w14:paraId="04F2BE2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非甲烷总烃</w:t>
                  </w:r>
                </w:p>
              </w:tc>
              <w:tc>
                <w:tcPr>
                  <w:tcW w:w="459" w:type="dxa"/>
                  <w:vMerge w:val="restart"/>
                  <w:tcBorders>
                    <w:tl2br w:val="nil"/>
                    <w:tr2bl w:val="nil"/>
                  </w:tcBorders>
                  <w:shd w:val="clear" w:color="auto" w:fill="auto"/>
                  <w:noWrap/>
                  <w:vAlign w:val="center"/>
                </w:tcPr>
                <w:p w14:paraId="281AC0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炼胶</w:t>
                  </w:r>
                </w:p>
              </w:tc>
              <w:tc>
                <w:tcPr>
                  <w:tcW w:w="746" w:type="dxa"/>
                  <w:vMerge w:val="restart"/>
                  <w:tcBorders>
                    <w:tl2br w:val="nil"/>
                    <w:tr2bl w:val="nil"/>
                  </w:tcBorders>
                  <w:shd w:val="clear" w:color="auto" w:fill="auto"/>
                  <w:noWrap/>
                  <w:vAlign w:val="center"/>
                </w:tcPr>
                <w:p w14:paraId="314223A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6.318</w:t>
                  </w:r>
                </w:p>
              </w:tc>
              <w:tc>
                <w:tcPr>
                  <w:tcW w:w="887" w:type="dxa"/>
                  <w:vMerge w:val="restart"/>
                  <w:tcBorders>
                    <w:tl2br w:val="nil"/>
                    <w:tr2bl w:val="nil"/>
                  </w:tcBorders>
                  <w:shd w:val="clear" w:color="auto" w:fill="auto"/>
                  <w:noWrap/>
                  <w:vAlign w:val="center"/>
                </w:tcPr>
                <w:p w14:paraId="6585CD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3957</w:t>
                  </w:r>
                </w:p>
              </w:tc>
              <w:tc>
                <w:tcPr>
                  <w:tcW w:w="934" w:type="dxa"/>
                  <w:tcBorders>
                    <w:tl2br w:val="nil"/>
                    <w:tr2bl w:val="nil"/>
                  </w:tcBorders>
                  <w:shd w:val="clear" w:color="auto" w:fill="auto"/>
                  <w:noWrap/>
                  <w:vAlign w:val="center"/>
                </w:tcPr>
                <w:p w14:paraId="32E546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4.2200</w:t>
                  </w:r>
                </w:p>
              </w:tc>
              <w:tc>
                <w:tcPr>
                  <w:tcW w:w="933" w:type="dxa"/>
                  <w:tcBorders>
                    <w:tl2br w:val="nil"/>
                    <w:tr2bl w:val="nil"/>
                  </w:tcBorders>
                  <w:shd w:val="clear" w:color="auto" w:fill="auto"/>
                  <w:noWrap/>
                  <w:vAlign w:val="center"/>
                </w:tcPr>
                <w:p w14:paraId="1EDFC5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2000</w:t>
                  </w:r>
                </w:p>
              </w:tc>
              <w:tc>
                <w:tcPr>
                  <w:tcW w:w="925" w:type="dxa"/>
                  <w:tcBorders>
                    <w:tl2br w:val="nil"/>
                    <w:tr2bl w:val="nil"/>
                  </w:tcBorders>
                  <w:shd w:val="clear" w:color="auto" w:fill="auto"/>
                  <w:noWrap/>
                  <w:vAlign w:val="center"/>
                </w:tcPr>
                <w:p w14:paraId="325F7CA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8.3490</w:t>
                  </w:r>
                </w:p>
              </w:tc>
              <w:tc>
                <w:tcPr>
                  <w:tcW w:w="975" w:type="dxa"/>
                  <w:tcBorders>
                    <w:tl2br w:val="nil"/>
                    <w:tr2bl w:val="nil"/>
                  </w:tcBorders>
                  <w:shd w:val="clear" w:color="auto" w:fill="auto"/>
                  <w:noWrap/>
                  <w:vAlign w:val="center"/>
                </w:tcPr>
                <w:p w14:paraId="274664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10</w:t>
                  </w:r>
                </w:p>
              </w:tc>
              <w:tc>
                <w:tcPr>
                  <w:tcW w:w="768" w:type="dxa"/>
                  <w:tcBorders>
                    <w:tl2br w:val="nil"/>
                    <w:tr2bl w:val="nil"/>
                  </w:tcBorders>
                  <w:shd w:val="clear" w:color="auto" w:fill="auto"/>
                  <w:noWrap/>
                  <w:vAlign w:val="center"/>
                </w:tcPr>
                <w:p w14:paraId="71FF518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达标</w:t>
                  </w:r>
                </w:p>
              </w:tc>
            </w:tr>
            <w:tr w14:paraId="0E0FC7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8" w:hRule="atLeast"/>
                <w:jc w:val="center"/>
              </w:trPr>
              <w:tc>
                <w:tcPr>
                  <w:tcW w:w="747" w:type="dxa"/>
                  <w:vMerge w:val="continue"/>
                  <w:tcBorders>
                    <w:tl2br w:val="nil"/>
                    <w:tr2bl w:val="nil"/>
                  </w:tcBorders>
                  <w:shd w:val="clear" w:color="auto" w:fill="auto"/>
                  <w:noWrap/>
                  <w:vAlign w:val="center"/>
                </w:tcPr>
                <w:p w14:paraId="6F275E7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p>
              </w:tc>
              <w:tc>
                <w:tcPr>
                  <w:tcW w:w="782" w:type="dxa"/>
                  <w:tcBorders>
                    <w:tl2br w:val="nil"/>
                    <w:tr2bl w:val="nil"/>
                  </w:tcBorders>
                  <w:shd w:val="clear" w:color="auto" w:fill="auto"/>
                  <w:noWrap/>
                  <w:vAlign w:val="center"/>
                </w:tcPr>
                <w:p w14:paraId="1B9B4A8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颗粒物</w:t>
                  </w:r>
                </w:p>
              </w:tc>
              <w:tc>
                <w:tcPr>
                  <w:tcW w:w="459" w:type="dxa"/>
                  <w:vMerge w:val="continue"/>
                  <w:tcBorders>
                    <w:tl2br w:val="nil"/>
                    <w:tr2bl w:val="nil"/>
                  </w:tcBorders>
                  <w:shd w:val="clear" w:color="auto" w:fill="auto"/>
                  <w:noWrap/>
                  <w:vAlign w:val="center"/>
                </w:tcPr>
                <w:p w14:paraId="32188F3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p>
              </w:tc>
              <w:tc>
                <w:tcPr>
                  <w:tcW w:w="746" w:type="dxa"/>
                  <w:vMerge w:val="continue"/>
                  <w:tcBorders>
                    <w:tl2br w:val="nil"/>
                    <w:tr2bl w:val="nil"/>
                  </w:tcBorders>
                  <w:shd w:val="clear" w:color="auto" w:fill="auto"/>
                  <w:noWrap/>
                  <w:vAlign w:val="center"/>
                </w:tcPr>
                <w:p w14:paraId="6558A7A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p>
              </w:tc>
              <w:tc>
                <w:tcPr>
                  <w:tcW w:w="887" w:type="dxa"/>
                  <w:vMerge w:val="continue"/>
                  <w:tcBorders>
                    <w:tl2br w:val="nil"/>
                    <w:tr2bl w:val="nil"/>
                  </w:tcBorders>
                  <w:shd w:val="clear" w:color="auto" w:fill="auto"/>
                  <w:noWrap/>
                  <w:vAlign w:val="center"/>
                </w:tcPr>
                <w:p w14:paraId="75A89DB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p>
              </w:tc>
              <w:tc>
                <w:tcPr>
                  <w:tcW w:w="934" w:type="dxa"/>
                  <w:tcBorders>
                    <w:tl2br w:val="nil"/>
                    <w:tr2bl w:val="nil"/>
                  </w:tcBorders>
                  <w:shd w:val="clear" w:color="auto" w:fill="auto"/>
                  <w:noWrap/>
                  <w:vAlign w:val="center"/>
                </w:tcPr>
                <w:p w14:paraId="20F27F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3.6807</w:t>
                  </w:r>
                </w:p>
              </w:tc>
              <w:tc>
                <w:tcPr>
                  <w:tcW w:w="933" w:type="dxa"/>
                  <w:tcBorders>
                    <w:tl2br w:val="nil"/>
                    <w:tr2bl w:val="nil"/>
                  </w:tcBorders>
                  <w:shd w:val="clear" w:color="auto" w:fill="auto"/>
                  <w:noWrap/>
                  <w:vAlign w:val="center"/>
                </w:tcPr>
                <w:p w14:paraId="339382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2000</w:t>
                  </w:r>
                </w:p>
              </w:tc>
              <w:tc>
                <w:tcPr>
                  <w:tcW w:w="925" w:type="dxa"/>
                  <w:tcBorders>
                    <w:tl2br w:val="nil"/>
                    <w:tr2bl w:val="nil"/>
                  </w:tcBorders>
                  <w:shd w:val="clear" w:color="auto" w:fill="auto"/>
                  <w:noWrap/>
                  <w:vAlign w:val="center"/>
                </w:tcPr>
                <w:p w14:paraId="334D546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7.1395</w:t>
                  </w:r>
                </w:p>
              </w:tc>
              <w:tc>
                <w:tcPr>
                  <w:tcW w:w="975" w:type="dxa"/>
                  <w:tcBorders>
                    <w:tl2br w:val="nil"/>
                    <w:tr2bl w:val="nil"/>
                  </w:tcBorders>
                  <w:shd w:val="clear" w:color="auto" w:fill="auto"/>
                  <w:noWrap/>
                  <w:vAlign w:val="center"/>
                </w:tcPr>
                <w:p w14:paraId="57C7824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12</w:t>
                  </w:r>
                </w:p>
              </w:tc>
              <w:tc>
                <w:tcPr>
                  <w:tcW w:w="768" w:type="dxa"/>
                  <w:tcBorders>
                    <w:tl2br w:val="nil"/>
                    <w:tr2bl w:val="nil"/>
                  </w:tcBorders>
                  <w:shd w:val="clear" w:color="auto" w:fill="auto"/>
                  <w:noWrap/>
                  <w:vAlign w:val="center"/>
                </w:tcPr>
                <w:p w14:paraId="0BB7629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达标</w:t>
                  </w:r>
                </w:p>
              </w:tc>
            </w:tr>
          </w:tbl>
          <w:p w14:paraId="3078159B">
            <w:pPr>
              <w:pStyle w:val="42"/>
              <w:bidi w:val="0"/>
              <w:rPr>
                <w:rFonts w:hint="default" w:ascii="Times New Roman" w:hAnsi="Times New Roman" w:eastAsia="宋体" w:cs="Times New Roman"/>
                <w:color w:val="auto"/>
                <w:sz w:val="24"/>
                <w:szCs w:val="20"/>
                <w:lang w:val="en-US" w:eastAsia="zh-CN"/>
              </w:rPr>
            </w:pPr>
            <w:r>
              <w:rPr>
                <w:rFonts w:hint="eastAsia" w:ascii="Times New Roman" w:hAnsi="Times New Roman" w:cs="Times New Roman"/>
                <w:color w:val="auto"/>
                <w:sz w:val="24"/>
                <w:szCs w:val="20"/>
                <w:lang w:val="en-US" w:eastAsia="zh-CN"/>
              </w:rPr>
              <w:t>根据以上分析，本项目炼胶颗粒物排放符合《</w:t>
            </w:r>
            <w:r>
              <w:rPr>
                <w:rFonts w:hint="default" w:ascii="Times New Roman" w:hAnsi="Times New Roman" w:eastAsia="宋体" w:cs="Times New Roman"/>
                <w:color w:val="auto"/>
                <w:sz w:val="24"/>
                <w:szCs w:val="20"/>
                <w:lang w:eastAsia="zh-CN"/>
              </w:rPr>
              <w:t>橡胶制品工业污染物排放标准</w:t>
            </w:r>
            <w:r>
              <w:rPr>
                <w:rFonts w:hint="default" w:ascii="Times New Roman" w:hAnsi="Times New Roman" w:eastAsia="宋体" w:cs="Times New Roman"/>
                <w:color w:val="auto"/>
                <w:sz w:val="24"/>
                <w:szCs w:val="20"/>
              </w:rPr>
              <w:t>》（GB</w:t>
            </w:r>
            <w:r>
              <w:rPr>
                <w:rFonts w:hint="default" w:ascii="Times New Roman" w:hAnsi="Times New Roman" w:eastAsia="宋体" w:cs="Times New Roman"/>
                <w:color w:val="auto"/>
                <w:sz w:val="24"/>
                <w:szCs w:val="20"/>
                <w:lang w:val="en-US" w:eastAsia="zh-CN"/>
              </w:rPr>
              <w:t>27632</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val="en-US" w:eastAsia="zh-CN"/>
              </w:rPr>
              <w:t>2011</w:t>
            </w:r>
            <w:r>
              <w:rPr>
                <w:rFonts w:hint="default" w:ascii="Times New Roman" w:hAnsi="Times New Roman" w:eastAsia="宋体" w:cs="Times New Roman"/>
                <w:color w:val="auto"/>
                <w:sz w:val="24"/>
                <w:szCs w:val="20"/>
              </w:rPr>
              <w:t>）</w:t>
            </w:r>
            <w:r>
              <w:rPr>
                <w:rFonts w:hint="eastAsia" w:ascii="Times New Roman" w:hAnsi="Times New Roman" w:cs="Times New Roman"/>
                <w:color w:val="auto"/>
                <w:sz w:val="24"/>
                <w:szCs w:val="20"/>
                <w:lang w:val="en-US" w:eastAsia="zh-CN"/>
              </w:rPr>
              <w:t>排放限值要求，非甲烷总烃排放符合</w:t>
            </w:r>
            <w:r>
              <w:rPr>
                <w:rFonts w:hint="eastAsia" w:ascii="Times New Roman" w:hAnsi="Times New Roman" w:eastAsia="宋体" w:cs="Times New Roman"/>
                <w:color w:val="auto"/>
                <w:sz w:val="24"/>
                <w:szCs w:val="20"/>
                <w:lang w:val="en-US" w:eastAsia="zh-CN"/>
              </w:rPr>
              <w:t>《四川省固定污染物源大气挥发性有机物排放标准》（DB51/2377-2017）</w:t>
            </w:r>
            <w:r>
              <w:rPr>
                <w:rFonts w:hint="eastAsia" w:ascii="Times New Roman" w:hAnsi="Times New Roman" w:cs="Times New Roman"/>
                <w:color w:val="auto"/>
                <w:sz w:val="24"/>
                <w:szCs w:val="20"/>
                <w:lang w:val="en-US" w:eastAsia="zh-CN"/>
              </w:rPr>
              <w:t>要求，非甲烷总烃基准排放量也符合</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eastAsia="zh-CN"/>
              </w:rPr>
              <w:t>橡胶制品工业污染物排放标准</w:t>
            </w:r>
            <w:r>
              <w:rPr>
                <w:rFonts w:hint="default" w:ascii="Times New Roman" w:hAnsi="Times New Roman" w:eastAsia="宋体" w:cs="Times New Roman"/>
                <w:color w:val="auto"/>
                <w:sz w:val="24"/>
                <w:szCs w:val="20"/>
              </w:rPr>
              <w:t>》（GB</w:t>
            </w:r>
            <w:r>
              <w:rPr>
                <w:rFonts w:hint="default" w:ascii="Times New Roman" w:hAnsi="Times New Roman" w:eastAsia="宋体" w:cs="Times New Roman"/>
                <w:color w:val="auto"/>
                <w:sz w:val="24"/>
                <w:szCs w:val="20"/>
                <w:lang w:val="en-US" w:eastAsia="zh-CN"/>
              </w:rPr>
              <w:t>27632</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val="en-US" w:eastAsia="zh-CN"/>
              </w:rPr>
              <w:t>2011</w:t>
            </w:r>
            <w:r>
              <w:rPr>
                <w:rFonts w:hint="default" w:ascii="Times New Roman" w:hAnsi="Times New Roman" w:eastAsia="宋体" w:cs="Times New Roman"/>
                <w:color w:val="auto"/>
                <w:sz w:val="24"/>
                <w:szCs w:val="20"/>
              </w:rPr>
              <w:t>）</w:t>
            </w:r>
            <w:r>
              <w:rPr>
                <w:rFonts w:hint="eastAsia" w:ascii="Times New Roman" w:hAnsi="Times New Roman" w:cs="Times New Roman"/>
                <w:color w:val="auto"/>
                <w:sz w:val="24"/>
                <w:szCs w:val="20"/>
                <w:lang w:val="en-US" w:eastAsia="zh-CN"/>
              </w:rPr>
              <w:t>基准排气量下规定的排放要求。</w:t>
            </w:r>
          </w:p>
          <w:p w14:paraId="3A623E69">
            <w:pPr>
              <w:pStyle w:val="42"/>
              <w:ind w:firstLine="480"/>
              <w:jc w:val="both"/>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④恶臭气体</w:t>
            </w:r>
          </w:p>
          <w:p w14:paraId="3507AB82">
            <w:pPr>
              <w:pStyle w:val="42"/>
              <w:ind w:firstLine="480"/>
              <w:jc w:val="both"/>
              <w:rPr>
                <w:rFonts w:hint="default" w:ascii="Times New Roman" w:hAnsi="Times New Roman" w:cs="Times New Roman"/>
                <w:color w:val="FF0000"/>
                <w:highlight w:val="none"/>
                <w:lang w:val="en-US" w:eastAsia="zh-CN"/>
              </w:rPr>
            </w:pPr>
            <w:r>
              <w:rPr>
                <w:rFonts w:hint="eastAsia" w:ascii="Times New Roman" w:hAnsi="Times New Roman" w:cs="Times New Roman"/>
                <w:color w:val="000000" w:themeColor="text1"/>
                <w:highlight w:val="none"/>
                <w:lang w:val="en-US" w:eastAsia="zh-CN"/>
                <w14:textFill>
                  <w14:solidFill>
                    <w14:schemeClr w14:val="tx1"/>
                  </w14:solidFill>
                </w14:textFill>
              </w:rPr>
              <w:t>本项目橡胶硫化剂含有硫磺，混炼和硫化生产过程中可能会产生二硫化碳、硫化氢等恶臭气体。类比同类型项目及美国国家环保局EPA编制的AP-42中橡胶制品业排放因子列表：密炼CS</w:t>
            </w:r>
            <w:r>
              <w:rPr>
                <w:rFonts w:hint="eastAsia" w:ascii="Times New Roman" w:hAnsi="Times New Roman" w:cs="Times New Roman"/>
                <w:color w:val="000000" w:themeColor="text1"/>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产污系数为4.26×10</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-6</w:t>
            </w:r>
            <w:r>
              <w:rPr>
                <w:rFonts w:hint="eastAsia" w:ascii="Times New Roman" w:hAnsi="Times New Roman" w:cs="Times New Roman"/>
                <w:color w:val="000000" w:themeColor="text1"/>
                <w:highlight w:val="none"/>
                <w:lang w:val="en-US" w:eastAsia="zh-CN"/>
                <w14:textFill>
                  <w14:solidFill>
                    <w14:schemeClr w14:val="tx1"/>
                  </w14:solidFill>
                </w14:textFill>
              </w:rPr>
              <w:t>t/t混炼胶，开炼CS</w:t>
            </w:r>
            <w:r>
              <w:rPr>
                <w:rFonts w:hint="eastAsia" w:ascii="Times New Roman" w:hAnsi="Times New Roman" w:cs="Times New Roman"/>
                <w:color w:val="000000" w:themeColor="text1"/>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产污系数为3.76×10</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-6</w:t>
            </w:r>
            <w:r>
              <w:rPr>
                <w:rFonts w:hint="eastAsia" w:ascii="Times New Roman" w:hAnsi="Times New Roman" w:cs="Times New Roman"/>
                <w:color w:val="000000" w:themeColor="text1"/>
                <w:highlight w:val="none"/>
                <w:lang w:val="en-US" w:eastAsia="zh-CN"/>
                <w14:textFill>
                  <w14:solidFill>
                    <w14:schemeClr w14:val="tx1"/>
                  </w14:solidFill>
                </w14:textFill>
              </w:rPr>
              <w:t>t/t混炼胶；硫化废气CS</w:t>
            </w:r>
            <w:r>
              <w:rPr>
                <w:rFonts w:hint="eastAsia" w:ascii="Times New Roman" w:hAnsi="Times New Roman" w:cs="Times New Roman"/>
                <w:color w:val="000000" w:themeColor="text1"/>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产污系数为4.6×10</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-6</w:t>
            </w:r>
            <w:r>
              <w:rPr>
                <w:rFonts w:hint="eastAsia" w:ascii="Times New Roman" w:hAnsi="Times New Roman" w:cs="Times New Roman"/>
                <w:color w:val="000000" w:themeColor="text1"/>
                <w:highlight w:val="none"/>
                <w:lang w:val="en-US" w:eastAsia="zh-CN"/>
                <w14:textFill>
                  <w14:solidFill>
                    <w14:schemeClr w14:val="tx1"/>
                  </w14:solidFill>
                </w14:textFill>
              </w:rPr>
              <w:t>t/t混炼胶，H</w:t>
            </w:r>
            <w:r>
              <w:rPr>
                <w:rFonts w:hint="eastAsia" w:ascii="Times New Roman" w:hAnsi="Times New Roman" w:cs="Times New Roman"/>
                <w:color w:val="000000" w:themeColor="text1"/>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S产污系数为0.3573×10</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-5</w:t>
            </w:r>
            <w:r>
              <w:rPr>
                <w:rFonts w:hint="eastAsia" w:ascii="Times New Roman" w:hAnsi="Times New Roman" w:cs="Times New Roman"/>
                <w:color w:val="000000" w:themeColor="text1"/>
                <w:highlight w:val="none"/>
                <w:lang w:val="en-US" w:eastAsia="zh-CN"/>
                <w14:textFill>
                  <w14:solidFill>
                    <w14:schemeClr w14:val="tx1"/>
                  </w14:solidFill>
                </w14:textFill>
              </w:rPr>
              <w:t>t/t混炼胶，本项目需硫化的混炼胶年产量为2780t，硫化</w:t>
            </w:r>
            <w:r>
              <w:rPr>
                <w:rFonts w:hint="eastAsia" w:cs="Times New Roman"/>
                <w:snapToGrid w:val="0"/>
                <w:color w:val="000000" w:themeColor="text1"/>
                <w:sz w:val="24"/>
                <w:szCs w:val="22"/>
                <w:highlight w:val="none"/>
                <w:lang w:val="en-US" w:eastAsia="zh-CN"/>
                <w14:textFill>
                  <w14:solidFill>
                    <w14:schemeClr w14:val="tx1"/>
                  </w14:solidFill>
                </w14:textFill>
              </w:rPr>
              <w:t>废气收集按80</w:t>
            </w:r>
            <w:r>
              <w:rPr>
                <w:rFonts w:hint="eastAsia" w:ascii="Times New Roman" w:hAnsi="Times New Roman" w:eastAsia="宋体" w:cs="Times New Roman"/>
                <w:snapToGrid w:val="0"/>
                <w:color w:val="000000" w:themeColor="text1"/>
                <w:sz w:val="24"/>
                <w:szCs w:val="22"/>
                <w:highlight w:val="none"/>
                <w:lang w:val="en-US" w:eastAsia="zh-CN"/>
                <w14:textFill>
                  <w14:solidFill>
                    <w14:schemeClr w14:val="tx1"/>
                  </w14:solidFill>
                </w14:textFill>
              </w:rPr>
              <w:t>%计算，</w:t>
            </w:r>
            <w:r>
              <w:rPr>
                <w:rFonts w:hint="eastAsia" w:cs="Times New Roman"/>
                <w:snapToGrid w:val="0"/>
                <w:color w:val="000000" w:themeColor="text1"/>
                <w:sz w:val="24"/>
                <w:szCs w:val="22"/>
                <w:highlight w:val="none"/>
                <w:lang w:val="en-US" w:eastAsia="zh-CN"/>
                <w14:textFill>
                  <w14:solidFill>
                    <w14:schemeClr w14:val="tx1"/>
                  </w14:solidFill>
                </w14:textFill>
              </w:rPr>
              <w:t>活性炭吸附系统对臭气的废气处理效率约50</w:t>
            </w:r>
            <w:r>
              <w:rPr>
                <w:rFonts w:hint="eastAsia" w:ascii="Times New Roman" w:hAnsi="Times New Roman" w:eastAsia="宋体" w:cs="Times New Roman"/>
                <w:snapToGrid w:val="0"/>
                <w:color w:val="000000" w:themeColor="text1"/>
                <w:sz w:val="24"/>
                <w:szCs w:val="22"/>
                <w:highlight w:val="none"/>
                <w:lang w:val="en-US" w:eastAsia="zh-CN"/>
                <w14:textFill>
                  <w14:solidFill>
                    <w14:schemeClr w14:val="tx1"/>
                  </w14:solidFill>
                </w14:textFill>
              </w:rPr>
              <w:t>%</w:t>
            </w:r>
            <w:r>
              <w:rPr>
                <w:rFonts w:hint="eastAsia" w:cs="Times New Roman"/>
                <w:snapToGrid w:val="0"/>
                <w:color w:val="000000" w:themeColor="text1"/>
                <w:sz w:val="24"/>
                <w:szCs w:val="22"/>
                <w:highlight w:val="none"/>
                <w:lang w:val="en-US" w:eastAsia="zh-CN"/>
                <w14:textFill>
                  <w14:solidFill>
                    <w14:schemeClr w14:val="tx1"/>
                  </w14:solidFill>
                </w14:textFill>
              </w:rPr>
              <w:t>，密炼废气收集效率按95%计算，开炼和硫化废</w:t>
            </w:r>
            <w:r>
              <w:rPr>
                <w:rFonts w:hint="eastAsia" w:cs="Times New Roman"/>
                <w:snapToGrid w:val="0"/>
                <w:color w:val="auto"/>
                <w:sz w:val="24"/>
                <w:szCs w:val="22"/>
                <w:highlight w:val="none"/>
                <w:lang w:val="en-US" w:eastAsia="zh-CN"/>
              </w:rPr>
              <w:t>气收集效率按80%计算，则本项目炼胶和硫化工序恶臭气体产排污情况如下：</w:t>
            </w:r>
          </w:p>
          <w:p w14:paraId="42E3705B">
            <w:pPr>
              <w:pStyle w:val="43"/>
              <w:rPr>
                <w:rFonts w:hint="default" w:ascii="Times New Roman" w:hAnsi="Times New Roman" w:cs="Times New Roman"/>
                <w:color w:val="FF0000"/>
                <w:highlight w:val="none"/>
                <w:lang w:val="en-US" w:eastAsia="zh-CN"/>
              </w:rPr>
            </w:pPr>
            <w:r>
              <w:rPr>
                <w:rFonts w:hint="default"/>
                <w:lang w:val="en-US" w:eastAsia="zh-CN"/>
              </w:rPr>
              <w:t>表4-</w:t>
            </w:r>
            <w:r>
              <w:rPr>
                <w:rFonts w:hint="eastAsia"/>
                <w:lang w:val="en-US" w:eastAsia="zh-CN"/>
              </w:rPr>
              <w:t>5炼胶和硫化恶臭气体产排污情况</w:t>
            </w:r>
          </w:p>
          <w:tbl>
            <w:tblPr>
              <w:tblStyle w:val="23"/>
              <w:tblW w:w="8220" w:type="dxa"/>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75"/>
              <w:gridCol w:w="679"/>
              <w:gridCol w:w="963"/>
              <w:gridCol w:w="755"/>
              <w:gridCol w:w="882"/>
              <w:gridCol w:w="627"/>
              <w:gridCol w:w="636"/>
              <w:gridCol w:w="747"/>
              <w:gridCol w:w="819"/>
              <w:gridCol w:w="817"/>
              <w:gridCol w:w="720"/>
            </w:tblGrid>
            <w:tr w14:paraId="69BE8976">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575" w:type="dxa"/>
                  <w:tcBorders>
                    <w:tl2br w:val="nil"/>
                    <w:tr2bl w:val="nil"/>
                  </w:tcBorders>
                  <w:shd w:val="clear" w:color="auto" w:fill="auto"/>
                  <w:noWrap/>
                  <w:vAlign w:val="center"/>
                </w:tcPr>
                <w:p w14:paraId="69F41A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工序</w:t>
                  </w:r>
                </w:p>
              </w:tc>
              <w:tc>
                <w:tcPr>
                  <w:tcW w:w="679" w:type="dxa"/>
                  <w:tcBorders>
                    <w:tl2br w:val="nil"/>
                    <w:tr2bl w:val="nil"/>
                  </w:tcBorders>
                  <w:shd w:val="clear" w:color="auto" w:fill="auto"/>
                  <w:noWrap/>
                  <w:vAlign w:val="center"/>
                </w:tcPr>
                <w:p w14:paraId="7E96C3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污染物</w:t>
                  </w:r>
                </w:p>
              </w:tc>
              <w:tc>
                <w:tcPr>
                  <w:tcW w:w="963" w:type="dxa"/>
                  <w:tcBorders>
                    <w:tl2br w:val="nil"/>
                    <w:tr2bl w:val="nil"/>
                  </w:tcBorders>
                  <w:shd w:val="clear" w:color="auto" w:fill="auto"/>
                  <w:noWrap/>
                  <w:vAlign w:val="center"/>
                </w:tcPr>
                <w:p w14:paraId="6F0C3F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产物系数</w:t>
                  </w:r>
                  <w:r>
                    <w:rPr>
                      <w:rFonts w:hint="eastAsia" w:ascii="Times New Roman" w:hAnsi="Times New Roman" w:eastAsia="宋体" w:cs="Times New Roman"/>
                      <w:i w:val="0"/>
                      <w:iCs w:val="0"/>
                      <w:color w:val="000000"/>
                      <w:kern w:val="0"/>
                      <w:sz w:val="18"/>
                      <w:szCs w:val="18"/>
                      <w:u w:val="none"/>
                      <w:lang w:val="en-US" w:eastAsia="zh-CN" w:bidi="ar"/>
                    </w:rPr>
                    <w:t>(kg/t胶）</w:t>
                  </w:r>
                </w:p>
              </w:tc>
              <w:tc>
                <w:tcPr>
                  <w:tcW w:w="755" w:type="dxa"/>
                  <w:tcBorders>
                    <w:tl2br w:val="nil"/>
                    <w:tr2bl w:val="nil"/>
                  </w:tcBorders>
                  <w:shd w:val="clear" w:color="auto" w:fill="auto"/>
                  <w:noWrap/>
                  <w:vAlign w:val="center"/>
                </w:tcPr>
                <w:p w14:paraId="303D4E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炼胶量</w:t>
                  </w:r>
                  <w:r>
                    <w:rPr>
                      <w:rFonts w:hint="eastAsia" w:ascii="Times New Roman" w:hAnsi="Times New Roman" w:eastAsia="宋体" w:cs="Times New Roman"/>
                      <w:i w:val="0"/>
                      <w:iCs w:val="0"/>
                      <w:color w:val="000000"/>
                      <w:kern w:val="0"/>
                      <w:sz w:val="18"/>
                      <w:szCs w:val="18"/>
                      <w:u w:val="none"/>
                      <w:lang w:val="en-US" w:eastAsia="zh-CN" w:bidi="ar"/>
                    </w:rPr>
                    <w:t>（t/a）</w:t>
                  </w:r>
                </w:p>
              </w:tc>
              <w:tc>
                <w:tcPr>
                  <w:tcW w:w="882" w:type="dxa"/>
                  <w:tcBorders>
                    <w:tl2br w:val="nil"/>
                    <w:tr2bl w:val="nil"/>
                  </w:tcBorders>
                  <w:shd w:val="clear" w:color="auto" w:fill="auto"/>
                  <w:noWrap/>
                  <w:vAlign w:val="center"/>
                </w:tcPr>
                <w:p w14:paraId="1F9932D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产生量(kg/a)</w:t>
                  </w:r>
                </w:p>
              </w:tc>
              <w:tc>
                <w:tcPr>
                  <w:tcW w:w="627" w:type="dxa"/>
                  <w:tcBorders>
                    <w:tl2br w:val="nil"/>
                    <w:tr2bl w:val="nil"/>
                  </w:tcBorders>
                  <w:shd w:val="clear" w:color="auto" w:fill="auto"/>
                  <w:noWrap/>
                  <w:vAlign w:val="center"/>
                </w:tcPr>
                <w:p w14:paraId="4C0902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收集率</w:t>
                  </w:r>
                </w:p>
              </w:tc>
              <w:tc>
                <w:tcPr>
                  <w:tcW w:w="636" w:type="dxa"/>
                  <w:tcBorders>
                    <w:tl2br w:val="nil"/>
                    <w:tr2bl w:val="nil"/>
                  </w:tcBorders>
                  <w:shd w:val="clear" w:color="auto" w:fill="auto"/>
                  <w:noWrap/>
                  <w:vAlign w:val="center"/>
                </w:tcPr>
                <w:p w14:paraId="37CAAD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处理率</w:t>
                  </w:r>
                </w:p>
              </w:tc>
              <w:tc>
                <w:tcPr>
                  <w:tcW w:w="747" w:type="dxa"/>
                  <w:tcBorders>
                    <w:tl2br w:val="nil"/>
                    <w:tr2bl w:val="nil"/>
                  </w:tcBorders>
                  <w:shd w:val="clear" w:color="auto" w:fill="auto"/>
                  <w:noWrap/>
                  <w:vAlign w:val="center"/>
                </w:tcPr>
                <w:p w14:paraId="20E1014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有效排放时间（h/a)</w:t>
                  </w:r>
                </w:p>
              </w:tc>
              <w:tc>
                <w:tcPr>
                  <w:tcW w:w="819" w:type="dxa"/>
                  <w:tcBorders>
                    <w:tl2br w:val="nil"/>
                    <w:tr2bl w:val="nil"/>
                  </w:tcBorders>
                  <w:shd w:val="clear" w:color="auto" w:fill="auto"/>
                  <w:noWrap/>
                  <w:vAlign w:val="center"/>
                </w:tcPr>
                <w:p w14:paraId="0833014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排放速率(kg/h)</w:t>
                  </w:r>
                </w:p>
              </w:tc>
              <w:tc>
                <w:tcPr>
                  <w:tcW w:w="817" w:type="dxa"/>
                  <w:tcBorders>
                    <w:tl2br w:val="nil"/>
                    <w:tr2bl w:val="nil"/>
                  </w:tcBorders>
                  <w:shd w:val="clear" w:color="auto" w:fill="auto"/>
                  <w:noWrap/>
                  <w:vAlign w:val="center"/>
                </w:tcPr>
                <w:p w14:paraId="172EDC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i w:val="0"/>
                      <w:iCs w:val="0"/>
                      <w:color w:val="000000"/>
                      <w:kern w:val="0"/>
                      <w:sz w:val="18"/>
                      <w:szCs w:val="18"/>
                      <w:u w:val="none"/>
                      <w:lang w:val="en-US" w:eastAsia="zh-CN" w:bidi="ar"/>
                    </w:rPr>
                    <w:t>排放标准</w:t>
                  </w:r>
                  <w:r>
                    <w:rPr>
                      <w:rFonts w:hint="default" w:ascii="Times New Roman" w:hAnsi="Times New Roman" w:eastAsia="宋体" w:cs="Times New Roman"/>
                      <w:i w:val="0"/>
                      <w:iCs w:val="0"/>
                      <w:color w:val="000000"/>
                      <w:kern w:val="0"/>
                      <w:sz w:val="18"/>
                      <w:szCs w:val="18"/>
                      <w:u w:val="none"/>
                      <w:lang w:val="en-US" w:eastAsia="zh-CN" w:bidi="ar"/>
                    </w:rPr>
                    <w:t>(kg/h)</w:t>
                  </w:r>
                  <w:r>
                    <w:rPr>
                      <w:rFonts w:hint="eastAsia" w:cs="Times New Roman"/>
                      <w:i w:val="0"/>
                      <w:iCs w:val="0"/>
                      <w:color w:val="000000"/>
                      <w:kern w:val="0"/>
                      <w:sz w:val="18"/>
                      <w:szCs w:val="18"/>
                      <w:u w:val="none"/>
                      <w:lang w:val="en-US" w:eastAsia="zh-CN" w:bidi="ar"/>
                    </w:rPr>
                    <w:t>及达标分析</w:t>
                  </w:r>
                </w:p>
              </w:tc>
              <w:tc>
                <w:tcPr>
                  <w:tcW w:w="720" w:type="dxa"/>
                  <w:tcBorders>
                    <w:tl2br w:val="nil"/>
                    <w:tr2bl w:val="nil"/>
                  </w:tcBorders>
                  <w:shd w:val="clear" w:color="auto" w:fill="auto"/>
                  <w:noWrap/>
                  <w:vAlign w:val="center"/>
                </w:tcPr>
                <w:p w14:paraId="30A574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排气筒编号</w:t>
                  </w:r>
                </w:p>
              </w:tc>
            </w:tr>
            <w:tr w14:paraId="40C17C7E">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575" w:type="dxa"/>
                  <w:tcBorders>
                    <w:tl2br w:val="nil"/>
                    <w:tr2bl w:val="nil"/>
                  </w:tcBorders>
                  <w:shd w:val="clear" w:color="auto" w:fill="auto"/>
                  <w:noWrap/>
                  <w:vAlign w:val="center"/>
                </w:tcPr>
                <w:p w14:paraId="09C2D0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密炼</w:t>
                  </w:r>
                </w:p>
              </w:tc>
              <w:tc>
                <w:tcPr>
                  <w:tcW w:w="679" w:type="dxa"/>
                  <w:tcBorders>
                    <w:tl2br w:val="nil"/>
                    <w:tr2bl w:val="nil"/>
                  </w:tcBorders>
                  <w:shd w:val="clear" w:color="auto" w:fill="auto"/>
                  <w:noWrap/>
                  <w:vAlign w:val="center"/>
                </w:tcPr>
                <w:p w14:paraId="595F5F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w:t>
                  </w:r>
                  <w:r>
                    <w:rPr>
                      <w:rFonts w:hint="default" w:ascii="Times New Roman" w:hAnsi="Times New Roman" w:eastAsia="宋体" w:cs="Times New Roman"/>
                      <w:i w:val="0"/>
                      <w:iCs w:val="0"/>
                      <w:color w:val="000000"/>
                      <w:kern w:val="0"/>
                      <w:sz w:val="18"/>
                      <w:szCs w:val="18"/>
                      <w:u w:val="none"/>
                      <w:vertAlign w:val="sub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S</w:t>
                  </w:r>
                </w:p>
              </w:tc>
              <w:tc>
                <w:tcPr>
                  <w:tcW w:w="963" w:type="dxa"/>
                  <w:tcBorders>
                    <w:tl2br w:val="nil"/>
                    <w:tr2bl w:val="nil"/>
                  </w:tcBorders>
                  <w:shd w:val="clear" w:color="auto" w:fill="auto"/>
                  <w:noWrap/>
                  <w:vAlign w:val="center"/>
                </w:tcPr>
                <w:p w14:paraId="1499CE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0.00426</w:t>
                  </w:r>
                </w:p>
              </w:tc>
              <w:tc>
                <w:tcPr>
                  <w:tcW w:w="755" w:type="dxa"/>
                  <w:tcBorders>
                    <w:tl2br w:val="nil"/>
                    <w:tr2bl w:val="nil"/>
                  </w:tcBorders>
                  <w:shd w:val="clear" w:color="auto" w:fill="auto"/>
                  <w:noWrap/>
                  <w:vAlign w:val="center"/>
                </w:tcPr>
                <w:p w14:paraId="7B2135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2836</w:t>
                  </w:r>
                </w:p>
              </w:tc>
              <w:tc>
                <w:tcPr>
                  <w:tcW w:w="882" w:type="dxa"/>
                  <w:tcBorders>
                    <w:tl2br w:val="nil"/>
                    <w:tr2bl w:val="nil"/>
                  </w:tcBorders>
                  <w:shd w:val="clear" w:color="auto" w:fill="auto"/>
                  <w:noWrap/>
                  <w:vAlign w:val="center"/>
                </w:tcPr>
                <w:p w14:paraId="448C56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12.081</w:t>
                  </w:r>
                  <w:r>
                    <w:rPr>
                      <w:rFonts w:hint="eastAsia" w:ascii="Times New Roman" w:hAnsi="Times New Roman" w:eastAsia="宋体" w:cs="Times New Roman"/>
                      <w:i w:val="0"/>
                      <w:iCs w:val="0"/>
                      <w:color w:val="000000"/>
                      <w:kern w:val="0"/>
                      <w:sz w:val="18"/>
                      <w:szCs w:val="18"/>
                      <w:u w:val="none"/>
                      <w:lang w:val="en-US" w:eastAsia="zh-CN" w:bidi="ar"/>
                    </w:rPr>
                    <w:t>4</w:t>
                  </w:r>
                </w:p>
              </w:tc>
              <w:tc>
                <w:tcPr>
                  <w:tcW w:w="627" w:type="dxa"/>
                  <w:tcBorders>
                    <w:tl2br w:val="nil"/>
                    <w:tr2bl w:val="nil"/>
                  </w:tcBorders>
                  <w:shd w:val="clear" w:color="auto" w:fill="auto"/>
                  <w:noWrap/>
                  <w:vAlign w:val="center"/>
                </w:tcPr>
                <w:p w14:paraId="6EFF64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636" w:type="dxa"/>
                  <w:tcBorders>
                    <w:tl2br w:val="nil"/>
                    <w:tr2bl w:val="nil"/>
                  </w:tcBorders>
                  <w:shd w:val="clear" w:color="auto" w:fill="auto"/>
                  <w:noWrap/>
                  <w:vAlign w:val="center"/>
                </w:tcPr>
                <w:p w14:paraId="02876D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747" w:type="dxa"/>
                  <w:tcBorders>
                    <w:tl2br w:val="nil"/>
                    <w:tr2bl w:val="nil"/>
                  </w:tcBorders>
                  <w:shd w:val="clear" w:color="auto" w:fill="auto"/>
                  <w:noWrap/>
                  <w:vAlign w:val="center"/>
                </w:tcPr>
                <w:p w14:paraId="5F81705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6600</w:t>
                  </w:r>
                </w:p>
              </w:tc>
              <w:tc>
                <w:tcPr>
                  <w:tcW w:w="819" w:type="dxa"/>
                  <w:tcBorders>
                    <w:tl2br w:val="nil"/>
                    <w:tr2bl w:val="nil"/>
                  </w:tcBorders>
                  <w:shd w:val="clear" w:color="auto" w:fill="auto"/>
                  <w:noWrap/>
                  <w:vAlign w:val="center"/>
                </w:tcPr>
                <w:p w14:paraId="4E77F0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 xml:space="preserve">0.0009 </w:t>
                  </w:r>
                </w:p>
              </w:tc>
              <w:tc>
                <w:tcPr>
                  <w:tcW w:w="817" w:type="dxa"/>
                  <w:vMerge w:val="restart"/>
                  <w:tcBorders>
                    <w:tl2br w:val="nil"/>
                    <w:tr2bl w:val="nil"/>
                  </w:tcBorders>
                  <w:shd w:val="clear" w:color="auto" w:fill="auto"/>
                  <w:noWrap/>
                  <w:vAlign w:val="center"/>
                </w:tcPr>
                <w:p w14:paraId="597FC8F4">
                  <w:pPr>
                    <w:keepNext w:val="0"/>
                    <w:keepLines w:val="0"/>
                    <w:widowControl/>
                    <w:suppressLineNumbers w:val="0"/>
                    <w:jc w:val="center"/>
                    <w:textAlignment w:val="center"/>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1.5</w:t>
                  </w:r>
                </w:p>
                <w:p w14:paraId="0437E3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5"/>
                      <w:szCs w:val="15"/>
                      <w:u w:val="none"/>
                      <w:lang w:val="en-US" w:eastAsia="zh-CN"/>
                    </w:rPr>
                    <w:t>（达标）</w:t>
                  </w:r>
                </w:p>
              </w:tc>
              <w:tc>
                <w:tcPr>
                  <w:tcW w:w="720" w:type="dxa"/>
                  <w:vMerge w:val="restart"/>
                  <w:tcBorders>
                    <w:tl2br w:val="nil"/>
                    <w:tr2bl w:val="nil"/>
                  </w:tcBorders>
                  <w:shd w:val="clear" w:color="auto" w:fill="auto"/>
                  <w:noWrap/>
                  <w:vAlign w:val="center"/>
                </w:tcPr>
                <w:p w14:paraId="7CB54907">
                  <w:pPr>
                    <w:keepNext w:val="0"/>
                    <w:keepLines w:val="0"/>
                    <w:widowControl/>
                    <w:suppressLineNumbers w:val="0"/>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DA002</w:t>
                  </w:r>
                </w:p>
              </w:tc>
            </w:tr>
            <w:tr w14:paraId="72B3BC0E">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575" w:type="dxa"/>
                  <w:tcBorders>
                    <w:tl2br w:val="nil"/>
                    <w:tr2bl w:val="nil"/>
                  </w:tcBorders>
                  <w:shd w:val="clear" w:color="auto" w:fill="auto"/>
                  <w:noWrap/>
                  <w:vAlign w:val="center"/>
                </w:tcPr>
                <w:p w14:paraId="7488D5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开炼</w:t>
                  </w:r>
                </w:p>
              </w:tc>
              <w:tc>
                <w:tcPr>
                  <w:tcW w:w="679" w:type="dxa"/>
                  <w:tcBorders>
                    <w:tl2br w:val="nil"/>
                    <w:tr2bl w:val="nil"/>
                  </w:tcBorders>
                  <w:shd w:val="clear" w:color="auto" w:fill="auto"/>
                  <w:noWrap/>
                  <w:vAlign w:val="center"/>
                </w:tcPr>
                <w:p w14:paraId="781DF5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w:t>
                  </w:r>
                  <w:r>
                    <w:rPr>
                      <w:rFonts w:hint="default" w:ascii="Times New Roman" w:hAnsi="Times New Roman" w:eastAsia="宋体" w:cs="Times New Roman"/>
                      <w:i w:val="0"/>
                      <w:iCs w:val="0"/>
                      <w:color w:val="000000"/>
                      <w:kern w:val="0"/>
                      <w:sz w:val="18"/>
                      <w:szCs w:val="18"/>
                      <w:u w:val="none"/>
                      <w:vertAlign w:val="sub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S</w:t>
                  </w:r>
                </w:p>
              </w:tc>
              <w:tc>
                <w:tcPr>
                  <w:tcW w:w="963" w:type="dxa"/>
                  <w:tcBorders>
                    <w:tl2br w:val="nil"/>
                    <w:tr2bl w:val="nil"/>
                  </w:tcBorders>
                  <w:shd w:val="clear" w:color="auto" w:fill="auto"/>
                  <w:noWrap/>
                  <w:vAlign w:val="center"/>
                </w:tcPr>
                <w:p w14:paraId="0B5B4E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0.00376</w:t>
                  </w:r>
                </w:p>
              </w:tc>
              <w:tc>
                <w:tcPr>
                  <w:tcW w:w="755" w:type="dxa"/>
                  <w:tcBorders>
                    <w:tl2br w:val="nil"/>
                    <w:tr2bl w:val="nil"/>
                  </w:tcBorders>
                  <w:shd w:val="clear" w:color="auto" w:fill="auto"/>
                  <w:noWrap/>
                  <w:vAlign w:val="center"/>
                </w:tcPr>
                <w:p w14:paraId="7FCA6E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2836</w:t>
                  </w:r>
                </w:p>
              </w:tc>
              <w:tc>
                <w:tcPr>
                  <w:tcW w:w="882" w:type="dxa"/>
                  <w:tcBorders>
                    <w:tl2br w:val="nil"/>
                    <w:tr2bl w:val="nil"/>
                  </w:tcBorders>
                  <w:shd w:val="clear" w:color="auto" w:fill="auto"/>
                  <w:noWrap/>
                  <w:vAlign w:val="center"/>
                </w:tcPr>
                <w:p w14:paraId="788255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10.663</w:t>
                  </w:r>
                  <w:r>
                    <w:rPr>
                      <w:rFonts w:hint="eastAsia" w:ascii="Times New Roman" w:hAnsi="Times New Roman" w:eastAsia="宋体" w:cs="Times New Roman"/>
                      <w:i w:val="0"/>
                      <w:iCs w:val="0"/>
                      <w:color w:val="000000"/>
                      <w:kern w:val="0"/>
                      <w:sz w:val="18"/>
                      <w:szCs w:val="18"/>
                      <w:u w:val="none"/>
                      <w:lang w:val="en-US" w:eastAsia="zh-CN" w:bidi="ar"/>
                    </w:rPr>
                    <w:t>4</w:t>
                  </w:r>
                </w:p>
              </w:tc>
              <w:tc>
                <w:tcPr>
                  <w:tcW w:w="627" w:type="dxa"/>
                  <w:tcBorders>
                    <w:tl2br w:val="nil"/>
                    <w:tr2bl w:val="nil"/>
                  </w:tcBorders>
                  <w:shd w:val="clear" w:color="auto" w:fill="auto"/>
                  <w:noWrap/>
                  <w:vAlign w:val="center"/>
                </w:tcPr>
                <w:p w14:paraId="613EFE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36" w:type="dxa"/>
                  <w:tcBorders>
                    <w:tl2br w:val="nil"/>
                    <w:tr2bl w:val="nil"/>
                  </w:tcBorders>
                  <w:shd w:val="clear" w:color="auto" w:fill="auto"/>
                  <w:noWrap/>
                  <w:vAlign w:val="center"/>
                </w:tcPr>
                <w:p w14:paraId="2C2A6D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747" w:type="dxa"/>
                  <w:tcBorders>
                    <w:tl2br w:val="nil"/>
                    <w:tr2bl w:val="nil"/>
                  </w:tcBorders>
                  <w:shd w:val="clear" w:color="auto" w:fill="auto"/>
                  <w:noWrap/>
                  <w:vAlign w:val="center"/>
                </w:tcPr>
                <w:p w14:paraId="6D9DD2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6600</w:t>
                  </w:r>
                </w:p>
              </w:tc>
              <w:tc>
                <w:tcPr>
                  <w:tcW w:w="819" w:type="dxa"/>
                  <w:tcBorders>
                    <w:tl2br w:val="nil"/>
                    <w:tr2bl w:val="nil"/>
                  </w:tcBorders>
                  <w:shd w:val="clear" w:color="auto" w:fill="auto"/>
                  <w:noWrap/>
                  <w:vAlign w:val="center"/>
                </w:tcPr>
                <w:p w14:paraId="53E30A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 xml:space="preserve">0.0006 </w:t>
                  </w:r>
                </w:p>
              </w:tc>
              <w:tc>
                <w:tcPr>
                  <w:tcW w:w="817" w:type="dxa"/>
                  <w:vMerge w:val="continue"/>
                  <w:tcBorders>
                    <w:tl2br w:val="nil"/>
                    <w:tr2bl w:val="nil"/>
                  </w:tcBorders>
                  <w:shd w:val="clear" w:color="auto" w:fill="auto"/>
                  <w:noWrap/>
                  <w:vAlign w:val="center"/>
                </w:tcPr>
                <w:p w14:paraId="42E751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c>
                <w:tcPr>
                  <w:tcW w:w="720" w:type="dxa"/>
                  <w:vMerge w:val="continue"/>
                  <w:tcBorders>
                    <w:tl2br w:val="nil"/>
                    <w:tr2bl w:val="nil"/>
                  </w:tcBorders>
                  <w:shd w:val="clear" w:color="auto" w:fill="auto"/>
                  <w:noWrap/>
                  <w:vAlign w:val="center"/>
                </w:tcPr>
                <w:p w14:paraId="620B8EA1">
                  <w:pPr>
                    <w:keepNext w:val="0"/>
                    <w:keepLines w:val="0"/>
                    <w:widowControl/>
                    <w:suppressLineNumbers w:val="0"/>
                    <w:jc w:val="center"/>
                    <w:textAlignment w:val="center"/>
                    <w:rPr>
                      <w:rFonts w:hint="default" w:ascii="Times New Roman" w:hAnsi="Times New Roman" w:eastAsia="宋体" w:cs="Times New Roman"/>
                      <w:i w:val="0"/>
                      <w:iCs w:val="0"/>
                      <w:color w:val="000000"/>
                      <w:sz w:val="15"/>
                      <w:szCs w:val="15"/>
                      <w:u w:val="none"/>
                    </w:rPr>
                  </w:pPr>
                </w:p>
              </w:tc>
            </w:tr>
            <w:tr w14:paraId="401D194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17" w:hRule="atLeast"/>
                <w:jc w:val="center"/>
              </w:trPr>
              <w:tc>
                <w:tcPr>
                  <w:tcW w:w="575" w:type="dxa"/>
                  <w:vMerge w:val="restart"/>
                  <w:tcBorders>
                    <w:tl2br w:val="nil"/>
                    <w:tr2bl w:val="nil"/>
                  </w:tcBorders>
                  <w:shd w:val="clear" w:color="auto" w:fill="auto"/>
                  <w:noWrap/>
                  <w:vAlign w:val="center"/>
                </w:tcPr>
                <w:p w14:paraId="2E68EC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硫化</w:t>
                  </w:r>
                </w:p>
              </w:tc>
              <w:tc>
                <w:tcPr>
                  <w:tcW w:w="679" w:type="dxa"/>
                  <w:tcBorders>
                    <w:tl2br w:val="nil"/>
                    <w:tr2bl w:val="nil"/>
                  </w:tcBorders>
                  <w:shd w:val="clear" w:color="auto" w:fill="auto"/>
                  <w:noWrap/>
                  <w:vAlign w:val="center"/>
                </w:tcPr>
                <w:p w14:paraId="3D8123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w:t>
                  </w:r>
                  <w:r>
                    <w:rPr>
                      <w:rFonts w:hint="default" w:ascii="Times New Roman" w:hAnsi="Times New Roman" w:eastAsia="宋体" w:cs="Times New Roman"/>
                      <w:i w:val="0"/>
                      <w:iCs w:val="0"/>
                      <w:color w:val="000000"/>
                      <w:kern w:val="0"/>
                      <w:sz w:val="18"/>
                      <w:szCs w:val="18"/>
                      <w:u w:val="none"/>
                      <w:vertAlign w:val="sub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S</w:t>
                  </w:r>
                </w:p>
              </w:tc>
              <w:tc>
                <w:tcPr>
                  <w:tcW w:w="963" w:type="dxa"/>
                  <w:tcBorders>
                    <w:tl2br w:val="nil"/>
                    <w:tr2bl w:val="nil"/>
                  </w:tcBorders>
                  <w:shd w:val="clear" w:color="auto" w:fill="auto"/>
                  <w:noWrap/>
                  <w:vAlign w:val="center"/>
                </w:tcPr>
                <w:p w14:paraId="729BEE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0.0046</w:t>
                  </w:r>
                </w:p>
              </w:tc>
              <w:tc>
                <w:tcPr>
                  <w:tcW w:w="755" w:type="dxa"/>
                  <w:tcBorders>
                    <w:tl2br w:val="nil"/>
                    <w:tr2bl w:val="nil"/>
                  </w:tcBorders>
                  <w:shd w:val="clear" w:color="auto" w:fill="auto"/>
                  <w:noWrap/>
                  <w:vAlign w:val="center"/>
                </w:tcPr>
                <w:p w14:paraId="6FBB5E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2780</w:t>
                  </w:r>
                </w:p>
              </w:tc>
              <w:tc>
                <w:tcPr>
                  <w:tcW w:w="882" w:type="dxa"/>
                  <w:tcBorders>
                    <w:tl2br w:val="nil"/>
                    <w:tr2bl w:val="nil"/>
                  </w:tcBorders>
                  <w:shd w:val="clear" w:color="auto" w:fill="auto"/>
                  <w:noWrap/>
                  <w:vAlign w:val="center"/>
                </w:tcPr>
                <w:p w14:paraId="54487CC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12.788</w:t>
                  </w:r>
                </w:p>
              </w:tc>
              <w:tc>
                <w:tcPr>
                  <w:tcW w:w="627" w:type="dxa"/>
                  <w:tcBorders>
                    <w:tl2br w:val="nil"/>
                    <w:tr2bl w:val="nil"/>
                  </w:tcBorders>
                  <w:shd w:val="clear" w:color="auto" w:fill="auto"/>
                  <w:noWrap/>
                  <w:vAlign w:val="center"/>
                </w:tcPr>
                <w:p w14:paraId="04AFA8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36" w:type="dxa"/>
                  <w:tcBorders>
                    <w:tl2br w:val="nil"/>
                    <w:tr2bl w:val="nil"/>
                  </w:tcBorders>
                  <w:shd w:val="clear" w:color="auto" w:fill="auto"/>
                  <w:noWrap/>
                  <w:vAlign w:val="center"/>
                </w:tcPr>
                <w:p w14:paraId="51F5E3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747" w:type="dxa"/>
                  <w:tcBorders>
                    <w:tl2br w:val="nil"/>
                    <w:tr2bl w:val="nil"/>
                  </w:tcBorders>
                  <w:shd w:val="clear" w:color="auto" w:fill="auto"/>
                  <w:noWrap/>
                  <w:vAlign w:val="center"/>
                </w:tcPr>
                <w:p w14:paraId="528988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819" w:type="dxa"/>
                  <w:tcBorders>
                    <w:tl2br w:val="nil"/>
                    <w:tr2bl w:val="nil"/>
                  </w:tcBorders>
                  <w:shd w:val="clear" w:color="auto" w:fill="auto"/>
                  <w:noWrap/>
                  <w:vAlign w:val="center"/>
                </w:tcPr>
                <w:p w14:paraId="000257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 xml:space="preserve">0.0233 </w:t>
                  </w:r>
                </w:p>
              </w:tc>
              <w:tc>
                <w:tcPr>
                  <w:tcW w:w="817" w:type="dxa"/>
                  <w:tcBorders>
                    <w:tl2br w:val="nil"/>
                    <w:tr2bl w:val="nil"/>
                  </w:tcBorders>
                  <w:shd w:val="clear" w:color="auto" w:fill="auto"/>
                  <w:noWrap/>
                  <w:vAlign w:val="center"/>
                </w:tcPr>
                <w:p w14:paraId="639EB168">
                  <w:pPr>
                    <w:keepNext w:val="0"/>
                    <w:keepLines w:val="0"/>
                    <w:widowControl/>
                    <w:suppressLineNumbers w:val="0"/>
                    <w:jc w:val="center"/>
                    <w:textAlignment w:val="center"/>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1.5</w:t>
                  </w:r>
                </w:p>
                <w:p w14:paraId="19F6DF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sz w:val="15"/>
                      <w:szCs w:val="15"/>
                      <w:u w:val="none"/>
                      <w:lang w:val="en-US" w:eastAsia="zh-CN"/>
                    </w:rPr>
                    <w:t>（达标</w:t>
                  </w:r>
                  <w:r>
                    <w:rPr>
                      <w:rFonts w:hint="eastAsia" w:cs="Times New Roman"/>
                      <w:i w:val="0"/>
                      <w:iCs w:val="0"/>
                      <w:color w:val="000000"/>
                      <w:sz w:val="15"/>
                      <w:szCs w:val="15"/>
                      <w:u w:val="none"/>
                      <w:lang w:val="en-US" w:eastAsia="zh-CN"/>
                    </w:rPr>
                    <w:t>）</w:t>
                  </w:r>
                </w:p>
              </w:tc>
              <w:tc>
                <w:tcPr>
                  <w:tcW w:w="720" w:type="dxa"/>
                  <w:vMerge w:val="restart"/>
                  <w:tcBorders>
                    <w:tl2br w:val="nil"/>
                    <w:tr2bl w:val="nil"/>
                  </w:tcBorders>
                  <w:shd w:val="clear" w:color="auto" w:fill="auto"/>
                  <w:noWrap/>
                  <w:vAlign w:val="center"/>
                </w:tcPr>
                <w:p w14:paraId="022DF341">
                  <w:pPr>
                    <w:keepNext w:val="0"/>
                    <w:keepLines w:val="0"/>
                    <w:widowControl/>
                    <w:suppressLineNumbers w:val="0"/>
                    <w:jc w:val="center"/>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DA001</w:t>
                  </w:r>
                </w:p>
              </w:tc>
            </w:tr>
            <w:tr w14:paraId="03687A10">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575" w:type="dxa"/>
                  <w:vMerge w:val="continue"/>
                  <w:tcBorders>
                    <w:tl2br w:val="nil"/>
                    <w:tr2bl w:val="nil"/>
                  </w:tcBorders>
                  <w:shd w:val="clear" w:color="auto" w:fill="auto"/>
                  <w:noWrap/>
                  <w:vAlign w:val="center"/>
                </w:tcPr>
                <w:p w14:paraId="580E6F09">
                  <w:pPr>
                    <w:jc w:val="center"/>
                    <w:rPr>
                      <w:rFonts w:hint="default" w:ascii="Times New Roman" w:hAnsi="Times New Roman" w:eastAsia="宋体" w:cs="Times New Roman"/>
                      <w:i w:val="0"/>
                      <w:iCs w:val="0"/>
                      <w:color w:val="000000"/>
                      <w:sz w:val="18"/>
                      <w:szCs w:val="18"/>
                      <w:u w:val="none"/>
                    </w:rPr>
                  </w:pPr>
                </w:p>
              </w:tc>
              <w:tc>
                <w:tcPr>
                  <w:tcW w:w="679" w:type="dxa"/>
                  <w:tcBorders>
                    <w:tl2br w:val="nil"/>
                    <w:tr2bl w:val="nil"/>
                  </w:tcBorders>
                  <w:shd w:val="clear" w:color="auto" w:fill="auto"/>
                  <w:noWrap/>
                  <w:vAlign w:val="center"/>
                </w:tcPr>
                <w:p w14:paraId="0677BF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w:t>
                  </w:r>
                  <w:r>
                    <w:rPr>
                      <w:rFonts w:hint="default" w:ascii="Times New Roman" w:hAnsi="Times New Roman" w:eastAsia="宋体" w:cs="Times New Roman"/>
                      <w:i w:val="0"/>
                      <w:iCs w:val="0"/>
                      <w:color w:val="000000"/>
                      <w:kern w:val="0"/>
                      <w:sz w:val="18"/>
                      <w:szCs w:val="18"/>
                      <w:u w:val="none"/>
                      <w:vertAlign w:val="sub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S</w:t>
                  </w:r>
                </w:p>
              </w:tc>
              <w:tc>
                <w:tcPr>
                  <w:tcW w:w="963" w:type="dxa"/>
                  <w:tcBorders>
                    <w:tl2br w:val="nil"/>
                    <w:tr2bl w:val="nil"/>
                  </w:tcBorders>
                  <w:shd w:val="clear" w:color="auto" w:fill="auto"/>
                  <w:noWrap/>
                  <w:vAlign w:val="center"/>
                </w:tcPr>
                <w:p w14:paraId="782925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0.003573</w:t>
                  </w:r>
                </w:p>
              </w:tc>
              <w:tc>
                <w:tcPr>
                  <w:tcW w:w="755" w:type="dxa"/>
                  <w:tcBorders>
                    <w:tl2br w:val="nil"/>
                    <w:tr2bl w:val="nil"/>
                  </w:tcBorders>
                  <w:shd w:val="clear" w:color="auto" w:fill="auto"/>
                  <w:noWrap/>
                  <w:vAlign w:val="center"/>
                </w:tcPr>
                <w:p w14:paraId="74AC5C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2780</w:t>
                  </w:r>
                </w:p>
              </w:tc>
              <w:tc>
                <w:tcPr>
                  <w:tcW w:w="882" w:type="dxa"/>
                  <w:tcBorders>
                    <w:tl2br w:val="nil"/>
                    <w:tr2bl w:val="nil"/>
                  </w:tcBorders>
                  <w:shd w:val="clear" w:color="auto" w:fill="auto"/>
                  <w:noWrap/>
                  <w:vAlign w:val="center"/>
                </w:tcPr>
                <w:p w14:paraId="0FE04A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9.93</w:t>
                  </w:r>
                  <w:r>
                    <w:rPr>
                      <w:rFonts w:hint="eastAsia" w:ascii="Times New Roman" w:hAnsi="Times New Roman" w:eastAsia="宋体" w:cs="Times New Roman"/>
                      <w:i w:val="0"/>
                      <w:iCs w:val="0"/>
                      <w:color w:val="000000"/>
                      <w:kern w:val="0"/>
                      <w:sz w:val="18"/>
                      <w:szCs w:val="18"/>
                      <w:u w:val="none"/>
                      <w:lang w:val="en-US" w:eastAsia="zh-CN" w:bidi="ar"/>
                    </w:rPr>
                    <w:t>30</w:t>
                  </w:r>
                </w:p>
              </w:tc>
              <w:tc>
                <w:tcPr>
                  <w:tcW w:w="627" w:type="dxa"/>
                  <w:tcBorders>
                    <w:tl2br w:val="nil"/>
                    <w:tr2bl w:val="nil"/>
                  </w:tcBorders>
                  <w:shd w:val="clear" w:color="auto" w:fill="auto"/>
                  <w:noWrap/>
                  <w:vAlign w:val="center"/>
                </w:tcPr>
                <w:p w14:paraId="736CD2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36" w:type="dxa"/>
                  <w:tcBorders>
                    <w:tl2br w:val="nil"/>
                    <w:tr2bl w:val="nil"/>
                  </w:tcBorders>
                  <w:shd w:val="clear" w:color="auto" w:fill="auto"/>
                  <w:noWrap/>
                  <w:vAlign w:val="center"/>
                </w:tcPr>
                <w:p w14:paraId="4CE25DB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747" w:type="dxa"/>
                  <w:tcBorders>
                    <w:tl2br w:val="nil"/>
                    <w:tr2bl w:val="nil"/>
                  </w:tcBorders>
                  <w:shd w:val="clear" w:color="auto" w:fill="auto"/>
                  <w:noWrap/>
                  <w:vAlign w:val="center"/>
                </w:tcPr>
                <w:p w14:paraId="021DEA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819" w:type="dxa"/>
                  <w:tcBorders>
                    <w:tl2br w:val="nil"/>
                    <w:tr2bl w:val="nil"/>
                  </w:tcBorders>
                  <w:shd w:val="clear" w:color="auto" w:fill="auto"/>
                  <w:noWrap/>
                  <w:vAlign w:val="center"/>
                </w:tcPr>
                <w:p w14:paraId="0A7EEE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 xml:space="preserve">0.0181 </w:t>
                  </w:r>
                </w:p>
              </w:tc>
              <w:tc>
                <w:tcPr>
                  <w:tcW w:w="817" w:type="dxa"/>
                  <w:tcBorders>
                    <w:tl2br w:val="nil"/>
                    <w:tr2bl w:val="nil"/>
                  </w:tcBorders>
                  <w:shd w:val="clear" w:color="auto" w:fill="auto"/>
                  <w:noWrap/>
                  <w:vAlign w:val="center"/>
                </w:tcPr>
                <w:p w14:paraId="0518EA2A">
                  <w:pPr>
                    <w:keepNext w:val="0"/>
                    <w:keepLines w:val="0"/>
                    <w:widowControl/>
                    <w:suppressLineNumbers w:val="0"/>
                    <w:jc w:val="center"/>
                    <w:textAlignment w:val="center"/>
                    <w:rPr>
                      <w:rFonts w:hint="eastAsia"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0.33</w:t>
                  </w:r>
                </w:p>
                <w:p w14:paraId="7760DC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sz w:val="15"/>
                      <w:szCs w:val="15"/>
                      <w:u w:val="none"/>
                      <w:lang w:val="en-US" w:eastAsia="zh-CN"/>
                    </w:rPr>
                    <w:t>（达标</w:t>
                  </w:r>
                  <w:r>
                    <w:rPr>
                      <w:rFonts w:hint="eastAsia" w:cs="Times New Roman"/>
                      <w:i w:val="0"/>
                      <w:iCs w:val="0"/>
                      <w:color w:val="000000"/>
                      <w:sz w:val="15"/>
                      <w:szCs w:val="15"/>
                      <w:u w:val="none"/>
                      <w:lang w:val="en-US" w:eastAsia="zh-CN"/>
                    </w:rPr>
                    <w:t>）</w:t>
                  </w:r>
                </w:p>
              </w:tc>
              <w:tc>
                <w:tcPr>
                  <w:tcW w:w="720" w:type="dxa"/>
                  <w:vMerge w:val="continue"/>
                  <w:tcBorders>
                    <w:tl2br w:val="nil"/>
                    <w:tr2bl w:val="nil"/>
                  </w:tcBorders>
                  <w:shd w:val="clear" w:color="auto" w:fill="auto"/>
                  <w:noWrap/>
                  <w:vAlign w:val="center"/>
                </w:tcPr>
                <w:p w14:paraId="3A2101B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r>
          </w:tbl>
          <w:p w14:paraId="374E388B">
            <w:pPr>
              <w:pStyle w:val="42"/>
              <w:ind w:firstLine="48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根据以上分析</w:t>
            </w:r>
            <w:r>
              <w:rPr>
                <w:rFonts w:hint="default" w:ascii="Times New Roman" w:hAnsi="Times New Roman" w:cs="Times New Roman"/>
                <w:color w:val="000000" w:themeColor="text1"/>
                <w:lang w:val="en-US" w:eastAsia="zh-CN"/>
                <w14:textFill>
                  <w14:solidFill>
                    <w14:schemeClr w14:val="tx1"/>
                  </w14:solidFill>
                </w14:textFill>
              </w:rPr>
              <w:t>炼胶和硫化主要恶臭气体排放满足《恶臭污染物排放标准》(GB14554-1993)中规定的排放限值。</w:t>
            </w:r>
            <w:r>
              <w:rPr>
                <w:rFonts w:hint="eastAsia" w:ascii="Times New Roman" w:hAnsi="Times New Roman" w:cs="Times New Roman"/>
                <w:color w:val="000000" w:themeColor="text1"/>
                <w:lang w:val="en-US" w:eastAsia="zh-CN"/>
                <w14:textFill>
                  <w14:solidFill>
                    <w14:schemeClr w14:val="tx1"/>
                  </w14:solidFill>
                </w14:textFill>
              </w:rPr>
              <w:t>·</w:t>
            </w:r>
          </w:p>
          <w:p w14:paraId="2FB840FC">
            <w:pPr>
              <w:keepNext w:val="0"/>
              <w:keepLines w:val="0"/>
              <w:widowControl/>
              <w:suppressLineNumbers w:val="0"/>
              <w:jc w:val="center"/>
              <w:textAlignment w:val="center"/>
              <w:rPr>
                <w:rFonts w:hint="default" w:ascii="Times New Roman" w:hAnsi="Times New Roman" w:cs="Times New Roman"/>
                <w:color w:val="FF0000"/>
                <w:highlight w:val="none"/>
                <w:lang w:val="en-US" w:eastAsia="zh-CN"/>
              </w:rPr>
            </w:pPr>
          </w:p>
          <w:p w14:paraId="7187A941">
            <w:pPr>
              <w:pStyle w:val="42"/>
              <w:ind w:firstLine="480"/>
              <w:jc w:val="both"/>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④天然气锅炉</w:t>
            </w:r>
          </w:p>
          <w:p w14:paraId="520334D7">
            <w:pPr>
              <w:pStyle w:val="42"/>
              <w:bidi w:val="0"/>
              <w:rPr>
                <w:rFonts w:hint="eastAsia" w:ascii="Times New Roman" w:hAnsi="Times New Roman" w:cs="Times New Roman"/>
                <w:color w:val="auto"/>
                <w:kern w:val="0"/>
                <w:sz w:val="24"/>
                <w:highlight w:val="none"/>
                <w:lang w:val="en-US" w:eastAsia="zh-CN" w:bidi="ar"/>
              </w:rPr>
            </w:pPr>
            <w:r>
              <w:rPr>
                <w:rFonts w:hint="eastAsia" w:ascii="Times New Roman" w:hAnsi="Times New Roman" w:cs="Times New Roman"/>
                <w:color w:val="auto"/>
                <w:kern w:val="0"/>
                <w:sz w:val="24"/>
                <w:highlight w:val="none"/>
                <w:lang w:val="en-US" w:eastAsia="zh-CN" w:bidi="ar"/>
              </w:rPr>
              <w:t>本次扩建后，原2t/h的备用锅炉转换为在用锅炉，因此锅炉总运行规模为5.0t/h，2台锅炉已于2024年12月完成超低排放改造，氮氧化物设计排放浓度≤30mg/m³。</w:t>
            </w:r>
          </w:p>
          <w:p w14:paraId="3A9EAB42">
            <w:pPr>
              <w:pStyle w:val="42"/>
              <w:bidi w:val="0"/>
              <w:rPr>
                <w:rFonts w:hint="default" w:ascii="Times New Roman" w:hAnsi="Times New Roman" w:cs="Times New Roman"/>
                <w:color w:val="auto"/>
                <w:lang w:val="en-US" w:eastAsia="zh-CN"/>
              </w:rPr>
            </w:pPr>
            <w:r>
              <w:rPr>
                <w:rFonts w:hint="eastAsia" w:ascii="Times New Roman" w:hAnsi="Times New Roman" w:cs="Times New Roman"/>
                <w:color w:val="auto"/>
                <w:kern w:val="0"/>
                <w:sz w:val="24"/>
                <w:highlight w:val="none"/>
                <w:lang w:val="en-US" w:eastAsia="zh-CN" w:bidi="ar"/>
              </w:rPr>
              <w:t>本项目</w:t>
            </w:r>
            <w:r>
              <w:rPr>
                <w:rFonts w:hint="default" w:ascii="Times New Roman" w:hAnsi="Times New Roman" w:cs="Times New Roman"/>
                <w:color w:val="auto"/>
                <w:kern w:val="0"/>
                <w:sz w:val="24"/>
                <w:highlight w:val="none"/>
                <w:lang w:val="en-US" w:eastAsia="zh-CN" w:bidi="ar"/>
              </w:rPr>
              <w:t>颗粒物</w:t>
            </w:r>
            <w:r>
              <w:rPr>
                <w:rFonts w:hint="eastAsia" w:ascii="Times New Roman" w:hAnsi="Times New Roman" w:cs="Times New Roman"/>
                <w:color w:val="auto"/>
                <w:kern w:val="0"/>
                <w:sz w:val="24"/>
                <w:highlight w:val="none"/>
                <w:lang w:val="en-US" w:eastAsia="zh-CN" w:bidi="ar"/>
              </w:rPr>
              <w:t>、氮氧化物、二氧化硫排污情况</w:t>
            </w:r>
            <w:r>
              <w:rPr>
                <w:rFonts w:hint="default" w:ascii="Times New Roman" w:hAnsi="Times New Roman" w:cs="Times New Roman"/>
                <w:color w:val="auto"/>
                <w:kern w:val="0"/>
                <w:sz w:val="24"/>
                <w:highlight w:val="none"/>
                <w:lang w:val="en-US" w:eastAsia="zh-CN" w:bidi="ar"/>
              </w:rPr>
              <w:t>参考现状锅炉（</w:t>
            </w:r>
            <w:r>
              <w:rPr>
                <w:rFonts w:hint="eastAsia" w:ascii="Times New Roman" w:hAnsi="Times New Roman" w:cs="Times New Roman"/>
                <w:color w:val="auto"/>
                <w:kern w:val="0"/>
                <w:sz w:val="24"/>
                <w:highlight w:val="none"/>
                <w:lang w:val="en-US" w:eastAsia="zh-CN" w:bidi="ar"/>
              </w:rPr>
              <w:t>3</w:t>
            </w:r>
            <w:r>
              <w:rPr>
                <w:rFonts w:hint="default" w:ascii="Times New Roman" w:hAnsi="Times New Roman" w:cs="Times New Roman"/>
                <w:color w:val="auto"/>
                <w:kern w:val="0"/>
                <w:sz w:val="24"/>
                <w:highlight w:val="none"/>
                <w:lang w:val="en-US" w:eastAsia="zh-CN" w:bidi="ar"/>
              </w:rPr>
              <w:t>.0t/h）例行监测数据，按生产能力系数扩大后</w:t>
            </w:r>
            <w:r>
              <w:rPr>
                <w:rFonts w:hint="eastAsia" w:ascii="Times New Roman" w:hAnsi="Times New Roman" w:cs="Times New Roman"/>
                <w:color w:val="auto"/>
                <w:kern w:val="0"/>
                <w:sz w:val="24"/>
                <w:highlight w:val="none"/>
                <w:lang w:val="en-US" w:eastAsia="zh-CN" w:bidi="ar"/>
              </w:rPr>
              <w:t>进行</w:t>
            </w:r>
            <w:r>
              <w:rPr>
                <w:rFonts w:hint="default" w:ascii="Times New Roman" w:hAnsi="Times New Roman" w:cs="Times New Roman"/>
                <w:color w:val="auto"/>
                <w:kern w:val="0"/>
                <w:sz w:val="24"/>
                <w:highlight w:val="none"/>
                <w:lang w:val="en-US" w:eastAsia="zh-CN" w:bidi="ar"/>
              </w:rPr>
              <w:t>取值</w:t>
            </w:r>
            <w:r>
              <w:rPr>
                <w:rFonts w:hint="default" w:ascii="Times New Roman" w:hAnsi="Times New Roman" w:cs="Times New Roman"/>
                <w:color w:val="auto"/>
                <w:lang w:val="en-US" w:eastAsia="zh-CN"/>
              </w:rPr>
              <w:t>。本项目锅炉年运行约6000h，年消耗天然气约</w:t>
            </w:r>
            <w:r>
              <w:rPr>
                <w:rFonts w:hint="eastAsia" w:ascii="Times New Roman" w:hAnsi="Times New Roman" w:cs="Times New Roman"/>
                <w:color w:val="auto"/>
                <w:lang w:val="en-US" w:eastAsia="zh-CN"/>
              </w:rPr>
              <w:t>300</w:t>
            </w:r>
            <w:r>
              <w:rPr>
                <w:rFonts w:hint="default" w:ascii="Times New Roman" w:hAnsi="Times New Roman" w:cs="Times New Roman"/>
                <w:color w:val="auto"/>
                <w:lang w:val="en-US" w:eastAsia="zh-CN"/>
              </w:rPr>
              <w:t>万m³。</w:t>
            </w:r>
          </w:p>
          <w:p w14:paraId="3C60723D">
            <w:pPr>
              <w:pStyle w:val="4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据此，本项目天然气锅炉废气排放情况如下表：</w:t>
            </w:r>
          </w:p>
          <w:p w14:paraId="041D9330">
            <w:pPr>
              <w:pStyle w:val="77"/>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eastAsia" w:cs="Times New Roman"/>
                <w:b/>
                <w:color w:val="auto"/>
                <w:sz w:val="24"/>
                <w:highlight w:val="none"/>
                <w:lang w:val="en-US" w:eastAsia="zh-CN"/>
              </w:rPr>
              <w:t>6</w:t>
            </w:r>
            <w:r>
              <w:rPr>
                <w:rFonts w:hint="default" w:ascii="Times New Roman" w:hAnsi="Times New Roman" w:eastAsia="宋体" w:cs="Times New Roman"/>
                <w:b/>
                <w:color w:val="auto"/>
                <w:sz w:val="24"/>
                <w:highlight w:val="none"/>
              </w:rPr>
              <w:t xml:space="preserve"> 天然气锅炉废气排放表</w:t>
            </w:r>
          </w:p>
          <w:tbl>
            <w:tblPr>
              <w:tblStyle w:val="23"/>
              <w:tblW w:w="836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45"/>
              <w:gridCol w:w="1225"/>
              <w:gridCol w:w="988"/>
              <w:gridCol w:w="1091"/>
              <w:gridCol w:w="1142"/>
              <w:gridCol w:w="967"/>
              <w:gridCol w:w="900"/>
              <w:gridCol w:w="904"/>
            </w:tblGrid>
            <w:tr w14:paraId="52333B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370" w:type="dxa"/>
                  <w:gridSpan w:val="2"/>
                  <w:tcBorders>
                    <w:tl2br w:val="nil"/>
                    <w:tr2bl w:val="nil"/>
                  </w:tcBorders>
                  <w:shd w:val="clear" w:color="auto" w:fill="auto"/>
                  <w:noWrap/>
                  <w:vAlign w:val="center"/>
                </w:tcPr>
                <w:p w14:paraId="4F2BD79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现有项目实测数据</w:t>
                  </w:r>
                </w:p>
              </w:tc>
              <w:tc>
                <w:tcPr>
                  <w:tcW w:w="5992" w:type="dxa"/>
                  <w:gridSpan w:val="6"/>
                  <w:tcBorders>
                    <w:tl2br w:val="nil"/>
                    <w:tr2bl w:val="nil"/>
                  </w:tcBorders>
                  <w:shd w:val="clear" w:color="auto" w:fill="auto"/>
                  <w:noWrap/>
                  <w:vAlign w:val="center"/>
                </w:tcPr>
                <w:p w14:paraId="4F1597B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扩建后产排污情况</w:t>
                  </w:r>
                </w:p>
              </w:tc>
            </w:tr>
            <w:tr w14:paraId="2A7A36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1145" w:type="dxa"/>
                  <w:tcBorders>
                    <w:tl2br w:val="nil"/>
                    <w:tr2bl w:val="nil"/>
                  </w:tcBorders>
                  <w:shd w:val="clear" w:color="auto" w:fill="auto"/>
                  <w:noWrap/>
                  <w:vAlign w:val="center"/>
                </w:tcPr>
                <w:p w14:paraId="1273E7F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污染物</w:t>
                  </w:r>
                </w:p>
              </w:tc>
              <w:tc>
                <w:tcPr>
                  <w:tcW w:w="1225" w:type="dxa"/>
                  <w:tcBorders>
                    <w:tl2br w:val="nil"/>
                    <w:tr2bl w:val="nil"/>
                  </w:tcBorders>
                  <w:shd w:val="clear" w:color="auto" w:fill="auto"/>
                  <w:noWrap/>
                  <w:vAlign w:val="center"/>
                </w:tcPr>
                <w:p w14:paraId="687C23E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产生速率kg/h</w:t>
                  </w:r>
                </w:p>
              </w:tc>
              <w:tc>
                <w:tcPr>
                  <w:tcW w:w="988" w:type="dxa"/>
                  <w:tcBorders>
                    <w:tl2br w:val="nil"/>
                    <w:tr2bl w:val="nil"/>
                  </w:tcBorders>
                  <w:shd w:val="clear" w:color="auto" w:fill="auto"/>
                  <w:noWrap/>
                  <w:vAlign w:val="center"/>
                </w:tcPr>
                <w:p w14:paraId="122E659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产能换算系数</w:t>
                  </w:r>
                </w:p>
              </w:tc>
              <w:tc>
                <w:tcPr>
                  <w:tcW w:w="1091" w:type="dxa"/>
                  <w:tcBorders>
                    <w:tl2br w:val="nil"/>
                    <w:tr2bl w:val="nil"/>
                  </w:tcBorders>
                  <w:shd w:val="clear" w:color="auto" w:fill="auto"/>
                  <w:noWrap/>
                  <w:vAlign w:val="center"/>
                </w:tcPr>
                <w:p w14:paraId="72E0C1A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产生速率kg/h</w:t>
                  </w:r>
                </w:p>
              </w:tc>
              <w:tc>
                <w:tcPr>
                  <w:tcW w:w="1142" w:type="dxa"/>
                  <w:tcBorders>
                    <w:tl2br w:val="nil"/>
                    <w:tr2bl w:val="nil"/>
                  </w:tcBorders>
                  <w:shd w:val="clear" w:color="auto" w:fill="auto"/>
                  <w:noWrap/>
                  <w:vAlign w:val="center"/>
                </w:tcPr>
                <w:p w14:paraId="5464DEE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排气量</w:t>
                  </w:r>
                </w:p>
                <w:p w14:paraId="725A710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snapToGrid w:val="0"/>
                      <w:color w:val="auto"/>
                      <w:sz w:val="21"/>
                      <w:szCs w:val="21"/>
                      <w:highlight w:val="none"/>
                      <w:lang w:val="en-US" w:eastAsia="zh-CN"/>
                    </w:rPr>
                    <w:t>m³/h</w:t>
                  </w:r>
                </w:p>
              </w:tc>
              <w:tc>
                <w:tcPr>
                  <w:tcW w:w="967" w:type="dxa"/>
                  <w:tcBorders>
                    <w:tl2br w:val="nil"/>
                    <w:tr2bl w:val="nil"/>
                  </w:tcBorders>
                  <w:shd w:val="clear" w:color="auto" w:fill="auto"/>
                  <w:noWrap/>
                  <w:vAlign w:val="center"/>
                </w:tcPr>
                <w:p w14:paraId="0C7B79A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排放速率kg/h</w:t>
                  </w:r>
                </w:p>
              </w:tc>
              <w:tc>
                <w:tcPr>
                  <w:tcW w:w="900" w:type="dxa"/>
                  <w:tcBorders>
                    <w:tl2br w:val="nil"/>
                    <w:tr2bl w:val="nil"/>
                  </w:tcBorders>
                  <w:shd w:val="clear" w:color="auto" w:fill="auto"/>
                  <w:noWrap/>
                  <w:vAlign w:val="center"/>
                </w:tcPr>
                <w:p w14:paraId="0DFC42B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排放浓度mg/m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04" w:type="dxa"/>
                  <w:tcBorders>
                    <w:tl2br w:val="nil"/>
                    <w:tr2bl w:val="nil"/>
                  </w:tcBorders>
                  <w:shd w:val="clear" w:color="auto" w:fill="auto"/>
                  <w:noWrap/>
                  <w:vAlign w:val="center"/>
                </w:tcPr>
                <w:p w14:paraId="554B8F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排放量（t/a）</w:t>
                  </w:r>
                </w:p>
              </w:tc>
            </w:tr>
            <w:tr w14:paraId="61FA13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8" w:hRule="atLeast"/>
                <w:jc w:val="center"/>
              </w:trPr>
              <w:tc>
                <w:tcPr>
                  <w:tcW w:w="1145" w:type="dxa"/>
                  <w:tcBorders>
                    <w:tl2br w:val="nil"/>
                    <w:tr2bl w:val="nil"/>
                  </w:tcBorders>
                  <w:shd w:val="clear" w:color="auto" w:fill="auto"/>
                  <w:noWrap/>
                  <w:vAlign w:val="center"/>
                </w:tcPr>
                <w:p w14:paraId="75CDDE0E">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二氧化硫</w:t>
                  </w:r>
                </w:p>
              </w:tc>
              <w:tc>
                <w:tcPr>
                  <w:tcW w:w="1225" w:type="dxa"/>
                  <w:tcBorders>
                    <w:tl2br w:val="nil"/>
                    <w:tr2bl w:val="nil"/>
                  </w:tcBorders>
                  <w:shd w:val="clear" w:color="auto" w:fill="auto"/>
                  <w:noWrap/>
                  <w:vAlign w:val="center"/>
                </w:tcPr>
                <w:p w14:paraId="1FBEB9EF">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988" w:type="dxa"/>
                  <w:tcBorders>
                    <w:tl2br w:val="nil"/>
                    <w:tr2bl w:val="nil"/>
                  </w:tcBorders>
                  <w:shd w:val="clear" w:color="auto" w:fill="auto"/>
                  <w:noWrap/>
                  <w:vAlign w:val="center"/>
                </w:tcPr>
                <w:p w14:paraId="658BBC79">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1091" w:type="dxa"/>
                  <w:tcBorders>
                    <w:tl2br w:val="nil"/>
                    <w:tr2bl w:val="nil"/>
                  </w:tcBorders>
                  <w:shd w:val="clear" w:color="auto" w:fill="auto"/>
                  <w:noWrap/>
                  <w:vAlign w:val="center"/>
                </w:tcPr>
                <w:p w14:paraId="16B6620B">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1142" w:type="dxa"/>
                  <w:tcBorders>
                    <w:tl2br w:val="nil"/>
                    <w:tr2bl w:val="nil"/>
                  </w:tcBorders>
                  <w:shd w:val="clear" w:color="auto" w:fill="auto"/>
                  <w:noWrap/>
                  <w:vAlign w:val="center"/>
                </w:tcPr>
                <w:p w14:paraId="279A0C17">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967" w:type="dxa"/>
                  <w:tcBorders>
                    <w:tl2br w:val="nil"/>
                    <w:tr2bl w:val="nil"/>
                  </w:tcBorders>
                  <w:shd w:val="clear" w:color="auto" w:fill="auto"/>
                  <w:noWrap/>
                  <w:vAlign w:val="center"/>
                </w:tcPr>
                <w:p w14:paraId="5711139E">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900" w:type="dxa"/>
                  <w:tcBorders>
                    <w:tl2br w:val="nil"/>
                    <w:tr2bl w:val="nil"/>
                  </w:tcBorders>
                  <w:shd w:val="clear" w:color="auto" w:fill="auto"/>
                  <w:noWrap/>
                  <w:vAlign w:val="center"/>
                </w:tcPr>
                <w:p w14:paraId="340A2D6B">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904" w:type="dxa"/>
                  <w:tcBorders>
                    <w:tl2br w:val="nil"/>
                    <w:tr2bl w:val="nil"/>
                  </w:tcBorders>
                  <w:shd w:val="clear" w:color="auto" w:fill="auto"/>
                  <w:noWrap/>
                  <w:vAlign w:val="center"/>
                </w:tcPr>
                <w:p w14:paraId="1D47804D">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r>
            <w:tr w14:paraId="78ECB7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8" w:hRule="atLeast"/>
                <w:jc w:val="center"/>
              </w:trPr>
              <w:tc>
                <w:tcPr>
                  <w:tcW w:w="1145" w:type="dxa"/>
                  <w:tcBorders>
                    <w:tl2br w:val="nil"/>
                    <w:tr2bl w:val="nil"/>
                  </w:tcBorders>
                  <w:shd w:val="clear" w:color="auto" w:fill="auto"/>
                  <w:noWrap/>
                  <w:vAlign w:val="center"/>
                </w:tcPr>
                <w:p w14:paraId="4605EC5C">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氮氧化物</w:t>
                  </w:r>
                </w:p>
              </w:tc>
              <w:tc>
                <w:tcPr>
                  <w:tcW w:w="1225" w:type="dxa"/>
                  <w:tcBorders>
                    <w:tl2br w:val="nil"/>
                    <w:tr2bl w:val="nil"/>
                  </w:tcBorders>
                  <w:shd w:val="clear" w:color="auto" w:fill="auto"/>
                  <w:noWrap/>
                  <w:vAlign w:val="center"/>
                </w:tcPr>
                <w:p w14:paraId="10AD260C">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988" w:type="dxa"/>
                  <w:tcBorders>
                    <w:tl2br w:val="nil"/>
                    <w:tr2bl w:val="nil"/>
                  </w:tcBorders>
                  <w:shd w:val="clear" w:color="auto" w:fill="auto"/>
                  <w:noWrap/>
                  <w:vAlign w:val="center"/>
                </w:tcPr>
                <w:p w14:paraId="41D90FFB">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1091" w:type="dxa"/>
                  <w:tcBorders>
                    <w:tl2br w:val="nil"/>
                    <w:tr2bl w:val="nil"/>
                  </w:tcBorders>
                  <w:shd w:val="clear" w:color="auto" w:fill="auto"/>
                  <w:noWrap/>
                  <w:vAlign w:val="center"/>
                </w:tcPr>
                <w:p w14:paraId="71580AE8">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1142" w:type="dxa"/>
                  <w:tcBorders>
                    <w:tl2br w:val="nil"/>
                    <w:tr2bl w:val="nil"/>
                  </w:tcBorders>
                  <w:shd w:val="clear" w:color="auto" w:fill="auto"/>
                  <w:noWrap/>
                  <w:vAlign w:val="center"/>
                </w:tcPr>
                <w:p w14:paraId="4E4135B9">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967" w:type="dxa"/>
                  <w:tcBorders>
                    <w:tl2br w:val="nil"/>
                    <w:tr2bl w:val="nil"/>
                  </w:tcBorders>
                  <w:shd w:val="clear" w:color="auto" w:fill="auto"/>
                  <w:noWrap/>
                  <w:vAlign w:val="center"/>
                </w:tcPr>
                <w:p w14:paraId="6710FA43">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900" w:type="dxa"/>
                  <w:tcBorders>
                    <w:tl2br w:val="nil"/>
                    <w:tr2bl w:val="nil"/>
                  </w:tcBorders>
                  <w:shd w:val="clear" w:color="auto" w:fill="auto"/>
                  <w:noWrap/>
                  <w:vAlign w:val="center"/>
                </w:tcPr>
                <w:p w14:paraId="2E4B6B13">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904" w:type="dxa"/>
                  <w:tcBorders>
                    <w:tl2br w:val="nil"/>
                    <w:tr2bl w:val="nil"/>
                  </w:tcBorders>
                  <w:shd w:val="clear" w:color="auto" w:fill="auto"/>
                  <w:noWrap/>
                  <w:vAlign w:val="center"/>
                </w:tcPr>
                <w:p w14:paraId="1EB636F0">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r>
            <w:tr w14:paraId="412C7E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1145" w:type="dxa"/>
                  <w:tcBorders>
                    <w:tl2br w:val="nil"/>
                    <w:tr2bl w:val="nil"/>
                  </w:tcBorders>
                  <w:shd w:val="clear" w:color="auto" w:fill="auto"/>
                  <w:noWrap/>
                  <w:vAlign w:val="center"/>
                </w:tcPr>
                <w:p w14:paraId="01126B0C">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颗粒物</w:t>
                  </w:r>
                </w:p>
              </w:tc>
              <w:tc>
                <w:tcPr>
                  <w:tcW w:w="1225" w:type="dxa"/>
                  <w:tcBorders>
                    <w:tl2br w:val="nil"/>
                    <w:tr2bl w:val="nil"/>
                  </w:tcBorders>
                  <w:shd w:val="clear" w:color="auto" w:fill="auto"/>
                  <w:noWrap/>
                  <w:vAlign w:val="center"/>
                </w:tcPr>
                <w:p w14:paraId="5451BD7C">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988" w:type="dxa"/>
                  <w:tcBorders>
                    <w:tl2br w:val="nil"/>
                    <w:tr2bl w:val="nil"/>
                  </w:tcBorders>
                  <w:shd w:val="clear" w:color="auto" w:fill="auto"/>
                  <w:noWrap/>
                  <w:vAlign w:val="center"/>
                </w:tcPr>
                <w:p w14:paraId="0A2501D7">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1091" w:type="dxa"/>
                  <w:tcBorders>
                    <w:tl2br w:val="nil"/>
                    <w:tr2bl w:val="nil"/>
                  </w:tcBorders>
                  <w:shd w:val="clear" w:color="auto" w:fill="auto"/>
                  <w:noWrap/>
                  <w:vAlign w:val="center"/>
                </w:tcPr>
                <w:p w14:paraId="61E07610">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1142" w:type="dxa"/>
                  <w:tcBorders>
                    <w:tl2br w:val="nil"/>
                    <w:tr2bl w:val="nil"/>
                  </w:tcBorders>
                  <w:shd w:val="clear" w:color="auto" w:fill="auto"/>
                  <w:noWrap/>
                  <w:vAlign w:val="center"/>
                </w:tcPr>
                <w:p w14:paraId="1F8F47F2">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967" w:type="dxa"/>
                  <w:tcBorders>
                    <w:tl2br w:val="nil"/>
                    <w:tr2bl w:val="nil"/>
                  </w:tcBorders>
                  <w:shd w:val="clear" w:color="auto" w:fill="auto"/>
                  <w:noWrap/>
                  <w:vAlign w:val="center"/>
                </w:tcPr>
                <w:p w14:paraId="132F0D37">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900" w:type="dxa"/>
                  <w:tcBorders>
                    <w:tl2br w:val="nil"/>
                    <w:tr2bl w:val="nil"/>
                  </w:tcBorders>
                  <w:shd w:val="clear" w:color="auto" w:fill="auto"/>
                  <w:noWrap/>
                  <w:vAlign w:val="center"/>
                </w:tcPr>
                <w:p w14:paraId="7C7A1F98">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904" w:type="dxa"/>
                  <w:tcBorders>
                    <w:tl2br w:val="nil"/>
                    <w:tr2bl w:val="nil"/>
                  </w:tcBorders>
                  <w:shd w:val="clear" w:color="auto" w:fill="auto"/>
                  <w:noWrap/>
                  <w:vAlign w:val="center"/>
                </w:tcPr>
                <w:p w14:paraId="5E485F23">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r>
          </w:tbl>
          <w:p w14:paraId="78FE5804">
            <w:pPr>
              <w:pStyle w:val="42"/>
              <w:bidi w:val="0"/>
              <w:rPr>
                <w:rFonts w:hint="default" w:ascii="Times New Roman" w:hAnsi="Times New Roman" w:cs="Times New Roman"/>
                <w:color w:val="auto"/>
                <w:highlight w:val="none"/>
                <w:lang w:val="en-US" w:eastAsia="zh-CN"/>
              </w:rPr>
            </w:pPr>
          </w:p>
          <w:p w14:paraId="3E9698A2">
            <w:pPr>
              <w:pStyle w:val="22"/>
              <w:keepNext w:val="0"/>
              <w:keepLines w:val="0"/>
              <w:pageBreakBefore w:val="0"/>
              <w:widowControl w:val="0"/>
              <w:kinsoku/>
              <w:wordWrap/>
              <w:overflowPunct/>
              <w:topLinePunct w:val="0"/>
              <w:autoSpaceDE/>
              <w:autoSpaceDN/>
              <w:bidi w:val="0"/>
              <w:adjustRightInd/>
              <w:snapToGrid/>
              <w:spacing w:after="0" w:line="420" w:lineRule="auto"/>
              <w:ind w:left="0" w:leftChars="0" w:firstLine="420" w:firstLineChars="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w:t>
            </w:r>
            <w:r>
              <w:rPr>
                <w:rFonts w:hint="eastAsia" w:cs="Times New Roman"/>
                <w:b/>
                <w:bCs/>
                <w:color w:val="auto"/>
                <w:highlight w:val="none"/>
                <w:lang w:val="en-US" w:eastAsia="zh-CN"/>
              </w:rPr>
              <w:t>2</w:t>
            </w:r>
            <w:r>
              <w:rPr>
                <w:rFonts w:hint="default" w:ascii="Times New Roman" w:hAnsi="Times New Roman" w:cs="Times New Roman"/>
                <w:b/>
                <w:bCs/>
                <w:color w:val="auto"/>
                <w:highlight w:val="none"/>
                <w:lang w:val="en-US" w:eastAsia="zh-CN"/>
              </w:rPr>
              <w:t>）废气排放汇总</w:t>
            </w:r>
          </w:p>
          <w:p w14:paraId="12EA1E20">
            <w:pPr>
              <w:spacing w:line="420" w:lineRule="auto"/>
              <w:ind w:firstLine="508" w:firstLineChars="212"/>
              <w:rPr>
                <w:rFonts w:hint="default" w:ascii="Times New Roman" w:hAnsi="Times New Roman" w:cs="Times New Roman"/>
                <w:snapToGrid w:val="0"/>
                <w:color w:val="auto"/>
                <w:kern w:val="0"/>
                <w:sz w:val="24"/>
                <w:szCs w:val="22"/>
                <w:highlight w:val="none"/>
              </w:rPr>
            </w:pPr>
            <w:r>
              <w:rPr>
                <w:rFonts w:hint="default" w:ascii="Times New Roman" w:hAnsi="Times New Roman" w:cs="Times New Roman"/>
                <w:snapToGrid w:val="0"/>
                <w:color w:val="auto"/>
                <w:kern w:val="0"/>
                <w:sz w:val="24"/>
                <w:szCs w:val="22"/>
                <w:highlight w:val="none"/>
              </w:rPr>
              <w:t>本项目主要废气产生及治理后的排放信息如下：</w:t>
            </w:r>
          </w:p>
          <w:p w14:paraId="4709A0A3">
            <w:pPr>
              <w:pStyle w:val="43"/>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t>废气污染源产生及治理信息表</w:t>
            </w:r>
          </w:p>
          <w:tbl>
            <w:tblPr>
              <w:tblStyle w:val="23"/>
              <w:tblW w:w="82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30"/>
              <w:gridCol w:w="1093"/>
              <w:gridCol w:w="1095"/>
              <w:gridCol w:w="1174"/>
              <w:gridCol w:w="1388"/>
              <w:gridCol w:w="1092"/>
              <w:gridCol w:w="1046"/>
            </w:tblGrid>
            <w:tr w14:paraId="157E76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1330" w:type="dxa"/>
                  <w:vMerge w:val="restart"/>
                  <w:noWrap w:val="0"/>
                  <w:vAlign w:val="center"/>
                </w:tcPr>
                <w:p w14:paraId="223E2A19">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污染源</w:t>
                  </w:r>
                </w:p>
              </w:tc>
              <w:tc>
                <w:tcPr>
                  <w:tcW w:w="1093" w:type="dxa"/>
                  <w:vMerge w:val="restart"/>
                  <w:noWrap w:val="0"/>
                  <w:vAlign w:val="center"/>
                </w:tcPr>
                <w:p w14:paraId="1F521C3A">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污染物</w:t>
                  </w:r>
                  <w:r>
                    <w:rPr>
                      <w:rStyle w:val="45"/>
                      <w:rFonts w:hint="default" w:ascii="Times New Roman" w:hAnsi="Times New Roman" w:cs="Times New Roman"/>
                      <w:color w:val="auto"/>
                      <w:sz w:val="21"/>
                      <w:szCs w:val="21"/>
                      <w:highlight w:val="none"/>
                      <w:lang w:bidi="ar"/>
                    </w:rPr>
                    <w:t>种类</w:t>
                  </w:r>
                </w:p>
              </w:tc>
              <w:tc>
                <w:tcPr>
                  <w:tcW w:w="1095" w:type="dxa"/>
                  <w:vMerge w:val="restart"/>
                  <w:noWrap w:val="0"/>
                  <w:vAlign w:val="center"/>
                </w:tcPr>
                <w:p w14:paraId="54F812E6">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排放形式</w:t>
                  </w:r>
                </w:p>
              </w:tc>
              <w:tc>
                <w:tcPr>
                  <w:tcW w:w="4700" w:type="dxa"/>
                  <w:gridSpan w:val="4"/>
                  <w:noWrap w:val="0"/>
                  <w:vAlign w:val="center"/>
                </w:tcPr>
                <w:p w14:paraId="17418468">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处理设施信息</w:t>
                  </w:r>
                </w:p>
              </w:tc>
            </w:tr>
            <w:tr w14:paraId="45D07E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1330" w:type="dxa"/>
                  <w:vMerge w:val="continue"/>
                  <w:noWrap w:val="0"/>
                  <w:vAlign w:val="center"/>
                </w:tcPr>
                <w:p w14:paraId="1893C894">
                  <w:pPr>
                    <w:jc w:val="center"/>
                    <w:rPr>
                      <w:rFonts w:hint="default" w:ascii="Times New Roman" w:hAnsi="Times New Roman" w:cs="Times New Roman"/>
                      <w:b/>
                      <w:bCs/>
                      <w:color w:val="auto"/>
                      <w:szCs w:val="21"/>
                      <w:highlight w:val="none"/>
                    </w:rPr>
                  </w:pPr>
                </w:p>
              </w:tc>
              <w:tc>
                <w:tcPr>
                  <w:tcW w:w="1093" w:type="dxa"/>
                  <w:vMerge w:val="continue"/>
                  <w:noWrap w:val="0"/>
                  <w:vAlign w:val="center"/>
                </w:tcPr>
                <w:p w14:paraId="61F45A85">
                  <w:pPr>
                    <w:jc w:val="center"/>
                    <w:rPr>
                      <w:rFonts w:hint="default" w:ascii="Times New Roman" w:hAnsi="Times New Roman" w:cs="Times New Roman"/>
                      <w:b/>
                      <w:bCs/>
                      <w:color w:val="auto"/>
                      <w:szCs w:val="21"/>
                      <w:highlight w:val="none"/>
                    </w:rPr>
                  </w:pPr>
                </w:p>
              </w:tc>
              <w:tc>
                <w:tcPr>
                  <w:tcW w:w="1095" w:type="dxa"/>
                  <w:vMerge w:val="continue"/>
                  <w:noWrap w:val="0"/>
                  <w:vAlign w:val="center"/>
                </w:tcPr>
                <w:p w14:paraId="6188C96E">
                  <w:pPr>
                    <w:jc w:val="center"/>
                    <w:rPr>
                      <w:rFonts w:hint="default" w:ascii="Times New Roman" w:hAnsi="Times New Roman" w:cs="Times New Roman"/>
                      <w:b/>
                      <w:bCs/>
                      <w:color w:val="auto"/>
                      <w:szCs w:val="21"/>
                      <w:highlight w:val="none"/>
                    </w:rPr>
                  </w:pPr>
                </w:p>
              </w:tc>
              <w:tc>
                <w:tcPr>
                  <w:tcW w:w="1174" w:type="dxa"/>
                  <w:noWrap w:val="0"/>
                  <w:vAlign w:val="center"/>
                </w:tcPr>
                <w:p w14:paraId="743B3456">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收集效率</w:t>
                  </w:r>
                </w:p>
              </w:tc>
              <w:tc>
                <w:tcPr>
                  <w:tcW w:w="1388" w:type="dxa"/>
                  <w:noWrap w:val="0"/>
                  <w:vAlign w:val="center"/>
                </w:tcPr>
                <w:p w14:paraId="1C73BB8B">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治理工艺</w:t>
                  </w:r>
                </w:p>
              </w:tc>
              <w:tc>
                <w:tcPr>
                  <w:tcW w:w="1092" w:type="dxa"/>
                  <w:noWrap w:val="0"/>
                  <w:vAlign w:val="center"/>
                </w:tcPr>
                <w:p w14:paraId="5CE15429">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处理效率</w:t>
                  </w:r>
                </w:p>
              </w:tc>
              <w:tc>
                <w:tcPr>
                  <w:tcW w:w="1046" w:type="dxa"/>
                  <w:noWrap w:val="0"/>
                  <w:vAlign w:val="center"/>
                </w:tcPr>
                <w:p w14:paraId="3E2497D5">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是否为可行技术</w:t>
                  </w:r>
                </w:p>
              </w:tc>
            </w:tr>
            <w:tr w14:paraId="7F1CF6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1330" w:type="dxa"/>
                  <w:vMerge w:val="restart"/>
                  <w:noWrap w:val="0"/>
                  <w:vAlign w:val="center"/>
                </w:tcPr>
                <w:p w14:paraId="256E0FC7">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上料及</w:t>
                  </w:r>
                </w:p>
                <w:p w14:paraId="13B69030">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炼胶</w:t>
                  </w:r>
                </w:p>
              </w:tc>
              <w:tc>
                <w:tcPr>
                  <w:tcW w:w="1093" w:type="dxa"/>
                  <w:noWrap w:val="0"/>
                  <w:vAlign w:val="center"/>
                </w:tcPr>
                <w:p w14:paraId="7A23A53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颗粒物</w:t>
                  </w:r>
                </w:p>
              </w:tc>
              <w:tc>
                <w:tcPr>
                  <w:tcW w:w="1095" w:type="dxa"/>
                  <w:noWrap/>
                  <w:vAlign w:val="center"/>
                </w:tcPr>
                <w:p w14:paraId="4EDF1096">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有</w:t>
                  </w:r>
                  <w:r>
                    <w:rPr>
                      <w:rFonts w:hint="default" w:ascii="Times New Roman" w:hAnsi="Times New Roman" w:cs="Times New Roman"/>
                      <w:color w:val="auto"/>
                      <w:kern w:val="0"/>
                      <w:szCs w:val="21"/>
                      <w:highlight w:val="none"/>
                      <w:lang w:bidi="ar"/>
                    </w:rPr>
                    <w:t>组织</w:t>
                  </w:r>
                  <w:r>
                    <w:rPr>
                      <w:rFonts w:hint="eastAsia" w:ascii="Times New Roman" w:hAnsi="Times New Roman" w:cs="Times New Roman"/>
                      <w:color w:val="auto"/>
                      <w:kern w:val="0"/>
                      <w:szCs w:val="21"/>
                      <w:highlight w:val="none"/>
                      <w:lang w:val="en-US" w:eastAsia="zh-CN" w:bidi="ar"/>
                    </w:rPr>
                    <w:t>/</w:t>
                  </w:r>
                  <w:r>
                    <w:rPr>
                      <w:rFonts w:hint="default" w:ascii="Times New Roman" w:hAnsi="Times New Roman" w:cs="Times New Roman"/>
                      <w:color w:val="auto"/>
                      <w:kern w:val="0"/>
                      <w:szCs w:val="21"/>
                      <w:highlight w:val="none"/>
                      <w:lang w:bidi="ar"/>
                    </w:rPr>
                    <w:t>无组织</w:t>
                  </w:r>
                </w:p>
              </w:tc>
              <w:tc>
                <w:tcPr>
                  <w:tcW w:w="1174" w:type="dxa"/>
                  <w:noWrap w:val="0"/>
                  <w:vAlign w:val="center"/>
                </w:tcPr>
                <w:p w14:paraId="2D7EFF65">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95%</w:t>
                  </w:r>
                </w:p>
              </w:tc>
              <w:tc>
                <w:tcPr>
                  <w:tcW w:w="1388" w:type="dxa"/>
                  <w:noWrap w:val="0"/>
                  <w:vAlign w:val="center"/>
                </w:tcPr>
                <w:p w14:paraId="1AC6146B">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袋式除尘</w:t>
                  </w:r>
                </w:p>
              </w:tc>
              <w:tc>
                <w:tcPr>
                  <w:tcW w:w="1092" w:type="dxa"/>
                  <w:noWrap w:val="0"/>
                  <w:vAlign w:val="center"/>
                </w:tcPr>
                <w:p w14:paraId="6B646465">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96%</w:t>
                  </w:r>
                </w:p>
              </w:tc>
              <w:tc>
                <w:tcPr>
                  <w:tcW w:w="1046" w:type="dxa"/>
                  <w:noWrap w:val="0"/>
                  <w:vAlign w:val="center"/>
                </w:tcPr>
                <w:p w14:paraId="6B5FB3A1">
                  <w:pPr>
                    <w:widowControl/>
                    <w:jc w:val="center"/>
                    <w:textAlignment w:val="center"/>
                    <w:rPr>
                      <w:rFonts w:hint="eastAsia" w:ascii="Times New Roman" w:hAnsi="Times New Roman" w:eastAsia="宋体" w:cs="Times New Roman"/>
                      <w:color w:val="auto"/>
                      <w:kern w:val="0"/>
                      <w:szCs w:val="21"/>
                      <w:highlight w:val="none"/>
                      <w:lang w:eastAsia="zh-CN" w:bidi="ar"/>
                    </w:rPr>
                  </w:pPr>
                  <w:r>
                    <w:rPr>
                      <w:rFonts w:hint="default" w:ascii="Times New Roman" w:hAnsi="Times New Roman" w:cs="Times New Roman"/>
                      <w:color w:val="auto"/>
                      <w:kern w:val="0"/>
                      <w:szCs w:val="21"/>
                      <w:highlight w:val="none"/>
                      <w:lang w:bidi="ar"/>
                    </w:rPr>
                    <w:t>是</w:t>
                  </w:r>
                </w:p>
              </w:tc>
            </w:tr>
            <w:tr w14:paraId="65CD14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1330" w:type="dxa"/>
                  <w:vMerge w:val="continue"/>
                  <w:noWrap w:val="0"/>
                  <w:vAlign w:val="center"/>
                </w:tcPr>
                <w:p w14:paraId="66131BA5">
                  <w:pPr>
                    <w:widowControl/>
                    <w:jc w:val="center"/>
                    <w:textAlignment w:val="center"/>
                    <w:rPr>
                      <w:rFonts w:hint="eastAsia" w:cs="Times New Roman"/>
                      <w:color w:val="auto"/>
                      <w:kern w:val="0"/>
                      <w:szCs w:val="21"/>
                      <w:highlight w:val="none"/>
                      <w:lang w:val="en-US" w:eastAsia="zh-CN" w:bidi="ar"/>
                    </w:rPr>
                  </w:pPr>
                </w:p>
              </w:tc>
              <w:tc>
                <w:tcPr>
                  <w:tcW w:w="1093" w:type="dxa"/>
                  <w:noWrap w:val="0"/>
                  <w:vAlign w:val="center"/>
                </w:tcPr>
                <w:p w14:paraId="33A65634">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非甲烷总烃（密炼）</w:t>
                  </w:r>
                </w:p>
              </w:tc>
              <w:tc>
                <w:tcPr>
                  <w:tcW w:w="1095" w:type="dxa"/>
                  <w:noWrap/>
                  <w:vAlign w:val="center"/>
                </w:tcPr>
                <w:p w14:paraId="6B8F2799">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有</w:t>
                  </w:r>
                  <w:r>
                    <w:rPr>
                      <w:rFonts w:hint="default" w:ascii="Times New Roman" w:hAnsi="Times New Roman" w:cs="Times New Roman"/>
                      <w:color w:val="auto"/>
                      <w:kern w:val="0"/>
                      <w:szCs w:val="21"/>
                      <w:highlight w:val="none"/>
                      <w:lang w:bidi="ar"/>
                    </w:rPr>
                    <w:t>组织</w:t>
                  </w:r>
                  <w:r>
                    <w:rPr>
                      <w:rFonts w:hint="eastAsia" w:ascii="Times New Roman" w:hAnsi="Times New Roman" w:cs="Times New Roman"/>
                      <w:color w:val="auto"/>
                      <w:kern w:val="0"/>
                      <w:szCs w:val="21"/>
                      <w:highlight w:val="none"/>
                      <w:lang w:val="en-US" w:eastAsia="zh-CN" w:bidi="ar"/>
                    </w:rPr>
                    <w:t>/</w:t>
                  </w:r>
                  <w:r>
                    <w:rPr>
                      <w:rFonts w:hint="default" w:ascii="Times New Roman" w:hAnsi="Times New Roman" w:cs="Times New Roman"/>
                      <w:color w:val="auto"/>
                      <w:kern w:val="0"/>
                      <w:szCs w:val="21"/>
                      <w:highlight w:val="none"/>
                      <w:lang w:bidi="ar"/>
                    </w:rPr>
                    <w:t>无组织</w:t>
                  </w:r>
                </w:p>
              </w:tc>
              <w:tc>
                <w:tcPr>
                  <w:tcW w:w="1174" w:type="dxa"/>
                  <w:noWrap w:val="0"/>
                  <w:vAlign w:val="center"/>
                </w:tcPr>
                <w:p w14:paraId="7D1F057A">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95%</w:t>
                  </w:r>
                </w:p>
              </w:tc>
              <w:tc>
                <w:tcPr>
                  <w:tcW w:w="1388" w:type="dxa"/>
                  <w:noWrap w:val="0"/>
                  <w:vAlign w:val="center"/>
                </w:tcPr>
                <w:p w14:paraId="66850D01">
                  <w:pPr>
                    <w:widowControl/>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二级活性炭</w:t>
                  </w:r>
                </w:p>
              </w:tc>
              <w:tc>
                <w:tcPr>
                  <w:tcW w:w="1092" w:type="dxa"/>
                  <w:noWrap w:val="0"/>
                  <w:vAlign w:val="center"/>
                </w:tcPr>
                <w:p w14:paraId="7626FC61">
                  <w:pPr>
                    <w:widowControl/>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80%</w:t>
                  </w:r>
                </w:p>
              </w:tc>
              <w:tc>
                <w:tcPr>
                  <w:tcW w:w="1046" w:type="dxa"/>
                  <w:noWrap w:val="0"/>
                  <w:vAlign w:val="center"/>
                </w:tcPr>
                <w:p w14:paraId="354C515C">
                  <w:pPr>
                    <w:widowControl/>
                    <w:jc w:val="center"/>
                    <w:textAlignment w:val="center"/>
                    <w:rPr>
                      <w:rFonts w:hint="eastAsia"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bidi="ar"/>
                    </w:rPr>
                    <w:t>是</w:t>
                  </w:r>
                </w:p>
              </w:tc>
            </w:tr>
            <w:tr w14:paraId="03A6A6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1330" w:type="dxa"/>
                  <w:vMerge w:val="continue"/>
                  <w:noWrap w:val="0"/>
                  <w:vAlign w:val="center"/>
                </w:tcPr>
                <w:p w14:paraId="479A658A">
                  <w:pPr>
                    <w:widowControl/>
                    <w:jc w:val="center"/>
                    <w:textAlignment w:val="center"/>
                    <w:rPr>
                      <w:rFonts w:hint="eastAsia" w:cs="Times New Roman"/>
                      <w:color w:val="auto"/>
                      <w:kern w:val="0"/>
                      <w:szCs w:val="21"/>
                      <w:highlight w:val="none"/>
                      <w:lang w:val="en-US" w:eastAsia="zh-CN" w:bidi="ar"/>
                    </w:rPr>
                  </w:pPr>
                </w:p>
              </w:tc>
              <w:tc>
                <w:tcPr>
                  <w:tcW w:w="1093" w:type="dxa"/>
                  <w:shd w:val="clear" w:color="auto" w:fill="auto"/>
                  <w:noWrap w:val="0"/>
                  <w:vAlign w:val="center"/>
                </w:tcPr>
                <w:p w14:paraId="71C4033C">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Cs w:val="21"/>
                      <w:highlight w:val="none"/>
                      <w:lang w:val="en-US" w:eastAsia="zh-CN" w:bidi="ar"/>
                    </w:rPr>
                    <w:t>开炼非甲烷总烃（密炼）</w:t>
                  </w:r>
                </w:p>
              </w:tc>
              <w:tc>
                <w:tcPr>
                  <w:tcW w:w="1095" w:type="dxa"/>
                  <w:shd w:val="clear" w:color="auto" w:fill="auto"/>
                  <w:noWrap/>
                  <w:vAlign w:val="center"/>
                </w:tcPr>
                <w:p w14:paraId="6B7A6260">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Cs w:val="21"/>
                      <w:highlight w:val="none"/>
                      <w:lang w:val="en-US" w:eastAsia="zh-CN" w:bidi="ar"/>
                    </w:rPr>
                    <w:t>有</w:t>
                  </w:r>
                  <w:r>
                    <w:rPr>
                      <w:rFonts w:hint="default" w:ascii="Times New Roman" w:hAnsi="Times New Roman" w:cs="Times New Roman"/>
                      <w:color w:val="auto"/>
                      <w:kern w:val="0"/>
                      <w:szCs w:val="21"/>
                      <w:highlight w:val="none"/>
                      <w:lang w:bidi="ar"/>
                    </w:rPr>
                    <w:t>组织</w:t>
                  </w:r>
                  <w:r>
                    <w:rPr>
                      <w:rFonts w:hint="eastAsia" w:ascii="Times New Roman" w:hAnsi="Times New Roman" w:cs="Times New Roman"/>
                      <w:color w:val="auto"/>
                      <w:kern w:val="0"/>
                      <w:szCs w:val="21"/>
                      <w:highlight w:val="none"/>
                      <w:lang w:val="en-US" w:eastAsia="zh-CN" w:bidi="ar"/>
                    </w:rPr>
                    <w:t>/</w:t>
                  </w:r>
                  <w:r>
                    <w:rPr>
                      <w:rFonts w:hint="default" w:ascii="Times New Roman" w:hAnsi="Times New Roman" w:cs="Times New Roman"/>
                      <w:color w:val="auto"/>
                      <w:kern w:val="0"/>
                      <w:szCs w:val="21"/>
                      <w:highlight w:val="none"/>
                      <w:lang w:bidi="ar"/>
                    </w:rPr>
                    <w:t>无组织</w:t>
                  </w:r>
                </w:p>
              </w:tc>
              <w:tc>
                <w:tcPr>
                  <w:tcW w:w="1174" w:type="dxa"/>
                  <w:shd w:val="clear" w:color="auto" w:fill="auto"/>
                  <w:noWrap w:val="0"/>
                  <w:vAlign w:val="center"/>
                </w:tcPr>
                <w:p w14:paraId="34861146">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Cs w:val="21"/>
                      <w:highlight w:val="none"/>
                      <w:lang w:val="en-US" w:eastAsia="zh-CN" w:bidi="ar"/>
                    </w:rPr>
                    <w:t>80%</w:t>
                  </w:r>
                </w:p>
              </w:tc>
              <w:tc>
                <w:tcPr>
                  <w:tcW w:w="1388" w:type="dxa"/>
                  <w:shd w:val="clear" w:color="auto" w:fill="auto"/>
                  <w:noWrap w:val="0"/>
                  <w:vAlign w:val="center"/>
                </w:tcPr>
                <w:p w14:paraId="3200B977">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Cs w:val="21"/>
                      <w:highlight w:val="none"/>
                      <w:lang w:val="en-US" w:eastAsia="zh-CN" w:bidi="ar"/>
                    </w:rPr>
                    <w:t>二级活性炭</w:t>
                  </w:r>
                </w:p>
              </w:tc>
              <w:tc>
                <w:tcPr>
                  <w:tcW w:w="1092" w:type="dxa"/>
                  <w:shd w:val="clear" w:color="auto" w:fill="auto"/>
                  <w:noWrap w:val="0"/>
                  <w:vAlign w:val="center"/>
                </w:tcPr>
                <w:p w14:paraId="308134F1">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highlight w:val="none"/>
                      <w:lang w:val="en-US" w:eastAsia="zh-CN"/>
                    </w:rPr>
                    <w:t>80</w:t>
                  </w:r>
                  <w:r>
                    <w:rPr>
                      <w:rFonts w:hint="eastAsia" w:ascii="Times New Roman" w:hAnsi="Times New Roman" w:cs="Times New Roman"/>
                      <w:color w:val="auto"/>
                      <w:highlight w:val="none"/>
                      <w:lang w:val="en-US" w:eastAsia="zh-CN"/>
                    </w:rPr>
                    <w:t>%</w:t>
                  </w:r>
                </w:p>
              </w:tc>
              <w:tc>
                <w:tcPr>
                  <w:tcW w:w="1046" w:type="dxa"/>
                  <w:shd w:val="clear" w:color="auto" w:fill="auto"/>
                  <w:noWrap w:val="0"/>
                  <w:vAlign w:val="center"/>
                </w:tcPr>
                <w:p w14:paraId="0790669E">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Cs w:val="21"/>
                      <w:highlight w:val="none"/>
                      <w:lang w:bidi="ar"/>
                    </w:rPr>
                    <w:t>是</w:t>
                  </w:r>
                </w:p>
              </w:tc>
            </w:tr>
            <w:tr w14:paraId="4D3089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1330" w:type="dxa"/>
                  <w:vMerge w:val="continue"/>
                  <w:noWrap w:val="0"/>
                  <w:vAlign w:val="center"/>
                </w:tcPr>
                <w:p w14:paraId="2A35D28A">
                  <w:pPr>
                    <w:widowControl/>
                    <w:jc w:val="center"/>
                    <w:textAlignment w:val="center"/>
                    <w:rPr>
                      <w:rFonts w:hint="eastAsia" w:cs="Times New Roman"/>
                      <w:color w:val="auto"/>
                      <w:kern w:val="0"/>
                      <w:szCs w:val="21"/>
                      <w:highlight w:val="none"/>
                      <w:lang w:val="en-US" w:eastAsia="zh-CN" w:bidi="ar"/>
                    </w:rPr>
                  </w:pPr>
                </w:p>
              </w:tc>
              <w:tc>
                <w:tcPr>
                  <w:tcW w:w="1093" w:type="dxa"/>
                  <w:shd w:val="clear" w:color="auto" w:fill="auto"/>
                  <w:noWrap w:val="0"/>
                  <w:vAlign w:val="center"/>
                </w:tcPr>
                <w:p w14:paraId="310879AC">
                  <w:pPr>
                    <w:widowControl/>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二硫化碳（密炼）</w:t>
                  </w:r>
                </w:p>
              </w:tc>
              <w:tc>
                <w:tcPr>
                  <w:tcW w:w="1095" w:type="dxa"/>
                  <w:shd w:val="clear" w:color="auto" w:fill="auto"/>
                  <w:noWrap/>
                  <w:vAlign w:val="center"/>
                </w:tcPr>
                <w:p w14:paraId="0D456F6C">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有</w:t>
                  </w:r>
                  <w:r>
                    <w:rPr>
                      <w:rFonts w:hint="default" w:ascii="Times New Roman" w:hAnsi="Times New Roman" w:cs="Times New Roman"/>
                      <w:color w:val="auto"/>
                      <w:kern w:val="0"/>
                      <w:szCs w:val="21"/>
                      <w:highlight w:val="none"/>
                      <w:lang w:bidi="ar"/>
                    </w:rPr>
                    <w:t>组织</w:t>
                  </w:r>
                  <w:r>
                    <w:rPr>
                      <w:rFonts w:hint="eastAsia" w:ascii="Times New Roman" w:hAnsi="Times New Roman" w:cs="Times New Roman"/>
                      <w:color w:val="auto"/>
                      <w:kern w:val="0"/>
                      <w:szCs w:val="21"/>
                      <w:highlight w:val="none"/>
                      <w:lang w:val="en-US" w:eastAsia="zh-CN" w:bidi="ar"/>
                    </w:rPr>
                    <w:t>/</w:t>
                  </w:r>
                  <w:r>
                    <w:rPr>
                      <w:rFonts w:hint="default" w:ascii="Times New Roman" w:hAnsi="Times New Roman" w:cs="Times New Roman"/>
                      <w:color w:val="auto"/>
                      <w:kern w:val="0"/>
                      <w:szCs w:val="21"/>
                      <w:highlight w:val="none"/>
                      <w:lang w:bidi="ar"/>
                    </w:rPr>
                    <w:t>无组织</w:t>
                  </w:r>
                </w:p>
              </w:tc>
              <w:tc>
                <w:tcPr>
                  <w:tcW w:w="1174" w:type="dxa"/>
                  <w:shd w:val="clear" w:color="auto" w:fill="auto"/>
                  <w:noWrap w:val="0"/>
                  <w:vAlign w:val="center"/>
                </w:tcPr>
                <w:p w14:paraId="778D31B9">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95%</w:t>
                  </w:r>
                </w:p>
              </w:tc>
              <w:tc>
                <w:tcPr>
                  <w:tcW w:w="1388" w:type="dxa"/>
                  <w:shd w:val="clear" w:color="auto" w:fill="auto"/>
                  <w:noWrap w:val="0"/>
                  <w:vAlign w:val="center"/>
                </w:tcPr>
                <w:p w14:paraId="17549748">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二级活性炭</w:t>
                  </w:r>
                </w:p>
              </w:tc>
              <w:tc>
                <w:tcPr>
                  <w:tcW w:w="1092" w:type="dxa"/>
                  <w:shd w:val="clear" w:color="auto" w:fill="auto"/>
                  <w:noWrap w:val="0"/>
                  <w:vAlign w:val="center"/>
                </w:tcPr>
                <w:p w14:paraId="75F8E0E5">
                  <w:pPr>
                    <w:widowControl/>
                    <w:jc w:val="center"/>
                    <w:textAlignment w:val="center"/>
                    <w:rPr>
                      <w:rFonts w:hint="eastAsia" w:cs="Times New Roman"/>
                      <w:color w:val="auto"/>
                      <w:highlight w:val="none"/>
                      <w:lang w:val="en-US" w:eastAsia="zh-CN"/>
                    </w:rPr>
                  </w:pPr>
                  <w:r>
                    <w:rPr>
                      <w:rFonts w:hint="eastAsia" w:cs="Times New Roman"/>
                      <w:color w:val="auto"/>
                      <w:highlight w:val="none"/>
                      <w:lang w:val="en-US" w:eastAsia="zh-CN"/>
                    </w:rPr>
                    <w:t>50</w:t>
                  </w:r>
                  <w:r>
                    <w:rPr>
                      <w:rFonts w:hint="eastAsia" w:ascii="Times New Roman" w:hAnsi="Times New Roman" w:cs="Times New Roman"/>
                      <w:color w:val="auto"/>
                      <w:highlight w:val="none"/>
                      <w:lang w:val="en-US" w:eastAsia="zh-CN"/>
                    </w:rPr>
                    <w:t>%</w:t>
                  </w:r>
                </w:p>
              </w:tc>
              <w:tc>
                <w:tcPr>
                  <w:tcW w:w="1046" w:type="dxa"/>
                  <w:shd w:val="clear" w:color="auto" w:fill="auto"/>
                  <w:noWrap w:val="0"/>
                  <w:vAlign w:val="center"/>
                </w:tcPr>
                <w:p w14:paraId="7C74D11D">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是</w:t>
                  </w:r>
                </w:p>
              </w:tc>
            </w:tr>
            <w:tr w14:paraId="041233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1330" w:type="dxa"/>
                  <w:vMerge w:val="continue"/>
                  <w:noWrap w:val="0"/>
                  <w:vAlign w:val="center"/>
                </w:tcPr>
                <w:p w14:paraId="05DA97D6">
                  <w:pPr>
                    <w:widowControl/>
                    <w:jc w:val="center"/>
                    <w:textAlignment w:val="center"/>
                    <w:rPr>
                      <w:rFonts w:hint="default" w:ascii="Times New Roman" w:hAnsi="Times New Roman" w:eastAsia="宋体" w:cs="Times New Roman"/>
                      <w:color w:val="auto"/>
                      <w:kern w:val="0"/>
                      <w:szCs w:val="21"/>
                      <w:highlight w:val="none"/>
                      <w:lang w:val="en-US" w:eastAsia="zh-CN" w:bidi="ar"/>
                    </w:rPr>
                  </w:pPr>
                </w:p>
              </w:tc>
              <w:tc>
                <w:tcPr>
                  <w:tcW w:w="1093" w:type="dxa"/>
                  <w:noWrap w:val="0"/>
                  <w:vAlign w:val="center"/>
                </w:tcPr>
                <w:p w14:paraId="45BAC2C6">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二硫化碳（开炼）</w:t>
                  </w:r>
                </w:p>
              </w:tc>
              <w:tc>
                <w:tcPr>
                  <w:tcW w:w="1095" w:type="dxa"/>
                  <w:noWrap/>
                  <w:vAlign w:val="center"/>
                </w:tcPr>
                <w:p w14:paraId="5F351F51">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有</w:t>
                  </w:r>
                  <w:r>
                    <w:rPr>
                      <w:rFonts w:hint="default" w:ascii="Times New Roman" w:hAnsi="Times New Roman" w:cs="Times New Roman"/>
                      <w:color w:val="auto"/>
                      <w:kern w:val="0"/>
                      <w:szCs w:val="21"/>
                      <w:highlight w:val="none"/>
                      <w:lang w:bidi="ar"/>
                    </w:rPr>
                    <w:t>组织</w:t>
                  </w:r>
                  <w:r>
                    <w:rPr>
                      <w:rFonts w:hint="eastAsia" w:ascii="Times New Roman" w:hAnsi="Times New Roman" w:cs="Times New Roman"/>
                      <w:color w:val="auto"/>
                      <w:kern w:val="0"/>
                      <w:szCs w:val="21"/>
                      <w:highlight w:val="none"/>
                      <w:lang w:val="en-US" w:eastAsia="zh-CN" w:bidi="ar"/>
                    </w:rPr>
                    <w:t>/</w:t>
                  </w:r>
                  <w:r>
                    <w:rPr>
                      <w:rFonts w:hint="default" w:ascii="Times New Roman" w:hAnsi="Times New Roman" w:cs="Times New Roman"/>
                      <w:color w:val="auto"/>
                      <w:kern w:val="0"/>
                      <w:szCs w:val="21"/>
                      <w:highlight w:val="none"/>
                      <w:lang w:bidi="ar"/>
                    </w:rPr>
                    <w:t>无组织</w:t>
                  </w:r>
                </w:p>
              </w:tc>
              <w:tc>
                <w:tcPr>
                  <w:tcW w:w="1174" w:type="dxa"/>
                  <w:noWrap w:val="0"/>
                  <w:vAlign w:val="center"/>
                </w:tcPr>
                <w:p w14:paraId="0FEBBDA7">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80%</w:t>
                  </w:r>
                </w:p>
              </w:tc>
              <w:tc>
                <w:tcPr>
                  <w:tcW w:w="1388" w:type="dxa"/>
                  <w:noWrap w:val="0"/>
                  <w:vAlign w:val="center"/>
                </w:tcPr>
                <w:p w14:paraId="1B3B4049">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二级活性炭</w:t>
                  </w:r>
                </w:p>
              </w:tc>
              <w:tc>
                <w:tcPr>
                  <w:tcW w:w="1092" w:type="dxa"/>
                  <w:noWrap w:val="0"/>
                  <w:vAlign w:val="center"/>
                </w:tcPr>
                <w:p w14:paraId="55FA32FD">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highlight w:val="none"/>
                      <w:lang w:val="en-US" w:eastAsia="zh-CN"/>
                    </w:rPr>
                    <w:t>50</w:t>
                  </w:r>
                  <w:r>
                    <w:rPr>
                      <w:rFonts w:hint="eastAsia" w:ascii="Times New Roman" w:hAnsi="Times New Roman" w:cs="Times New Roman"/>
                      <w:color w:val="auto"/>
                      <w:highlight w:val="none"/>
                      <w:lang w:val="en-US" w:eastAsia="zh-CN"/>
                    </w:rPr>
                    <w:t>%</w:t>
                  </w:r>
                </w:p>
              </w:tc>
              <w:tc>
                <w:tcPr>
                  <w:tcW w:w="1046" w:type="dxa"/>
                  <w:noWrap w:val="0"/>
                  <w:vAlign w:val="center"/>
                </w:tcPr>
                <w:p w14:paraId="01FBF118">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是</w:t>
                  </w:r>
                </w:p>
              </w:tc>
            </w:tr>
            <w:tr w14:paraId="748CC4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1330" w:type="dxa"/>
                  <w:vMerge w:val="restart"/>
                  <w:noWrap w:val="0"/>
                  <w:vAlign w:val="center"/>
                </w:tcPr>
                <w:p w14:paraId="36523422">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硫化</w:t>
                  </w:r>
                </w:p>
              </w:tc>
              <w:tc>
                <w:tcPr>
                  <w:tcW w:w="1093" w:type="dxa"/>
                  <w:noWrap w:val="0"/>
                  <w:vAlign w:val="center"/>
                </w:tcPr>
                <w:p w14:paraId="0E22D89D">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非甲烷总烃</w:t>
                  </w:r>
                </w:p>
              </w:tc>
              <w:tc>
                <w:tcPr>
                  <w:tcW w:w="1095" w:type="dxa"/>
                  <w:noWrap/>
                  <w:vAlign w:val="center"/>
                </w:tcPr>
                <w:p w14:paraId="1DAD56A9">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有</w:t>
                  </w:r>
                  <w:r>
                    <w:rPr>
                      <w:rFonts w:hint="default" w:ascii="Times New Roman" w:hAnsi="Times New Roman" w:cs="Times New Roman"/>
                      <w:color w:val="auto"/>
                      <w:kern w:val="0"/>
                      <w:szCs w:val="21"/>
                      <w:highlight w:val="none"/>
                      <w:lang w:bidi="ar"/>
                    </w:rPr>
                    <w:t>组织</w:t>
                  </w:r>
                  <w:r>
                    <w:rPr>
                      <w:rFonts w:hint="eastAsia" w:ascii="Times New Roman" w:hAnsi="Times New Roman" w:cs="Times New Roman"/>
                      <w:color w:val="auto"/>
                      <w:kern w:val="0"/>
                      <w:szCs w:val="21"/>
                      <w:highlight w:val="none"/>
                      <w:lang w:val="en-US" w:eastAsia="zh-CN" w:bidi="ar"/>
                    </w:rPr>
                    <w:t>/</w:t>
                  </w:r>
                  <w:r>
                    <w:rPr>
                      <w:rFonts w:hint="default" w:ascii="Times New Roman" w:hAnsi="Times New Roman" w:cs="Times New Roman"/>
                      <w:color w:val="auto"/>
                      <w:kern w:val="0"/>
                      <w:szCs w:val="21"/>
                      <w:highlight w:val="none"/>
                      <w:lang w:bidi="ar"/>
                    </w:rPr>
                    <w:t>无组织</w:t>
                  </w:r>
                </w:p>
              </w:tc>
              <w:tc>
                <w:tcPr>
                  <w:tcW w:w="1174" w:type="dxa"/>
                  <w:noWrap w:val="0"/>
                  <w:vAlign w:val="center"/>
                </w:tcPr>
                <w:p w14:paraId="71093034">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80%</w:t>
                  </w:r>
                </w:p>
              </w:tc>
              <w:tc>
                <w:tcPr>
                  <w:tcW w:w="1388" w:type="dxa"/>
                  <w:noWrap w:val="0"/>
                  <w:vAlign w:val="center"/>
                </w:tcPr>
                <w:p w14:paraId="4DB69F1B">
                  <w:pPr>
                    <w:widowControl/>
                    <w:jc w:val="center"/>
                    <w:textAlignment w:val="center"/>
                    <w:rPr>
                      <w:rFonts w:hint="default" w:ascii="Times New Roman" w:hAnsi="Times New Roman" w:eastAsia="宋体" w:cs="Times New Roman"/>
                      <w:color w:val="auto"/>
                      <w:kern w:val="0"/>
                      <w:szCs w:val="21"/>
                      <w:highlight w:val="none"/>
                      <w:lang w:eastAsia="zh-CN" w:bidi="ar"/>
                    </w:rPr>
                  </w:pPr>
                  <w:r>
                    <w:rPr>
                      <w:rFonts w:hint="eastAsia" w:cs="Times New Roman"/>
                      <w:color w:val="auto"/>
                      <w:kern w:val="0"/>
                      <w:szCs w:val="21"/>
                      <w:highlight w:val="none"/>
                      <w:lang w:val="en-US" w:eastAsia="zh-CN" w:bidi="ar"/>
                    </w:rPr>
                    <w:t>二级活性炭</w:t>
                  </w:r>
                </w:p>
              </w:tc>
              <w:tc>
                <w:tcPr>
                  <w:tcW w:w="1092" w:type="dxa"/>
                  <w:noWrap w:val="0"/>
                  <w:vAlign w:val="center"/>
                </w:tcPr>
                <w:p w14:paraId="39020984">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80</w:t>
                  </w:r>
                  <w:r>
                    <w:rPr>
                      <w:rFonts w:hint="default" w:ascii="Times New Roman" w:hAnsi="Times New Roman" w:cs="Times New Roman"/>
                      <w:color w:val="auto"/>
                      <w:kern w:val="0"/>
                      <w:szCs w:val="21"/>
                      <w:highlight w:val="none"/>
                      <w:lang w:bidi="ar"/>
                    </w:rPr>
                    <w:t>%</w:t>
                  </w:r>
                </w:p>
              </w:tc>
              <w:tc>
                <w:tcPr>
                  <w:tcW w:w="1046" w:type="dxa"/>
                  <w:noWrap w:val="0"/>
                  <w:vAlign w:val="center"/>
                </w:tcPr>
                <w:p w14:paraId="16A7C3FC">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是</w:t>
                  </w:r>
                </w:p>
              </w:tc>
            </w:tr>
            <w:tr w14:paraId="2FFCF2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1330" w:type="dxa"/>
                  <w:vMerge w:val="continue"/>
                  <w:noWrap w:val="0"/>
                  <w:vAlign w:val="center"/>
                </w:tcPr>
                <w:p w14:paraId="5670D3F6">
                  <w:pPr>
                    <w:widowControl/>
                    <w:jc w:val="center"/>
                    <w:textAlignment w:val="center"/>
                    <w:rPr>
                      <w:rFonts w:hint="eastAsia" w:cs="Times New Roman"/>
                      <w:color w:val="auto"/>
                      <w:kern w:val="0"/>
                      <w:szCs w:val="21"/>
                      <w:highlight w:val="none"/>
                      <w:lang w:val="en-US" w:eastAsia="zh-CN" w:bidi="ar"/>
                    </w:rPr>
                  </w:pPr>
                </w:p>
              </w:tc>
              <w:tc>
                <w:tcPr>
                  <w:tcW w:w="1093" w:type="dxa"/>
                  <w:noWrap w:val="0"/>
                  <w:vAlign w:val="center"/>
                </w:tcPr>
                <w:p w14:paraId="078EB1A9">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二硫化碳</w:t>
                  </w:r>
                </w:p>
              </w:tc>
              <w:tc>
                <w:tcPr>
                  <w:tcW w:w="1095" w:type="dxa"/>
                  <w:noWrap/>
                  <w:vAlign w:val="center"/>
                </w:tcPr>
                <w:p w14:paraId="6C453A03">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有</w:t>
                  </w:r>
                  <w:r>
                    <w:rPr>
                      <w:rFonts w:hint="default" w:ascii="Times New Roman" w:hAnsi="Times New Roman" w:cs="Times New Roman"/>
                      <w:color w:val="auto"/>
                      <w:kern w:val="0"/>
                      <w:szCs w:val="21"/>
                      <w:highlight w:val="none"/>
                      <w:lang w:bidi="ar"/>
                    </w:rPr>
                    <w:t>组织</w:t>
                  </w:r>
                  <w:r>
                    <w:rPr>
                      <w:rFonts w:hint="eastAsia" w:ascii="Times New Roman" w:hAnsi="Times New Roman" w:cs="Times New Roman"/>
                      <w:color w:val="auto"/>
                      <w:kern w:val="0"/>
                      <w:szCs w:val="21"/>
                      <w:highlight w:val="none"/>
                      <w:lang w:val="en-US" w:eastAsia="zh-CN" w:bidi="ar"/>
                    </w:rPr>
                    <w:t>/</w:t>
                  </w:r>
                  <w:r>
                    <w:rPr>
                      <w:rFonts w:hint="default" w:ascii="Times New Roman" w:hAnsi="Times New Roman" w:cs="Times New Roman"/>
                      <w:color w:val="auto"/>
                      <w:kern w:val="0"/>
                      <w:szCs w:val="21"/>
                      <w:highlight w:val="none"/>
                      <w:lang w:bidi="ar"/>
                    </w:rPr>
                    <w:t>无组织</w:t>
                  </w:r>
                </w:p>
              </w:tc>
              <w:tc>
                <w:tcPr>
                  <w:tcW w:w="1174" w:type="dxa"/>
                  <w:noWrap w:val="0"/>
                  <w:vAlign w:val="center"/>
                </w:tcPr>
                <w:p w14:paraId="3D9D0022">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80%</w:t>
                  </w:r>
                </w:p>
              </w:tc>
              <w:tc>
                <w:tcPr>
                  <w:tcW w:w="1388" w:type="dxa"/>
                  <w:noWrap w:val="0"/>
                  <w:vAlign w:val="center"/>
                </w:tcPr>
                <w:p w14:paraId="61E33533">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二级活性炭</w:t>
                  </w:r>
                </w:p>
              </w:tc>
              <w:tc>
                <w:tcPr>
                  <w:tcW w:w="1092" w:type="dxa"/>
                  <w:noWrap w:val="0"/>
                  <w:vAlign w:val="center"/>
                </w:tcPr>
                <w:p w14:paraId="6F6B2C95">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highlight w:val="none"/>
                      <w:lang w:val="en-US" w:eastAsia="zh-CN"/>
                    </w:rPr>
                    <w:t>50</w:t>
                  </w:r>
                  <w:r>
                    <w:rPr>
                      <w:rFonts w:hint="eastAsia" w:ascii="Times New Roman" w:hAnsi="Times New Roman" w:cs="Times New Roman"/>
                      <w:color w:val="auto"/>
                      <w:highlight w:val="none"/>
                      <w:lang w:val="en-US" w:eastAsia="zh-CN"/>
                    </w:rPr>
                    <w:t>%</w:t>
                  </w:r>
                </w:p>
              </w:tc>
              <w:tc>
                <w:tcPr>
                  <w:tcW w:w="1046" w:type="dxa"/>
                  <w:noWrap w:val="0"/>
                  <w:vAlign w:val="center"/>
                </w:tcPr>
                <w:p w14:paraId="1D447F13">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是</w:t>
                  </w:r>
                </w:p>
              </w:tc>
            </w:tr>
            <w:tr w14:paraId="6A9E17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330" w:type="dxa"/>
                  <w:vMerge w:val="continue"/>
                  <w:noWrap w:val="0"/>
                  <w:vAlign w:val="center"/>
                </w:tcPr>
                <w:p w14:paraId="4CEABEBC">
                  <w:pPr>
                    <w:widowControl/>
                    <w:jc w:val="center"/>
                    <w:textAlignment w:val="center"/>
                    <w:rPr>
                      <w:rFonts w:hint="eastAsia" w:cs="Times New Roman"/>
                      <w:color w:val="auto"/>
                      <w:kern w:val="0"/>
                      <w:szCs w:val="21"/>
                      <w:highlight w:val="none"/>
                      <w:lang w:val="en-US" w:eastAsia="zh-CN" w:bidi="ar"/>
                    </w:rPr>
                  </w:pPr>
                </w:p>
              </w:tc>
              <w:tc>
                <w:tcPr>
                  <w:tcW w:w="1093" w:type="dxa"/>
                  <w:noWrap w:val="0"/>
                  <w:vAlign w:val="center"/>
                </w:tcPr>
                <w:p w14:paraId="5C6172FD">
                  <w:pPr>
                    <w:widowControl/>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硫化氢</w:t>
                  </w:r>
                </w:p>
              </w:tc>
              <w:tc>
                <w:tcPr>
                  <w:tcW w:w="1095" w:type="dxa"/>
                  <w:noWrap/>
                  <w:vAlign w:val="center"/>
                </w:tcPr>
                <w:p w14:paraId="14B82CF5">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有</w:t>
                  </w:r>
                  <w:r>
                    <w:rPr>
                      <w:rFonts w:hint="default" w:ascii="Times New Roman" w:hAnsi="Times New Roman" w:cs="Times New Roman"/>
                      <w:color w:val="auto"/>
                      <w:kern w:val="0"/>
                      <w:szCs w:val="21"/>
                      <w:highlight w:val="none"/>
                      <w:lang w:bidi="ar"/>
                    </w:rPr>
                    <w:t>组织</w:t>
                  </w:r>
                  <w:r>
                    <w:rPr>
                      <w:rFonts w:hint="eastAsia" w:ascii="Times New Roman" w:hAnsi="Times New Roman" w:cs="Times New Roman"/>
                      <w:color w:val="auto"/>
                      <w:kern w:val="0"/>
                      <w:szCs w:val="21"/>
                      <w:highlight w:val="none"/>
                      <w:lang w:val="en-US" w:eastAsia="zh-CN" w:bidi="ar"/>
                    </w:rPr>
                    <w:t>/</w:t>
                  </w:r>
                  <w:r>
                    <w:rPr>
                      <w:rFonts w:hint="default" w:ascii="Times New Roman" w:hAnsi="Times New Roman" w:cs="Times New Roman"/>
                      <w:color w:val="auto"/>
                      <w:kern w:val="0"/>
                      <w:szCs w:val="21"/>
                      <w:highlight w:val="none"/>
                      <w:lang w:bidi="ar"/>
                    </w:rPr>
                    <w:t>无组织</w:t>
                  </w:r>
                </w:p>
              </w:tc>
              <w:tc>
                <w:tcPr>
                  <w:tcW w:w="1174" w:type="dxa"/>
                  <w:noWrap w:val="0"/>
                  <w:vAlign w:val="center"/>
                </w:tcPr>
                <w:p w14:paraId="6F40BBE7">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80%</w:t>
                  </w:r>
                </w:p>
              </w:tc>
              <w:tc>
                <w:tcPr>
                  <w:tcW w:w="1388" w:type="dxa"/>
                  <w:noWrap w:val="0"/>
                  <w:vAlign w:val="center"/>
                </w:tcPr>
                <w:p w14:paraId="368DC134">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二级活性炭</w:t>
                  </w:r>
                </w:p>
              </w:tc>
              <w:tc>
                <w:tcPr>
                  <w:tcW w:w="1092" w:type="dxa"/>
                  <w:noWrap w:val="0"/>
                  <w:vAlign w:val="center"/>
                </w:tcPr>
                <w:p w14:paraId="118A7805">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highlight w:val="none"/>
                      <w:lang w:val="en-US" w:eastAsia="zh-CN"/>
                    </w:rPr>
                    <w:t>50</w:t>
                  </w:r>
                  <w:r>
                    <w:rPr>
                      <w:rFonts w:hint="eastAsia" w:ascii="Times New Roman" w:hAnsi="Times New Roman" w:cs="Times New Roman"/>
                      <w:color w:val="auto"/>
                      <w:highlight w:val="none"/>
                      <w:lang w:val="en-US" w:eastAsia="zh-CN"/>
                    </w:rPr>
                    <w:t>%</w:t>
                  </w:r>
                </w:p>
              </w:tc>
              <w:tc>
                <w:tcPr>
                  <w:tcW w:w="1046" w:type="dxa"/>
                  <w:noWrap w:val="0"/>
                  <w:vAlign w:val="center"/>
                </w:tcPr>
                <w:p w14:paraId="2AD9F01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是</w:t>
                  </w:r>
                </w:p>
              </w:tc>
            </w:tr>
            <w:tr w14:paraId="3E0BAB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1330" w:type="dxa"/>
                  <w:vMerge w:val="restart"/>
                  <w:noWrap w:val="0"/>
                  <w:vAlign w:val="center"/>
                </w:tcPr>
                <w:p w14:paraId="35BFEC0A">
                  <w:pPr>
                    <w:widowControl/>
                    <w:jc w:val="center"/>
                    <w:textAlignment w:val="center"/>
                    <w:rPr>
                      <w:rFonts w:hint="default" w:ascii="Times New Roman" w:hAnsi="Times New Roman" w:cs="Times New Roman"/>
                      <w:color w:val="auto"/>
                      <w:kern w:val="0"/>
                      <w:szCs w:val="21"/>
                      <w:highlight w:val="none"/>
                      <w:lang w:val="en-US" w:bidi="ar"/>
                    </w:rPr>
                  </w:pPr>
                  <w:r>
                    <w:rPr>
                      <w:rFonts w:hint="eastAsia" w:cs="Times New Roman"/>
                      <w:color w:val="auto"/>
                      <w:kern w:val="0"/>
                      <w:szCs w:val="21"/>
                      <w:highlight w:val="none"/>
                      <w:lang w:val="en-US" w:eastAsia="zh-CN" w:bidi="ar"/>
                    </w:rPr>
                    <w:t xml:space="preserve">锅炉 </w:t>
                  </w:r>
                </w:p>
              </w:tc>
              <w:tc>
                <w:tcPr>
                  <w:tcW w:w="1093" w:type="dxa"/>
                  <w:noWrap w:val="0"/>
                  <w:vAlign w:val="center"/>
                </w:tcPr>
                <w:p w14:paraId="2596E957">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颗粒物</w:t>
                  </w:r>
                </w:p>
              </w:tc>
              <w:tc>
                <w:tcPr>
                  <w:tcW w:w="1095" w:type="dxa"/>
                  <w:noWrap/>
                  <w:vAlign w:val="center"/>
                </w:tcPr>
                <w:p w14:paraId="1F1B3A29">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有</w:t>
                  </w:r>
                  <w:r>
                    <w:rPr>
                      <w:rFonts w:hint="default" w:ascii="Times New Roman" w:hAnsi="Times New Roman" w:cs="Times New Roman"/>
                      <w:color w:val="auto"/>
                      <w:kern w:val="0"/>
                      <w:szCs w:val="21"/>
                      <w:highlight w:val="none"/>
                      <w:lang w:bidi="ar"/>
                    </w:rPr>
                    <w:t>组织</w:t>
                  </w:r>
                </w:p>
              </w:tc>
              <w:tc>
                <w:tcPr>
                  <w:tcW w:w="1174" w:type="dxa"/>
                  <w:noWrap w:val="0"/>
                  <w:vAlign w:val="center"/>
                </w:tcPr>
                <w:p w14:paraId="0073553E">
                  <w:pPr>
                    <w:widowControl/>
                    <w:jc w:val="center"/>
                    <w:textAlignment w:val="center"/>
                    <w:rPr>
                      <w:rFonts w:hint="default" w:ascii="Times New Roman" w:hAnsi="Times New Roman" w:eastAsia="宋体" w:cs="Times New Roman"/>
                      <w:color w:val="auto"/>
                      <w:kern w:val="0"/>
                      <w:szCs w:val="21"/>
                      <w:highlight w:val="none"/>
                      <w:lang w:eastAsia="zh-CN" w:bidi="ar"/>
                    </w:rPr>
                  </w:pPr>
                  <w:r>
                    <w:rPr>
                      <w:rFonts w:hint="default" w:ascii="Times New Roman" w:hAnsi="Times New Roman" w:cs="Times New Roman"/>
                      <w:color w:val="auto"/>
                      <w:kern w:val="0"/>
                      <w:szCs w:val="21"/>
                      <w:highlight w:val="none"/>
                      <w:lang w:val="en-US" w:eastAsia="zh-CN" w:bidi="ar"/>
                    </w:rPr>
                    <w:t>100</w:t>
                  </w:r>
                  <w:r>
                    <w:rPr>
                      <w:rFonts w:hint="default" w:ascii="Times New Roman" w:hAnsi="Times New Roman" w:cs="Times New Roman"/>
                      <w:color w:val="auto"/>
                      <w:kern w:val="0"/>
                      <w:szCs w:val="21"/>
                      <w:highlight w:val="none"/>
                      <w:lang w:bidi="ar"/>
                    </w:rPr>
                    <w:t>%</w:t>
                  </w:r>
                </w:p>
              </w:tc>
              <w:tc>
                <w:tcPr>
                  <w:tcW w:w="1388" w:type="dxa"/>
                  <w:noWrap w:val="0"/>
                  <w:vAlign w:val="center"/>
                </w:tcPr>
                <w:p w14:paraId="216C7098">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w:t>
                  </w:r>
                </w:p>
              </w:tc>
              <w:tc>
                <w:tcPr>
                  <w:tcW w:w="1092" w:type="dxa"/>
                  <w:noWrap w:val="0"/>
                  <w:vAlign w:val="center"/>
                </w:tcPr>
                <w:p w14:paraId="60BF5291">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w:t>
                  </w:r>
                </w:p>
              </w:tc>
              <w:tc>
                <w:tcPr>
                  <w:tcW w:w="1046" w:type="dxa"/>
                  <w:noWrap w:val="0"/>
                  <w:vAlign w:val="center"/>
                </w:tcPr>
                <w:p w14:paraId="38EDAF3D">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w:t>
                  </w:r>
                </w:p>
              </w:tc>
            </w:tr>
            <w:tr w14:paraId="34B22F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1330" w:type="dxa"/>
                  <w:vMerge w:val="continue"/>
                  <w:noWrap w:val="0"/>
                  <w:vAlign w:val="center"/>
                </w:tcPr>
                <w:p w14:paraId="24F50BAF">
                  <w:pPr>
                    <w:widowControl/>
                    <w:jc w:val="center"/>
                    <w:textAlignment w:val="center"/>
                    <w:rPr>
                      <w:rFonts w:hint="default" w:ascii="Times New Roman" w:hAnsi="Times New Roman" w:cs="Times New Roman"/>
                      <w:color w:val="auto"/>
                      <w:kern w:val="0"/>
                      <w:szCs w:val="21"/>
                      <w:highlight w:val="none"/>
                      <w:lang w:bidi="ar"/>
                    </w:rPr>
                  </w:pPr>
                </w:p>
              </w:tc>
              <w:tc>
                <w:tcPr>
                  <w:tcW w:w="1093" w:type="dxa"/>
                  <w:noWrap w:val="0"/>
                  <w:vAlign w:val="center"/>
                </w:tcPr>
                <w:p w14:paraId="592CA6A5">
                  <w:pPr>
                    <w:widowControl/>
                    <w:jc w:val="center"/>
                    <w:textAlignment w:val="center"/>
                    <w:rPr>
                      <w:rFonts w:hint="eastAsia" w:ascii="Times New Roman" w:hAnsi="Times New Roman" w:eastAsia="宋体" w:cs="Times New Roman"/>
                      <w:color w:val="auto"/>
                      <w:kern w:val="0"/>
                      <w:szCs w:val="21"/>
                      <w:highlight w:val="none"/>
                      <w:lang w:eastAsia="zh-CN" w:bidi="ar"/>
                    </w:rPr>
                  </w:pPr>
                  <w:r>
                    <w:rPr>
                      <w:rFonts w:hint="eastAsia" w:cs="Times New Roman"/>
                      <w:color w:val="auto"/>
                      <w:kern w:val="0"/>
                      <w:szCs w:val="21"/>
                      <w:highlight w:val="none"/>
                      <w:lang w:val="en-US" w:eastAsia="zh-CN" w:bidi="ar"/>
                    </w:rPr>
                    <w:t>二氧化硫</w:t>
                  </w:r>
                </w:p>
              </w:tc>
              <w:tc>
                <w:tcPr>
                  <w:tcW w:w="1095" w:type="dxa"/>
                  <w:noWrap/>
                  <w:vAlign w:val="center"/>
                </w:tcPr>
                <w:p w14:paraId="1248EB36">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有</w:t>
                  </w:r>
                  <w:r>
                    <w:rPr>
                      <w:rFonts w:hint="default" w:ascii="Times New Roman" w:hAnsi="Times New Roman" w:cs="Times New Roman"/>
                      <w:color w:val="auto"/>
                      <w:kern w:val="0"/>
                      <w:szCs w:val="21"/>
                      <w:highlight w:val="none"/>
                      <w:lang w:bidi="ar"/>
                    </w:rPr>
                    <w:t>组织</w:t>
                  </w:r>
                </w:p>
              </w:tc>
              <w:tc>
                <w:tcPr>
                  <w:tcW w:w="1174" w:type="dxa"/>
                  <w:noWrap w:val="0"/>
                  <w:vAlign w:val="center"/>
                </w:tcPr>
                <w:p w14:paraId="460780E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val="en-US" w:eastAsia="zh-CN" w:bidi="ar"/>
                    </w:rPr>
                    <w:t>100</w:t>
                  </w:r>
                  <w:r>
                    <w:rPr>
                      <w:rFonts w:hint="default" w:ascii="Times New Roman" w:hAnsi="Times New Roman" w:cs="Times New Roman"/>
                      <w:color w:val="auto"/>
                      <w:kern w:val="0"/>
                      <w:szCs w:val="21"/>
                      <w:highlight w:val="none"/>
                      <w:lang w:bidi="ar"/>
                    </w:rPr>
                    <w:t>%</w:t>
                  </w:r>
                </w:p>
              </w:tc>
              <w:tc>
                <w:tcPr>
                  <w:tcW w:w="1388" w:type="dxa"/>
                  <w:noWrap w:val="0"/>
                  <w:vAlign w:val="center"/>
                </w:tcPr>
                <w:p w14:paraId="26B39545">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w:t>
                  </w:r>
                </w:p>
              </w:tc>
              <w:tc>
                <w:tcPr>
                  <w:tcW w:w="1092" w:type="dxa"/>
                  <w:noWrap w:val="0"/>
                  <w:vAlign w:val="center"/>
                </w:tcPr>
                <w:p w14:paraId="3AD977F4">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w:t>
                  </w:r>
                </w:p>
              </w:tc>
              <w:tc>
                <w:tcPr>
                  <w:tcW w:w="1046" w:type="dxa"/>
                  <w:noWrap w:val="0"/>
                  <w:vAlign w:val="center"/>
                </w:tcPr>
                <w:p w14:paraId="12656411">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w:t>
                  </w:r>
                </w:p>
              </w:tc>
            </w:tr>
            <w:tr w14:paraId="5BDDA4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1330" w:type="dxa"/>
                  <w:vMerge w:val="continue"/>
                  <w:noWrap w:val="0"/>
                  <w:vAlign w:val="center"/>
                </w:tcPr>
                <w:p w14:paraId="41C692EF">
                  <w:pPr>
                    <w:widowControl/>
                    <w:jc w:val="center"/>
                    <w:textAlignment w:val="center"/>
                    <w:rPr>
                      <w:rFonts w:hint="default" w:ascii="Times New Roman" w:hAnsi="Times New Roman" w:cs="Times New Roman"/>
                      <w:color w:val="auto"/>
                      <w:kern w:val="0"/>
                      <w:szCs w:val="21"/>
                      <w:highlight w:val="none"/>
                      <w:lang w:bidi="ar"/>
                    </w:rPr>
                  </w:pPr>
                </w:p>
              </w:tc>
              <w:tc>
                <w:tcPr>
                  <w:tcW w:w="1093" w:type="dxa"/>
                  <w:noWrap w:val="0"/>
                  <w:vAlign w:val="center"/>
                </w:tcPr>
                <w:p w14:paraId="63FA33EB">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氮氧化物</w:t>
                  </w:r>
                </w:p>
              </w:tc>
              <w:tc>
                <w:tcPr>
                  <w:tcW w:w="1095" w:type="dxa"/>
                  <w:noWrap/>
                  <w:vAlign w:val="center"/>
                </w:tcPr>
                <w:p w14:paraId="375D88EE">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有</w:t>
                  </w:r>
                  <w:r>
                    <w:rPr>
                      <w:rFonts w:hint="default" w:ascii="Times New Roman" w:hAnsi="Times New Roman" w:cs="Times New Roman"/>
                      <w:color w:val="auto"/>
                      <w:kern w:val="0"/>
                      <w:szCs w:val="21"/>
                      <w:highlight w:val="none"/>
                      <w:lang w:bidi="ar"/>
                    </w:rPr>
                    <w:t>组织</w:t>
                  </w:r>
                </w:p>
              </w:tc>
              <w:tc>
                <w:tcPr>
                  <w:tcW w:w="1174" w:type="dxa"/>
                  <w:noWrap w:val="0"/>
                  <w:vAlign w:val="center"/>
                </w:tcPr>
                <w:p w14:paraId="052C36C4">
                  <w:pPr>
                    <w:widowControl/>
                    <w:jc w:val="center"/>
                    <w:textAlignment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100</w:t>
                  </w:r>
                  <w:r>
                    <w:rPr>
                      <w:rFonts w:hint="default" w:ascii="Times New Roman" w:hAnsi="Times New Roman" w:cs="Times New Roman"/>
                      <w:color w:val="auto"/>
                      <w:kern w:val="0"/>
                      <w:szCs w:val="21"/>
                      <w:highlight w:val="none"/>
                      <w:lang w:bidi="ar"/>
                    </w:rPr>
                    <w:t>%</w:t>
                  </w:r>
                </w:p>
              </w:tc>
              <w:tc>
                <w:tcPr>
                  <w:tcW w:w="1388" w:type="dxa"/>
                  <w:noWrap w:val="0"/>
                  <w:vAlign w:val="center"/>
                </w:tcPr>
                <w:p w14:paraId="691C9366">
                  <w:pPr>
                    <w:widowControl/>
                    <w:jc w:val="center"/>
                    <w:textAlignment w:val="center"/>
                    <w:rPr>
                      <w:rFonts w:hint="default"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低氮燃烧机</w:t>
                  </w:r>
                </w:p>
              </w:tc>
              <w:tc>
                <w:tcPr>
                  <w:tcW w:w="1092" w:type="dxa"/>
                  <w:noWrap w:val="0"/>
                  <w:vAlign w:val="center"/>
                </w:tcPr>
                <w:p w14:paraId="0DF048BC">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50</w:t>
                  </w:r>
                  <w:r>
                    <w:rPr>
                      <w:rFonts w:hint="eastAsia" w:ascii="Times New Roman" w:hAnsi="Times New Roman" w:cs="Times New Roman"/>
                      <w:color w:val="auto"/>
                      <w:kern w:val="0"/>
                      <w:szCs w:val="21"/>
                      <w:highlight w:val="none"/>
                      <w:lang w:val="en-US" w:eastAsia="zh-CN" w:bidi="ar"/>
                    </w:rPr>
                    <w:t>%</w:t>
                  </w:r>
                </w:p>
              </w:tc>
              <w:tc>
                <w:tcPr>
                  <w:tcW w:w="1046" w:type="dxa"/>
                  <w:noWrap w:val="0"/>
                  <w:vAlign w:val="center"/>
                </w:tcPr>
                <w:p w14:paraId="204FCE02">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eastAsia="zh-CN" w:bidi="ar"/>
                    </w:rPr>
                    <w:t>是</w:t>
                  </w:r>
                </w:p>
              </w:tc>
            </w:tr>
          </w:tbl>
          <w:p w14:paraId="276C0C27">
            <w:pPr>
              <w:rPr>
                <w:rFonts w:hint="default"/>
                <w:color w:val="auto"/>
                <w:highlight w:val="none"/>
                <w:lang w:val="en-US" w:eastAsia="zh-CN"/>
              </w:rPr>
            </w:pPr>
          </w:p>
          <w:p w14:paraId="75653147">
            <w:pPr>
              <w:pStyle w:val="11"/>
              <w:rPr>
                <w:rFonts w:hint="default"/>
                <w:color w:val="auto"/>
                <w:highlight w:val="none"/>
                <w:lang w:val="en-US" w:eastAsia="zh-CN"/>
              </w:rPr>
            </w:pPr>
          </w:p>
          <w:p w14:paraId="0D7C21D9">
            <w:pPr>
              <w:rPr>
                <w:rFonts w:hint="default"/>
                <w:color w:val="auto"/>
                <w:highlight w:val="none"/>
                <w:lang w:val="en-US" w:eastAsia="zh-CN"/>
              </w:rPr>
            </w:pPr>
          </w:p>
          <w:p w14:paraId="58377B35">
            <w:pPr>
              <w:pStyle w:val="11"/>
              <w:rPr>
                <w:rFonts w:hint="default"/>
                <w:color w:val="auto"/>
                <w:highlight w:val="none"/>
                <w:lang w:val="en-US" w:eastAsia="zh-CN"/>
              </w:rPr>
            </w:pPr>
          </w:p>
          <w:p w14:paraId="6B3B0F37">
            <w:pPr>
              <w:rPr>
                <w:rFonts w:hint="default"/>
                <w:color w:val="auto"/>
                <w:highlight w:val="none"/>
                <w:lang w:val="en-US" w:eastAsia="zh-CN"/>
              </w:rPr>
            </w:pPr>
          </w:p>
          <w:p w14:paraId="737C0687">
            <w:pPr>
              <w:pStyle w:val="11"/>
              <w:rPr>
                <w:rFonts w:hint="default"/>
                <w:color w:val="auto"/>
                <w:highlight w:val="none"/>
                <w:lang w:val="en-US" w:eastAsia="zh-CN"/>
              </w:rPr>
            </w:pPr>
          </w:p>
          <w:p w14:paraId="0C470B07">
            <w:pPr>
              <w:rPr>
                <w:rFonts w:hint="default"/>
                <w:color w:val="auto"/>
                <w:highlight w:val="none"/>
                <w:lang w:val="en-US" w:eastAsia="zh-CN"/>
              </w:rPr>
            </w:pPr>
          </w:p>
          <w:p w14:paraId="50DFA754">
            <w:pPr>
              <w:pStyle w:val="11"/>
              <w:rPr>
                <w:rFonts w:hint="default"/>
                <w:color w:val="auto"/>
                <w:highlight w:val="none"/>
                <w:lang w:val="en-US" w:eastAsia="zh-CN"/>
              </w:rPr>
            </w:pPr>
          </w:p>
          <w:p w14:paraId="604B703F">
            <w:pPr>
              <w:rPr>
                <w:rFonts w:hint="default"/>
                <w:color w:val="auto"/>
                <w:highlight w:val="none"/>
                <w:lang w:val="en-US" w:eastAsia="zh-CN"/>
              </w:rPr>
            </w:pPr>
          </w:p>
          <w:p w14:paraId="1EF1D83E">
            <w:pPr>
              <w:pStyle w:val="11"/>
              <w:rPr>
                <w:rFonts w:hint="default"/>
                <w:color w:val="auto"/>
                <w:highlight w:val="none"/>
                <w:lang w:val="en-US" w:eastAsia="zh-CN"/>
              </w:rPr>
            </w:pPr>
          </w:p>
          <w:p w14:paraId="448B5321">
            <w:pPr>
              <w:rPr>
                <w:rFonts w:hint="default"/>
                <w:color w:val="auto"/>
                <w:highlight w:val="none"/>
                <w:lang w:val="en-US" w:eastAsia="zh-CN"/>
              </w:rPr>
            </w:pPr>
          </w:p>
          <w:p w14:paraId="49FC5CF9">
            <w:pPr>
              <w:pStyle w:val="11"/>
              <w:rPr>
                <w:rFonts w:hint="default"/>
                <w:color w:val="auto"/>
                <w:highlight w:val="none"/>
                <w:lang w:val="en-US" w:eastAsia="zh-CN"/>
              </w:rPr>
            </w:pPr>
          </w:p>
          <w:p w14:paraId="380C30AB">
            <w:pPr>
              <w:rPr>
                <w:rFonts w:hint="default"/>
                <w:color w:val="auto"/>
                <w:highlight w:val="none"/>
                <w:lang w:val="en-US" w:eastAsia="zh-CN"/>
              </w:rPr>
            </w:pPr>
          </w:p>
          <w:p w14:paraId="7C4836C9">
            <w:pPr>
              <w:pStyle w:val="11"/>
              <w:rPr>
                <w:rFonts w:hint="default"/>
                <w:color w:val="auto"/>
                <w:highlight w:val="none"/>
                <w:lang w:val="en-US" w:eastAsia="zh-CN"/>
              </w:rPr>
            </w:pPr>
          </w:p>
          <w:p w14:paraId="5DAB7F5F">
            <w:pPr>
              <w:pStyle w:val="11"/>
              <w:rPr>
                <w:rFonts w:hint="default"/>
                <w:lang w:val="en-US" w:eastAsia="zh-CN"/>
              </w:rPr>
            </w:pPr>
          </w:p>
        </w:tc>
      </w:tr>
    </w:tbl>
    <w:p w14:paraId="62A33E10">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788D1EC">
      <w:pPr>
        <w:pStyle w:val="43"/>
        <w:jc w:val="left"/>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①正常工况</w:t>
      </w:r>
      <w:r>
        <w:rPr>
          <w:rFonts w:hint="default" w:ascii="Times New Roman" w:hAnsi="Times New Roman" w:eastAsia="宋体" w:cs="Times New Roman"/>
          <w:color w:val="auto"/>
          <w:highlight w:val="none"/>
          <w:lang w:eastAsia="zh-CN"/>
        </w:rPr>
        <w:t>废气排放信息</w:t>
      </w:r>
    </w:p>
    <w:p w14:paraId="1BD32D6C">
      <w:pPr>
        <w:pStyle w:val="43"/>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废气污染源排放信息表</w:t>
      </w:r>
    </w:p>
    <w:tbl>
      <w:tblPr>
        <w:tblStyle w:val="23"/>
        <w:tblW w:w="1407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23"/>
        <w:gridCol w:w="1200"/>
        <w:gridCol w:w="889"/>
        <w:gridCol w:w="622"/>
        <w:gridCol w:w="672"/>
        <w:gridCol w:w="680"/>
        <w:gridCol w:w="819"/>
        <w:gridCol w:w="837"/>
        <w:gridCol w:w="1141"/>
        <w:gridCol w:w="1327"/>
        <w:gridCol w:w="1109"/>
        <w:gridCol w:w="1163"/>
        <w:gridCol w:w="1098"/>
        <w:gridCol w:w="1032"/>
        <w:gridCol w:w="866"/>
      </w:tblGrid>
      <w:tr w14:paraId="4EF328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6" w:hRule="atLeast"/>
          <w:jc w:val="center"/>
        </w:trPr>
        <w:tc>
          <w:tcPr>
            <w:tcW w:w="623" w:type="dxa"/>
            <w:vMerge w:val="restart"/>
            <w:tcBorders>
              <w:tl2br w:val="nil"/>
              <w:tr2bl w:val="nil"/>
            </w:tcBorders>
            <w:shd w:val="clear" w:color="auto" w:fill="auto"/>
            <w:vAlign w:val="center"/>
          </w:tcPr>
          <w:p w14:paraId="58A15ECB">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排放类型</w:t>
            </w:r>
          </w:p>
        </w:tc>
        <w:tc>
          <w:tcPr>
            <w:tcW w:w="1200" w:type="dxa"/>
            <w:vMerge w:val="restart"/>
            <w:tcBorders>
              <w:tl2br w:val="nil"/>
              <w:tr2bl w:val="nil"/>
            </w:tcBorders>
            <w:shd w:val="clear" w:color="auto" w:fill="auto"/>
            <w:vAlign w:val="center"/>
          </w:tcPr>
          <w:p w14:paraId="69EEE522">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污染源</w:t>
            </w:r>
          </w:p>
        </w:tc>
        <w:tc>
          <w:tcPr>
            <w:tcW w:w="889" w:type="dxa"/>
            <w:vMerge w:val="restart"/>
            <w:tcBorders>
              <w:tl2br w:val="nil"/>
              <w:tr2bl w:val="nil"/>
            </w:tcBorders>
            <w:shd w:val="clear" w:color="auto" w:fill="auto"/>
            <w:vAlign w:val="center"/>
          </w:tcPr>
          <w:p w14:paraId="2E01D6D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污染物种类</w:t>
            </w:r>
          </w:p>
        </w:tc>
        <w:tc>
          <w:tcPr>
            <w:tcW w:w="6098" w:type="dxa"/>
            <w:gridSpan w:val="7"/>
            <w:tcBorders>
              <w:tl2br w:val="nil"/>
              <w:tr2bl w:val="nil"/>
            </w:tcBorders>
            <w:shd w:val="clear" w:color="auto" w:fill="auto"/>
            <w:vAlign w:val="center"/>
          </w:tcPr>
          <w:p w14:paraId="344E6A2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排放口信息</w:t>
            </w:r>
          </w:p>
        </w:tc>
        <w:tc>
          <w:tcPr>
            <w:tcW w:w="3370" w:type="dxa"/>
            <w:gridSpan w:val="3"/>
            <w:tcBorders>
              <w:tl2br w:val="nil"/>
              <w:tr2bl w:val="nil"/>
            </w:tcBorders>
            <w:shd w:val="clear" w:color="auto" w:fill="auto"/>
            <w:vAlign w:val="center"/>
          </w:tcPr>
          <w:p w14:paraId="48C3EE8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排放情况</w:t>
            </w:r>
          </w:p>
        </w:tc>
        <w:tc>
          <w:tcPr>
            <w:tcW w:w="1898" w:type="dxa"/>
            <w:gridSpan w:val="2"/>
            <w:tcBorders>
              <w:tl2br w:val="nil"/>
              <w:tr2bl w:val="nil"/>
            </w:tcBorders>
            <w:shd w:val="clear" w:color="auto" w:fill="auto"/>
            <w:noWrap/>
            <w:vAlign w:val="center"/>
          </w:tcPr>
          <w:p w14:paraId="6017B84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排放标准</w:t>
            </w:r>
          </w:p>
        </w:tc>
      </w:tr>
      <w:tr w14:paraId="28D34B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98" w:hRule="atLeast"/>
          <w:jc w:val="center"/>
        </w:trPr>
        <w:tc>
          <w:tcPr>
            <w:tcW w:w="623" w:type="dxa"/>
            <w:vMerge w:val="continue"/>
            <w:tcBorders>
              <w:tl2br w:val="nil"/>
              <w:tr2bl w:val="nil"/>
            </w:tcBorders>
            <w:shd w:val="clear" w:color="auto" w:fill="auto"/>
            <w:vAlign w:val="center"/>
          </w:tcPr>
          <w:p w14:paraId="62DB4EA9">
            <w:pPr>
              <w:jc w:val="center"/>
              <w:rPr>
                <w:rFonts w:hint="eastAsia" w:ascii="宋体" w:hAnsi="宋体" w:eastAsia="宋体" w:cs="宋体"/>
                <w:b/>
                <w:bCs/>
                <w:i w:val="0"/>
                <w:iCs w:val="0"/>
                <w:color w:val="auto"/>
                <w:sz w:val="21"/>
                <w:szCs w:val="21"/>
                <w:highlight w:val="none"/>
                <w:u w:val="none"/>
              </w:rPr>
            </w:pPr>
          </w:p>
        </w:tc>
        <w:tc>
          <w:tcPr>
            <w:tcW w:w="1200" w:type="dxa"/>
            <w:vMerge w:val="continue"/>
            <w:tcBorders>
              <w:tl2br w:val="nil"/>
              <w:tr2bl w:val="nil"/>
            </w:tcBorders>
            <w:shd w:val="clear" w:color="auto" w:fill="auto"/>
            <w:vAlign w:val="center"/>
          </w:tcPr>
          <w:p w14:paraId="5F2D0099">
            <w:pPr>
              <w:jc w:val="center"/>
              <w:rPr>
                <w:rFonts w:hint="eastAsia" w:ascii="宋体" w:hAnsi="宋体" w:eastAsia="宋体" w:cs="宋体"/>
                <w:b/>
                <w:bCs/>
                <w:i w:val="0"/>
                <w:iCs w:val="0"/>
                <w:color w:val="auto"/>
                <w:sz w:val="21"/>
                <w:szCs w:val="21"/>
                <w:highlight w:val="none"/>
                <w:u w:val="none"/>
              </w:rPr>
            </w:pPr>
          </w:p>
        </w:tc>
        <w:tc>
          <w:tcPr>
            <w:tcW w:w="889" w:type="dxa"/>
            <w:vMerge w:val="continue"/>
            <w:tcBorders>
              <w:tl2br w:val="nil"/>
              <w:tr2bl w:val="nil"/>
            </w:tcBorders>
            <w:shd w:val="clear" w:color="auto" w:fill="auto"/>
            <w:vAlign w:val="center"/>
          </w:tcPr>
          <w:p w14:paraId="201610D0">
            <w:pPr>
              <w:jc w:val="center"/>
              <w:rPr>
                <w:rFonts w:hint="eastAsia" w:ascii="宋体" w:hAnsi="宋体" w:eastAsia="宋体" w:cs="宋体"/>
                <w:b/>
                <w:bCs/>
                <w:i w:val="0"/>
                <w:iCs w:val="0"/>
                <w:color w:val="auto"/>
                <w:sz w:val="21"/>
                <w:szCs w:val="21"/>
                <w:highlight w:val="none"/>
                <w:u w:val="none"/>
              </w:rPr>
            </w:pPr>
          </w:p>
        </w:tc>
        <w:tc>
          <w:tcPr>
            <w:tcW w:w="622" w:type="dxa"/>
            <w:tcBorders>
              <w:tl2br w:val="nil"/>
              <w:tr2bl w:val="nil"/>
            </w:tcBorders>
            <w:shd w:val="clear" w:color="auto" w:fill="auto"/>
            <w:vAlign w:val="center"/>
          </w:tcPr>
          <w:p w14:paraId="0A9374F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高度</w:t>
            </w:r>
          </w:p>
        </w:tc>
        <w:tc>
          <w:tcPr>
            <w:tcW w:w="672" w:type="dxa"/>
            <w:tcBorders>
              <w:tl2br w:val="nil"/>
              <w:tr2bl w:val="nil"/>
            </w:tcBorders>
            <w:shd w:val="clear" w:color="auto" w:fill="auto"/>
            <w:vAlign w:val="center"/>
          </w:tcPr>
          <w:p w14:paraId="1D2F7B1C">
            <w:pPr>
              <w:keepNext w:val="0"/>
              <w:keepLines w:val="0"/>
              <w:widowControl/>
              <w:suppressLineNumbers w:val="0"/>
              <w:jc w:val="center"/>
              <w:textAlignment w:val="center"/>
              <w:rPr>
                <w:rFonts w:hint="default" w:ascii="宋体" w:hAnsi="宋体" w:eastAsia="宋体" w:cs="宋体"/>
                <w:b/>
                <w:bCs/>
                <w:i w:val="0"/>
                <w:iCs w:val="0"/>
                <w:color w:val="auto"/>
                <w:sz w:val="21"/>
                <w:szCs w:val="21"/>
                <w:highlight w:val="none"/>
                <w:u w:val="none"/>
                <w:lang w:val="en-US"/>
              </w:rPr>
            </w:pPr>
            <w:r>
              <w:rPr>
                <w:rFonts w:hint="eastAsia" w:ascii="宋体" w:hAnsi="宋体" w:eastAsia="宋体" w:cs="宋体"/>
                <w:b/>
                <w:bCs/>
                <w:i w:val="0"/>
                <w:iCs w:val="0"/>
                <w:color w:val="auto"/>
                <w:kern w:val="0"/>
                <w:sz w:val="21"/>
                <w:szCs w:val="21"/>
                <w:highlight w:val="none"/>
                <w:u w:val="none"/>
                <w:lang w:val="en-US" w:eastAsia="zh-CN" w:bidi="ar"/>
              </w:rPr>
              <w:t>温度</w:t>
            </w:r>
            <w:r>
              <w:rPr>
                <w:rFonts w:hint="eastAsia" w:ascii="宋体" w:hAnsi="宋体" w:cs="宋体"/>
                <w:b/>
                <w:bCs/>
                <w:i w:val="0"/>
                <w:iCs w:val="0"/>
                <w:color w:val="auto"/>
                <w:kern w:val="0"/>
                <w:sz w:val="18"/>
                <w:szCs w:val="18"/>
                <w:highlight w:val="none"/>
                <w:u w:val="none"/>
                <w:lang w:val="en-US" w:eastAsia="zh-CN" w:bidi="ar"/>
              </w:rPr>
              <w:t>（℃）</w:t>
            </w:r>
          </w:p>
        </w:tc>
        <w:tc>
          <w:tcPr>
            <w:tcW w:w="680" w:type="dxa"/>
            <w:tcBorders>
              <w:tl2br w:val="nil"/>
              <w:tr2bl w:val="nil"/>
            </w:tcBorders>
            <w:shd w:val="clear" w:color="auto" w:fill="auto"/>
            <w:vAlign w:val="center"/>
          </w:tcPr>
          <w:p w14:paraId="25122C5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内径</w:t>
            </w:r>
            <w:r>
              <w:rPr>
                <w:rStyle w:val="87"/>
                <w:color w:val="auto"/>
                <w:sz w:val="18"/>
                <w:szCs w:val="18"/>
                <w:highlight w:val="none"/>
                <w:lang w:val="en-US" w:eastAsia="zh-CN" w:bidi="ar"/>
              </w:rPr>
              <w:t>（</w:t>
            </w:r>
            <w:r>
              <w:rPr>
                <w:rStyle w:val="88"/>
                <w:rFonts w:eastAsia="宋体"/>
                <w:color w:val="auto"/>
                <w:sz w:val="18"/>
                <w:szCs w:val="18"/>
                <w:highlight w:val="none"/>
                <w:lang w:val="en-US" w:eastAsia="zh-CN" w:bidi="ar"/>
              </w:rPr>
              <w:t>m</w:t>
            </w:r>
            <w:r>
              <w:rPr>
                <w:rStyle w:val="87"/>
                <w:color w:val="auto"/>
                <w:sz w:val="18"/>
                <w:szCs w:val="18"/>
                <w:highlight w:val="none"/>
                <w:lang w:val="en-US" w:eastAsia="zh-CN" w:bidi="ar"/>
              </w:rPr>
              <w:t>）</w:t>
            </w:r>
          </w:p>
        </w:tc>
        <w:tc>
          <w:tcPr>
            <w:tcW w:w="819" w:type="dxa"/>
            <w:tcBorders>
              <w:tl2br w:val="nil"/>
              <w:tr2bl w:val="nil"/>
            </w:tcBorders>
            <w:shd w:val="clear" w:color="auto" w:fill="auto"/>
            <w:vAlign w:val="center"/>
          </w:tcPr>
          <w:p w14:paraId="2D5C1C6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排放时间</w:t>
            </w:r>
            <w:r>
              <w:rPr>
                <w:rStyle w:val="87"/>
                <w:color w:val="auto"/>
                <w:sz w:val="21"/>
                <w:szCs w:val="21"/>
                <w:highlight w:val="none"/>
                <w:lang w:val="en-US" w:eastAsia="zh-CN" w:bidi="ar"/>
              </w:rPr>
              <w:t>（</w:t>
            </w:r>
            <w:r>
              <w:rPr>
                <w:rStyle w:val="88"/>
                <w:rFonts w:eastAsia="宋体"/>
                <w:color w:val="auto"/>
                <w:sz w:val="21"/>
                <w:szCs w:val="21"/>
                <w:highlight w:val="none"/>
                <w:lang w:val="en-US" w:eastAsia="zh-CN" w:bidi="ar"/>
              </w:rPr>
              <w:t>h</w:t>
            </w:r>
            <w:r>
              <w:rPr>
                <w:rStyle w:val="87"/>
                <w:color w:val="auto"/>
                <w:sz w:val="21"/>
                <w:szCs w:val="21"/>
                <w:highlight w:val="none"/>
                <w:lang w:val="en-US" w:eastAsia="zh-CN" w:bidi="ar"/>
              </w:rPr>
              <w:t>）</w:t>
            </w:r>
          </w:p>
        </w:tc>
        <w:tc>
          <w:tcPr>
            <w:tcW w:w="837" w:type="dxa"/>
            <w:tcBorders>
              <w:tl2br w:val="nil"/>
              <w:tr2bl w:val="nil"/>
            </w:tcBorders>
            <w:shd w:val="clear" w:color="auto" w:fill="auto"/>
            <w:vAlign w:val="center"/>
          </w:tcPr>
          <w:p w14:paraId="18E989F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编号</w:t>
            </w:r>
          </w:p>
        </w:tc>
        <w:tc>
          <w:tcPr>
            <w:tcW w:w="1141" w:type="dxa"/>
            <w:tcBorders>
              <w:tl2br w:val="nil"/>
              <w:tr2bl w:val="nil"/>
            </w:tcBorders>
            <w:shd w:val="clear" w:color="auto" w:fill="auto"/>
            <w:vAlign w:val="center"/>
          </w:tcPr>
          <w:p w14:paraId="0B64D94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类型</w:t>
            </w:r>
          </w:p>
        </w:tc>
        <w:tc>
          <w:tcPr>
            <w:tcW w:w="1327" w:type="dxa"/>
            <w:tcBorders>
              <w:tl2br w:val="nil"/>
              <w:tr2bl w:val="nil"/>
            </w:tcBorders>
            <w:shd w:val="clear" w:color="auto" w:fill="auto"/>
            <w:noWrap/>
            <w:vAlign w:val="center"/>
          </w:tcPr>
          <w:p w14:paraId="29FC357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坐标</w:t>
            </w:r>
          </w:p>
        </w:tc>
        <w:tc>
          <w:tcPr>
            <w:tcW w:w="1109" w:type="dxa"/>
            <w:tcBorders>
              <w:tl2br w:val="nil"/>
              <w:tr2bl w:val="nil"/>
            </w:tcBorders>
            <w:shd w:val="clear" w:color="auto" w:fill="auto"/>
            <w:vAlign w:val="center"/>
          </w:tcPr>
          <w:p w14:paraId="4DADE69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浓度</w:t>
            </w:r>
            <w:r>
              <w:rPr>
                <w:rStyle w:val="88"/>
                <w:rFonts w:eastAsia="宋体"/>
                <w:color w:val="auto"/>
                <w:sz w:val="21"/>
                <w:szCs w:val="21"/>
                <w:highlight w:val="none"/>
                <w:lang w:val="en-US" w:eastAsia="zh-CN" w:bidi="ar"/>
              </w:rPr>
              <w:t>mg/m</w:t>
            </w:r>
            <w:r>
              <w:rPr>
                <w:rStyle w:val="88"/>
                <w:rFonts w:eastAsia="宋体"/>
                <w:color w:val="auto"/>
                <w:sz w:val="21"/>
                <w:szCs w:val="21"/>
                <w:highlight w:val="none"/>
                <w:vertAlign w:val="superscript"/>
                <w:lang w:val="en-US" w:eastAsia="zh-CN" w:bidi="ar"/>
              </w:rPr>
              <w:t>3</w:t>
            </w:r>
          </w:p>
        </w:tc>
        <w:tc>
          <w:tcPr>
            <w:tcW w:w="1163" w:type="dxa"/>
            <w:tcBorders>
              <w:tl2br w:val="nil"/>
              <w:tr2bl w:val="nil"/>
            </w:tcBorders>
            <w:shd w:val="clear" w:color="auto" w:fill="auto"/>
            <w:vAlign w:val="center"/>
          </w:tcPr>
          <w:p w14:paraId="0B84756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速率</w:t>
            </w:r>
            <w:r>
              <w:rPr>
                <w:rStyle w:val="88"/>
                <w:rFonts w:eastAsia="宋体"/>
                <w:color w:val="auto"/>
                <w:sz w:val="21"/>
                <w:szCs w:val="21"/>
                <w:highlight w:val="none"/>
                <w:lang w:val="en-US" w:eastAsia="zh-CN" w:bidi="ar"/>
              </w:rPr>
              <w:t>kg/h</w:t>
            </w:r>
          </w:p>
        </w:tc>
        <w:tc>
          <w:tcPr>
            <w:tcW w:w="1098" w:type="dxa"/>
            <w:tcBorders>
              <w:tl2br w:val="nil"/>
              <w:tr2bl w:val="nil"/>
            </w:tcBorders>
            <w:shd w:val="clear" w:color="auto" w:fill="auto"/>
            <w:noWrap/>
            <w:vAlign w:val="center"/>
          </w:tcPr>
          <w:p w14:paraId="6F34FD5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排放量</w:t>
            </w:r>
            <w:r>
              <w:rPr>
                <w:rStyle w:val="87"/>
                <w:color w:val="auto"/>
                <w:sz w:val="21"/>
                <w:szCs w:val="21"/>
                <w:highlight w:val="none"/>
                <w:lang w:val="en-US" w:eastAsia="zh-CN" w:bidi="ar"/>
              </w:rPr>
              <w:t>（</w:t>
            </w:r>
            <w:r>
              <w:rPr>
                <w:rStyle w:val="88"/>
                <w:rFonts w:eastAsia="宋体"/>
                <w:color w:val="auto"/>
                <w:sz w:val="21"/>
                <w:szCs w:val="21"/>
                <w:highlight w:val="none"/>
                <w:lang w:val="en-US" w:eastAsia="zh-CN" w:bidi="ar"/>
              </w:rPr>
              <w:t>t/a</w:t>
            </w:r>
            <w:r>
              <w:rPr>
                <w:rStyle w:val="87"/>
                <w:color w:val="auto"/>
                <w:sz w:val="21"/>
                <w:szCs w:val="21"/>
                <w:highlight w:val="none"/>
                <w:lang w:val="en-US" w:eastAsia="zh-CN" w:bidi="ar"/>
              </w:rPr>
              <w:t>）</w:t>
            </w:r>
          </w:p>
        </w:tc>
        <w:tc>
          <w:tcPr>
            <w:tcW w:w="1032" w:type="dxa"/>
            <w:tcBorders>
              <w:tl2br w:val="nil"/>
              <w:tr2bl w:val="nil"/>
            </w:tcBorders>
            <w:shd w:val="clear" w:color="auto" w:fill="auto"/>
            <w:vAlign w:val="center"/>
          </w:tcPr>
          <w:p w14:paraId="34804D6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浓度</w:t>
            </w:r>
            <w:r>
              <w:rPr>
                <w:rStyle w:val="88"/>
                <w:rFonts w:eastAsia="宋体"/>
                <w:color w:val="auto"/>
                <w:sz w:val="21"/>
                <w:szCs w:val="21"/>
                <w:highlight w:val="none"/>
                <w:lang w:val="en-US" w:eastAsia="zh-CN" w:bidi="ar"/>
              </w:rPr>
              <w:t>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866" w:type="dxa"/>
            <w:tcBorders>
              <w:tl2br w:val="nil"/>
              <w:tr2bl w:val="nil"/>
            </w:tcBorders>
            <w:shd w:val="clear" w:color="auto" w:fill="auto"/>
            <w:vAlign w:val="center"/>
          </w:tcPr>
          <w:p w14:paraId="143CE04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速率</w:t>
            </w:r>
            <w:r>
              <w:rPr>
                <w:rStyle w:val="88"/>
                <w:rFonts w:eastAsia="宋体"/>
                <w:color w:val="auto"/>
                <w:sz w:val="21"/>
                <w:szCs w:val="21"/>
                <w:highlight w:val="none"/>
                <w:lang w:val="en-US" w:eastAsia="zh-CN" w:bidi="ar"/>
              </w:rPr>
              <w:t>kg/h</w:t>
            </w:r>
          </w:p>
        </w:tc>
      </w:tr>
      <w:tr w14:paraId="2616E2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5" w:hRule="atLeast"/>
          <w:jc w:val="center"/>
        </w:trPr>
        <w:tc>
          <w:tcPr>
            <w:tcW w:w="623" w:type="dxa"/>
            <w:vMerge w:val="restart"/>
            <w:tcBorders>
              <w:tl2br w:val="nil"/>
              <w:tr2bl w:val="nil"/>
            </w:tcBorders>
            <w:shd w:val="clear" w:color="auto" w:fill="auto"/>
            <w:vAlign w:val="center"/>
          </w:tcPr>
          <w:p w14:paraId="27D0EE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有组织</w:t>
            </w:r>
          </w:p>
        </w:tc>
        <w:tc>
          <w:tcPr>
            <w:tcW w:w="1200" w:type="dxa"/>
            <w:vMerge w:val="restart"/>
            <w:tcBorders>
              <w:tl2br w:val="nil"/>
              <w:tr2bl w:val="nil"/>
            </w:tcBorders>
            <w:shd w:val="clear" w:color="auto" w:fill="auto"/>
            <w:vAlign w:val="center"/>
          </w:tcPr>
          <w:p w14:paraId="695FA09B">
            <w:pPr>
              <w:keepNext w:val="0"/>
              <w:keepLines w:val="0"/>
              <w:widowControl/>
              <w:suppressLineNumbers w:val="0"/>
              <w:jc w:val="center"/>
              <w:textAlignment w:val="center"/>
              <w:rPr>
                <w:rFonts w:hint="default" w:cs="Times New Roman"/>
                <w:color w:val="auto"/>
                <w:kern w:val="0"/>
                <w:szCs w:val="21"/>
                <w:highlight w:val="none"/>
                <w:lang w:val="en-US" w:eastAsia="zh-CN" w:bidi="ar"/>
              </w:rPr>
            </w:pPr>
            <w:r>
              <w:rPr>
                <w:rFonts w:hint="default" w:cs="Times New Roman"/>
                <w:color w:val="auto"/>
                <w:kern w:val="0"/>
                <w:szCs w:val="21"/>
                <w:highlight w:val="none"/>
                <w:lang w:val="en-US" w:eastAsia="zh-CN" w:bidi="ar"/>
              </w:rPr>
              <w:t>上料及</w:t>
            </w:r>
            <w:r>
              <w:rPr>
                <w:rFonts w:hint="eastAsia" w:cs="Times New Roman"/>
                <w:color w:val="auto"/>
                <w:kern w:val="0"/>
                <w:szCs w:val="21"/>
                <w:highlight w:val="none"/>
                <w:lang w:val="en-US" w:eastAsia="zh-CN" w:bidi="ar"/>
              </w:rPr>
              <w:t>炼胶（DA002）</w:t>
            </w:r>
          </w:p>
          <w:p w14:paraId="6ABAF4A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p>
        </w:tc>
        <w:tc>
          <w:tcPr>
            <w:tcW w:w="889" w:type="dxa"/>
            <w:tcBorders>
              <w:tl2br w:val="nil"/>
              <w:tr2bl w:val="nil"/>
            </w:tcBorders>
            <w:shd w:val="clear" w:color="auto" w:fill="auto"/>
            <w:vAlign w:val="center"/>
          </w:tcPr>
          <w:p w14:paraId="361F7F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000000"/>
                <w:kern w:val="0"/>
                <w:sz w:val="18"/>
                <w:szCs w:val="18"/>
                <w:u w:val="none"/>
                <w:lang w:val="en-US" w:eastAsia="zh-CN" w:bidi="ar"/>
              </w:rPr>
              <w:t>颗粒物</w:t>
            </w:r>
          </w:p>
        </w:tc>
        <w:tc>
          <w:tcPr>
            <w:tcW w:w="622" w:type="dxa"/>
            <w:tcBorders>
              <w:tl2br w:val="nil"/>
              <w:tr2bl w:val="nil"/>
            </w:tcBorders>
            <w:shd w:val="clear" w:color="auto" w:fill="auto"/>
            <w:vAlign w:val="center"/>
          </w:tcPr>
          <w:p w14:paraId="7BEDD1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15m</w:t>
            </w:r>
          </w:p>
        </w:tc>
        <w:tc>
          <w:tcPr>
            <w:tcW w:w="672" w:type="dxa"/>
            <w:tcBorders>
              <w:tl2br w:val="nil"/>
              <w:tr2bl w:val="nil"/>
            </w:tcBorders>
            <w:shd w:val="clear" w:color="auto" w:fill="auto"/>
            <w:vAlign w:val="center"/>
          </w:tcPr>
          <w:p w14:paraId="7D4533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常温</w:t>
            </w:r>
          </w:p>
        </w:tc>
        <w:tc>
          <w:tcPr>
            <w:tcW w:w="680" w:type="dxa"/>
            <w:tcBorders>
              <w:tl2br w:val="nil"/>
              <w:tr2bl w:val="nil"/>
            </w:tcBorders>
            <w:shd w:val="clear" w:color="auto" w:fill="auto"/>
            <w:vAlign w:val="center"/>
          </w:tcPr>
          <w:p w14:paraId="03B41A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6</w:t>
            </w:r>
          </w:p>
        </w:tc>
        <w:tc>
          <w:tcPr>
            <w:tcW w:w="819" w:type="dxa"/>
            <w:tcBorders>
              <w:tl2br w:val="nil"/>
              <w:tr2bl w:val="nil"/>
            </w:tcBorders>
            <w:shd w:val="clear" w:color="auto" w:fill="auto"/>
            <w:vAlign w:val="center"/>
          </w:tcPr>
          <w:p w14:paraId="1D4C8E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000000"/>
                <w:kern w:val="0"/>
                <w:sz w:val="18"/>
                <w:szCs w:val="18"/>
                <w:u w:val="none"/>
                <w:lang w:val="en-US" w:eastAsia="zh-CN" w:bidi="ar"/>
              </w:rPr>
              <w:t>6600</w:t>
            </w:r>
          </w:p>
        </w:tc>
        <w:tc>
          <w:tcPr>
            <w:tcW w:w="837" w:type="dxa"/>
            <w:vMerge w:val="restart"/>
            <w:tcBorders>
              <w:tl2br w:val="nil"/>
              <w:tr2bl w:val="nil"/>
            </w:tcBorders>
            <w:shd w:val="clear" w:color="auto" w:fill="auto"/>
            <w:vAlign w:val="center"/>
          </w:tcPr>
          <w:p w14:paraId="262CE2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DA002</w:t>
            </w:r>
          </w:p>
        </w:tc>
        <w:tc>
          <w:tcPr>
            <w:tcW w:w="1141" w:type="dxa"/>
            <w:vMerge w:val="restart"/>
            <w:tcBorders>
              <w:tl2br w:val="nil"/>
              <w:tr2bl w:val="nil"/>
            </w:tcBorders>
            <w:shd w:val="clear" w:color="auto" w:fill="auto"/>
            <w:vAlign w:val="center"/>
          </w:tcPr>
          <w:p w14:paraId="60D977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一般排放口</w:t>
            </w:r>
          </w:p>
        </w:tc>
        <w:tc>
          <w:tcPr>
            <w:tcW w:w="1327" w:type="dxa"/>
            <w:vMerge w:val="restart"/>
            <w:tcBorders>
              <w:tl2br w:val="nil"/>
              <w:tr2bl w:val="nil"/>
            </w:tcBorders>
            <w:shd w:val="clear" w:color="auto" w:fill="auto"/>
            <w:vAlign w:val="center"/>
          </w:tcPr>
          <w:p w14:paraId="2D264F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105 .27948</w:t>
            </w:r>
            <w:r>
              <w:rPr>
                <w:rFonts w:hint="default" w:ascii="Times New Roman" w:hAnsi="Times New Roman" w:cs="Times New Roman"/>
                <w:i w:val="0"/>
                <w:iCs w:val="0"/>
                <w:color w:val="auto"/>
                <w:sz w:val="21"/>
                <w:szCs w:val="21"/>
                <w:highlight w:val="none"/>
                <w:u w:val="none"/>
                <w:lang w:val="en-US" w:eastAsia="zh-CN"/>
              </w:rPr>
              <w:t>°</w:t>
            </w:r>
            <w:r>
              <w:rPr>
                <w:rFonts w:hint="default" w:ascii="Times New Roman" w:hAnsi="Times New Roman" w:eastAsia="宋体" w:cs="Times New Roman"/>
                <w:i w:val="0"/>
                <w:iCs w:val="0"/>
                <w:color w:val="auto"/>
                <w:sz w:val="21"/>
                <w:szCs w:val="21"/>
                <w:highlight w:val="none"/>
                <w:u w:val="none"/>
              </w:rPr>
              <w:t>30 .58028</w:t>
            </w:r>
            <w:r>
              <w:rPr>
                <w:rFonts w:hint="default" w:ascii="Times New Roman" w:hAnsi="Times New Roman" w:cs="Times New Roman"/>
                <w:i w:val="0"/>
                <w:iCs w:val="0"/>
                <w:color w:val="auto"/>
                <w:sz w:val="21"/>
                <w:szCs w:val="21"/>
                <w:highlight w:val="none"/>
                <w:u w:val="none"/>
                <w:lang w:val="en-US" w:eastAsia="zh-CN"/>
              </w:rPr>
              <w:t>°</w:t>
            </w:r>
          </w:p>
        </w:tc>
        <w:tc>
          <w:tcPr>
            <w:tcW w:w="1109" w:type="dxa"/>
            <w:tcBorders>
              <w:tl2br w:val="nil"/>
              <w:tr2bl w:val="nil"/>
            </w:tcBorders>
            <w:shd w:val="clear" w:color="auto" w:fill="auto"/>
            <w:vAlign w:val="center"/>
          </w:tcPr>
          <w:p w14:paraId="46FC8D65">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3.6087 </w:t>
            </w:r>
          </w:p>
        </w:tc>
        <w:tc>
          <w:tcPr>
            <w:tcW w:w="1163" w:type="dxa"/>
            <w:tcBorders>
              <w:tl2br w:val="nil"/>
              <w:tr2bl w:val="nil"/>
            </w:tcBorders>
            <w:shd w:val="clear" w:color="auto" w:fill="auto"/>
            <w:vAlign w:val="center"/>
          </w:tcPr>
          <w:p w14:paraId="38A5524B">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0.0902 </w:t>
            </w:r>
          </w:p>
        </w:tc>
        <w:tc>
          <w:tcPr>
            <w:tcW w:w="1098" w:type="dxa"/>
            <w:tcBorders>
              <w:tl2br w:val="nil"/>
              <w:tr2bl w:val="nil"/>
            </w:tcBorders>
            <w:shd w:val="clear" w:color="auto" w:fill="auto"/>
            <w:vAlign w:val="center"/>
          </w:tcPr>
          <w:p w14:paraId="0F0823C2">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0.5954 </w:t>
            </w:r>
          </w:p>
        </w:tc>
        <w:tc>
          <w:tcPr>
            <w:tcW w:w="1032" w:type="dxa"/>
            <w:tcBorders>
              <w:tl2br w:val="nil"/>
              <w:tr2bl w:val="nil"/>
            </w:tcBorders>
            <w:shd w:val="clear" w:color="auto" w:fill="auto"/>
            <w:vAlign w:val="center"/>
          </w:tcPr>
          <w:p w14:paraId="74513C82">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12</w:t>
            </w:r>
          </w:p>
        </w:tc>
        <w:tc>
          <w:tcPr>
            <w:tcW w:w="866" w:type="dxa"/>
            <w:tcBorders>
              <w:tl2br w:val="nil"/>
              <w:tr2bl w:val="nil"/>
            </w:tcBorders>
            <w:shd w:val="clear" w:color="auto" w:fill="auto"/>
            <w:vAlign w:val="center"/>
          </w:tcPr>
          <w:p w14:paraId="3C05F59D">
            <w:pPr>
              <w:jc w:val="center"/>
              <w:rPr>
                <w:rFonts w:hint="default" w:ascii="Times New Roman" w:hAnsi="Times New Roman" w:eastAsia="宋体" w:cs="Times New Roman"/>
                <w:i w:val="0"/>
                <w:iCs w:val="0"/>
                <w:color w:val="auto"/>
                <w:sz w:val="21"/>
                <w:szCs w:val="21"/>
                <w:highlight w:val="none"/>
                <w:u w:val="none"/>
                <w:lang w:val="en-US" w:eastAsia="zh-CN"/>
              </w:rPr>
            </w:pPr>
          </w:p>
          <w:p w14:paraId="30A700AE">
            <w:pPr>
              <w:pStyle w:val="2"/>
              <w:jc w:val="center"/>
              <w:rPr>
                <w:rFonts w:hint="default"/>
                <w:lang w:val="en-US" w:eastAsia="zh-CN"/>
              </w:rPr>
            </w:pPr>
            <w:r>
              <w:rPr>
                <w:rFonts w:hint="eastAsia"/>
                <w:lang w:val="en-US" w:eastAsia="zh-CN"/>
              </w:rPr>
              <w:t>/</w:t>
            </w:r>
          </w:p>
        </w:tc>
      </w:tr>
      <w:tr w14:paraId="3C4DE8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5" w:hRule="atLeast"/>
          <w:jc w:val="center"/>
        </w:trPr>
        <w:tc>
          <w:tcPr>
            <w:tcW w:w="623" w:type="dxa"/>
            <w:vMerge w:val="continue"/>
            <w:tcBorders>
              <w:tl2br w:val="nil"/>
              <w:tr2bl w:val="nil"/>
            </w:tcBorders>
            <w:shd w:val="clear" w:color="auto" w:fill="auto"/>
            <w:vAlign w:val="center"/>
          </w:tcPr>
          <w:p w14:paraId="2DDD8E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00" w:type="dxa"/>
            <w:vMerge w:val="continue"/>
            <w:tcBorders>
              <w:tl2br w:val="nil"/>
              <w:tr2bl w:val="nil"/>
            </w:tcBorders>
            <w:shd w:val="clear" w:color="auto" w:fill="auto"/>
            <w:vAlign w:val="center"/>
          </w:tcPr>
          <w:p w14:paraId="458DADD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p>
        </w:tc>
        <w:tc>
          <w:tcPr>
            <w:tcW w:w="889" w:type="dxa"/>
            <w:tcBorders>
              <w:tl2br w:val="nil"/>
              <w:tr2bl w:val="nil"/>
            </w:tcBorders>
            <w:shd w:val="clear" w:color="auto" w:fill="auto"/>
            <w:vAlign w:val="center"/>
          </w:tcPr>
          <w:p w14:paraId="328458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非甲烷总烃</w:t>
            </w:r>
          </w:p>
        </w:tc>
        <w:tc>
          <w:tcPr>
            <w:tcW w:w="622" w:type="dxa"/>
            <w:tcBorders>
              <w:tl2br w:val="nil"/>
              <w:tr2bl w:val="nil"/>
            </w:tcBorders>
            <w:shd w:val="clear" w:color="auto" w:fill="auto"/>
            <w:vAlign w:val="center"/>
          </w:tcPr>
          <w:p w14:paraId="74545D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15m</w:t>
            </w:r>
          </w:p>
        </w:tc>
        <w:tc>
          <w:tcPr>
            <w:tcW w:w="672" w:type="dxa"/>
            <w:tcBorders>
              <w:tl2br w:val="nil"/>
              <w:tr2bl w:val="nil"/>
            </w:tcBorders>
            <w:shd w:val="clear" w:color="auto" w:fill="auto"/>
            <w:vAlign w:val="center"/>
          </w:tcPr>
          <w:p w14:paraId="32E876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常温</w:t>
            </w:r>
          </w:p>
        </w:tc>
        <w:tc>
          <w:tcPr>
            <w:tcW w:w="680" w:type="dxa"/>
            <w:tcBorders>
              <w:tl2br w:val="nil"/>
              <w:tr2bl w:val="nil"/>
            </w:tcBorders>
            <w:shd w:val="clear" w:color="auto" w:fill="auto"/>
            <w:vAlign w:val="center"/>
          </w:tcPr>
          <w:p w14:paraId="196BE4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6</w:t>
            </w:r>
          </w:p>
        </w:tc>
        <w:tc>
          <w:tcPr>
            <w:tcW w:w="819" w:type="dxa"/>
            <w:tcBorders>
              <w:tl2br w:val="nil"/>
              <w:tr2bl w:val="nil"/>
            </w:tcBorders>
            <w:shd w:val="clear" w:color="auto" w:fill="auto"/>
            <w:vAlign w:val="center"/>
          </w:tcPr>
          <w:p w14:paraId="59C5E986">
            <w:pPr>
              <w:keepNext w:val="0"/>
              <w:keepLines w:val="0"/>
              <w:widowControl/>
              <w:suppressLineNumbers w:val="0"/>
              <w:jc w:val="center"/>
              <w:textAlignment w:val="center"/>
              <w:rPr>
                <w:rFonts w:hint="eastAsia"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6600</w:t>
            </w:r>
          </w:p>
        </w:tc>
        <w:tc>
          <w:tcPr>
            <w:tcW w:w="837" w:type="dxa"/>
            <w:vMerge w:val="continue"/>
            <w:tcBorders>
              <w:tl2br w:val="nil"/>
              <w:tr2bl w:val="nil"/>
            </w:tcBorders>
            <w:shd w:val="clear" w:color="auto" w:fill="auto"/>
            <w:vAlign w:val="center"/>
          </w:tcPr>
          <w:p w14:paraId="792148FD">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c>
          <w:tcPr>
            <w:tcW w:w="1141" w:type="dxa"/>
            <w:vMerge w:val="continue"/>
            <w:tcBorders>
              <w:tl2br w:val="nil"/>
              <w:tr2bl w:val="nil"/>
            </w:tcBorders>
            <w:shd w:val="clear" w:color="auto" w:fill="auto"/>
            <w:vAlign w:val="center"/>
          </w:tcPr>
          <w:p w14:paraId="51B4F1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27" w:type="dxa"/>
            <w:vMerge w:val="continue"/>
            <w:tcBorders>
              <w:tl2br w:val="nil"/>
              <w:tr2bl w:val="nil"/>
            </w:tcBorders>
            <w:shd w:val="clear" w:color="auto" w:fill="auto"/>
            <w:vAlign w:val="center"/>
          </w:tcPr>
          <w:p w14:paraId="231ADC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1109" w:type="dxa"/>
            <w:tcBorders>
              <w:tl2br w:val="nil"/>
              <w:tr2bl w:val="nil"/>
            </w:tcBorders>
            <w:shd w:val="clear" w:color="auto" w:fill="auto"/>
            <w:vAlign w:val="center"/>
          </w:tcPr>
          <w:p w14:paraId="59441929">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4.2200 </w:t>
            </w:r>
          </w:p>
        </w:tc>
        <w:tc>
          <w:tcPr>
            <w:tcW w:w="1163" w:type="dxa"/>
            <w:tcBorders>
              <w:tl2br w:val="nil"/>
              <w:tr2bl w:val="nil"/>
            </w:tcBorders>
            <w:shd w:val="clear" w:color="auto" w:fill="auto"/>
            <w:vAlign w:val="center"/>
          </w:tcPr>
          <w:p w14:paraId="12B743CD">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0.1055 </w:t>
            </w:r>
          </w:p>
        </w:tc>
        <w:tc>
          <w:tcPr>
            <w:tcW w:w="1098" w:type="dxa"/>
            <w:tcBorders>
              <w:tl2br w:val="nil"/>
              <w:tr2bl w:val="nil"/>
            </w:tcBorders>
            <w:shd w:val="clear" w:color="auto" w:fill="auto"/>
            <w:vAlign w:val="center"/>
          </w:tcPr>
          <w:p w14:paraId="6344C892">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0.6963 </w:t>
            </w:r>
          </w:p>
        </w:tc>
        <w:tc>
          <w:tcPr>
            <w:tcW w:w="1032" w:type="dxa"/>
            <w:tcBorders>
              <w:tl2br w:val="nil"/>
              <w:tr2bl w:val="nil"/>
            </w:tcBorders>
            <w:shd w:val="clear" w:color="auto" w:fill="auto"/>
            <w:vAlign w:val="center"/>
          </w:tcPr>
          <w:p w14:paraId="7F9DFA15">
            <w:pPr>
              <w:jc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866" w:type="dxa"/>
            <w:tcBorders>
              <w:tl2br w:val="nil"/>
              <w:tr2bl w:val="nil"/>
            </w:tcBorders>
            <w:shd w:val="clear" w:color="auto" w:fill="auto"/>
            <w:vAlign w:val="center"/>
          </w:tcPr>
          <w:p w14:paraId="2684A589">
            <w:pPr>
              <w:pStyle w:val="2"/>
              <w:jc w:val="center"/>
              <w:rPr>
                <w:rFonts w:hint="default"/>
                <w:lang w:val="en-US" w:eastAsia="zh-CN"/>
              </w:rPr>
            </w:pPr>
            <w:r>
              <w:rPr>
                <w:rFonts w:hint="eastAsia"/>
                <w:lang w:val="en-US" w:eastAsia="zh-CN"/>
              </w:rPr>
              <w:t>/</w:t>
            </w:r>
          </w:p>
        </w:tc>
      </w:tr>
      <w:tr w14:paraId="42F9AA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5" w:hRule="atLeast"/>
          <w:jc w:val="center"/>
        </w:trPr>
        <w:tc>
          <w:tcPr>
            <w:tcW w:w="623" w:type="dxa"/>
            <w:vMerge w:val="continue"/>
            <w:tcBorders>
              <w:tl2br w:val="nil"/>
              <w:tr2bl w:val="nil"/>
            </w:tcBorders>
            <w:shd w:val="clear" w:color="auto" w:fill="auto"/>
            <w:vAlign w:val="center"/>
          </w:tcPr>
          <w:p w14:paraId="1C9D0A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00" w:type="dxa"/>
            <w:vMerge w:val="continue"/>
            <w:tcBorders>
              <w:tl2br w:val="nil"/>
              <w:tr2bl w:val="nil"/>
            </w:tcBorders>
            <w:shd w:val="clear" w:color="auto" w:fill="auto"/>
            <w:vAlign w:val="center"/>
          </w:tcPr>
          <w:p w14:paraId="5C56E76C">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p>
        </w:tc>
        <w:tc>
          <w:tcPr>
            <w:tcW w:w="889" w:type="dxa"/>
            <w:tcBorders>
              <w:tl2br w:val="nil"/>
              <w:tr2bl w:val="nil"/>
            </w:tcBorders>
            <w:shd w:val="clear" w:color="auto" w:fill="auto"/>
            <w:vAlign w:val="center"/>
          </w:tcPr>
          <w:p w14:paraId="424C68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w:t>
            </w:r>
            <w:r>
              <w:rPr>
                <w:rFonts w:hint="default" w:ascii="Times New Roman" w:hAnsi="Times New Roman" w:eastAsia="宋体" w:cs="Times New Roman"/>
                <w:i w:val="0"/>
                <w:iCs w:val="0"/>
                <w:color w:val="000000"/>
                <w:kern w:val="0"/>
                <w:sz w:val="18"/>
                <w:szCs w:val="18"/>
                <w:u w:val="none"/>
                <w:vertAlign w:val="sub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S</w:t>
            </w:r>
          </w:p>
        </w:tc>
        <w:tc>
          <w:tcPr>
            <w:tcW w:w="622" w:type="dxa"/>
            <w:tcBorders>
              <w:tl2br w:val="nil"/>
              <w:tr2bl w:val="nil"/>
            </w:tcBorders>
            <w:shd w:val="clear" w:color="auto" w:fill="auto"/>
            <w:vAlign w:val="center"/>
          </w:tcPr>
          <w:p w14:paraId="33FA38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15m</w:t>
            </w:r>
          </w:p>
        </w:tc>
        <w:tc>
          <w:tcPr>
            <w:tcW w:w="672" w:type="dxa"/>
            <w:tcBorders>
              <w:tl2br w:val="nil"/>
              <w:tr2bl w:val="nil"/>
            </w:tcBorders>
            <w:shd w:val="clear" w:color="auto" w:fill="auto"/>
            <w:vAlign w:val="center"/>
          </w:tcPr>
          <w:p w14:paraId="5D0367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常温</w:t>
            </w:r>
          </w:p>
        </w:tc>
        <w:tc>
          <w:tcPr>
            <w:tcW w:w="680" w:type="dxa"/>
            <w:tcBorders>
              <w:tl2br w:val="nil"/>
              <w:tr2bl w:val="nil"/>
            </w:tcBorders>
            <w:shd w:val="clear" w:color="auto" w:fill="auto"/>
            <w:vAlign w:val="center"/>
          </w:tcPr>
          <w:p w14:paraId="5A64AB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6</w:t>
            </w:r>
          </w:p>
        </w:tc>
        <w:tc>
          <w:tcPr>
            <w:tcW w:w="819" w:type="dxa"/>
            <w:tcBorders>
              <w:tl2br w:val="nil"/>
              <w:tr2bl w:val="nil"/>
            </w:tcBorders>
            <w:shd w:val="clear" w:color="auto" w:fill="auto"/>
            <w:vAlign w:val="center"/>
          </w:tcPr>
          <w:p w14:paraId="2880E71F">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000000"/>
                <w:kern w:val="0"/>
                <w:sz w:val="18"/>
                <w:szCs w:val="18"/>
                <w:u w:val="none"/>
                <w:lang w:val="en-US" w:eastAsia="zh-CN" w:bidi="ar"/>
              </w:rPr>
              <w:t>6600</w:t>
            </w:r>
          </w:p>
        </w:tc>
        <w:tc>
          <w:tcPr>
            <w:tcW w:w="837" w:type="dxa"/>
            <w:vMerge w:val="continue"/>
            <w:tcBorders>
              <w:tl2br w:val="nil"/>
              <w:tr2bl w:val="nil"/>
            </w:tcBorders>
            <w:shd w:val="clear" w:color="auto" w:fill="auto"/>
            <w:vAlign w:val="center"/>
          </w:tcPr>
          <w:p w14:paraId="6A1980F5">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c>
          <w:tcPr>
            <w:tcW w:w="1141" w:type="dxa"/>
            <w:vMerge w:val="continue"/>
            <w:tcBorders>
              <w:tl2br w:val="nil"/>
              <w:tr2bl w:val="nil"/>
            </w:tcBorders>
            <w:shd w:val="clear" w:color="auto" w:fill="auto"/>
            <w:vAlign w:val="center"/>
          </w:tcPr>
          <w:p w14:paraId="0C4A83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27" w:type="dxa"/>
            <w:vMerge w:val="continue"/>
            <w:tcBorders>
              <w:tl2br w:val="nil"/>
              <w:tr2bl w:val="nil"/>
            </w:tcBorders>
            <w:shd w:val="clear" w:color="auto" w:fill="auto"/>
            <w:vAlign w:val="center"/>
          </w:tcPr>
          <w:p w14:paraId="073F40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1109" w:type="dxa"/>
            <w:tcBorders>
              <w:tl2br w:val="nil"/>
              <w:tr2bl w:val="nil"/>
            </w:tcBorders>
            <w:shd w:val="clear" w:color="auto" w:fill="auto"/>
            <w:vAlign w:val="center"/>
          </w:tcPr>
          <w:p w14:paraId="655186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 xml:space="preserve">0.0606 </w:t>
            </w:r>
          </w:p>
        </w:tc>
        <w:tc>
          <w:tcPr>
            <w:tcW w:w="1163" w:type="dxa"/>
            <w:tcBorders>
              <w:tl2br w:val="nil"/>
              <w:tr2bl w:val="nil"/>
            </w:tcBorders>
            <w:shd w:val="clear" w:color="auto" w:fill="auto"/>
            <w:vAlign w:val="center"/>
          </w:tcPr>
          <w:p w14:paraId="75E3CD67">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0.0015 </w:t>
            </w:r>
          </w:p>
        </w:tc>
        <w:tc>
          <w:tcPr>
            <w:tcW w:w="1098" w:type="dxa"/>
            <w:tcBorders>
              <w:tl2br w:val="nil"/>
              <w:tr2bl w:val="nil"/>
            </w:tcBorders>
            <w:shd w:val="clear" w:color="auto" w:fill="auto"/>
            <w:vAlign w:val="center"/>
          </w:tcPr>
          <w:p w14:paraId="023A7238">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0.0100 </w:t>
            </w:r>
          </w:p>
        </w:tc>
        <w:tc>
          <w:tcPr>
            <w:tcW w:w="1032" w:type="dxa"/>
            <w:tcBorders>
              <w:tl2br w:val="nil"/>
              <w:tr2bl w:val="nil"/>
            </w:tcBorders>
            <w:shd w:val="clear" w:color="auto" w:fill="auto"/>
            <w:vAlign w:val="center"/>
          </w:tcPr>
          <w:p w14:paraId="09E5DD7F">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c>
          <w:tcPr>
            <w:tcW w:w="866" w:type="dxa"/>
            <w:tcBorders>
              <w:tl2br w:val="nil"/>
              <w:tr2bl w:val="nil"/>
            </w:tcBorders>
            <w:shd w:val="clear" w:color="auto" w:fill="auto"/>
            <w:vAlign w:val="center"/>
          </w:tcPr>
          <w:p w14:paraId="7B201230">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1.5</w:t>
            </w:r>
          </w:p>
        </w:tc>
      </w:tr>
      <w:tr w14:paraId="40B160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5" w:hRule="atLeast"/>
          <w:jc w:val="center"/>
        </w:trPr>
        <w:tc>
          <w:tcPr>
            <w:tcW w:w="623" w:type="dxa"/>
            <w:vMerge w:val="continue"/>
            <w:tcBorders>
              <w:tl2br w:val="nil"/>
              <w:tr2bl w:val="nil"/>
            </w:tcBorders>
            <w:shd w:val="clear" w:color="auto" w:fill="auto"/>
            <w:vAlign w:val="center"/>
          </w:tcPr>
          <w:p w14:paraId="5642EA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00" w:type="dxa"/>
            <w:vMerge w:val="restart"/>
            <w:tcBorders>
              <w:tl2br w:val="nil"/>
              <w:tr2bl w:val="nil"/>
            </w:tcBorders>
            <w:shd w:val="clear" w:color="auto" w:fill="auto"/>
            <w:vAlign w:val="center"/>
          </w:tcPr>
          <w:p w14:paraId="77421650">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硫化</w:t>
            </w:r>
            <w:r>
              <w:rPr>
                <w:rFonts w:hint="default" w:cs="Times New Roman"/>
                <w:i w:val="0"/>
                <w:iCs w:val="0"/>
                <w:color w:val="auto"/>
                <w:kern w:val="0"/>
                <w:sz w:val="21"/>
                <w:szCs w:val="21"/>
                <w:highlight w:val="none"/>
                <w:u w:val="none"/>
                <w:lang w:val="en-US" w:eastAsia="zh-CN" w:bidi="ar"/>
              </w:rPr>
              <w:t>（DA00</w:t>
            </w:r>
            <w:r>
              <w:rPr>
                <w:rFonts w:hint="eastAsia" w:cs="Times New Roman"/>
                <w:i w:val="0"/>
                <w:iCs w:val="0"/>
                <w:color w:val="auto"/>
                <w:kern w:val="0"/>
                <w:sz w:val="21"/>
                <w:szCs w:val="21"/>
                <w:highlight w:val="none"/>
                <w:u w:val="none"/>
                <w:lang w:val="en-US" w:eastAsia="zh-CN" w:bidi="ar"/>
              </w:rPr>
              <w:t>1</w:t>
            </w:r>
            <w:r>
              <w:rPr>
                <w:rFonts w:hint="default" w:cs="Times New Roman"/>
                <w:i w:val="0"/>
                <w:iCs w:val="0"/>
                <w:color w:val="auto"/>
                <w:kern w:val="0"/>
                <w:sz w:val="21"/>
                <w:szCs w:val="21"/>
                <w:highlight w:val="none"/>
                <w:u w:val="none"/>
                <w:lang w:val="en-US" w:eastAsia="zh-CN" w:bidi="ar"/>
              </w:rPr>
              <w:t>）</w:t>
            </w:r>
          </w:p>
        </w:tc>
        <w:tc>
          <w:tcPr>
            <w:tcW w:w="889" w:type="dxa"/>
            <w:tcBorders>
              <w:tl2br w:val="nil"/>
              <w:tr2bl w:val="nil"/>
            </w:tcBorders>
            <w:shd w:val="clear" w:color="auto" w:fill="auto"/>
            <w:vAlign w:val="center"/>
          </w:tcPr>
          <w:p w14:paraId="033EFA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非甲烷总烃</w:t>
            </w:r>
          </w:p>
        </w:tc>
        <w:tc>
          <w:tcPr>
            <w:tcW w:w="622" w:type="dxa"/>
            <w:tcBorders>
              <w:tl2br w:val="nil"/>
              <w:tr2bl w:val="nil"/>
            </w:tcBorders>
            <w:shd w:val="clear" w:color="auto" w:fill="auto"/>
            <w:vAlign w:val="center"/>
          </w:tcPr>
          <w:p w14:paraId="406091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15m</w:t>
            </w:r>
          </w:p>
        </w:tc>
        <w:tc>
          <w:tcPr>
            <w:tcW w:w="672" w:type="dxa"/>
            <w:tcBorders>
              <w:tl2br w:val="nil"/>
              <w:tr2bl w:val="nil"/>
            </w:tcBorders>
            <w:shd w:val="clear" w:color="auto" w:fill="auto"/>
            <w:vAlign w:val="center"/>
          </w:tcPr>
          <w:p w14:paraId="454958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常温</w:t>
            </w:r>
          </w:p>
        </w:tc>
        <w:tc>
          <w:tcPr>
            <w:tcW w:w="680" w:type="dxa"/>
            <w:tcBorders>
              <w:tl2br w:val="nil"/>
              <w:tr2bl w:val="nil"/>
            </w:tcBorders>
            <w:shd w:val="clear" w:color="auto" w:fill="auto"/>
            <w:vAlign w:val="center"/>
          </w:tcPr>
          <w:p w14:paraId="481D22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8</w:t>
            </w:r>
          </w:p>
        </w:tc>
        <w:tc>
          <w:tcPr>
            <w:tcW w:w="819" w:type="dxa"/>
            <w:tcBorders>
              <w:tl2br w:val="nil"/>
              <w:tr2bl w:val="nil"/>
            </w:tcBorders>
            <w:shd w:val="clear" w:color="auto" w:fill="auto"/>
            <w:vAlign w:val="center"/>
          </w:tcPr>
          <w:p w14:paraId="02ECEEB2">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000000"/>
                <w:kern w:val="0"/>
                <w:sz w:val="18"/>
                <w:szCs w:val="18"/>
                <w:u w:val="none"/>
                <w:lang w:val="en-US" w:eastAsia="zh-CN" w:bidi="ar"/>
              </w:rPr>
              <w:t>220</w:t>
            </w:r>
          </w:p>
        </w:tc>
        <w:tc>
          <w:tcPr>
            <w:tcW w:w="837" w:type="dxa"/>
            <w:vMerge w:val="restart"/>
            <w:tcBorders>
              <w:tl2br w:val="nil"/>
              <w:tr2bl w:val="nil"/>
            </w:tcBorders>
            <w:shd w:val="clear" w:color="auto" w:fill="auto"/>
            <w:vAlign w:val="center"/>
          </w:tcPr>
          <w:p w14:paraId="1EE1F0B7">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DA001</w:t>
            </w:r>
          </w:p>
        </w:tc>
        <w:tc>
          <w:tcPr>
            <w:tcW w:w="1141" w:type="dxa"/>
            <w:vMerge w:val="restart"/>
            <w:tcBorders>
              <w:tl2br w:val="nil"/>
              <w:tr2bl w:val="nil"/>
            </w:tcBorders>
            <w:shd w:val="clear" w:color="auto" w:fill="auto"/>
            <w:vAlign w:val="center"/>
          </w:tcPr>
          <w:p w14:paraId="110C5C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一般排放口</w:t>
            </w:r>
          </w:p>
        </w:tc>
        <w:tc>
          <w:tcPr>
            <w:tcW w:w="1327" w:type="dxa"/>
            <w:vMerge w:val="restart"/>
            <w:tcBorders>
              <w:tl2br w:val="nil"/>
              <w:tr2bl w:val="nil"/>
            </w:tcBorders>
            <w:shd w:val="clear" w:color="auto" w:fill="auto"/>
            <w:vAlign w:val="center"/>
          </w:tcPr>
          <w:p w14:paraId="6A1DF4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rPr>
              <w:t>105 .28036</w:t>
            </w:r>
            <w:r>
              <w:rPr>
                <w:rFonts w:hint="default" w:cs="Times New Roman"/>
                <w:i w:val="0"/>
                <w:iCs w:val="0"/>
                <w:color w:val="auto"/>
                <w:sz w:val="21"/>
                <w:szCs w:val="21"/>
                <w:highlight w:val="none"/>
                <w:u w:val="none"/>
                <w:lang w:val="en-US" w:eastAsia="zh-CN"/>
              </w:rPr>
              <w:t>°</w:t>
            </w:r>
          </w:p>
          <w:p w14:paraId="7944CD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rPr>
              <w:t>3</w:t>
            </w:r>
            <w:r>
              <w:rPr>
                <w:rFonts w:hint="default" w:cs="Times New Roman"/>
                <w:i w:val="0"/>
                <w:iCs w:val="0"/>
                <w:color w:val="auto"/>
                <w:sz w:val="21"/>
                <w:szCs w:val="21"/>
                <w:highlight w:val="none"/>
                <w:u w:val="none"/>
                <w:lang w:val="en-US" w:eastAsia="zh-CN"/>
              </w:rPr>
              <w:t>0</w:t>
            </w:r>
            <w:r>
              <w:rPr>
                <w:rFonts w:hint="default" w:ascii="Times New Roman" w:hAnsi="Times New Roman" w:eastAsia="宋体" w:cs="Times New Roman"/>
                <w:i w:val="0"/>
                <w:iCs w:val="0"/>
                <w:color w:val="auto"/>
                <w:sz w:val="21"/>
                <w:szCs w:val="21"/>
                <w:highlight w:val="none"/>
                <w:u w:val="none"/>
              </w:rPr>
              <w:t xml:space="preserve"> .58073 </w:t>
            </w:r>
            <w:r>
              <w:rPr>
                <w:rFonts w:hint="default" w:cs="Times New Roman"/>
                <w:i w:val="0"/>
                <w:iCs w:val="0"/>
                <w:color w:val="auto"/>
                <w:sz w:val="21"/>
                <w:szCs w:val="21"/>
                <w:highlight w:val="none"/>
                <w:u w:val="none"/>
                <w:lang w:val="en-US" w:eastAsia="zh-CN"/>
              </w:rPr>
              <w:t>°</w:t>
            </w:r>
          </w:p>
        </w:tc>
        <w:tc>
          <w:tcPr>
            <w:tcW w:w="1109" w:type="dxa"/>
            <w:tcBorders>
              <w:tl2br w:val="nil"/>
              <w:tr2bl w:val="nil"/>
            </w:tcBorders>
            <w:shd w:val="clear" w:color="auto" w:fill="auto"/>
            <w:vAlign w:val="center"/>
          </w:tcPr>
          <w:p w14:paraId="1FEEC646">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8.6180 </w:t>
            </w:r>
          </w:p>
        </w:tc>
        <w:tc>
          <w:tcPr>
            <w:tcW w:w="1163" w:type="dxa"/>
            <w:tcBorders>
              <w:tl2br w:val="nil"/>
              <w:tr2bl w:val="nil"/>
            </w:tcBorders>
            <w:shd w:val="clear" w:color="auto" w:fill="auto"/>
            <w:vAlign w:val="center"/>
          </w:tcPr>
          <w:p w14:paraId="417D50C5">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0.2155 </w:t>
            </w:r>
          </w:p>
        </w:tc>
        <w:tc>
          <w:tcPr>
            <w:tcW w:w="1098" w:type="dxa"/>
            <w:tcBorders>
              <w:tl2br w:val="nil"/>
              <w:tr2bl w:val="nil"/>
            </w:tcBorders>
            <w:shd w:val="clear" w:color="auto" w:fill="auto"/>
            <w:vAlign w:val="center"/>
          </w:tcPr>
          <w:p w14:paraId="4CF1E4D6">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0.0474 </w:t>
            </w:r>
          </w:p>
        </w:tc>
        <w:tc>
          <w:tcPr>
            <w:tcW w:w="1032" w:type="dxa"/>
            <w:tcBorders>
              <w:tl2br w:val="nil"/>
              <w:tr2bl w:val="nil"/>
            </w:tcBorders>
            <w:shd w:val="clear" w:color="auto" w:fill="auto"/>
            <w:vAlign w:val="center"/>
          </w:tcPr>
          <w:p w14:paraId="053E238A">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866" w:type="dxa"/>
            <w:tcBorders>
              <w:tl2br w:val="nil"/>
              <w:tr2bl w:val="nil"/>
            </w:tcBorders>
            <w:shd w:val="clear" w:color="auto" w:fill="auto"/>
            <w:vAlign w:val="center"/>
          </w:tcPr>
          <w:p w14:paraId="5567F39F">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r>
      <w:tr w14:paraId="363793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5" w:hRule="atLeast"/>
          <w:jc w:val="center"/>
        </w:trPr>
        <w:tc>
          <w:tcPr>
            <w:tcW w:w="623" w:type="dxa"/>
            <w:vMerge w:val="continue"/>
            <w:tcBorders>
              <w:tl2br w:val="nil"/>
              <w:tr2bl w:val="nil"/>
            </w:tcBorders>
            <w:shd w:val="clear" w:color="auto" w:fill="auto"/>
            <w:vAlign w:val="center"/>
          </w:tcPr>
          <w:p w14:paraId="2323ED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00" w:type="dxa"/>
            <w:vMerge w:val="continue"/>
            <w:tcBorders>
              <w:tl2br w:val="nil"/>
              <w:tr2bl w:val="nil"/>
            </w:tcBorders>
            <w:shd w:val="clear" w:color="auto" w:fill="auto"/>
            <w:vAlign w:val="center"/>
          </w:tcPr>
          <w:p w14:paraId="584564EB">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c>
          <w:tcPr>
            <w:tcW w:w="889" w:type="dxa"/>
            <w:tcBorders>
              <w:tl2br w:val="nil"/>
              <w:tr2bl w:val="nil"/>
            </w:tcBorders>
            <w:shd w:val="clear" w:color="auto" w:fill="auto"/>
            <w:vAlign w:val="center"/>
          </w:tcPr>
          <w:p w14:paraId="2C59952A">
            <w:pPr>
              <w:keepNext w:val="0"/>
              <w:keepLines w:val="0"/>
              <w:widowControl/>
              <w:suppressLineNumbers w:val="0"/>
              <w:jc w:val="center"/>
              <w:textAlignment w:val="center"/>
              <w:rPr>
                <w:rFonts w:hint="eastAsia" w:cs="Times New Roman"/>
                <w:color w:val="auto"/>
                <w:kern w:val="0"/>
                <w:szCs w:val="21"/>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w:t>
            </w:r>
            <w:r>
              <w:rPr>
                <w:rFonts w:hint="default" w:ascii="Times New Roman" w:hAnsi="Times New Roman" w:eastAsia="宋体" w:cs="Times New Roman"/>
                <w:i w:val="0"/>
                <w:iCs w:val="0"/>
                <w:color w:val="000000"/>
                <w:kern w:val="0"/>
                <w:sz w:val="18"/>
                <w:szCs w:val="18"/>
                <w:u w:val="none"/>
                <w:vertAlign w:val="sub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S</w:t>
            </w:r>
          </w:p>
        </w:tc>
        <w:tc>
          <w:tcPr>
            <w:tcW w:w="622" w:type="dxa"/>
            <w:tcBorders>
              <w:tl2br w:val="nil"/>
              <w:tr2bl w:val="nil"/>
            </w:tcBorders>
            <w:shd w:val="clear" w:color="auto" w:fill="auto"/>
            <w:vAlign w:val="center"/>
          </w:tcPr>
          <w:p w14:paraId="37F388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15m</w:t>
            </w:r>
          </w:p>
        </w:tc>
        <w:tc>
          <w:tcPr>
            <w:tcW w:w="672" w:type="dxa"/>
            <w:tcBorders>
              <w:tl2br w:val="nil"/>
              <w:tr2bl w:val="nil"/>
            </w:tcBorders>
            <w:shd w:val="clear" w:color="auto" w:fill="auto"/>
            <w:vAlign w:val="center"/>
          </w:tcPr>
          <w:p w14:paraId="3C3A07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常温</w:t>
            </w:r>
          </w:p>
        </w:tc>
        <w:tc>
          <w:tcPr>
            <w:tcW w:w="680" w:type="dxa"/>
            <w:tcBorders>
              <w:tl2br w:val="nil"/>
              <w:tr2bl w:val="nil"/>
            </w:tcBorders>
            <w:shd w:val="clear" w:color="auto" w:fill="auto"/>
            <w:vAlign w:val="center"/>
          </w:tcPr>
          <w:p w14:paraId="3C95AB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8</w:t>
            </w:r>
          </w:p>
        </w:tc>
        <w:tc>
          <w:tcPr>
            <w:tcW w:w="819" w:type="dxa"/>
            <w:tcBorders>
              <w:tl2br w:val="nil"/>
              <w:tr2bl w:val="nil"/>
            </w:tcBorders>
            <w:shd w:val="clear" w:color="auto" w:fill="auto"/>
            <w:vAlign w:val="center"/>
          </w:tcPr>
          <w:p w14:paraId="1AB2FEE7">
            <w:pPr>
              <w:keepNext w:val="0"/>
              <w:keepLines w:val="0"/>
              <w:widowControl/>
              <w:suppressLineNumbers w:val="0"/>
              <w:jc w:val="center"/>
              <w:textAlignment w:val="center"/>
              <w:rPr>
                <w:rFonts w:hint="eastAsia"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220</w:t>
            </w:r>
          </w:p>
        </w:tc>
        <w:tc>
          <w:tcPr>
            <w:tcW w:w="837" w:type="dxa"/>
            <w:vMerge w:val="continue"/>
            <w:tcBorders>
              <w:tl2br w:val="nil"/>
              <w:tr2bl w:val="nil"/>
            </w:tcBorders>
            <w:shd w:val="clear" w:color="auto" w:fill="auto"/>
            <w:vAlign w:val="center"/>
          </w:tcPr>
          <w:p w14:paraId="374A9108">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c>
          <w:tcPr>
            <w:tcW w:w="1141" w:type="dxa"/>
            <w:vMerge w:val="continue"/>
            <w:tcBorders>
              <w:tl2br w:val="nil"/>
              <w:tr2bl w:val="nil"/>
            </w:tcBorders>
            <w:shd w:val="clear" w:color="auto" w:fill="auto"/>
            <w:vAlign w:val="center"/>
          </w:tcPr>
          <w:p w14:paraId="71F614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27" w:type="dxa"/>
            <w:vMerge w:val="continue"/>
            <w:tcBorders>
              <w:tl2br w:val="nil"/>
              <w:tr2bl w:val="nil"/>
            </w:tcBorders>
            <w:shd w:val="clear" w:color="auto" w:fill="auto"/>
            <w:vAlign w:val="center"/>
          </w:tcPr>
          <w:p w14:paraId="67FE71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1109" w:type="dxa"/>
            <w:tcBorders>
              <w:tl2br w:val="nil"/>
              <w:tr2bl w:val="nil"/>
            </w:tcBorders>
            <w:shd w:val="clear" w:color="auto" w:fill="auto"/>
            <w:vAlign w:val="center"/>
          </w:tcPr>
          <w:p w14:paraId="0FFBD2EB">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0.9300 </w:t>
            </w:r>
          </w:p>
        </w:tc>
        <w:tc>
          <w:tcPr>
            <w:tcW w:w="1163" w:type="dxa"/>
            <w:tcBorders>
              <w:tl2br w:val="nil"/>
              <w:tr2bl w:val="nil"/>
            </w:tcBorders>
            <w:shd w:val="clear" w:color="auto" w:fill="auto"/>
            <w:vAlign w:val="center"/>
          </w:tcPr>
          <w:p w14:paraId="692EF295">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0.0233 </w:t>
            </w:r>
          </w:p>
        </w:tc>
        <w:tc>
          <w:tcPr>
            <w:tcW w:w="1098" w:type="dxa"/>
            <w:tcBorders>
              <w:tl2br w:val="nil"/>
              <w:tr2bl w:val="nil"/>
            </w:tcBorders>
            <w:shd w:val="clear" w:color="auto" w:fill="auto"/>
            <w:vAlign w:val="center"/>
          </w:tcPr>
          <w:p w14:paraId="2A7543EF">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0.0051 </w:t>
            </w:r>
          </w:p>
        </w:tc>
        <w:tc>
          <w:tcPr>
            <w:tcW w:w="1032" w:type="dxa"/>
            <w:tcBorders>
              <w:tl2br w:val="nil"/>
              <w:tr2bl w:val="nil"/>
            </w:tcBorders>
            <w:shd w:val="clear" w:color="auto" w:fill="auto"/>
            <w:vAlign w:val="center"/>
          </w:tcPr>
          <w:p w14:paraId="7C1E495D">
            <w:pPr>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c>
          <w:tcPr>
            <w:tcW w:w="866" w:type="dxa"/>
            <w:tcBorders>
              <w:tl2br w:val="nil"/>
              <w:tr2bl w:val="nil"/>
            </w:tcBorders>
            <w:shd w:val="clear" w:color="auto" w:fill="auto"/>
            <w:vAlign w:val="center"/>
          </w:tcPr>
          <w:p w14:paraId="3B037497">
            <w:pPr>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1.5</w:t>
            </w:r>
          </w:p>
        </w:tc>
      </w:tr>
      <w:tr w14:paraId="761FB1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5" w:hRule="atLeast"/>
          <w:jc w:val="center"/>
        </w:trPr>
        <w:tc>
          <w:tcPr>
            <w:tcW w:w="623" w:type="dxa"/>
            <w:vMerge w:val="continue"/>
            <w:tcBorders>
              <w:tl2br w:val="nil"/>
              <w:tr2bl w:val="nil"/>
            </w:tcBorders>
            <w:shd w:val="clear" w:color="auto" w:fill="auto"/>
            <w:vAlign w:val="center"/>
          </w:tcPr>
          <w:p w14:paraId="11E92C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00" w:type="dxa"/>
            <w:vMerge w:val="continue"/>
            <w:tcBorders>
              <w:tl2br w:val="nil"/>
              <w:tr2bl w:val="nil"/>
            </w:tcBorders>
            <w:shd w:val="clear" w:color="auto" w:fill="auto"/>
            <w:vAlign w:val="center"/>
          </w:tcPr>
          <w:p w14:paraId="1FAD5B74">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c>
          <w:tcPr>
            <w:tcW w:w="889" w:type="dxa"/>
            <w:tcBorders>
              <w:tl2br w:val="nil"/>
              <w:tr2bl w:val="nil"/>
            </w:tcBorders>
            <w:shd w:val="clear" w:color="auto" w:fill="auto"/>
            <w:vAlign w:val="center"/>
          </w:tcPr>
          <w:p w14:paraId="318C76D4">
            <w:pPr>
              <w:keepNext w:val="0"/>
              <w:keepLines w:val="0"/>
              <w:widowControl/>
              <w:suppressLineNumbers w:val="0"/>
              <w:jc w:val="center"/>
              <w:textAlignment w:val="center"/>
              <w:rPr>
                <w:rFonts w:hint="eastAsia" w:cs="Times New Roman"/>
                <w:color w:val="auto"/>
                <w:kern w:val="0"/>
                <w:szCs w:val="21"/>
                <w:highlight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H</w:t>
            </w:r>
            <w:r>
              <w:rPr>
                <w:rFonts w:hint="default" w:ascii="Times New Roman" w:hAnsi="Times New Roman" w:eastAsia="宋体" w:cs="Times New Roman"/>
                <w:i w:val="0"/>
                <w:iCs w:val="0"/>
                <w:color w:val="000000"/>
                <w:kern w:val="0"/>
                <w:sz w:val="18"/>
                <w:szCs w:val="18"/>
                <w:u w:val="none"/>
                <w:vertAlign w:val="sub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S</w:t>
            </w:r>
          </w:p>
        </w:tc>
        <w:tc>
          <w:tcPr>
            <w:tcW w:w="622" w:type="dxa"/>
            <w:tcBorders>
              <w:tl2br w:val="nil"/>
              <w:tr2bl w:val="nil"/>
            </w:tcBorders>
            <w:shd w:val="clear" w:color="auto" w:fill="auto"/>
            <w:vAlign w:val="center"/>
          </w:tcPr>
          <w:p w14:paraId="452918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15m</w:t>
            </w:r>
          </w:p>
        </w:tc>
        <w:tc>
          <w:tcPr>
            <w:tcW w:w="672" w:type="dxa"/>
            <w:tcBorders>
              <w:tl2br w:val="nil"/>
              <w:tr2bl w:val="nil"/>
            </w:tcBorders>
            <w:shd w:val="clear" w:color="auto" w:fill="auto"/>
            <w:vAlign w:val="center"/>
          </w:tcPr>
          <w:p w14:paraId="618824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常温</w:t>
            </w:r>
          </w:p>
        </w:tc>
        <w:tc>
          <w:tcPr>
            <w:tcW w:w="680" w:type="dxa"/>
            <w:tcBorders>
              <w:tl2br w:val="nil"/>
              <w:tr2bl w:val="nil"/>
            </w:tcBorders>
            <w:shd w:val="clear" w:color="auto" w:fill="auto"/>
            <w:vAlign w:val="center"/>
          </w:tcPr>
          <w:p w14:paraId="3CAB67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8</w:t>
            </w:r>
          </w:p>
        </w:tc>
        <w:tc>
          <w:tcPr>
            <w:tcW w:w="819" w:type="dxa"/>
            <w:tcBorders>
              <w:tl2br w:val="nil"/>
              <w:tr2bl w:val="nil"/>
            </w:tcBorders>
            <w:shd w:val="clear" w:color="auto" w:fill="auto"/>
            <w:vAlign w:val="center"/>
          </w:tcPr>
          <w:p w14:paraId="756D2766">
            <w:pPr>
              <w:keepNext w:val="0"/>
              <w:keepLines w:val="0"/>
              <w:widowControl/>
              <w:suppressLineNumbers w:val="0"/>
              <w:jc w:val="center"/>
              <w:textAlignment w:val="center"/>
              <w:rPr>
                <w:rFonts w:hint="eastAsia"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2200</w:t>
            </w:r>
          </w:p>
        </w:tc>
        <w:tc>
          <w:tcPr>
            <w:tcW w:w="837" w:type="dxa"/>
            <w:vMerge w:val="continue"/>
            <w:tcBorders>
              <w:tl2br w:val="nil"/>
              <w:tr2bl w:val="nil"/>
            </w:tcBorders>
            <w:shd w:val="clear" w:color="auto" w:fill="auto"/>
            <w:vAlign w:val="center"/>
          </w:tcPr>
          <w:p w14:paraId="28263732">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p>
        </w:tc>
        <w:tc>
          <w:tcPr>
            <w:tcW w:w="1141" w:type="dxa"/>
            <w:vMerge w:val="continue"/>
            <w:tcBorders>
              <w:tl2br w:val="nil"/>
              <w:tr2bl w:val="nil"/>
            </w:tcBorders>
            <w:shd w:val="clear" w:color="auto" w:fill="auto"/>
            <w:vAlign w:val="center"/>
          </w:tcPr>
          <w:p w14:paraId="7292D3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27" w:type="dxa"/>
            <w:vMerge w:val="continue"/>
            <w:tcBorders>
              <w:tl2br w:val="nil"/>
              <w:tr2bl w:val="nil"/>
            </w:tcBorders>
            <w:shd w:val="clear" w:color="auto" w:fill="auto"/>
            <w:vAlign w:val="center"/>
          </w:tcPr>
          <w:p w14:paraId="289D83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1109" w:type="dxa"/>
            <w:tcBorders>
              <w:tl2br w:val="nil"/>
              <w:tr2bl w:val="nil"/>
            </w:tcBorders>
            <w:shd w:val="clear" w:color="auto" w:fill="auto"/>
            <w:vAlign w:val="center"/>
          </w:tcPr>
          <w:p w14:paraId="5916F54F">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0.7224 </w:t>
            </w:r>
          </w:p>
        </w:tc>
        <w:tc>
          <w:tcPr>
            <w:tcW w:w="1163" w:type="dxa"/>
            <w:tcBorders>
              <w:tl2br w:val="nil"/>
              <w:tr2bl w:val="nil"/>
            </w:tcBorders>
            <w:shd w:val="clear" w:color="auto" w:fill="auto"/>
            <w:vAlign w:val="center"/>
          </w:tcPr>
          <w:p w14:paraId="719F15D2">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0.0181 </w:t>
            </w:r>
          </w:p>
        </w:tc>
        <w:tc>
          <w:tcPr>
            <w:tcW w:w="1098" w:type="dxa"/>
            <w:tcBorders>
              <w:tl2br w:val="nil"/>
              <w:tr2bl w:val="nil"/>
            </w:tcBorders>
            <w:shd w:val="clear" w:color="auto" w:fill="auto"/>
            <w:vAlign w:val="center"/>
          </w:tcPr>
          <w:p w14:paraId="5B84BE60">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0.0040 </w:t>
            </w:r>
          </w:p>
        </w:tc>
        <w:tc>
          <w:tcPr>
            <w:tcW w:w="1032" w:type="dxa"/>
            <w:tcBorders>
              <w:tl2br w:val="nil"/>
              <w:tr2bl w:val="nil"/>
            </w:tcBorders>
            <w:shd w:val="clear" w:color="auto" w:fill="auto"/>
            <w:vAlign w:val="center"/>
          </w:tcPr>
          <w:p w14:paraId="4B013F61">
            <w:pPr>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c>
          <w:tcPr>
            <w:tcW w:w="866" w:type="dxa"/>
            <w:tcBorders>
              <w:tl2br w:val="nil"/>
              <w:tr2bl w:val="nil"/>
            </w:tcBorders>
            <w:shd w:val="clear" w:color="auto" w:fill="auto"/>
            <w:vAlign w:val="center"/>
          </w:tcPr>
          <w:p w14:paraId="3877D15B">
            <w:pPr>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0.33</w:t>
            </w:r>
          </w:p>
        </w:tc>
      </w:tr>
      <w:tr w14:paraId="2BD9DC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9" w:hRule="atLeast"/>
          <w:jc w:val="center"/>
        </w:trPr>
        <w:tc>
          <w:tcPr>
            <w:tcW w:w="623" w:type="dxa"/>
            <w:vMerge w:val="continue"/>
            <w:tcBorders>
              <w:tl2br w:val="nil"/>
              <w:tr2bl w:val="nil"/>
            </w:tcBorders>
            <w:shd w:val="clear" w:color="auto" w:fill="auto"/>
            <w:vAlign w:val="center"/>
          </w:tcPr>
          <w:p w14:paraId="17E29839">
            <w:pPr>
              <w:jc w:val="center"/>
              <w:rPr>
                <w:rFonts w:hint="default" w:ascii="Times New Roman" w:hAnsi="Times New Roman" w:eastAsia="宋体" w:cs="Times New Roman"/>
                <w:i w:val="0"/>
                <w:iCs w:val="0"/>
                <w:color w:val="auto"/>
                <w:sz w:val="21"/>
                <w:szCs w:val="21"/>
                <w:highlight w:val="none"/>
                <w:u w:val="none"/>
              </w:rPr>
            </w:pPr>
          </w:p>
        </w:tc>
        <w:tc>
          <w:tcPr>
            <w:tcW w:w="1200" w:type="dxa"/>
            <w:vMerge w:val="restart"/>
            <w:tcBorders>
              <w:tl2br w:val="nil"/>
              <w:tr2bl w:val="nil"/>
            </w:tcBorders>
            <w:shd w:val="clear" w:color="auto" w:fill="auto"/>
            <w:vAlign w:val="center"/>
          </w:tcPr>
          <w:p w14:paraId="3CDA42E0">
            <w:pPr>
              <w:jc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cs="Times New Roman"/>
                <w:color w:val="auto"/>
                <w:kern w:val="0"/>
                <w:sz w:val="21"/>
                <w:szCs w:val="21"/>
                <w:highlight w:val="none"/>
                <w:lang w:val="en-US" w:eastAsia="zh-CN" w:bidi="ar"/>
              </w:rPr>
              <w:t>烘干炉天然气燃烧废气</w:t>
            </w:r>
            <w:r>
              <w:rPr>
                <w:rFonts w:hint="default" w:cs="Times New Roman"/>
                <w:color w:val="auto"/>
                <w:kern w:val="0"/>
                <w:sz w:val="21"/>
                <w:szCs w:val="21"/>
                <w:highlight w:val="none"/>
                <w:lang w:val="en-US" w:eastAsia="zh-CN" w:bidi="ar"/>
              </w:rPr>
              <w:t>(DA00</w:t>
            </w:r>
            <w:r>
              <w:rPr>
                <w:rFonts w:hint="eastAsia" w:cs="Times New Roman"/>
                <w:color w:val="auto"/>
                <w:kern w:val="0"/>
                <w:sz w:val="21"/>
                <w:szCs w:val="21"/>
                <w:highlight w:val="none"/>
                <w:lang w:val="en-US" w:eastAsia="zh-CN" w:bidi="ar"/>
              </w:rPr>
              <w:t>8</w:t>
            </w:r>
            <w:r>
              <w:rPr>
                <w:rFonts w:hint="default" w:cs="Times New Roman"/>
                <w:color w:val="auto"/>
                <w:kern w:val="0"/>
                <w:sz w:val="21"/>
                <w:szCs w:val="21"/>
                <w:highlight w:val="none"/>
                <w:lang w:val="en-US" w:eastAsia="zh-CN" w:bidi="ar"/>
              </w:rPr>
              <w:t>)</w:t>
            </w:r>
          </w:p>
        </w:tc>
        <w:tc>
          <w:tcPr>
            <w:tcW w:w="889" w:type="dxa"/>
            <w:tcBorders>
              <w:tl2br w:val="nil"/>
              <w:tr2bl w:val="nil"/>
            </w:tcBorders>
            <w:shd w:val="clear" w:color="auto" w:fill="auto"/>
            <w:vAlign w:val="center"/>
          </w:tcPr>
          <w:p w14:paraId="17FD48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二氧化硫</w:t>
            </w:r>
          </w:p>
        </w:tc>
        <w:tc>
          <w:tcPr>
            <w:tcW w:w="622" w:type="dxa"/>
            <w:vMerge w:val="restart"/>
            <w:tcBorders>
              <w:tl2br w:val="nil"/>
              <w:tr2bl w:val="nil"/>
            </w:tcBorders>
            <w:shd w:val="clear" w:color="auto" w:fill="auto"/>
            <w:vAlign w:val="center"/>
          </w:tcPr>
          <w:p w14:paraId="18D68EB6">
            <w:pPr>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m</w:t>
            </w:r>
          </w:p>
        </w:tc>
        <w:tc>
          <w:tcPr>
            <w:tcW w:w="672" w:type="dxa"/>
            <w:vMerge w:val="restart"/>
            <w:tcBorders>
              <w:tl2br w:val="nil"/>
              <w:tr2bl w:val="nil"/>
            </w:tcBorders>
            <w:shd w:val="clear" w:color="auto" w:fill="auto"/>
            <w:vAlign w:val="center"/>
          </w:tcPr>
          <w:p w14:paraId="379AFFA2">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r>
              <w:rPr>
                <w:rFonts w:hint="default" w:ascii="Times New Roman" w:hAnsi="Times New Roman" w:cs="Times New Roman"/>
                <w:i w:val="0"/>
                <w:iCs w:val="0"/>
                <w:color w:val="auto"/>
                <w:sz w:val="21"/>
                <w:szCs w:val="21"/>
                <w:highlight w:val="none"/>
                <w:u w:val="none"/>
                <w:lang w:val="en-US" w:eastAsia="zh-CN"/>
              </w:rPr>
              <w:t>0</w:t>
            </w:r>
          </w:p>
        </w:tc>
        <w:tc>
          <w:tcPr>
            <w:tcW w:w="680" w:type="dxa"/>
            <w:vMerge w:val="restart"/>
            <w:tcBorders>
              <w:tl2br w:val="nil"/>
              <w:tr2bl w:val="nil"/>
            </w:tcBorders>
            <w:shd w:val="clear" w:color="auto" w:fill="auto"/>
            <w:vAlign w:val="center"/>
          </w:tcPr>
          <w:p w14:paraId="0A5FA5EA">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0.3</w:t>
            </w:r>
          </w:p>
        </w:tc>
        <w:tc>
          <w:tcPr>
            <w:tcW w:w="819" w:type="dxa"/>
            <w:vMerge w:val="restart"/>
            <w:tcBorders>
              <w:tl2br w:val="nil"/>
              <w:tr2bl w:val="nil"/>
            </w:tcBorders>
            <w:shd w:val="clear" w:color="auto" w:fill="auto"/>
            <w:vAlign w:val="center"/>
          </w:tcPr>
          <w:p w14:paraId="6020E28E">
            <w:pPr>
              <w:keepNext w:val="0"/>
              <w:keepLines w:val="0"/>
              <w:widowControl/>
              <w:suppressLineNumbers w:val="0"/>
              <w:jc w:val="center"/>
              <w:textAlignment w:val="center"/>
              <w:rPr>
                <w:rFonts w:hint="default"/>
              </w:rPr>
            </w:pPr>
            <w:r>
              <w:rPr>
                <w:rFonts w:hint="eastAsia" w:cs="Times New Roman"/>
                <w:i w:val="0"/>
                <w:iCs w:val="0"/>
                <w:color w:val="000000"/>
                <w:kern w:val="0"/>
                <w:sz w:val="18"/>
                <w:szCs w:val="18"/>
                <w:u w:val="none"/>
                <w:lang w:val="en-US" w:eastAsia="zh-CN" w:bidi="ar"/>
              </w:rPr>
              <w:t>6000</w:t>
            </w:r>
          </w:p>
        </w:tc>
        <w:tc>
          <w:tcPr>
            <w:tcW w:w="837" w:type="dxa"/>
            <w:vMerge w:val="restart"/>
            <w:tcBorders>
              <w:tl2br w:val="nil"/>
              <w:tr2bl w:val="nil"/>
            </w:tcBorders>
            <w:shd w:val="clear" w:color="auto" w:fill="auto"/>
            <w:vAlign w:val="center"/>
          </w:tcPr>
          <w:p w14:paraId="7606B829">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DA008</w:t>
            </w:r>
          </w:p>
        </w:tc>
        <w:tc>
          <w:tcPr>
            <w:tcW w:w="1141" w:type="dxa"/>
            <w:vMerge w:val="restart"/>
            <w:tcBorders>
              <w:tl2br w:val="nil"/>
              <w:tr2bl w:val="nil"/>
            </w:tcBorders>
            <w:shd w:val="clear" w:color="auto" w:fill="auto"/>
            <w:vAlign w:val="center"/>
          </w:tcPr>
          <w:p w14:paraId="2D4E92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一般排放口</w:t>
            </w:r>
          </w:p>
        </w:tc>
        <w:tc>
          <w:tcPr>
            <w:tcW w:w="1327" w:type="dxa"/>
            <w:vMerge w:val="restart"/>
            <w:tcBorders>
              <w:tl2br w:val="nil"/>
              <w:tr2bl w:val="nil"/>
            </w:tcBorders>
            <w:shd w:val="clear" w:color="auto" w:fill="auto"/>
            <w:vAlign w:val="center"/>
          </w:tcPr>
          <w:p w14:paraId="1BABFD94">
            <w:pPr>
              <w:keepNext w:val="0"/>
              <w:keepLines w:val="0"/>
              <w:widowControl/>
              <w:suppressLineNumbers w:val="0"/>
              <w:jc w:val="center"/>
              <w:textAlignment w:val="center"/>
              <w:rPr>
                <w:rFonts w:hint="default" w:ascii="Times New Roman" w:hAnsi="Times New Roman"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105.</w:t>
            </w:r>
            <w:r>
              <w:rPr>
                <w:rFonts w:hint="eastAsia" w:cs="Times New Roman"/>
                <w:i w:val="0"/>
                <w:iCs w:val="0"/>
                <w:color w:val="auto"/>
                <w:kern w:val="0"/>
                <w:sz w:val="21"/>
                <w:szCs w:val="21"/>
                <w:highlight w:val="none"/>
                <w:u w:val="none"/>
                <w:lang w:val="en-US" w:eastAsia="zh-CN" w:bidi="ar"/>
              </w:rPr>
              <w:t>28035</w:t>
            </w:r>
            <w:r>
              <w:rPr>
                <w:rFonts w:hint="default" w:ascii="Times New Roman" w:hAnsi="Times New Roman" w:cs="Times New Roman"/>
                <w:i w:val="0"/>
                <w:iCs w:val="0"/>
                <w:color w:val="auto"/>
                <w:sz w:val="21"/>
                <w:szCs w:val="21"/>
                <w:highlight w:val="none"/>
                <w:u w:val="none"/>
                <w:lang w:val="en-US" w:eastAsia="zh-CN"/>
              </w:rPr>
              <w:t>°</w:t>
            </w:r>
          </w:p>
          <w:p w14:paraId="42B39C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r>
              <w:rPr>
                <w:rFonts w:hint="eastAsia" w:cs="Times New Roman"/>
                <w:i w:val="0"/>
                <w:iCs w:val="0"/>
                <w:color w:val="auto"/>
                <w:kern w:val="0"/>
                <w:sz w:val="21"/>
                <w:szCs w:val="21"/>
                <w:highlight w:val="none"/>
                <w:u w:val="none"/>
                <w:lang w:val="en-US" w:eastAsia="zh-CN" w:bidi="ar"/>
              </w:rPr>
              <w:t>58064</w:t>
            </w:r>
            <w:r>
              <w:rPr>
                <w:rFonts w:hint="default" w:ascii="Times New Roman" w:hAnsi="Times New Roman" w:cs="Times New Roman"/>
                <w:i w:val="0"/>
                <w:iCs w:val="0"/>
                <w:color w:val="auto"/>
                <w:sz w:val="21"/>
                <w:szCs w:val="21"/>
                <w:highlight w:val="none"/>
                <w:u w:val="none"/>
                <w:lang w:val="en-US" w:eastAsia="zh-CN"/>
              </w:rPr>
              <w:t>°</w:t>
            </w:r>
          </w:p>
        </w:tc>
        <w:tc>
          <w:tcPr>
            <w:tcW w:w="1109" w:type="dxa"/>
            <w:tcBorders>
              <w:tl2br w:val="nil"/>
              <w:tr2bl w:val="nil"/>
            </w:tcBorders>
            <w:shd w:val="clear" w:color="auto" w:fill="auto"/>
            <w:vAlign w:val="center"/>
          </w:tcPr>
          <w:p w14:paraId="438ED091">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1.5683 </w:t>
            </w:r>
          </w:p>
        </w:tc>
        <w:tc>
          <w:tcPr>
            <w:tcW w:w="1163" w:type="dxa"/>
            <w:tcBorders>
              <w:tl2br w:val="nil"/>
              <w:tr2bl w:val="nil"/>
            </w:tcBorders>
            <w:shd w:val="clear" w:color="auto" w:fill="auto"/>
            <w:vAlign w:val="center"/>
          </w:tcPr>
          <w:p w14:paraId="405FD962">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0.0044 </w:t>
            </w:r>
          </w:p>
        </w:tc>
        <w:tc>
          <w:tcPr>
            <w:tcW w:w="1098" w:type="dxa"/>
            <w:tcBorders>
              <w:tl2br w:val="nil"/>
              <w:tr2bl w:val="nil"/>
            </w:tcBorders>
            <w:shd w:val="clear" w:color="auto" w:fill="auto"/>
            <w:vAlign w:val="center"/>
          </w:tcPr>
          <w:p w14:paraId="5928051C">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0.0264 </w:t>
            </w:r>
          </w:p>
        </w:tc>
        <w:tc>
          <w:tcPr>
            <w:tcW w:w="1032" w:type="dxa"/>
            <w:tcBorders>
              <w:tl2br w:val="nil"/>
              <w:tr2bl w:val="nil"/>
            </w:tcBorders>
            <w:shd w:val="clear" w:color="auto" w:fill="auto"/>
            <w:vAlign w:val="center"/>
          </w:tcPr>
          <w:p w14:paraId="3B25A69A">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20</w:t>
            </w:r>
          </w:p>
        </w:tc>
        <w:tc>
          <w:tcPr>
            <w:tcW w:w="866" w:type="dxa"/>
            <w:tcBorders>
              <w:tl2br w:val="nil"/>
              <w:tr2bl w:val="nil"/>
            </w:tcBorders>
            <w:shd w:val="clear" w:color="auto" w:fill="auto"/>
            <w:vAlign w:val="center"/>
          </w:tcPr>
          <w:p w14:paraId="54F49A2D">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w:t>
            </w:r>
          </w:p>
        </w:tc>
      </w:tr>
      <w:tr w14:paraId="7F0C45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72" w:hRule="atLeast"/>
          <w:jc w:val="center"/>
        </w:trPr>
        <w:tc>
          <w:tcPr>
            <w:tcW w:w="623" w:type="dxa"/>
            <w:vMerge w:val="continue"/>
            <w:tcBorders>
              <w:tl2br w:val="nil"/>
              <w:tr2bl w:val="nil"/>
            </w:tcBorders>
            <w:shd w:val="clear" w:color="auto" w:fill="auto"/>
            <w:vAlign w:val="center"/>
          </w:tcPr>
          <w:p w14:paraId="041D4030">
            <w:pPr>
              <w:jc w:val="center"/>
              <w:rPr>
                <w:rFonts w:hint="default" w:ascii="Times New Roman" w:hAnsi="Times New Roman" w:eastAsia="宋体" w:cs="Times New Roman"/>
                <w:i w:val="0"/>
                <w:iCs w:val="0"/>
                <w:color w:val="auto"/>
                <w:sz w:val="21"/>
                <w:szCs w:val="21"/>
                <w:highlight w:val="none"/>
                <w:u w:val="none"/>
              </w:rPr>
            </w:pPr>
          </w:p>
        </w:tc>
        <w:tc>
          <w:tcPr>
            <w:tcW w:w="1200" w:type="dxa"/>
            <w:vMerge w:val="continue"/>
            <w:tcBorders>
              <w:tl2br w:val="nil"/>
              <w:tr2bl w:val="nil"/>
            </w:tcBorders>
            <w:shd w:val="clear" w:color="auto" w:fill="auto"/>
            <w:vAlign w:val="center"/>
          </w:tcPr>
          <w:p w14:paraId="6D429E8A">
            <w:pPr>
              <w:jc w:val="center"/>
              <w:rPr>
                <w:rFonts w:hint="default" w:ascii="Times New Roman" w:hAnsi="Times New Roman" w:eastAsia="宋体" w:cs="Times New Roman"/>
                <w:i w:val="0"/>
                <w:iCs w:val="0"/>
                <w:color w:val="auto"/>
                <w:sz w:val="21"/>
                <w:szCs w:val="21"/>
                <w:highlight w:val="none"/>
                <w:u w:val="none"/>
              </w:rPr>
            </w:pPr>
          </w:p>
        </w:tc>
        <w:tc>
          <w:tcPr>
            <w:tcW w:w="889" w:type="dxa"/>
            <w:tcBorders>
              <w:tl2br w:val="nil"/>
              <w:tr2bl w:val="nil"/>
            </w:tcBorders>
            <w:shd w:val="clear" w:color="auto" w:fill="auto"/>
            <w:vAlign w:val="center"/>
          </w:tcPr>
          <w:p w14:paraId="292B84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氮氧化物</w:t>
            </w:r>
          </w:p>
        </w:tc>
        <w:tc>
          <w:tcPr>
            <w:tcW w:w="622" w:type="dxa"/>
            <w:vMerge w:val="continue"/>
            <w:tcBorders>
              <w:tl2br w:val="nil"/>
              <w:tr2bl w:val="nil"/>
            </w:tcBorders>
            <w:shd w:val="clear" w:color="auto" w:fill="auto"/>
            <w:vAlign w:val="center"/>
          </w:tcPr>
          <w:p w14:paraId="635B2BAA">
            <w:pPr>
              <w:jc w:val="center"/>
              <w:rPr>
                <w:rFonts w:hint="default" w:ascii="Times New Roman" w:hAnsi="Times New Roman" w:eastAsia="宋体" w:cs="Times New Roman"/>
                <w:i w:val="0"/>
                <w:iCs w:val="0"/>
                <w:color w:val="auto"/>
                <w:sz w:val="21"/>
                <w:szCs w:val="21"/>
                <w:highlight w:val="none"/>
                <w:u w:val="none"/>
              </w:rPr>
            </w:pPr>
          </w:p>
        </w:tc>
        <w:tc>
          <w:tcPr>
            <w:tcW w:w="672" w:type="dxa"/>
            <w:vMerge w:val="continue"/>
            <w:tcBorders>
              <w:tl2br w:val="nil"/>
              <w:tr2bl w:val="nil"/>
            </w:tcBorders>
            <w:shd w:val="clear" w:color="auto" w:fill="auto"/>
            <w:vAlign w:val="center"/>
          </w:tcPr>
          <w:p w14:paraId="3AD47868">
            <w:pPr>
              <w:jc w:val="center"/>
              <w:rPr>
                <w:rFonts w:hint="default" w:ascii="Times New Roman" w:hAnsi="Times New Roman" w:eastAsia="宋体" w:cs="Times New Roman"/>
                <w:i w:val="0"/>
                <w:iCs w:val="0"/>
                <w:color w:val="auto"/>
                <w:sz w:val="21"/>
                <w:szCs w:val="21"/>
                <w:highlight w:val="none"/>
                <w:u w:val="none"/>
              </w:rPr>
            </w:pPr>
          </w:p>
        </w:tc>
        <w:tc>
          <w:tcPr>
            <w:tcW w:w="680" w:type="dxa"/>
            <w:vMerge w:val="continue"/>
            <w:tcBorders>
              <w:tl2br w:val="nil"/>
              <w:tr2bl w:val="nil"/>
            </w:tcBorders>
            <w:shd w:val="clear" w:color="auto" w:fill="auto"/>
            <w:vAlign w:val="center"/>
          </w:tcPr>
          <w:p w14:paraId="132B7719">
            <w:pPr>
              <w:jc w:val="center"/>
              <w:rPr>
                <w:rFonts w:hint="default" w:ascii="Times New Roman" w:hAnsi="Times New Roman" w:eastAsia="宋体" w:cs="Times New Roman"/>
                <w:i w:val="0"/>
                <w:iCs w:val="0"/>
                <w:color w:val="auto"/>
                <w:sz w:val="21"/>
                <w:szCs w:val="21"/>
                <w:highlight w:val="none"/>
                <w:u w:val="none"/>
              </w:rPr>
            </w:pPr>
          </w:p>
        </w:tc>
        <w:tc>
          <w:tcPr>
            <w:tcW w:w="819" w:type="dxa"/>
            <w:vMerge w:val="continue"/>
            <w:tcBorders>
              <w:tl2br w:val="nil"/>
              <w:tr2bl w:val="nil"/>
            </w:tcBorders>
            <w:shd w:val="clear" w:color="auto" w:fill="auto"/>
            <w:vAlign w:val="center"/>
          </w:tcPr>
          <w:p w14:paraId="731F9D5A">
            <w:pPr>
              <w:jc w:val="center"/>
              <w:rPr>
                <w:rFonts w:hint="default" w:ascii="Times New Roman" w:hAnsi="Times New Roman" w:eastAsia="宋体" w:cs="Times New Roman"/>
                <w:i w:val="0"/>
                <w:iCs w:val="0"/>
                <w:color w:val="auto"/>
                <w:sz w:val="21"/>
                <w:szCs w:val="21"/>
                <w:highlight w:val="none"/>
                <w:u w:val="none"/>
              </w:rPr>
            </w:pPr>
          </w:p>
        </w:tc>
        <w:tc>
          <w:tcPr>
            <w:tcW w:w="837" w:type="dxa"/>
            <w:vMerge w:val="continue"/>
            <w:tcBorders>
              <w:tl2br w:val="nil"/>
              <w:tr2bl w:val="nil"/>
            </w:tcBorders>
            <w:shd w:val="clear" w:color="auto" w:fill="auto"/>
            <w:vAlign w:val="center"/>
          </w:tcPr>
          <w:p w14:paraId="40A31EED">
            <w:pPr>
              <w:jc w:val="center"/>
              <w:rPr>
                <w:rFonts w:hint="default" w:ascii="Times New Roman" w:hAnsi="Times New Roman" w:eastAsia="宋体" w:cs="Times New Roman"/>
                <w:i w:val="0"/>
                <w:iCs w:val="0"/>
                <w:color w:val="auto"/>
                <w:sz w:val="21"/>
                <w:szCs w:val="21"/>
                <w:highlight w:val="none"/>
                <w:u w:val="none"/>
              </w:rPr>
            </w:pPr>
          </w:p>
        </w:tc>
        <w:tc>
          <w:tcPr>
            <w:tcW w:w="1141" w:type="dxa"/>
            <w:vMerge w:val="continue"/>
            <w:tcBorders>
              <w:tl2br w:val="nil"/>
              <w:tr2bl w:val="nil"/>
            </w:tcBorders>
            <w:shd w:val="clear" w:color="auto" w:fill="auto"/>
            <w:vAlign w:val="center"/>
          </w:tcPr>
          <w:p w14:paraId="0ECBB718">
            <w:pPr>
              <w:jc w:val="center"/>
              <w:rPr>
                <w:rFonts w:hint="default" w:ascii="Times New Roman" w:hAnsi="Times New Roman" w:eastAsia="宋体" w:cs="Times New Roman"/>
                <w:i w:val="0"/>
                <w:iCs w:val="0"/>
                <w:color w:val="auto"/>
                <w:sz w:val="21"/>
                <w:szCs w:val="21"/>
                <w:highlight w:val="none"/>
                <w:u w:val="none"/>
              </w:rPr>
            </w:pPr>
          </w:p>
        </w:tc>
        <w:tc>
          <w:tcPr>
            <w:tcW w:w="1327" w:type="dxa"/>
            <w:vMerge w:val="continue"/>
            <w:tcBorders>
              <w:tl2br w:val="nil"/>
              <w:tr2bl w:val="nil"/>
            </w:tcBorders>
            <w:shd w:val="clear" w:color="auto" w:fill="auto"/>
            <w:vAlign w:val="center"/>
          </w:tcPr>
          <w:p w14:paraId="2A0AFBD4">
            <w:pPr>
              <w:jc w:val="center"/>
              <w:rPr>
                <w:rFonts w:hint="default" w:ascii="Times New Roman" w:hAnsi="Times New Roman" w:eastAsia="宋体" w:cs="Times New Roman"/>
                <w:i w:val="0"/>
                <w:iCs w:val="0"/>
                <w:color w:val="auto"/>
                <w:sz w:val="21"/>
                <w:szCs w:val="21"/>
                <w:highlight w:val="none"/>
                <w:u w:val="none"/>
              </w:rPr>
            </w:pPr>
          </w:p>
        </w:tc>
        <w:tc>
          <w:tcPr>
            <w:tcW w:w="1109" w:type="dxa"/>
            <w:tcBorders>
              <w:tl2br w:val="nil"/>
              <w:tr2bl w:val="nil"/>
            </w:tcBorders>
            <w:shd w:val="clear" w:color="auto" w:fill="auto"/>
            <w:vAlign w:val="center"/>
          </w:tcPr>
          <w:p w14:paraId="4102C1DC">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26.7144 </w:t>
            </w:r>
          </w:p>
        </w:tc>
        <w:tc>
          <w:tcPr>
            <w:tcW w:w="1163" w:type="dxa"/>
            <w:tcBorders>
              <w:tl2br w:val="nil"/>
              <w:tr2bl w:val="nil"/>
            </w:tcBorders>
            <w:shd w:val="clear" w:color="auto" w:fill="auto"/>
            <w:vAlign w:val="center"/>
          </w:tcPr>
          <w:p w14:paraId="45BC910B">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0.0748 </w:t>
            </w:r>
          </w:p>
        </w:tc>
        <w:tc>
          <w:tcPr>
            <w:tcW w:w="1098" w:type="dxa"/>
            <w:tcBorders>
              <w:tl2br w:val="nil"/>
              <w:tr2bl w:val="nil"/>
            </w:tcBorders>
            <w:shd w:val="clear" w:color="auto" w:fill="auto"/>
            <w:vAlign w:val="center"/>
          </w:tcPr>
          <w:p w14:paraId="5FF5A8EC">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0.4489 </w:t>
            </w:r>
          </w:p>
        </w:tc>
        <w:tc>
          <w:tcPr>
            <w:tcW w:w="1032" w:type="dxa"/>
            <w:tcBorders>
              <w:tl2br w:val="nil"/>
              <w:tr2bl w:val="nil"/>
            </w:tcBorders>
            <w:shd w:val="clear" w:color="auto" w:fill="auto"/>
            <w:vAlign w:val="center"/>
          </w:tcPr>
          <w:p w14:paraId="606BB540">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50</w:t>
            </w:r>
          </w:p>
        </w:tc>
        <w:tc>
          <w:tcPr>
            <w:tcW w:w="866" w:type="dxa"/>
            <w:tcBorders>
              <w:tl2br w:val="nil"/>
              <w:tr2bl w:val="nil"/>
            </w:tcBorders>
            <w:shd w:val="clear" w:color="auto" w:fill="auto"/>
            <w:vAlign w:val="center"/>
          </w:tcPr>
          <w:p w14:paraId="340E2936">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w:t>
            </w:r>
          </w:p>
        </w:tc>
      </w:tr>
      <w:tr w14:paraId="0E1F3E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6" w:hRule="atLeast"/>
          <w:jc w:val="center"/>
        </w:trPr>
        <w:tc>
          <w:tcPr>
            <w:tcW w:w="623" w:type="dxa"/>
            <w:vMerge w:val="continue"/>
            <w:tcBorders>
              <w:tl2br w:val="nil"/>
              <w:tr2bl w:val="nil"/>
            </w:tcBorders>
            <w:shd w:val="clear" w:color="auto" w:fill="auto"/>
            <w:vAlign w:val="center"/>
          </w:tcPr>
          <w:p w14:paraId="192AEFEF">
            <w:pPr>
              <w:jc w:val="center"/>
              <w:rPr>
                <w:rFonts w:hint="default" w:ascii="Times New Roman" w:hAnsi="Times New Roman" w:eastAsia="宋体" w:cs="Times New Roman"/>
                <w:i w:val="0"/>
                <w:iCs w:val="0"/>
                <w:color w:val="auto"/>
                <w:sz w:val="21"/>
                <w:szCs w:val="21"/>
                <w:highlight w:val="none"/>
                <w:u w:val="none"/>
              </w:rPr>
            </w:pPr>
          </w:p>
        </w:tc>
        <w:tc>
          <w:tcPr>
            <w:tcW w:w="1200" w:type="dxa"/>
            <w:vMerge w:val="continue"/>
            <w:tcBorders>
              <w:tl2br w:val="nil"/>
              <w:tr2bl w:val="nil"/>
            </w:tcBorders>
            <w:shd w:val="clear" w:color="auto" w:fill="auto"/>
            <w:vAlign w:val="center"/>
          </w:tcPr>
          <w:p w14:paraId="2A6BE736">
            <w:pPr>
              <w:jc w:val="center"/>
              <w:rPr>
                <w:rFonts w:hint="default" w:ascii="Times New Roman" w:hAnsi="Times New Roman" w:eastAsia="宋体" w:cs="Times New Roman"/>
                <w:i w:val="0"/>
                <w:iCs w:val="0"/>
                <w:color w:val="auto"/>
                <w:sz w:val="21"/>
                <w:szCs w:val="21"/>
                <w:highlight w:val="none"/>
                <w:u w:val="none"/>
              </w:rPr>
            </w:pPr>
          </w:p>
        </w:tc>
        <w:tc>
          <w:tcPr>
            <w:tcW w:w="889" w:type="dxa"/>
            <w:tcBorders>
              <w:tl2br w:val="nil"/>
              <w:tr2bl w:val="nil"/>
            </w:tcBorders>
            <w:shd w:val="clear" w:color="auto" w:fill="auto"/>
            <w:vAlign w:val="center"/>
          </w:tcPr>
          <w:p w14:paraId="2EFE56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颗粒物</w:t>
            </w:r>
          </w:p>
        </w:tc>
        <w:tc>
          <w:tcPr>
            <w:tcW w:w="622" w:type="dxa"/>
            <w:vMerge w:val="continue"/>
            <w:tcBorders>
              <w:tl2br w:val="nil"/>
              <w:tr2bl w:val="nil"/>
            </w:tcBorders>
            <w:shd w:val="clear" w:color="auto" w:fill="auto"/>
            <w:vAlign w:val="center"/>
          </w:tcPr>
          <w:p w14:paraId="78E088EF">
            <w:pPr>
              <w:jc w:val="center"/>
              <w:rPr>
                <w:rFonts w:hint="default" w:ascii="Times New Roman" w:hAnsi="Times New Roman" w:eastAsia="宋体" w:cs="Times New Roman"/>
                <w:i w:val="0"/>
                <w:iCs w:val="0"/>
                <w:color w:val="auto"/>
                <w:sz w:val="21"/>
                <w:szCs w:val="21"/>
                <w:highlight w:val="none"/>
                <w:u w:val="none"/>
              </w:rPr>
            </w:pPr>
          </w:p>
        </w:tc>
        <w:tc>
          <w:tcPr>
            <w:tcW w:w="672" w:type="dxa"/>
            <w:vMerge w:val="continue"/>
            <w:tcBorders>
              <w:tl2br w:val="nil"/>
              <w:tr2bl w:val="nil"/>
            </w:tcBorders>
            <w:shd w:val="clear" w:color="auto" w:fill="auto"/>
            <w:vAlign w:val="center"/>
          </w:tcPr>
          <w:p w14:paraId="44A56658">
            <w:pPr>
              <w:jc w:val="center"/>
              <w:rPr>
                <w:rFonts w:hint="default" w:ascii="Times New Roman" w:hAnsi="Times New Roman" w:eastAsia="宋体" w:cs="Times New Roman"/>
                <w:i w:val="0"/>
                <w:iCs w:val="0"/>
                <w:color w:val="auto"/>
                <w:sz w:val="21"/>
                <w:szCs w:val="21"/>
                <w:highlight w:val="none"/>
                <w:u w:val="none"/>
              </w:rPr>
            </w:pPr>
          </w:p>
        </w:tc>
        <w:tc>
          <w:tcPr>
            <w:tcW w:w="680" w:type="dxa"/>
            <w:vMerge w:val="continue"/>
            <w:tcBorders>
              <w:tl2br w:val="nil"/>
              <w:tr2bl w:val="nil"/>
            </w:tcBorders>
            <w:shd w:val="clear" w:color="auto" w:fill="auto"/>
            <w:vAlign w:val="center"/>
          </w:tcPr>
          <w:p w14:paraId="59E164E9">
            <w:pPr>
              <w:jc w:val="center"/>
              <w:rPr>
                <w:rFonts w:hint="default" w:ascii="Times New Roman" w:hAnsi="Times New Roman" w:eastAsia="宋体" w:cs="Times New Roman"/>
                <w:i w:val="0"/>
                <w:iCs w:val="0"/>
                <w:color w:val="auto"/>
                <w:sz w:val="21"/>
                <w:szCs w:val="21"/>
                <w:highlight w:val="none"/>
                <w:u w:val="none"/>
              </w:rPr>
            </w:pPr>
          </w:p>
        </w:tc>
        <w:tc>
          <w:tcPr>
            <w:tcW w:w="819" w:type="dxa"/>
            <w:vMerge w:val="continue"/>
            <w:tcBorders>
              <w:tl2br w:val="nil"/>
              <w:tr2bl w:val="nil"/>
            </w:tcBorders>
            <w:shd w:val="clear" w:color="auto" w:fill="auto"/>
            <w:vAlign w:val="center"/>
          </w:tcPr>
          <w:p w14:paraId="0B85D4F3">
            <w:pPr>
              <w:jc w:val="center"/>
              <w:rPr>
                <w:rFonts w:hint="default" w:ascii="Times New Roman" w:hAnsi="Times New Roman" w:eastAsia="宋体" w:cs="Times New Roman"/>
                <w:i w:val="0"/>
                <w:iCs w:val="0"/>
                <w:color w:val="auto"/>
                <w:sz w:val="21"/>
                <w:szCs w:val="21"/>
                <w:highlight w:val="none"/>
                <w:u w:val="none"/>
              </w:rPr>
            </w:pPr>
          </w:p>
        </w:tc>
        <w:tc>
          <w:tcPr>
            <w:tcW w:w="837" w:type="dxa"/>
            <w:vMerge w:val="continue"/>
            <w:tcBorders>
              <w:tl2br w:val="nil"/>
              <w:tr2bl w:val="nil"/>
            </w:tcBorders>
            <w:shd w:val="clear" w:color="auto" w:fill="auto"/>
            <w:vAlign w:val="center"/>
          </w:tcPr>
          <w:p w14:paraId="6505685E">
            <w:pPr>
              <w:jc w:val="center"/>
              <w:rPr>
                <w:rFonts w:hint="default" w:ascii="Times New Roman" w:hAnsi="Times New Roman" w:eastAsia="宋体" w:cs="Times New Roman"/>
                <w:i w:val="0"/>
                <w:iCs w:val="0"/>
                <w:color w:val="auto"/>
                <w:sz w:val="21"/>
                <w:szCs w:val="21"/>
                <w:highlight w:val="none"/>
                <w:u w:val="none"/>
              </w:rPr>
            </w:pPr>
          </w:p>
        </w:tc>
        <w:tc>
          <w:tcPr>
            <w:tcW w:w="1141" w:type="dxa"/>
            <w:vMerge w:val="continue"/>
            <w:tcBorders>
              <w:tl2br w:val="nil"/>
              <w:tr2bl w:val="nil"/>
            </w:tcBorders>
            <w:shd w:val="clear" w:color="auto" w:fill="auto"/>
            <w:vAlign w:val="center"/>
          </w:tcPr>
          <w:p w14:paraId="1BF37F26">
            <w:pPr>
              <w:jc w:val="center"/>
              <w:rPr>
                <w:rFonts w:hint="default" w:ascii="Times New Roman" w:hAnsi="Times New Roman" w:eastAsia="宋体" w:cs="Times New Roman"/>
                <w:i w:val="0"/>
                <w:iCs w:val="0"/>
                <w:color w:val="auto"/>
                <w:sz w:val="21"/>
                <w:szCs w:val="21"/>
                <w:highlight w:val="none"/>
                <w:u w:val="none"/>
              </w:rPr>
            </w:pPr>
          </w:p>
        </w:tc>
        <w:tc>
          <w:tcPr>
            <w:tcW w:w="1327" w:type="dxa"/>
            <w:vMerge w:val="continue"/>
            <w:tcBorders>
              <w:tl2br w:val="nil"/>
              <w:tr2bl w:val="nil"/>
            </w:tcBorders>
            <w:shd w:val="clear" w:color="auto" w:fill="auto"/>
            <w:vAlign w:val="center"/>
          </w:tcPr>
          <w:p w14:paraId="68ABB5F9">
            <w:pPr>
              <w:jc w:val="center"/>
              <w:rPr>
                <w:rFonts w:hint="default" w:ascii="Times New Roman" w:hAnsi="Times New Roman" w:eastAsia="宋体" w:cs="Times New Roman"/>
                <w:i w:val="0"/>
                <w:iCs w:val="0"/>
                <w:color w:val="auto"/>
                <w:sz w:val="21"/>
                <w:szCs w:val="21"/>
                <w:highlight w:val="none"/>
                <w:u w:val="none"/>
              </w:rPr>
            </w:pPr>
          </w:p>
        </w:tc>
        <w:tc>
          <w:tcPr>
            <w:tcW w:w="1109" w:type="dxa"/>
            <w:tcBorders>
              <w:tl2br w:val="nil"/>
              <w:tr2bl w:val="nil"/>
            </w:tcBorders>
            <w:shd w:val="clear" w:color="auto" w:fill="auto"/>
            <w:vAlign w:val="center"/>
          </w:tcPr>
          <w:p w14:paraId="340A9A94">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3.6971 </w:t>
            </w:r>
          </w:p>
        </w:tc>
        <w:tc>
          <w:tcPr>
            <w:tcW w:w="1163" w:type="dxa"/>
            <w:tcBorders>
              <w:tl2br w:val="nil"/>
              <w:tr2bl w:val="nil"/>
            </w:tcBorders>
            <w:shd w:val="clear" w:color="auto" w:fill="auto"/>
            <w:vAlign w:val="center"/>
          </w:tcPr>
          <w:p w14:paraId="3ADC923A">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0.0104 </w:t>
            </w:r>
          </w:p>
        </w:tc>
        <w:tc>
          <w:tcPr>
            <w:tcW w:w="1098" w:type="dxa"/>
            <w:tcBorders>
              <w:tl2br w:val="nil"/>
              <w:tr2bl w:val="nil"/>
            </w:tcBorders>
            <w:shd w:val="clear" w:color="auto" w:fill="auto"/>
            <w:vAlign w:val="center"/>
          </w:tcPr>
          <w:p w14:paraId="6BDB4BB0">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0.0621 </w:t>
            </w:r>
          </w:p>
        </w:tc>
        <w:tc>
          <w:tcPr>
            <w:tcW w:w="1032" w:type="dxa"/>
            <w:tcBorders>
              <w:tl2br w:val="nil"/>
              <w:tr2bl w:val="nil"/>
            </w:tcBorders>
            <w:shd w:val="clear" w:color="auto" w:fill="auto"/>
            <w:vAlign w:val="center"/>
          </w:tcPr>
          <w:p w14:paraId="77B7731B">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150</w:t>
            </w:r>
          </w:p>
        </w:tc>
        <w:tc>
          <w:tcPr>
            <w:tcW w:w="866" w:type="dxa"/>
            <w:tcBorders>
              <w:tl2br w:val="nil"/>
              <w:tr2bl w:val="nil"/>
            </w:tcBorders>
            <w:shd w:val="clear" w:color="auto" w:fill="auto"/>
            <w:vAlign w:val="center"/>
          </w:tcPr>
          <w:p w14:paraId="7C8E2FB5">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w:t>
            </w:r>
          </w:p>
        </w:tc>
      </w:tr>
      <w:tr w14:paraId="22ED33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7" w:hRule="atLeast"/>
          <w:jc w:val="center"/>
        </w:trPr>
        <w:tc>
          <w:tcPr>
            <w:tcW w:w="623" w:type="dxa"/>
            <w:vMerge w:val="restart"/>
            <w:tcBorders>
              <w:tl2br w:val="nil"/>
              <w:tr2bl w:val="nil"/>
            </w:tcBorders>
            <w:shd w:val="clear" w:color="auto" w:fill="auto"/>
            <w:vAlign w:val="center"/>
          </w:tcPr>
          <w:p w14:paraId="27A6D9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无组织</w:t>
            </w:r>
          </w:p>
        </w:tc>
        <w:tc>
          <w:tcPr>
            <w:tcW w:w="1200" w:type="dxa"/>
            <w:vMerge w:val="restart"/>
            <w:tcBorders>
              <w:tl2br w:val="nil"/>
              <w:tr2bl w:val="nil"/>
            </w:tcBorders>
            <w:shd w:val="clear" w:color="auto" w:fill="auto"/>
            <w:vAlign w:val="center"/>
          </w:tcPr>
          <w:p w14:paraId="7ACDD9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上料及</w:t>
            </w:r>
          </w:p>
          <w:p w14:paraId="579B93F0">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炼胶</w:t>
            </w:r>
          </w:p>
        </w:tc>
        <w:tc>
          <w:tcPr>
            <w:tcW w:w="889" w:type="dxa"/>
            <w:tcBorders>
              <w:tl2br w:val="nil"/>
              <w:tr2bl w:val="nil"/>
            </w:tcBorders>
            <w:shd w:val="clear" w:color="auto" w:fill="auto"/>
            <w:vAlign w:val="center"/>
          </w:tcPr>
          <w:p w14:paraId="2A1CE4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000000"/>
                <w:kern w:val="0"/>
                <w:sz w:val="18"/>
                <w:szCs w:val="18"/>
                <w:u w:val="none"/>
                <w:lang w:val="en-US" w:eastAsia="zh-CN" w:bidi="ar"/>
              </w:rPr>
              <w:t>颗粒物</w:t>
            </w:r>
          </w:p>
        </w:tc>
        <w:tc>
          <w:tcPr>
            <w:tcW w:w="622" w:type="dxa"/>
            <w:tcBorders>
              <w:tl2br w:val="nil"/>
              <w:tr2bl w:val="nil"/>
            </w:tcBorders>
            <w:shd w:val="clear" w:color="auto" w:fill="auto"/>
            <w:vAlign w:val="center"/>
          </w:tcPr>
          <w:p w14:paraId="76F793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72" w:type="dxa"/>
            <w:tcBorders>
              <w:tl2br w:val="nil"/>
              <w:tr2bl w:val="nil"/>
            </w:tcBorders>
            <w:shd w:val="clear" w:color="auto" w:fill="auto"/>
            <w:vAlign w:val="center"/>
          </w:tcPr>
          <w:p w14:paraId="75CE33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80" w:type="dxa"/>
            <w:tcBorders>
              <w:tl2br w:val="nil"/>
              <w:tr2bl w:val="nil"/>
            </w:tcBorders>
            <w:shd w:val="clear" w:color="auto" w:fill="auto"/>
            <w:vAlign w:val="center"/>
          </w:tcPr>
          <w:p w14:paraId="5BA3C0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9" w:type="dxa"/>
            <w:tcBorders>
              <w:tl2br w:val="nil"/>
              <w:tr2bl w:val="nil"/>
            </w:tcBorders>
            <w:shd w:val="clear" w:color="auto" w:fill="auto"/>
            <w:vAlign w:val="center"/>
          </w:tcPr>
          <w:p w14:paraId="5BC3E6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000000"/>
                <w:kern w:val="0"/>
                <w:sz w:val="18"/>
                <w:szCs w:val="18"/>
                <w:u w:val="none"/>
                <w:lang w:val="en-US" w:eastAsia="zh-CN" w:bidi="ar"/>
              </w:rPr>
              <w:t>6600</w:t>
            </w:r>
          </w:p>
        </w:tc>
        <w:tc>
          <w:tcPr>
            <w:tcW w:w="837" w:type="dxa"/>
            <w:tcBorders>
              <w:tl2br w:val="nil"/>
              <w:tr2bl w:val="nil"/>
            </w:tcBorders>
            <w:shd w:val="clear" w:color="auto" w:fill="auto"/>
            <w:vAlign w:val="center"/>
          </w:tcPr>
          <w:p w14:paraId="265F2C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41" w:type="dxa"/>
            <w:tcBorders>
              <w:tl2br w:val="nil"/>
              <w:tr2bl w:val="nil"/>
            </w:tcBorders>
            <w:shd w:val="clear" w:color="auto" w:fill="auto"/>
            <w:vAlign w:val="center"/>
          </w:tcPr>
          <w:p w14:paraId="0BC2CB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27" w:type="dxa"/>
            <w:tcBorders>
              <w:tl2br w:val="nil"/>
              <w:tr2bl w:val="nil"/>
            </w:tcBorders>
            <w:shd w:val="clear" w:color="auto" w:fill="auto"/>
            <w:vAlign w:val="center"/>
          </w:tcPr>
          <w:p w14:paraId="5BD725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09" w:type="dxa"/>
            <w:tcBorders>
              <w:tl2br w:val="nil"/>
              <w:tr2bl w:val="nil"/>
            </w:tcBorders>
            <w:shd w:val="clear" w:color="auto" w:fill="auto"/>
            <w:vAlign w:val="center"/>
          </w:tcPr>
          <w:p w14:paraId="32E175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63" w:type="dxa"/>
            <w:tcBorders>
              <w:tl2br w:val="nil"/>
              <w:tr2bl w:val="nil"/>
            </w:tcBorders>
            <w:shd w:val="clear" w:color="auto" w:fill="auto"/>
            <w:vAlign w:val="center"/>
          </w:tcPr>
          <w:p w14:paraId="36AA3E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0.0898 </w:t>
            </w:r>
          </w:p>
        </w:tc>
        <w:tc>
          <w:tcPr>
            <w:tcW w:w="1098" w:type="dxa"/>
            <w:tcBorders>
              <w:tl2br w:val="nil"/>
              <w:tr2bl w:val="nil"/>
            </w:tcBorders>
            <w:shd w:val="clear" w:color="auto" w:fill="auto"/>
            <w:noWrap/>
            <w:vAlign w:val="center"/>
          </w:tcPr>
          <w:p w14:paraId="60AB2B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0.6466 </w:t>
            </w:r>
          </w:p>
        </w:tc>
        <w:tc>
          <w:tcPr>
            <w:tcW w:w="1032" w:type="dxa"/>
            <w:tcBorders>
              <w:tl2br w:val="nil"/>
              <w:tr2bl w:val="nil"/>
            </w:tcBorders>
            <w:shd w:val="clear" w:color="auto" w:fill="auto"/>
            <w:noWrap/>
            <w:vAlign w:val="center"/>
          </w:tcPr>
          <w:p w14:paraId="67BE3425">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1</w:t>
            </w:r>
            <w:r>
              <w:rPr>
                <w:rFonts w:hint="eastAsia" w:cs="Times New Roman"/>
                <w:i w:val="0"/>
                <w:iCs w:val="0"/>
                <w:color w:val="auto"/>
                <w:sz w:val="21"/>
                <w:szCs w:val="21"/>
                <w:highlight w:val="none"/>
                <w:u w:val="none"/>
                <w:lang w:val="en-US" w:eastAsia="zh-CN"/>
              </w:rPr>
              <w:t>.0</w:t>
            </w:r>
          </w:p>
        </w:tc>
        <w:tc>
          <w:tcPr>
            <w:tcW w:w="866" w:type="dxa"/>
            <w:tcBorders>
              <w:tl2br w:val="nil"/>
              <w:tr2bl w:val="nil"/>
            </w:tcBorders>
            <w:shd w:val="clear" w:color="auto" w:fill="auto"/>
            <w:vAlign w:val="center"/>
          </w:tcPr>
          <w:p w14:paraId="71D6362C">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w:t>
            </w:r>
          </w:p>
        </w:tc>
      </w:tr>
      <w:tr w14:paraId="59BA37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0" w:hRule="atLeast"/>
          <w:jc w:val="center"/>
        </w:trPr>
        <w:tc>
          <w:tcPr>
            <w:tcW w:w="623" w:type="dxa"/>
            <w:vMerge w:val="continue"/>
            <w:tcBorders>
              <w:tl2br w:val="nil"/>
              <w:tr2bl w:val="nil"/>
            </w:tcBorders>
            <w:shd w:val="clear" w:color="auto" w:fill="auto"/>
            <w:vAlign w:val="center"/>
          </w:tcPr>
          <w:p w14:paraId="03E51A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00" w:type="dxa"/>
            <w:vMerge w:val="continue"/>
            <w:tcBorders>
              <w:tl2br w:val="nil"/>
              <w:tr2bl w:val="nil"/>
            </w:tcBorders>
            <w:shd w:val="clear" w:color="auto" w:fill="auto"/>
            <w:vAlign w:val="center"/>
          </w:tcPr>
          <w:p w14:paraId="0342824B">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p>
        </w:tc>
        <w:tc>
          <w:tcPr>
            <w:tcW w:w="889" w:type="dxa"/>
            <w:tcBorders>
              <w:tl2br w:val="nil"/>
              <w:tr2bl w:val="nil"/>
            </w:tcBorders>
            <w:shd w:val="clear" w:color="auto" w:fill="auto"/>
            <w:vAlign w:val="center"/>
          </w:tcPr>
          <w:p w14:paraId="25E66B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非甲烷总烃</w:t>
            </w:r>
          </w:p>
        </w:tc>
        <w:tc>
          <w:tcPr>
            <w:tcW w:w="622" w:type="dxa"/>
            <w:tcBorders>
              <w:tl2br w:val="nil"/>
              <w:tr2bl w:val="nil"/>
            </w:tcBorders>
            <w:shd w:val="clear" w:color="auto" w:fill="auto"/>
            <w:vAlign w:val="center"/>
          </w:tcPr>
          <w:p w14:paraId="2975E6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72" w:type="dxa"/>
            <w:tcBorders>
              <w:tl2br w:val="nil"/>
              <w:tr2bl w:val="nil"/>
            </w:tcBorders>
            <w:shd w:val="clear" w:color="auto" w:fill="auto"/>
            <w:vAlign w:val="center"/>
          </w:tcPr>
          <w:p w14:paraId="593ACF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80" w:type="dxa"/>
            <w:tcBorders>
              <w:tl2br w:val="nil"/>
              <w:tr2bl w:val="nil"/>
            </w:tcBorders>
            <w:shd w:val="clear" w:color="auto" w:fill="auto"/>
            <w:vAlign w:val="center"/>
          </w:tcPr>
          <w:p w14:paraId="2FAECC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9" w:type="dxa"/>
            <w:tcBorders>
              <w:tl2br w:val="nil"/>
              <w:tr2bl w:val="nil"/>
            </w:tcBorders>
            <w:shd w:val="clear" w:color="auto" w:fill="auto"/>
            <w:vAlign w:val="center"/>
          </w:tcPr>
          <w:p w14:paraId="0733E7A9">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000000"/>
                <w:kern w:val="0"/>
                <w:sz w:val="18"/>
                <w:szCs w:val="18"/>
                <w:u w:val="none"/>
                <w:lang w:val="en-US" w:eastAsia="zh-CN" w:bidi="ar"/>
              </w:rPr>
              <w:t>6600</w:t>
            </w:r>
          </w:p>
        </w:tc>
        <w:tc>
          <w:tcPr>
            <w:tcW w:w="837" w:type="dxa"/>
            <w:tcBorders>
              <w:tl2br w:val="nil"/>
              <w:tr2bl w:val="nil"/>
            </w:tcBorders>
            <w:shd w:val="clear" w:color="auto" w:fill="auto"/>
            <w:vAlign w:val="center"/>
          </w:tcPr>
          <w:p w14:paraId="527965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41" w:type="dxa"/>
            <w:tcBorders>
              <w:tl2br w:val="nil"/>
              <w:tr2bl w:val="nil"/>
            </w:tcBorders>
            <w:shd w:val="clear" w:color="auto" w:fill="auto"/>
            <w:vAlign w:val="center"/>
          </w:tcPr>
          <w:p w14:paraId="0888A6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27" w:type="dxa"/>
            <w:tcBorders>
              <w:tl2br w:val="nil"/>
              <w:tr2bl w:val="nil"/>
            </w:tcBorders>
            <w:shd w:val="clear" w:color="auto" w:fill="auto"/>
            <w:vAlign w:val="center"/>
          </w:tcPr>
          <w:p w14:paraId="523EED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09" w:type="dxa"/>
            <w:tcBorders>
              <w:tl2br w:val="nil"/>
              <w:tr2bl w:val="nil"/>
            </w:tcBorders>
            <w:shd w:val="clear" w:color="auto" w:fill="auto"/>
            <w:vAlign w:val="center"/>
          </w:tcPr>
          <w:p w14:paraId="19A150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63" w:type="dxa"/>
            <w:tcBorders>
              <w:tl2br w:val="nil"/>
              <w:tr2bl w:val="nil"/>
            </w:tcBorders>
            <w:shd w:val="clear" w:color="auto" w:fill="auto"/>
            <w:vAlign w:val="center"/>
          </w:tcPr>
          <w:p w14:paraId="5E4917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0.1187 </w:t>
            </w:r>
          </w:p>
        </w:tc>
        <w:tc>
          <w:tcPr>
            <w:tcW w:w="1098" w:type="dxa"/>
            <w:tcBorders>
              <w:tl2br w:val="nil"/>
              <w:tr2bl w:val="nil"/>
            </w:tcBorders>
            <w:shd w:val="clear" w:color="auto" w:fill="auto"/>
            <w:noWrap/>
            <w:vAlign w:val="center"/>
          </w:tcPr>
          <w:p w14:paraId="5FFDDF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0.7835 </w:t>
            </w:r>
          </w:p>
        </w:tc>
        <w:tc>
          <w:tcPr>
            <w:tcW w:w="1032" w:type="dxa"/>
            <w:tcBorders>
              <w:tl2br w:val="nil"/>
              <w:tr2bl w:val="nil"/>
            </w:tcBorders>
            <w:shd w:val="clear" w:color="auto" w:fill="auto"/>
            <w:noWrap/>
            <w:vAlign w:val="center"/>
          </w:tcPr>
          <w:p w14:paraId="20C72858">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2.0</w:t>
            </w:r>
          </w:p>
        </w:tc>
        <w:tc>
          <w:tcPr>
            <w:tcW w:w="866" w:type="dxa"/>
            <w:tcBorders>
              <w:tl2br w:val="nil"/>
              <w:tr2bl w:val="nil"/>
            </w:tcBorders>
            <w:shd w:val="clear" w:color="auto" w:fill="auto"/>
            <w:vAlign w:val="center"/>
          </w:tcPr>
          <w:p w14:paraId="641EB319">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r>
      <w:tr w14:paraId="350273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7" w:hRule="atLeast"/>
          <w:jc w:val="center"/>
        </w:trPr>
        <w:tc>
          <w:tcPr>
            <w:tcW w:w="623" w:type="dxa"/>
            <w:vMerge w:val="continue"/>
            <w:tcBorders>
              <w:tl2br w:val="nil"/>
              <w:tr2bl w:val="nil"/>
            </w:tcBorders>
            <w:shd w:val="clear" w:color="auto" w:fill="auto"/>
            <w:vAlign w:val="center"/>
          </w:tcPr>
          <w:p w14:paraId="3C22F4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00" w:type="dxa"/>
            <w:vMerge w:val="continue"/>
            <w:tcBorders>
              <w:tl2br w:val="nil"/>
              <w:tr2bl w:val="nil"/>
            </w:tcBorders>
            <w:shd w:val="clear" w:color="auto" w:fill="auto"/>
            <w:vAlign w:val="center"/>
          </w:tcPr>
          <w:p w14:paraId="7B42CD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89" w:type="dxa"/>
            <w:tcBorders>
              <w:tl2br w:val="nil"/>
              <w:tr2bl w:val="nil"/>
            </w:tcBorders>
            <w:shd w:val="clear" w:color="auto" w:fill="auto"/>
            <w:vAlign w:val="center"/>
          </w:tcPr>
          <w:p w14:paraId="58939D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w:t>
            </w:r>
            <w:r>
              <w:rPr>
                <w:rFonts w:hint="default" w:ascii="Times New Roman" w:hAnsi="Times New Roman" w:eastAsia="宋体" w:cs="Times New Roman"/>
                <w:i w:val="0"/>
                <w:iCs w:val="0"/>
                <w:color w:val="000000"/>
                <w:kern w:val="0"/>
                <w:sz w:val="18"/>
                <w:szCs w:val="18"/>
                <w:u w:val="none"/>
                <w:vertAlign w:val="sub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S</w:t>
            </w:r>
          </w:p>
        </w:tc>
        <w:tc>
          <w:tcPr>
            <w:tcW w:w="622" w:type="dxa"/>
            <w:tcBorders>
              <w:tl2br w:val="nil"/>
              <w:tr2bl w:val="nil"/>
            </w:tcBorders>
            <w:shd w:val="clear" w:color="auto" w:fill="auto"/>
            <w:vAlign w:val="center"/>
          </w:tcPr>
          <w:p w14:paraId="034D86E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72" w:type="dxa"/>
            <w:tcBorders>
              <w:tl2br w:val="nil"/>
              <w:tr2bl w:val="nil"/>
            </w:tcBorders>
            <w:shd w:val="clear" w:color="auto" w:fill="auto"/>
            <w:vAlign w:val="center"/>
          </w:tcPr>
          <w:p w14:paraId="62F543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80" w:type="dxa"/>
            <w:tcBorders>
              <w:tl2br w:val="nil"/>
              <w:tr2bl w:val="nil"/>
            </w:tcBorders>
            <w:shd w:val="clear" w:color="auto" w:fill="auto"/>
            <w:vAlign w:val="center"/>
          </w:tcPr>
          <w:p w14:paraId="746746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9" w:type="dxa"/>
            <w:tcBorders>
              <w:tl2br w:val="nil"/>
              <w:tr2bl w:val="nil"/>
            </w:tcBorders>
            <w:shd w:val="clear" w:color="auto" w:fill="auto"/>
            <w:vAlign w:val="center"/>
          </w:tcPr>
          <w:p w14:paraId="75BBE03D">
            <w:pPr>
              <w:keepNext w:val="0"/>
              <w:keepLines w:val="0"/>
              <w:widowControl/>
              <w:suppressLineNumbers w:val="0"/>
              <w:jc w:val="center"/>
              <w:textAlignment w:val="center"/>
              <w:rPr>
                <w:rFonts w:hint="eastAsia"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6600</w:t>
            </w:r>
          </w:p>
        </w:tc>
        <w:tc>
          <w:tcPr>
            <w:tcW w:w="837" w:type="dxa"/>
            <w:tcBorders>
              <w:tl2br w:val="nil"/>
              <w:tr2bl w:val="nil"/>
            </w:tcBorders>
            <w:shd w:val="clear" w:color="auto" w:fill="auto"/>
            <w:vAlign w:val="center"/>
          </w:tcPr>
          <w:p w14:paraId="51CC36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41" w:type="dxa"/>
            <w:tcBorders>
              <w:tl2br w:val="nil"/>
              <w:tr2bl w:val="nil"/>
            </w:tcBorders>
            <w:shd w:val="clear" w:color="auto" w:fill="auto"/>
            <w:vAlign w:val="center"/>
          </w:tcPr>
          <w:p w14:paraId="2DB3A9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27" w:type="dxa"/>
            <w:tcBorders>
              <w:tl2br w:val="nil"/>
              <w:tr2bl w:val="nil"/>
            </w:tcBorders>
            <w:shd w:val="clear" w:color="auto" w:fill="auto"/>
            <w:vAlign w:val="center"/>
          </w:tcPr>
          <w:p w14:paraId="18E083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09" w:type="dxa"/>
            <w:tcBorders>
              <w:tl2br w:val="nil"/>
              <w:tr2bl w:val="nil"/>
            </w:tcBorders>
            <w:shd w:val="clear" w:color="auto" w:fill="auto"/>
            <w:vAlign w:val="center"/>
          </w:tcPr>
          <w:p w14:paraId="2923B4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63" w:type="dxa"/>
            <w:tcBorders>
              <w:tl2br w:val="nil"/>
              <w:tr2bl w:val="nil"/>
            </w:tcBorders>
            <w:shd w:val="clear" w:color="auto" w:fill="auto"/>
            <w:vAlign w:val="center"/>
          </w:tcPr>
          <w:p w14:paraId="64D05D6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0.0931 </w:t>
            </w:r>
          </w:p>
        </w:tc>
        <w:tc>
          <w:tcPr>
            <w:tcW w:w="1098" w:type="dxa"/>
            <w:tcBorders>
              <w:tl2br w:val="nil"/>
              <w:tr2bl w:val="nil"/>
            </w:tcBorders>
            <w:shd w:val="clear" w:color="auto" w:fill="auto"/>
            <w:noWrap/>
            <w:vAlign w:val="center"/>
          </w:tcPr>
          <w:p w14:paraId="3FBFF9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0.6144 </w:t>
            </w:r>
          </w:p>
        </w:tc>
        <w:tc>
          <w:tcPr>
            <w:tcW w:w="1032" w:type="dxa"/>
            <w:tcBorders>
              <w:tl2br w:val="nil"/>
              <w:tr2bl w:val="nil"/>
            </w:tcBorders>
            <w:shd w:val="clear" w:color="auto" w:fill="auto"/>
            <w:noWrap/>
            <w:vAlign w:val="center"/>
          </w:tcPr>
          <w:p w14:paraId="74498D98">
            <w:pPr>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3.0</w:t>
            </w:r>
          </w:p>
        </w:tc>
        <w:tc>
          <w:tcPr>
            <w:tcW w:w="866" w:type="dxa"/>
            <w:tcBorders>
              <w:tl2br w:val="nil"/>
              <w:tr2bl w:val="nil"/>
            </w:tcBorders>
            <w:shd w:val="clear" w:color="auto" w:fill="auto"/>
            <w:vAlign w:val="center"/>
          </w:tcPr>
          <w:p w14:paraId="0046597A">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r>
      <w:tr w14:paraId="49411D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0" w:hRule="atLeast"/>
          <w:jc w:val="center"/>
        </w:trPr>
        <w:tc>
          <w:tcPr>
            <w:tcW w:w="623" w:type="dxa"/>
            <w:vMerge w:val="continue"/>
            <w:tcBorders>
              <w:tl2br w:val="nil"/>
              <w:tr2bl w:val="nil"/>
            </w:tcBorders>
            <w:shd w:val="clear" w:color="auto" w:fill="auto"/>
            <w:vAlign w:val="center"/>
          </w:tcPr>
          <w:p w14:paraId="15688B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00" w:type="dxa"/>
            <w:vMerge w:val="restart"/>
            <w:tcBorders>
              <w:tl2br w:val="nil"/>
              <w:tr2bl w:val="nil"/>
            </w:tcBorders>
            <w:shd w:val="clear" w:color="auto" w:fill="auto"/>
            <w:vAlign w:val="center"/>
          </w:tcPr>
          <w:p w14:paraId="0FEDCCB7">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硫化</w:t>
            </w:r>
          </w:p>
        </w:tc>
        <w:tc>
          <w:tcPr>
            <w:tcW w:w="889" w:type="dxa"/>
            <w:tcBorders>
              <w:tl2br w:val="nil"/>
              <w:tr2bl w:val="nil"/>
            </w:tcBorders>
            <w:shd w:val="clear" w:color="auto" w:fill="auto"/>
            <w:vAlign w:val="center"/>
          </w:tcPr>
          <w:p w14:paraId="626355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非甲烷总烃</w:t>
            </w:r>
          </w:p>
        </w:tc>
        <w:tc>
          <w:tcPr>
            <w:tcW w:w="622" w:type="dxa"/>
            <w:tcBorders>
              <w:tl2br w:val="nil"/>
              <w:tr2bl w:val="nil"/>
            </w:tcBorders>
            <w:shd w:val="clear" w:color="auto" w:fill="auto"/>
            <w:vAlign w:val="center"/>
          </w:tcPr>
          <w:p w14:paraId="355139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72" w:type="dxa"/>
            <w:tcBorders>
              <w:tl2br w:val="nil"/>
              <w:tr2bl w:val="nil"/>
            </w:tcBorders>
            <w:shd w:val="clear" w:color="auto" w:fill="auto"/>
            <w:vAlign w:val="center"/>
          </w:tcPr>
          <w:p w14:paraId="5F01AA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80" w:type="dxa"/>
            <w:tcBorders>
              <w:tl2br w:val="nil"/>
              <w:tr2bl w:val="nil"/>
            </w:tcBorders>
            <w:shd w:val="clear" w:color="auto" w:fill="auto"/>
            <w:vAlign w:val="center"/>
          </w:tcPr>
          <w:p w14:paraId="3CDAE3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9" w:type="dxa"/>
            <w:tcBorders>
              <w:tl2br w:val="nil"/>
              <w:tr2bl w:val="nil"/>
            </w:tcBorders>
            <w:shd w:val="clear" w:color="auto" w:fill="auto"/>
            <w:vAlign w:val="center"/>
          </w:tcPr>
          <w:p w14:paraId="34CFDF23">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000000"/>
                <w:kern w:val="0"/>
                <w:sz w:val="18"/>
                <w:szCs w:val="18"/>
                <w:u w:val="none"/>
                <w:lang w:val="en-US" w:eastAsia="zh-CN" w:bidi="ar"/>
              </w:rPr>
              <w:t>220</w:t>
            </w:r>
          </w:p>
        </w:tc>
        <w:tc>
          <w:tcPr>
            <w:tcW w:w="837" w:type="dxa"/>
            <w:tcBorders>
              <w:tl2br w:val="nil"/>
              <w:tr2bl w:val="nil"/>
            </w:tcBorders>
            <w:shd w:val="clear" w:color="auto" w:fill="auto"/>
            <w:vAlign w:val="center"/>
          </w:tcPr>
          <w:p w14:paraId="58D92A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41" w:type="dxa"/>
            <w:tcBorders>
              <w:tl2br w:val="nil"/>
              <w:tr2bl w:val="nil"/>
            </w:tcBorders>
            <w:shd w:val="clear" w:color="auto" w:fill="auto"/>
            <w:vAlign w:val="center"/>
          </w:tcPr>
          <w:p w14:paraId="4C16B8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27" w:type="dxa"/>
            <w:tcBorders>
              <w:tl2br w:val="nil"/>
              <w:tr2bl w:val="nil"/>
            </w:tcBorders>
            <w:shd w:val="clear" w:color="auto" w:fill="auto"/>
            <w:vAlign w:val="center"/>
          </w:tcPr>
          <w:p w14:paraId="7C7C3C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09" w:type="dxa"/>
            <w:tcBorders>
              <w:tl2br w:val="nil"/>
              <w:tr2bl w:val="nil"/>
            </w:tcBorders>
            <w:shd w:val="clear" w:color="auto" w:fill="auto"/>
            <w:vAlign w:val="center"/>
          </w:tcPr>
          <w:p w14:paraId="12EF68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63" w:type="dxa"/>
            <w:tcBorders>
              <w:tl2br w:val="nil"/>
              <w:tr2bl w:val="nil"/>
            </w:tcBorders>
            <w:shd w:val="clear" w:color="auto" w:fill="auto"/>
            <w:vAlign w:val="center"/>
          </w:tcPr>
          <w:p w14:paraId="68C6B3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0.0004 </w:t>
            </w:r>
          </w:p>
        </w:tc>
        <w:tc>
          <w:tcPr>
            <w:tcW w:w="1098" w:type="dxa"/>
            <w:tcBorders>
              <w:tl2br w:val="nil"/>
              <w:tr2bl w:val="nil"/>
            </w:tcBorders>
            <w:shd w:val="clear" w:color="auto" w:fill="auto"/>
            <w:noWrap/>
            <w:vAlign w:val="center"/>
          </w:tcPr>
          <w:p w14:paraId="13149A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0.0027 </w:t>
            </w:r>
          </w:p>
        </w:tc>
        <w:tc>
          <w:tcPr>
            <w:tcW w:w="1032" w:type="dxa"/>
            <w:tcBorders>
              <w:tl2br w:val="nil"/>
              <w:tr2bl w:val="nil"/>
            </w:tcBorders>
            <w:shd w:val="clear" w:color="auto" w:fill="auto"/>
            <w:noWrap/>
            <w:vAlign w:val="center"/>
          </w:tcPr>
          <w:p w14:paraId="0D501385">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2.0</w:t>
            </w:r>
          </w:p>
        </w:tc>
        <w:tc>
          <w:tcPr>
            <w:tcW w:w="866" w:type="dxa"/>
            <w:tcBorders>
              <w:tl2br w:val="nil"/>
              <w:tr2bl w:val="nil"/>
            </w:tcBorders>
            <w:shd w:val="clear" w:color="auto" w:fill="auto"/>
            <w:vAlign w:val="center"/>
          </w:tcPr>
          <w:p w14:paraId="49A7C6B6">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r>
      <w:tr w14:paraId="260958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7" w:hRule="atLeast"/>
          <w:jc w:val="center"/>
        </w:trPr>
        <w:tc>
          <w:tcPr>
            <w:tcW w:w="623" w:type="dxa"/>
            <w:vMerge w:val="continue"/>
            <w:tcBorders>
              <w:tl2br w:val="nil"/>
              <w:tr2bl w:val="nil"/>
            </w:tcBorders>
            <w:shd w:val="clear" w:color="auto" w:fill="auto"/>
            <w:vAlign w:val="center"/>
          </w:tcPr>
          <w:p w14:paraId="7279CB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00" w:type="dxa"/>
            <w:vMerge w:val="continue"/>
            <w:tcBorders>
              <w:tl2br w:val="nil"/>
              <w:tr2bl w:val="nil"/>
            </w:tcBorders>
            <w:shd w:val="clear" w:color="auto" w:fill="auto"/>
            <w:vAlign w:val="center"/>
          </w:tcPr>
          <w:p w14:paraId="6B3939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89" w:type="dxa"/>
            <w:tcBorders>
              <w:tl2br w:val="nil"/>
              <w:tr2bl w:val="nil"/>
            </w:tcBorders>
            <w:shd w:val="clear" w:color="auto" w:fill="auto"/>
            <w:vAlign w:val="center"/>
          </w:tcPr>
          <w:p w14:paraId="158BC3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w:t>
            </w:r>
            <w:r>
              <w:rPr>
                <w:rFonts w:hint="default" w:ascii="Times New Roman" w:hAnsi="Times New Roman" w:eastAsia="宋体" w:cs="Times New Roman"/>
                <w:i w:val="0"/>
                <w:iCs w:val="0"/>
                <w:color w:val="000000"/>
                <w:kern w:val="0"/>
                <w:sz w:val="18"/>
                <w:szCs w:val="18"/>
                <w:u w:val="none"/>
                <w:vertAlign w:val="sub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S</w:t>
            </w:r>
          </w:p>
        </w:tc>
        <w:tc>
          <w:tcPr>
            <w:tcW w:w="622" w:type="dxa"/>
            <w:tcBorders>
              <w:tl2br w:val="nil"/>
              <w:tr2bl w:val="nil"/>
            </w:tcBorders>
            <w:shd w:val="clear" w:color="auto" w:fill="auto"/>
            <w:vAlign w:val="center"/>
          </w:tcPr>
          <w:p w14:paraId="18B96C0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72" w:type="dxa"/>
            <w:tcBorders>
              <w:tl2br w:val="nil"/>
              <w:tr2bl w:val="nil"/>
            </w:tcBorders>
            <w:shd w:val="clear" w:color="auto" w:fill="auto"/>
            <w:vAlign w:val="center"/>
          </w:tcPr>
          <w:p w14:paraId="5B1D459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80" w:type="dxa"/>
            <w:tcBorders>
              <w:tl2br w:val="nil"/>
              <w:tr2bl w:val="nil"/>
            </w:tcBorders>
            <w:shd w:val="clear" w:color="auto" w:fill="auto"/>
            <w:vAlign w:val="center"/>
          </w:tcPr>
          <w:p w14:paraId="638DB5B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9" w:type="dxa"/>
            <w:tcBorders>
              <w:tl2br w:val="nil"/>
              <w:tr2bl w:val="nil"/>
            </w:tcBorders>
            <w:shd w:val="clear" w:color="auto" w:fill="auto"/>
            <w:vAlign w:val="center"/>
          </w:tcPr>
          <w:p w14:paraId="1E32CCF3">
            <w:pPr>
              <w:keepNext w:val="0"/>
              <w:keepLines w:val="0"/>
              <w:widowControl/>
              <w:suppressLineNumbers w:val="0"/>
              <w:jc w:val="center"/>
              <w:textAlignment w:val="center"/>
              <w:rPr>
                <w:rFonts w:hint="eastAsia"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220</w:t>
            </w:r>
          </w:p>
        </w:tc>
        <w:tc>
          <w:tcPr>
            <w:tcW w:w="837" w:type="dxa"/>
            <w:tcBorders>
              <w:tl2br w:val="nil"/>
              <w:tr2bl w:val="nil"/>
            </w:tcBorders>
            <w:shd w:val="clear" w:color="auto" w:fill="auto"/>
            <w:vAlign w:val="center"/>
          </w:tcPr>
          <w:p w14:paraId="1294AC6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41" w:type="dxa"/>
            <w:tcBorders>
              <w:tl2br w:val="nil"/>
              <w:tr2bl w:val="nil"/>
            </w:tcBorders>
            <w:shd w:val="clear" w:color="auto" w:fill="auto"/>
            <w:vAlign w:val="center"/>
          </w:tcPr>
          <w:p w14:paraId="5294FC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27" w:type="dxa"/>
            <w:tcBorders>
              <w:tl2br w:val="nil"/>
              <w:tr2bl w:val="nil"/>
            </w:tcBorders>
            <w:shd w:val="clear" w:color="auto" w:fill="auto"/>
            <w:vAlign w:val="center"/>
          </w:tcPr>
          <w:p w14:paraId="692F80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09" w:type="dxa"/>
            <w:tcBorders>
              <w:tl2br w:val="nil"/>
              <w:tr2bl w:val="nil"/>
            </w:tcBorders>
            <w:shd w:val="clear" w:color="auto" w:fill="auto"/>
            <w:vAlign w:val="center"/>
          </w:tcPr>
          <w:p w14:paraId="5165E5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63" w:type="dxa"/>
            <w:tcBorders>
              <w:tl2br w:val="nil"/>
              <w:tr2bl w:val="nil"/>
            </w:tcBorders>
            <w:shd w:val="clear" w:color="auto" w:fill="auto"/>
            <w:vAlign w:val="center"/>
          </w:tcPr>
          <w:p w14:paraId="7931217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0.2693 </w:t>
            </w:r>
          </w:p>
        </w:tc>
        <w:tc>
          <w:tcPr>
            <w:tcW w:w="1098" w:type="dxa"/>
            <w:tcBorders>
              <w:tl2br w:val="nil"/>
              <w:tr2bl w:val="nil"/>
            </w:tcBorders>
            <w:shd w:val="clear" w:color="auto" w:fill="auto"/>
            <w:noWrap/>
            <w:vAlign w:val="center"/>
          </w:tcPr>
          <w:p w14:paraId="3A20952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0.0592 </w:t>
            </w:r>
          </w:p>
        </w:tc>
        <w:tc>
          <w:tcPr>
            <w:tcW w:w="1032" w:type="dxa"/>
            <w:tcBorders>
              <w:tl2br w:val="nil"/>
              <w:tr2bl w:val="nil"/>
            </w:tcBorders>
            <w:shd w:val="clear" w:color="auto" w:fill="auto"/>
            <w:noWrap/>
            <w:vAlign w:val="center"/>
          </w:tcPr>
          <w:p w14:paraId="2E6AF771">
            <w:pPr>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3.0</w:t>
            </w:r>
          </w:p>
        </w:tc>
        <w:tc>
          <w:tcPr>
            <w:tcW w:w="866" w:type="dxa"/>
            <w:tcBorders>
              <w:tl2br w:val="nil"/>
              <w:tr2bl w:val="nil"/>
            </w:tcBorders>
            <w:shd w:val="clear" w:color="auto" w:fill="auto"/>
            <w:vAlign w:val="center"/>
          </w:tcPr>
          <w:p w14:paraId="6D1012F8">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r>
      <w:tr w14:paraId="7C4564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36" w:hRule="atLeast"/>
          <w:jc w:val="center"/>
        </w:trPr>
        <w:tc>
          <w:tcPr>
            <w:tcW w:w="623" w:type="dxa"/>
            <w:vMerge w:val="continue"/>
            <w:tcBorders>
              <w:tl2br w:val="nil"/>
              <w:tr2bl w:val="nil"/>
            </w:tcBorders>
            <w:shd w:val="clear" w:color="auto" w:fill="auto"/>
            <w:vAlign w:val="center"/>
          </w:tcPr>
          <w:p w14:paraId="7A8C15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00" w:type="dxa"/>
            <w:vMerge w:val="continue"/>
            <w:tcBorders>
              <w:tl2br w:val="nil"/>
              <w:tr2bl w:val="nil"/>
            </w:tcBorders>
            <w:shd w:val="clear" w:color="auto" w:fill="auto"/>
            <w:vAlign w:val="center"/>
          </w:tcPr>
          <w:p w14:paraId="137131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89" w:type="dxa"/>
            <w:tcBorders>
              <w:tl2br w:val="nil"/>
              <w:tr2bl w:val="nil"/>
            </w:tcBorders>
            <w:shd w:val="clear" w:color="auto" w:fill="auto"/>
            <w:vAlign w:val="center"/>
          </w:tcPr>
          <w:p w14:paraId="50BED0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H</w:t>
            </w:r>
            <w:r>
              <w:rPr>
                <w:rFonts w:hint="default" w:ascii="Times New Roman" w:hAnsi="Times New Roman" w:eastAsia="宋体" w:cs="Times New Roman"/>
                <w:i w:val="0"/>
                <w:iCs w:val="0"/>
                <w:color w:val="000000"/>
                <w:kern w:val="0"/>
                <w:sz w:val="18"/>
                <w:szCs w:val="18"/>
                <w:u w:val="none"/>
                <w:vertAlign w:val="sub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S</w:t>
            </w:r>
          </w:p>
        </w:tc>
        <w:tc>
          <w:tcPr>
            <w:tcW w:w="622" w:type="dxa"/>
            <w:tcBorders>
              <w:tl2br w:val="nil"/>
              <w:tr2bl w:val="nil"/>
            </w:tcBorders>
            <w:shd w:val="clear" w:color="auto" w:fill="auto"/>
            <w:vAlign w:val="center"/>
          </w:tcPr>
          <w:p w14:paraId="4CE5344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72" w:type="dxa"/>
            <w:tcBorders>
              <w:tl2br w:val="nil"/>
              <w:tr2bl w:val="nil"/>
            </w:tcBorders>
            <w:shd w:val="clear" w:color="auto" w:fill="auto"/>
            <w:vAlign w:val="center"/>
          </w:tcPr>
          <w:p w14:paraId="3DAEB0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80" w:type="dxa"/>
            <w:tcBorders>
              <w:tl2br w:val="nil"/>
              <w:tr2bl w:val="nil"/>
            </w:tcBorders>
            <w:shd w:val="clear" w:color="auto" w:fill="auto"/>
            <w:vAlign w:val="center"/>
          </w:tcPr>
          <w:p w14:paraId="46E746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9" w:type="dxa"/>
            <w:tcBorders>
              <w:tl2br w:val="nil"/>
              <w:tr2bl w:val="nil"/>
            </w:tcBorders>
            <w:shd w:val="clear" w:color="auto" w:fill="auto"/>
            <w:vAlign w:val="center"/>
          </w:tcPr>
          <w:p w14:paraId="7CA0CE63">
            <w:pPr>
              <w:keepNext w:val="0"/>
              <w:keepLines w:val="0"/>
              <w:widowControl/>
              <w:suppressLineNumbers w:val="0"/>
              <w:jc w:val="center"/>
              <w:textAlignment w:val="center"/>
              <w:rPr>
                <w:rFonts w:hint="eastAsia"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220</w:t>
            </w:r>
          </w:p>
        </w:tc>
        <w:tc>
          <w:tcPr>
            <w:tcW w:w="837" w:type="dxa"/>
            <w:tcBorders>
              <w:tl2br w:val="nil"/>
              <w:tr2bl w:val="nil"/>
            </w:tcBorders>
            <w:shd w:val="clear" w:color="auto" w:fill="auto"/>
            <w:vAlign w:val="center"/>
          </w:tcPr>
          <w:p w14:paraId="5689FDE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41" w:type="dxa"/>
            <w:tcBorders>
              <w:tl2br w:val="nil"/>
              <w:tr2bl w:val="nil"/>
            </w:tcBorders>
            <w:shd w:val="clear" w:color="auto" w:fill="auto"/>
            <w:vAlign w:val="center"/>
          </w:tcPr>
          <w:p w14:paraId="50A971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27" w:type="dxa"/>
            <w:tcBorders>
              <w:tl2br w:val="nil"/>
              <w:tr2bl w:val="nil"/>
            </w:tcBorders>
            <w:shd w:val="clear" w:color="auto" w:fill="auto"/>
            <w:vAlign w:val="center"/>
          </w:tcPr>
          <w:p w14:paraId="101FD90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09" w:type="dxa"/>
            <w:tcBorders>
              <w:tl2br w:val="nil"/>
              <w:tr2bl w:val="nil"/>
            </w:tcBorders>
            <w:shd w:val="clear" w:color="auto" w:fill="auto"/>
            <w:vAlign w:val="center"/>
          </w:tcPr>
          <w:p w14:paraId="64A77C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63" w:type="dxa"/>
            <w:tcBorders>
              <w:tl2br w:val="nil"/>
              <w:tr2bl w:val="nil"/>
            </w:tcBorders>
            <w:shd w:val="clear" w:color="auto" w:fill="auto"/>
            <w:vAlign w:val="center"/>
          </w:tcPr>
          <w:p w14:paraId="43D82A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0.0116 </w:t>
            </w:r>
          </w:p>
        </w:tc>
        <w:tc>
          <w:tcPr>
            <w:tcW w:w="1098" w:type="dxa"/>
            <w:tcBorders>
              <w:tl2br w:val="nil"/>
              <w:tr2bl w:val="nil"/>
            </w:tcBorders>
            <w:shd w:val="clear" w:color="auto" w:fill="auto"/>
            <w:noWrap/>
            <w:vAlign w:val="center"/>
          </w:tcPr>
          <w:p w14:paraId="59FDD6B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0.0026 </w:t>
            </w:r>
          </w:p>
        </w:tc>
        <w:tc>
          <w:tcPr>
            <w:tcW w:w="1032" w:type="dxa"/>
            <w:tcBorders>
              <w:tl2br w:val="nil"/>
              <w:tr2bl w:val="nil"/>
            </w:tcBorders>
            <w:shd w:val="clear" w:color="auto" w:fill="auto"/>
            <w:noWrap/>
            <w:vAlign w:val="center"/>
          </w:tcPr>
          <w:p w14:paraId="66437C4D">
            <w:pPr>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0.06</w:t>
            </w:r>
          </w:p>
        </w:tc>
        <w:tc>
          <w:tcPr>
            <w:tcW w:w="866" w:type="dxa"/>
            <w:tcBorders>
              <w:tl2br w:val="nil"/>
              <w:tr2bl w:val="nil"/>
            </w:tcBorders>
            <w:shd w:val="clear" w:color="auto" w:fill="auto"/>
            <w:vAlign w:val="center"/>
          </w:tcPr>
          <w:p w14:paraId="4CE5810B">
            <w:pPr>
              <w:jc w:val="center"/>
              <w:rPr>
                <w:rFonts w:hint="default" w:ascii="Times New Roman" w:hAnsi="Times New Roman" w:eastAsia="宋体" w:cs="Times New Roman"/>
                <w:i w:val="0"/>
                <w:iCs w:val="0"/>
                <w:color w:val="auto"/>
                <w:sz w:val="21"/>
                <w:szCs w:val="21"/>
                <w:highlight w:val="none"/>
                <w:u w:val="none"/>
                <w:lang w:val="en-US" w:eastAsia="zh-CN"/>
              </w:rPr>
            </w:pPr>
          </w:p>
        </w:tc>
      </w:tr>
    </w:tbl>
    <w:p w14:paraId="2874F1A6">
      <w:pPr>
        <w:pStyle w:val="11"/>
        <w:rPr>
          <w:rFonts w:hint="default"/>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1AC7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769F97DC">
            <w:pPr>
              <w:pStyle w:val="43"/>
              <w:ind w:firstLine="482" w:firstLineChars="20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②非正常工况废气排放信息</w:t>
            </w:r>
          </w:p>
          <w:p w14:paraId="0A543C5F">
            <w:pPr>
              <w:spacing w:line="420" w:lineRule="auto"/>
              <w:ind w:firstLine="480" w:firstLineChars="200"/>
              <w:rPr>
                <w:rFonts w:hint="default" w:cs="Times New Roman"/>
                <w:b w:val="0"/>
                <w:bCs w:val="0"/>
                <w:color w:val="auto"/>
                <w:sz w:val="24"/>
                <w:szCs w:val="20"/>
                <w:highlight w:val="none"/>
                <w:lang w:val="en-US" w:eastAsia="zh-CN"/>
              </w:rPr>
            </w:pPr>
            <w:r>
              <w:rPr>
                <w:rFonts w:hint="default" w:ascii="Times New Roman" w:hAnsi="Times New Roman" w:cs="Times New Roman"/>
                <w:b w:val="0"/>
                <w:bCs w:val="0"/>
                <w:color w:val="auto"/>
                <w:sz w:val="24"/>
                <w:szCs w:val="20"/>
                <w:highlight w:val="none"/>
                <w:lang w:eastAsia="zh-CN"/>
              </w:rPr>
              <w:t>本项目</w:t>
            </w:r>
            <w:r>
              <w:rPr>
                <w:rFonts w:hint="eastAsia" w:cs="Times New Roman"/>
                <w:b w:val="0"/>
                <w:bCs w:val="0"/>
                <w:color w:val="auto"/>
                <w:sz w:val="24"/>
                <w:szCs w:val="20"/>
                <w:highlight w:val="none"/>
                <w:lang w:eastAsia="zh-CN"/>
              </w:rPr>
              <w:t>非</w:t>
            </w:r>
            <w:r>
              <w:rPr>
                <w:rFonts w:hint="default" w:ascii="Times New Roman" w:hAnsi="Times New Roman" w:cs="Times New Roman"/>
                <w:b w:val="0"/>
                <w:bCs w:val="0"/>
                <w:color w:val="auto"/>
                <w:sz w:val="24"/>
                <w:szCs w:val="20"/>
                <w:highlight w:val="none"/>
                <w:lang w:eastAsia="zh-CN"/>
              </w:rPr>
              <w:t>正常工况主要为</w:t>
            </w:r>
            <w:r>
              <w:rPr>
                <w:rFonts w:hint="eastAsia" w:cs="Times New Roman"/>
                <w:b w:val="0"/>
                <w:bCs w:val="0"/>
                <w:color w:val="auto"/>
                <w:sz w:val="24"/>
                <w:szCs w:val="20"/>
                <w:highlight w:val="none"/>
                <w:lang w:val="en-US" w:eastAsia="zh-CN"/>
              </w:rPr>
              <w:t>原料上料系统布袋发生破损，炼胶及硫化系统有机废气项目环评异常工况情景设定为：布袋发生破损导致处理率下降50%</w:t>
            </w:r>
            <w:r>
              <w:rPr>
                <w:rFonts w:hint="default" w:ascii="Times New Roman" w:hAnsi="Times New Roman" w:cs="Times New Roman"/>
                <w:b w:val="0"/>
                <w:bCs w:val="0"/>
                <w:color w:val="auto"/>
                <w:sz w:val="24"/>
                <w:szCs w:val="20"/>
                <w:highlight w:val="none"/>
                <w:lang w:eastAsia="zh-CN"/>
              </w:rPr>
              <w:t>，</w:t>
            </w:r>
            <w:r>
              <w:rPr>
                <w:rFonts w:hint="eastAsia" w:cs="Times New Roman"/>
                <w:b w:val="0"/>
                <w:bCs w:val="0"/>
                <w:color w:val="auto"/>
                <w:sz w:val="24"/>
                <w:szCs w:val="20"/>
                <w:highlight w:val="none"/>
                <w:lang w:val="en-US" w:eastAsia="zh-CN"/>
              </w:rPr>
              <w:t>一年发生一次，一次持续0.5h。活性炭吸附效率下降50%</w:t>
            </w:r>
            <w:r>
              <w:rPr>
                <w:rFonts w:hint="default" w:ascii="Times New Roman" w:hAnsi="Times New Roman" w:cs="Times New Roman"/>
                <w:b w:val="0"/>
                <w:bCs w:val="0"/>
                <w:color w:val="auto"/>
                <w:sz w:val="24"/>
                <w:szCs w:val="20"/>
                <w:highlight w:val="none"/>
                <w:lang w:eastAsia="zh-CN"/>
              </w:rPr>
              <w:t>，</w:t>
            </w:r>
            <w:r>
              <w:rPr>
                <w:rFonts w:hint="eastAsia" w:cs="Times New Roman"/>
                <w:b w:val="0"/>
                <w:bCs w:val="0"/>
                <w:color w:val="auto"/>
                <w:sz w:val="24"/>
                <w:szCs w:val="20"/>
                <w:highlight w:val="none"/>
                <w:lang w:val="en-US" w:eastAsia="zh-CN"/>
              </w:rPr>
              <w:t>一年发生一次，一次持续0.5h。</w:t>
            </w:r>
          </w:p>
          <w:p w14:paraId="5D72FD69">
            <w:pPr>
              <w:spacing w:line="420" w:lineRule="auto"/>
              <w:ind w:firstLine="480" w:firstLineChars="200"/>
              <w:rPr>
                <w:rFonts w:hint="default" w:ascii="Times New Roman" w:hAnsi="Times New Roman" w:eastAsia="宋体" w:cs="Times New Roman"/>
                <w:b w:val="0"/>
                <w:bCs w:val="0"/>
                <w:color w:val="auto"/>
                <w:sz w:val="24"/>
                <w:szCs w:val="20"/>
                <w:highlight w:val="none"/>
                <w:lang w:eastAsia="zh-CN"/>
              </w:rPr>
            </w:pPr>
            <w:r>
              <w:rPr>
                <w:rFonts w:hint="eastAsia" w:cs="Times New Roman"/>
                <w:b w:val="0"/>
                <w:bCs w:val="0"/>
                <w:color w:val="auto"/>
                <w:sz w:val="24"/>
                <w:szCs w:val="20"/>
                <w:highlight w:val="none"/>
                <w:lang w:val="en-US" w:eastAsia="zh-CN"/>
              </w:rPr>
              <w:t>据此</w:t>
            </w:r>
            <w:r>
              <w:rPr>
                <w:rFonts w:hint="default" w:ascii="Times New Roman" w:hAnsi="Times New Roman" w:eastAsia="宋体" w:cs="Times New Roman"/>
                <w:b w:val="0"/>
                <w:bCs w:val="0"/>
                <w:color w:val="auto"/>
                <w:sz w:val="24"/>
                <w:szCs w:val="20"/>
                <w:highlight w:val="none"/>
                <w:lang w:eastAsia="zh-CN"/>
              </w:rPr>
              <w:t>本项目非正常工况废气排放情况如下：</w:t>
            </w:r>
          </w:p>
          <w:p w14:paraId="07123AFF">
            <w:pPr>
              <w:pStyle w:val="43"/>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表4-</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废气污染源排放信息表</w:t>
            </w:r>
            <w:r>
              <w:rPr>
                <w:rFonts w:hint="default" w:ascii="Times New Roman" w:hAnsi="Times New Roman" w:cs="Times New Roman"/>
                <w:color w:val="auto"/>
                <w:highlight w:val="none"/>
                <w:lang w:eastAsia="zh-CN"/>
              </w:rPr>
              <w:t>（非正常情况）</w:t>
            </w:r>
          </w:p>
          <w:tbl>
            <w:tblPr>
              <w:tblStyle w:val="23"/>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55"/>
              <w:gridCol w:w="892"/>
              <w:gridCol w:w="931"/>
              <w:gridCol w:w="1231"/>
              <w:gridCol w:w="1380"/>
              <w:gridCol w:w="1500"/>
              <w:gridCol w:w="1515"/>
            </w:tblGrid>
            <w:tr w14:paraId="2E6DD1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055" w:type="dxa"/>
                  <w:vMerge w:val="restart"/>
                  <w:tcBorders>
                    <w:tl2br w:val="nil"/>
                    <w:tr2bl w:val="nil"/>
                  </w:tcBorders>
                  <w:shd w:val="clear" w:color="auto" w:fill="auto"/>
                  <w:vAlign w:val="center"/>
                </w:tcPr>
                <w:p w14:paraId="592DB91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排放口</w:t>
                  </w:r>
                </w:p>
              </w:tc>
              <w:tc>
                <w:tcPr>
                  <w:tcW w:w="892" w:type="dxa"/>
                  <w:vMerge w:val="restart"/>
                  <w:tcBorders>
                    <w:tl2br w:val="nil"/>
                    <w:tr2bl w:val="nil"/>
                  </w:tcBorders>
                  <w:shd w:val="clear" w:color="auto" w:fill="auto"/>
                  <w:vAlign w:val="center"/>
                </w:tcPr>
                <w:p w14:paraId="644447F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污染源</w:t>
                  </w:r>
                </w:p>
              </w:tc>
              <w:tc>
                <w:tcPr>
                  <w:tcW w:w="931" w:type="dxa"/>
                  <w:vMerge w:val="restart"/>
                  <w:tcBorders>
                    <w:tl2br w:val="nil"/>
                    <w:tr2bl w:val="nil"/>
                  </w:tcBorders>
                  <w:shd w:val="clear" w:color="auto" w:fill="auto"/>
                  <w:vAlign w:val="center"/>
                </w:tcPr>
                <w:p w14:paraId="56C2FEC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污染物种类</w:t>
                  </w:r>
                </w:p>
              </w:tc>
              <w:tc>
                <w:tcPr>
                  <w:tcW w:w="2611" w:type="dxa"/>
                  <w:gridSpan w:val="2"/>
                  <w:tcBorders>
                    <w:tl2br w:val="nil"/>
                    <w:tr2bl w:val="nil"/>
                  </w:tcBorders>
                  <w:shd w:val="clear" w:color="auto" w:fill="auto"/>
                  <w:vAlign w:val="center"/>
                </w:tcPr>
                <w:p w14:paraId="43F00A9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排放情况</w:t>
                  </w:r>
                </w:p>
              </w:tc>
              <w:tc>
                <w:tcPr>
                  <w:tcW w:w="3015" w:type="dxa"/>
                  <w:gridSpan w:val="2"/>
                  <w:tcBorders>
                    <w:tl2br w:val="nil"/>
                    <w:tr2bl w:val="nil"/>
                  </w:tcBorders>
                  <w:shd w:val="clear" w:color="auto" w:fill="auto"/>
                  <w:noWrap/>
                  <w:vAlign w:val="center"/>
                </w:tcPr>
                <w:p w14:paraId="48BEF9E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排放标准</w:t>
                  </w:r>
                </w:p>
              </w:tc>
            </w:tr>
            <w:tr w14:paraId="12C7B2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055" w:type="dxa"/>
                  <w:vMerge w:val="continue"/>
                  <w:tcBorders>
                    <w:tl2br w:val="nil"/>
                    <w:tr2bl w:val="nil"/>
                  </w:tcBorders>
                  <w:shd w:val="clear" w:color="auto" w:fill="auto"/>
                  <w:vAlign w:val="center"/>
                </w:tcPr>
                <w:p w14:paraId="1AD07838">
                  <w:pPr>
                    <w:jc w:val="center"/>
                    <w:rPr>
                      <w:rFonts w:hint="eastAsia" w:ascii="宋体" w:hAnsi="宋体" w:eastAsia="宋体" w:cs="宋体"/>
                      <w:b/>
                      <w:bCs/>
                      <w:i w:val="0"/>
                      <w:iCs w:val="0"/>
                      <w:color w:val="000000"/>
                      <w:sz w:val="21"/>
                      <w:szCs w:val="21"/>
                      <w:u w:val="none"/>
                    </w:rPr>
                  </w:pPr>
                </w:p>
              </w:tc>
              <w:tc>
                <w:tcPr>
                  <w:tcW w:w="892" w:type="dxa"/>
                  <w:vMerge w:val="continue"/>
                  <w:tcBorders>
                    <w:tl2br w:val="nil"/>
                    <w:tr2bl w:val="nil"/>
                  </w:tcBorders>
                  <w:shd w:val="clear" w:color="auto" w:fill="auto"/>
                  <w:vAlign w:val="center"/>
                </w:tcPr>
                <w:p w14:paraId="2A9C8A1C">
                  <w:pPr>
                    <w:jc w:val="center"/>
                    <w:rPr>
                      <w:rFonts w:hint="eastAsia" w:ascii="宋体" w:hAnsi="宋体" w:eastAsia="宋体" w:cs="宋体"/>
                      <w:b/>
                      <w:bCs/>
                      <w:i w:val="0"/>
                      <w:iCs w:val="0"/>
                      <w:color w:val="000000"/>
                      <w:sz w:val="21"/>
                      <w:szCs w:val="21"/>
                      <w:u w:val="none"/>
                    </w:rPr>
                  </w:pPr>
                </w:p>
              </w:tc>
              <w:tc>
                <w:tcPr>
                  <w:tcW w:w="931" w:type="dxa"/>
                  <w:vMerge w:val="continue"/>
                  <w:tcBorders>
                    <w:tl2br w:val="nil"/>
                    <w:tr2bl w:val="nil"/>
                  </w:tcBorders>
                  <w:shd w:val="clear" w:color="auto" w:fill="auto"/>
                  <w:vAlign w:val="center"/>
                </w:tcPr>
                <w:p w14:paraId="6769AD32">
                  <w:pPr>
                    <w:jc w:val="center"/>
                    <w:rPr>
                      <w:rFonts w:hint="eastAsia" w:ascii="宋体" w:hAnsi="宋体" w:eastAsia="宋体" w:cs="宋体"/>
                      <w:b/>
                      <w:bCs/>
                      <w:i w:val="0"/>
                      <w:iCs w:val="0"/>
                      <w:color w:val="000000"/>
                      <w:sz w:val="21"/>
                      <w:szCs w:val="21"/>
                      <w:u w:val="none"/>
                    </w:rPr>
                  </w:pPr>
                </w:p>
              </w:tc>
              <w:tc>
                <w:tcPr>
                  <w:tcW w:w="1231" w:type="dxa"/>
                  <w:tcBorders>
                    <w:tl2br w:val="nil"/>
                    <w:tr2bl w:val="nil"/>
                  </w:tcBorders>
                  <w:shd w:val="clear" w:color="auto" w:fill="auto"/>
                  <w:vAlign w:val="center"/>
                </w:tcPr>
                <w:p w14:paraId="47C27F6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浓度</w:t>
                  </w:r>
                  <w:r>
                    <w:rPr>
                      <w:rFonts w:hint="default" w:ascii="Times New Roman" w:hAnsi="Times New Roman" w:eastAsia="宋体" w:cs="Times New Roman"/>
                      <w:b/>
                      <w:bCs/>
                      <w:i w:val="0"/>
                      <w:iCs w:val="0"/>
                      <w:color w:val="000000"/>
                      <w:kern w:val="0"/>
                      <w:sz w:val="21"/>
                      <w:szCs w:val="21"/>
                      <w:u w:val="none"/>
                      <w:lang w:val="en-US" w:eastAsia="zh-CN" w:bidi="ar"/>
                    </w:rPr>
                    <w:t>mg/m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p>
              </w:tc>
              <w:tc>
                <w:tcPr>
                  <w:tcW w:w="1380" w:type="dxa"/>
                  <w:tcBorders>
                    <w:tl2br w:val="nil"/>
                    <w:tr2bl w:val="nil"/>
                  </w:tcBorders>
                  <w:shd w:val="clear" w:color="auto" w:fill="auto"/>
                  <w:vAlign w:val="center"/>
                </w:tcPr>
                <w:p w14:paraId="183EDF4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速率</w:t>
                  </w:r>
                  <w:r>
                    <w:rPr>
                      <w:rFonts w:hint="default" w:ascii="Times New Roman" w:hAnsi="Times New Roman" w:eastAsia="宋体" w:cs="Times New Roman"/>
                      <w:b/>
                      <w:bCs/>
                      <w:i w:val="0"/>
                      <w:iCs w:val="0"/>
                      <w:color w:val="000000"/>
                      <w:kern w:val="0"/>
                      <w:sz w:val="21"/>
                      <w:szCs w:val="21"/>
                      <w:u w:val="none"/>
                      <w:lang w:val="en-US" w:eastAsia="zh-CN" w:bidi="ar"/>
                    </w:rPr>
                    <w:t>kg/h</w:t>
                  </w:r>
                </w:p>
              </w:tc>
              <w:tc>
                <w:tcPr>
                  <w:tcW w:w="1500" w:type="dxa"/>
                  <w:tcBorders>
                    <w:tl2br w:val="nil"/>
                    <w:tr2bl w:val="nil"/>
                  </w:tcBorders>
                  <w:shd w:val="clear" w:color="auto" w:fill="auto"/>
                  <w:vAlign w:val="center"/>
                </w:tcPr>
                <w:p w14:paraId="545B570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浓度</w:t>
                  </w:r>
                  <w:r>
                    <w:rPr>
                      <w:rFonts w:hint="default" w:ascii="Times New Roman" w:hAnsi="Times New Roman" w:eastAsia="宋体" w:cs="Times New Roman"/>
                      <w:b/>
                      <w:bCs/>
                      <w:i w:val="0"/>
                      <w:iCs w:val="0"/>
                      <w:color w:val="000000"/>
                      <w:kern w:val="0"/>
                      <w:sz w:val="21"/>
                      <w:szCs w:val="21"/>
                      <w:u w:val="none"/>
                      <w:lang w:val="en-US" w:eastAsia="zh-CN" w:bidi="ar"/>
                    </w:rPr>
                    <w:t>mg/m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p>
              </w:tc>
              <w:tc>
                <w:tcPr>
                  <w:tcW w:w="1515" w:type="dxa"/>
                  <w:tcBorders>
                    <w:tl2br w:val="nil"/>
                    <w:tr2bl w:val="nil"/>
                  </w:tcBorders>
                  <w:shd w:val="clear" w:color="auto" w:fill="auto"/>
                  <w:vAlign w:val="center"/>
                </w:tcPr>
                <w:p w14:paraId="5FA7ECC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速率</w:t>
                  </w:r>
                  <w:r>
                    <w:rPr>
                      <w:rFonts w:hint="default" w:ascii="Times New Roman" w:hAnsi="Times New Roman" w:eastAsia="宋体" w:cs="Times New Roman"/>
                      <w:b/>
                      <w:bCs/>
                      <w:i w:val="0"/>
                      <w:iCs w:val="0"/>
                      <w:color w:val="000000"/>
                      <w:kern w:val="0"/>
                      <w:sz w:val="21"/>
                      <w:szCs w:val="21"/>
                      <w:u w:val="none"/>
                      <w:lang w:val="en-US" w:eastAsia="zh-CN" w:bidi="ar"/>
                    </w:rPr>
                    <w:t>kg/h</w:t>
                  </w:r>
                </w:p>
              </w:tc>
            </w:tr>
            <w:tr w14:paraId="226510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1055" w:type="dxa"/>
                  <w:vMerge w:val="restart"/>
                  <w:tcBorders>
                    <w:tl2br w:val="nil"/>
                    <w:tr2bl w:val="nil"/>
                  </w:tcBorders>
                  <w:shd w:val="clear" w:color="auto" w:fill="auto"/>
                  <w:vAlign w:val="center"/>
                </w:tcPr>
                <w:p w14:paraId="3D4138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DA002</w:t>
                  </w:r>
                </w:p>
              </w:tc>
              <w:tc>
                <w:tcPr>
                  <w:tcW w:w="892" w:type="dxa"/>
                  <w:vMerge w:val="restart"/>
                  <w:tcBorders>
                    <w:tl2br w:val="nil"/>
                    <w:tr2bl w:val="nil"/>
                  </w:tcBorders>
                  <w:shd w:val="clear" w:color="auto" w:fill="auto"/>
                  <w:vAlign w:val="center"/>
                </w:tcPr>
                <w:p w14:paraId="34FB1A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上料及炼胶</w:t>
                  </w:r>
                </w:p>
              </w:tc>
              <w:tc>
                <w:tcPr>
                  <w:tcW w:w="931" w:type="dxa"/>
                  <w:tcBorders>
                    <w:tl2br w:val="nil"/>
                    <w:tr2bl w:val="nil"/>
                  </w:tcBorders>
                  <w:shd w:val="clear" w:color="auto" w:fill="auto"/>
                  <w:vAlign w:val="center"/>
                </w:tcPr>
                <w:p w14:paraId="39F0D1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颗粒物</w:t>
                  </w:r>
                </w:p>
              </w:tc>
              <w:tc>
                <w:tcPr>
                  <w:tcW w:w="1231" w:type="dxa"/>
                  <w:tcBorders>
                    <w:tl2br w:val="nil"/>
                    <w:tr2bl w:val="nil"/>
                  </w:tcBorders>
                  <w:shd w:val="clear" w:color="auto" w:fill="auto"/>
                  <w:vAlign w:val="center"/>
                </w:tcPr>
                <w:p w14:paraId="7493738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43.3042 </w:t>
                  </w:r>
                </w:p>
              </w:tc>
              <w:tc>
                <w:tcPr>
                  <w:tcW w:w="1380" w:type="dxa"/>
                  <w:tcBorders>
                    <w:tl2br w:val="nil"/>
                    <w:tr2bl w:val="nil"/>
                  </w:tcBorders>
                  <w:shd w:val="clear" w:color="auto" w:fill="auto"/>
                  <w:vAlign w:val="center"/>
                </w:tcPr>
                <w:p w14:paraId="1A45C2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1.0826 </w:t>
                  </w:r>
                </w:p>
              </w:tc>
              <w:tc>
                <w:tcPr>
                  <w:tcW w:w="1500" w:type="dxa"/>
                  <w:tcBorders>
                    <w:tl2br w:val="nil"/>
                    <w:tr2bl w:val="nil"/>
                  </w:tcBorders>
                  <w:shd w:val="clear" w:color="auto" w:fill="auto"/>
                  <w:vAlign w:val="center"/>
                </w:tcPr>
                <w:p w14:paraId="61AB7F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12 </w:t>
                  </w:r>
                </w:p>
              </w:tc>
              <w:tc>
                <w:tcPr>
                  <w:tcW w:w="1515" w:type="dxa"/>
                  <w:tcBorders>
                    <w:tl2br w:val="nil"/>
                    <w:tr2bl w:val="nil"/>
                  </w:tcBorders>
                  <w:shd w:val="clear" w:color="auto" w:fill="auto"/>
                  <w:noWrap/>
                  <w:vAlign w:val="center"/>
                </w:tcPr>
                <w:p w14:paraId="1D3345D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r>
            <w:tr w14:paraId="771795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1055" w:type="dxa"/>
                  <w:vMerge w:val="continue"/>
                  <w:tcBorders>
                    <w:tl2br w:val="nil"/>
                    <w:tr2bl w:val="nil"/>
                  </w:tcBorders>
                  <w:shd w:val="clear" w:color="auto" w:fill="auto"/>
                  <w:vAlign w:val="center"/>
                </w:tcPr>
                <w:p w14:paraId="66D38046">
                  <w:pPr>
                    <w:jc w:val="center"/>
                    <w:rPr>
                      <w:rFonts w:hint="eastAsia" w:ascii="宋体" w:hAnsi="宋体" w:eastAsia="宋体" w:cs="宋体"/>
                      <w:i w:val="0"/>
                      <w:iCs w:val="0"/>
                      <w:color w:val="000000"/>
                      <w:sz w:val="21"/>
                      <w:szCs w:val="21"/>
                      <w:u w:val="none"/>
                    </w:rPr>
                  </w:pPr>
                </w:p>
              </w:tc>
              <w:tc>
                <w:tcPr>
                  <w:tcW w:w="892" w:type="dxa"/>
                  <w:vMerge w:val="continue"/>
                  <w:tcBorders>
                    <w:tl2br w:val="nil"/>
                    <w:tr2bl w:val="nil"/>
                  </w:tcBorders>
                  <w:shd w:val="clear" w:color="auto" w:fill="auto"/>
                  <w:vAlign w:val="center"/>
                </w:tcPr>
                <w:p w14:paraId="646835E9">
                  <w:pPr>
                    <w:jc w:val="center"/>
                    <w:rPr>
                      <w:rFonts w:hint="eastAsia" w:ascii="宋体" w:hAnsi="宋体" w:eastAsia="宋体" w:cs="宋体"/>
                      <w:i w:val="0"/>
                      <w:iCs w:val="0"/>
                      <w:color w:val="000000"/>
                      <w:sz w:val="18"/>
                      <w:szCs w:val="18"/>
                      <w:u w:val="none"/>
                    </w:rPr>
                  </w:pPr>
                </w:p>
              </w:tc>
              <w:tc>
                <w:tcPr>
                  <w:tcW w:w="931" w:type="dxa"/>
                  <w:tcBorders>
                    <w:tl2br w:val="nil"/>
                    <w:tr2bl w:val="nil"/>
                  </w:tcBorders>
                  <w:shd w:val="clear" w:color="auto" w:fill="auto"/>
                  <w:vAlign w:val="center"/>
                </w:tcPr>
                <w:p w14:paraId="4E190C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非甲烷总烃</w:t>
                  </w:r>
                </w:p>
              </w:tc>
              <w:tc>
                <w:tcPr>
                  <w:tcW w:w="1231" w:type="dxa"/>
                  <w:tcBorders>
                    <w:tl2br w:val="nil"/>
                    <w:tr2bl w:val="nil"/>
                  </w:tcBorders>
                  <w:shd w:val="clear" w:color="auto" w:fill="auto"/>
                  <w:vAlign w:val="center"/>
                </w:tcPr>
                <w:p w14:paraId="66A8C15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14.0668 </w:t>
                  </w:r>
                </w:p>
              </w:tc>
              <w:tc>
                <w:tcPr>
                  <w:tcW w:w="1380" w:type="dxa"/>
                  <w:tcBorders>
                    <w:tl2br w:val="nil"/>
                    <w:tr2bl w:val="nil"/>
                  </w:tcBorders>
                  <w:shd w:val="clear" w:color="auto" w:fill="auto"/>
                  <w:vAlign w:val="center"/>
                </w:tcPr>
                <w:p w14:paraId="0B8C94F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0.2110 </w:t>
                  </w:r>
                </w:p>
              </w:tc>
              <w:tc>
                <w:tcPr>
                  <w:tcW w:w="1500" w:type="dxa"/>
                  <w:tcBorders>
                    <w:tl2br w:val="nil"/>
                    <w:tr2bl w:val="nil"/>
                  </w:tcBorders>
                  <w:shd w:val="clear" w:color="auto" w:fill="auto"/>
                  <w:vAlign w:val="center"/>
                </w:tcPr>
                <w:p w14:paraId="45E29D1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10 </w:t>
                  </w:r>
                </w:p>
              </w:tc>
              <w:tc>
                <w:tcPr>
                  <w:tcW w:w="1515" w:type="dxa"/>
                  <w:tcBorders>
                    <w:tl2br w:val="nil"/>
                    <w:tr2bl w:val="nil"/>
                  </w:tcBorders>
                  <w:shd w:val="clear" w:color="auto" w:fill="auto"/>
                  <w:noWrap/>
                  <w:vAlign w:val="center"/>
                </w:tcPr>
                <w:p w14:paraId="2998941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r>
            <w:tr w14:paraId="107FF2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5" w:hRule="atLeast"/>
                <w:jc w:val="center"/>
              </w:trPr>
              <w:tc>
                <w:tcPr>
                  <w:tcW w:w="1055" w:type="dxa"/>
                  <w:vMerge w:val="continue"/>
                  <w:tcBorders>
                    <w:tl2br w:val="nil"/>
                    <w:tr2bl w:val="nil"/>
                  </w:tcBorders>
                  <w:shd w:val="clear" w:color="auto" w:fill="auto"/>
                  <w:vAlign w:val="center"/>
                </w:tcPr>
                <w:p w14:paraId="6E2419F1">
                  <w:pPr>
                    <w:jc w:val="center"/>
                    <w:rPr>
                      <w:rFonts w:hint="eastAsia" w:ascii="宋体" w:hAnsi="宋体" w:eastAsia="宋体" w:cs="宋体"/>
                      <w:i w:val="0"/>
                      <w:iCs w:val="0"/>
                      <w:color w:val="000000"/>
                      <w:sz w:val="21"/>
                      <w:szCs w:val="21"/>
                      <w:u w:val="none"/>
                    </w:rPr>
                  </w:pPr>
                </w:p>
              </w:tc>
              <w:tc>
                <w:tcPr>
                  <w:tcW w:w="892" w:type="dxa"/>
                  <w:vMerge w:val="continue"/>
                  <w:tcBorders>
                    <w:tl2br w:val="nil"/>
                    <w:tr2bl w:val="nil"/>
                  </w:tcBorders>
                  <w:shd w:val="clear" w:color="auto" w:fill="auto"/>
                  <w:vAlign w:val="center"/>
                </w:tcPr>
                <w:p w14:paraId="3AF967B1">
                  <w:pPr>
                    <w:jc w:val="center"/>
                    <w:rPr>
                      <w:rFonts w:hint="eastAsia" w:ascii="宋体" w:hAnsi="宋体" w:eastAsia="宋体" w:cs="宋体"/>
                      <w:i w:val="0"/>
                      <w:iCs w:val="0"/>
                      <w:color w:val="000000"/>
                      <w:sz w:val="18"/>
                      <w:szCs w:val="18"/>
                      <w:u w:val="none"/>
                    </w:rPr>
                  </w:pPr>
                </w:p>
              </w:tc>
              <w:tc>
                <w:tcPr>
                  <w:tcW w:w="931" w:type="dxa"/>
                  <w:tcBorders>
                    <w:tl2br w:val="nil"/>
                    <w:tr2bl w:val="nil"/>
                  </w:tcBorders>
                  <w:shd w:val="clear" w:color="auto" w:fill="auto"/>
                  <w:vAlign w:val="center"/>
                </w:tcPr>
                <w:p w14:paraId="516787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w:t>
                  </w:r>
                  <w:r>
                    <w:rPr>
                      <w:rFonts w:hint="default" w:ascii="Times New Roman" w:hAnsi="Times New Roman" w:eastAsia="宋体" w:cs="Times New Roman"/>
                      <w:i w:val="0"/>
                      <w:iCs w:val="0"/>
                      <w:color w:val="000000"/>
                      <w:kern w:val="0"/>
                      <w:sz w:val="18"/>
                      <w:szCs w:val="18"/>
                      <w:u w:val="none"/>
                      <w:vertAlign w:val="sub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S</w:t>
                  </w:r>
                </w:p>
              </w:tc>
              <w:tc>
                <w:tcPr>
                  <w:tcW w:w="1231" w:type="dxa"/>
                  <w:tcBorders>
                    <w:tl2br w:val="nil"/>
                    <w:tr2bl w:val="nil"/>
                  </w:tcBorders>
                  <w:shd w:val="clear" w:color="auto" w:fill="auto"/>
                  <w:vAlign w:val="center"/>
                </w:tcPr>
                <w:p w14:paraId="34C3F45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0.0293 </w:t>
                  </w:r>
                </w:p>
              </w:tc>
              <w:tc>
                <w:tcPr>
                  <w:tcW w:w="1380" w:type="dxa"/>
                  <w:tcBorders>
                    <w:tl2br w:val="nil"/>
                    <w:tr2bl w:val="nil"/>
                  </w:tcBorders>
                  <w:shd w:val="clear" w:color="auto" w:fill="auto"/>
                  <w:vAlign w:val="center"/>
                </w:tcPr>
                <w:p w14:paraId="6E09FF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0.0007 </w:t>
                  </w:r>
                </w:p>
              </w:tc>
              <w:tc>
                <w:tcPr>
                  <w:tcW w:w="1500" w:type="dxa"/>
                  <w:tcBorders>
                    <w:tl2br w:val="nil"/>
                    <w:tr2bl w:val="nil"/>
                  </w:tcBorders>
                  <w:shd w:val="clear" w:color="auto" w:fill="auto"/>
                  <w:vAlign w:val="center"/>
                </w:tcPr>
                <w:p w14:paraId="006B12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515" w:type="dxa"/>
                  <w:tcBorders>
                    <w:tl2br w:val="nil"/>
                    <w:tr2bl w:val="nil"/>
                  </w:tcBorders>
                  <w:shd w:val="clear" w:color="auto" w:fill="auto"/>
                  <w:noWrap/>
                  <w:vAlign w:val="center"/>
                </w:tcPr>
                <w:p w14:paraId="2A65FC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w:t>
                  </w:r>
                </w:p>
              </w:tc>
            </w:tr>
            <w:tr w14:paraId="557F7A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055" w:type="dxa"/>
                  <w:vMerge w:val="restart"/>
                  <w:tcBorders>
                    <w:tl2br w:val="nil"/>
                    <w:tr2bl w:val="nil"/>
                  </w:tcBorders>
                  <w:shd w:val="clear" w:color="auto" w:fill="auto"/>
                  <w:vAlign w:val="center"/>
                </w:tcPr>
                <w:p w14:paraId="104117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DA001</w:t>
                  </w:r>
                </w:p>
              </w:tc>
              <w:tc>
                <w:tcPr>
                  <w:tcW w:w="892" w:type="dxa"/>
                  <w:vMerge w:val="restart"/>
                  <w:tcBorders>
                    <w:tl2br w:val="nil"/>
                    <w:tr2bl w:val="nil"/>
                  </w:tcBorders>
                  <w:shd w:val="clear" w:color="auto" w:fill="auto"/>
                  <w:vAlign w:val="center"/>
                </w:tcPr>
                <w:p w14:paraId="0F6A0C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硫化</w:t>
                  </w:r>
                </w:p>
              </w:tc>
              <w:tc>
                <w:tcPr>
                  <w:tcW w:w="931" w:type="dxa"/>
                  <w:tcBorders>
                    <w:tl2br w:val="nil"/>
                    <w:tr2bl w:val="nil"/>
                  </w:tcBorders>
                  <w:shd w:val="clear" w:color="auto" w:fill="auto"/>
                  <w:vAlign w:val="center"/>
                </w:tcPr>
                <w:p w14:paraId="62E5473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非甲烷总烃</w:t>
                  </w:r>
                </w:p>
              </w:tc>
              <w:tc>
                <w:tcPr>
                  <w:tcW w:w="1231" w:type="dxa"/>
                  <w:tcBorders>
                    <w:tl2br w:val="nil"/>
                    <w:tr2bl w:val="nil"/>
                  </w:tcBorders>
                  <w:shd w:val="clear" w:color="auto" w:fill="auto"/>
                  <w:vAlign w:val="center"/>
                </w:tcPr>
                <w:p w14:paraId="084F866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17.2360 </w:t>
                  </w:r>
                </w:p>
              </w:tc>
              <w:tc>
                <w:tcPr>
                  <w:tcW w:w="1380" w:type="dxa"/>
                  <w:tcBorders>
                    <w:tl2br w:val="nil"/>
                    <w:tr2bl w:val="nil"/>
                  </w:tcBorders>
                  <w:shd w:val="clear" w:color="auto" w:fill="auto"/>
                  <w:noWrap/>
                  <w:vAlign w:val="center"/>
                </w:tcPr>
                <w:p w14:paraId="54432FB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0.4309 </w:t>
                  </w:r>
                </w:p>
              </w:tc>
              <w:tc>
                <w:tcPr>
                  <w:tcW w:w="1500" w:type="dxa"/>
                  <w:tcBorders>
                    <w:tl2br w:val="nil"/>
                    <w:tr2bl w:val="nil"/>
                  </w:tcBorders>
                  <w:shd w:val="clear" w:color="auto" w:fill="auto"/>
                  <w:vAlign w:val="center"/>
                </w:tcPr>
                <w:p w14:paraId="7E80558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10 </w:t>
                  </w:r>
                </w:p>
              </w:tc>
              <w:tc>
                <w:tcPr>
                  <w:tcW w:w="1515" w:type="dxa"/>
                  <w:tcBorders>
                    <w:tl2br w:val="nil"/>
                    <w:tr2bl w:val="nil"/>
                  </w:tcBorders>
                  <w:shd w:val="clear" w:color="auto" w:fill="auto"/>
                  <w:noWrap/>
                  <w:vAlign w:val="center"/>
                </w:tcPr>
                <w:p w14:paraId="01163E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r>
            <w:tr w14:paraId="1C6982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15" w:hRule="atLeast"/>
                <w:jc w:val="center"/>
              </w:trPr>
              <w:tc>
                <w:tcPr>
                  <w:tcW w:w="1055" w:type="dxa"/>
                  <w:vMerge w:val="continue"/>
                  <w:tcBorders>
                    <w:tl2br w:val="nil"/>
                    <w:tr2bl w:val="nil"/>
                  </w:tcBorders>
                  <w:shd w:val="clear" w:color="auto" w:fill="auto"/>
                  <w:vAlign w:val="center"/>
                </w:tcPr>
                <w:p w14:paraId="52EE4272">
                  <w:pPr>
                    <w:jc w:val="center"/>
                    <w:rPr>
                      <w:rFonts w:hint="eastAsia" w:ascii="宋体" w:hAnsi="宋体" w:eastAsia="宋体" w:cs="宋体"/>
                      <w:i w:val="0"/>
                      <w:iCs w:val="0"/>
                      <w:color w:val="000000"/>
                      <w:sz w:val="21"/>
                      <w:szCs w:val="21"/>
                      <w:u w:val="none"/>
                    </w:rPr>
                  </w:pPr>
                </w:p>
              </w:tc>
              <w:tc>
                <w:tcPr>
                  <w:tcW w:w="892" w:type="dxa"/>
                  <w:vMerge w:val="continue"/>
                  <w:tcBorders>
                    <w:tl2br w:val="nil"/>
                    <w:tr2bl w:val="nil"/>
                  </w:tcBorders>
                  <w:shd w:val="clear" w:color="auto" w:fill="auto"/>
                  <w:vAlign w:val="center"/>
                </w:tcPr>
                <w:p w14:paraId="0B7648BD">
                  <w:pPr>
                    <w:jc w:val="center"/>
                    <w:rPr>
                      <w:rFonts w:hint="default" w:ascii="Times New Roman" w:hAnsi="Times New Roman" w:eastAsia="宋体" w:cs="Times New Roman"/>
                      <w:i w:val="0"/>
                      <w:iCs w:val="0"/>
                      <w:color w:val="000000"/>
                      <w:sz w:val="18"/>
                      <w:szCs w:val="18"/>
                      <w:u w:val="none"/>
                    </w:rPr>
                  </w:pPr>
                </w:p>
              </w:tc>
              <w:tc>
                <w:tcPr>
                  <w:tcW w:w="931" w:type="dxa"/>
                  <w:tcBorders>
                    <w:tl2br w:val="nil"/>
                    <w:tr2bl w:val="nil"/>
                  </w:tcBorders>
                  <w:shd w:val="clear" w:color="auto" w:fill="auto"/>
                  <w:vAlign w:val="center"/>
                </w:tcPr>
                <w:p w14:paraId="50EF6B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w:t>
                  </w:r>
                  <w:r>
                    <w:rPr>
                      <w:rFonts w:hint="default" w:ascii="Times New Roman" w:hAnsi="Times New Roman" w:eastAsia="宋体" w:cs="Times New Roman"/>
                      <w:i w:val="0"/>
                      <w:iCs w:val="0"/>
                      <w:color w:val="000000"/>
                      <w:kern w:val="0"/>
                      <w:sz w:val="18"/>
                      <w:szCs w:val="18"/>
                      <w:u w:val="none"/>
                      <w:vertAlign w:val="sub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S</w:t>
                  </w:r>
                </w:p>
              </w:tc>
              <w:tc>
                <w:tcPr>
                  <w:tcW w:w="1231" w:type="dxa"/>
                  <w:tcBorders>
                    <w:tl2br w:val="nil"/>
                    <w:tr2bl w:val="nil"/>
                  </w:tcBorders>
                  <w:shd w:val="clear" w:color="auto" w:fill="auto"/>
                  <w:vAlign w:val="center"/>
                </w:tcPr>
                <w:p w14:paraId="07FB83A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0.4650 </w:t>
                  </w:r>
                </w:p>
              </w:tc>
              <w:tc>
                <w:tcPr>
                  <w:tcW w:w="1380" w:type="dxa"/>
                  <w:tcBorders>
                    <w:tl2br w:val="nil"/>
                    <w:tr2bl w:val="nil"/>
                  </w:tcBorders>
                  <w:shd w:val="clear" w:color="auto" w:fill="auto"/>
                  <w:noWrap/>
                  <w:vAlign w:val="center"/>
                </w:tcPr>
                <w:p w14:paraId="7B01666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0.0116 </w:t>
                  </w:r>
                </w:p>
              </w:tc>
              <w:tc>
                <w:tcPr>
                  <w:tcW w:w="1500" w:type="dxa"/>
                  <w:tcBorders>
                    <w:tl2br w:val="nil"/>
                    <w:tr2bl w:val="nil"/>
                  </w:tcBorders>
                  <w:shd w:val="clear" w:color="auto" w:fill="auto"/>
                  <w:vAlign w:val="center"/>
                </w:tcPr>
                <w:p w14:paraId="0F36EBB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515" w:type="dxa"/>
                  <w:tcBorders>
                    <w:tl2br w:val="nil"/>
                    <w:tr2bl w:val="nil"/>
                  </w:tcBorders>
                  <w:shd w:val="clear" w:color="auto" w:fill="auto"/>
                  <w:noWrap/>
                  <w:vAlign w:val="center"/>
                </w:tcPr>
                <w:p w14:paraId="49EBDB5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w:t>
                  </w:r>
                </w:p>
              </w:tc>
            </w:tr>
            <w:tr w14:paraId="26C5C7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1055" w:type="dxa"/>
                  <w:vMerge w:val="continue"/>
                  <w:tcBorders>
                    <w:tl2br w:val="nil"/>
                    <w:tr2bl w:val="nil"/>
                  </w:tcBorders>
                  <w:shd w:val="clear" w:color="auto" w:fill="auto"/>
                  <w:vAlign w:val="center"/>
                </w:tcPr>
                <w:p w14:paraId="6FABE54B">
                  <w:pPr>
                    <w:jc w:val="center"/>
                    <w:rPr>
                      <w:rFonts w:hint="eastAsia" w:ascii="宋体" w:hAnsi="宋体" w:eastAsia="宋体" w:cs="宋体"/>
                      <w:i w:val="0"/>
                      <w:iCs w:val="0"/>
                      <w:color w:val="000000"/>
                      <w:sz w:val="21"/>
                      <w:szCs w:val="21"/>
                      <w:u w:val="none"/>
                    </w:rPr>
                  </w:pPr>
                </w:p>
              </w:tc>
              <w:tc>
                <w:tcPr>
                  <w:tcW w:w="892" w:type="dxa"/>
                  <w:vMerge w:val="continue"/>
                  <w:tcBorders>
                    <w:tl2br w:val="nil"/>
                    <w:tr2bl w:val="nil"/>
                  </w:tcBorders>
                  <w:shd w:val="clear" w:color="auto" w:fill="auto"/>
                  <w:vAlign w:val="center"/>
                </w:tcPr>
                <w:p w14:paraId="6CEE1763">
                  <w:pPr>
                    <w:jc w:val="center"/>
                    <w:rPr>
                      <w:rFonts w:hint="default" w:ascii="Times New Roman" w:hAnsi="Times New Roman" w:eastAsia="宋体" w:cs="Times New Roman"/>
                      <w:i w:val="0"/>
                      <w:iCs w:val="0"/>
                      <w:color w:val="000000"/>
                      <w:sz w:val="18"/>
                      <w:szCs w:val="18"/>
                      <w:u w:val="none"/>
                    </w:rPr>
                  </w:pPr>
                </w:p>
              </w:tc>
              <w:tc>
                <w:tcPr>
                  <w:tcW w:w="931" w:type="dxa"/>
                  <w:tcBorders>
                    <w:tl2br w:val="nil"/>
                    <w:tr2bl w:val="nil"/>
                  </w:tcBorders>
                  <w:shd w:val="clear" w:color="auto" w:fill="auto"/>
                  <w:vAlign w:val="center"/>
                </w:tcPr>
                <w:p w14:paraId="5AD870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w:t>
                  </w:r>
                  <w:r>
                    <w:rPr>
                      <w:rFonts w:hint="default" w:ascii="Times New Roman" w:hAnsi="Times New Roman" w:eastAsia="宋体" w:cs="Times New Roman"/>
                      <w:i w:val="0"/>
                      <w:iCs w:val="0"/>
                      <w:color w:val="000000"/>
                      <w:kern w:val="0"/>
                      <w:sz w:val="18"/>
                      <w:szCs w:val="18"/>
                      <w:u w:val="none"/>
                      <w:vertAlign w:val="sub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S</w:t>
                  </w:r>
                </w:p>
              </w:tc>
              <w:tc>
                <w:tcPr>
                  <w:tcW w:w="1231" w:type="dxa"/>
                  <w:tcBorders>
                    <w:tl2br w:val="nil"/>
                    <w:tr2bl w:val="nil"/>
                  </w:tcBorders>
                  <w:shd w:val="clear" w:color="auto" w:fill="auto"/>
                  <w:vAlign w:val="center"/>
                </w:tcPr>
                <w:p w14:paraId="75597CE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0.3612 </w:t>
                  </w:r>
                </w:p>
              </w:tc>
              <w:tc>
                <w:tcPr>
                  <w:tcW w:w="1380" w:type="dxa"/>
                  <w:tcBorders>
                    <w:tl2br w:val="nil"/>
                    <w:tr2bl w:val="nil"/>
                  </w:tcBorders>
                  <w:shd w:val="clear" w:color="auto" w:fill="auto"/>
                  <w:noWrap/>
                  <w:vAlign w:val="center"/>
                </w:tcPr>
                <w:p w14:paraId="1587EDE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0.0090 </w:t>
                  </w:r>
                </w:p>
              </w:tc>
              <w:tc>
                <w:tcPr>
                  <w:tcW w:w="1500" w:type="dxa"/>
                  <w:tcBorders>
                    <w:tl2br w:val="nil"/>
                    <w:tr2bl w:val="nil"/>
                  </w:tcBorders>
                  <w:shd w:val="clear" w:color="auto" w:fill="auto"/>
                  <w:vAlign w:val="center"/>
                </w:tcPr>
                <w:p w14:paraId="51C4E77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515" w:type="dxa"/>
                  <w:tcBorders>
                    <w:tl2br w:val="nil"/>
                    <w:tr2bl w:val="nil"/>
                  </w:tcBorders>
                  <w:shd w:val="clear" w:color="auto" w:fill="auto"/>
                  <w:noWrap/>
                  <w:vAlign w:val="center"/>
                </w:tcPr>
                <w:p w14:paraId="4168B54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0.06</w:t>
                  </w:r>
                </w:p>
              </w:tc>
            </w:tr>
          </w:tbl>
          <w:p w14:paraId="440E4904">
            <w:pPr>
              <w:keepNext w:val="0"/>
              <w:keepLines w:val="0"/>
              <w:pageBreakBefore w:val="0"/>
              <w:widowControl w:val="0"/>
              <w:kinsoku/>
              <w:wordWrap/>
              <w:overflowPunct/>
              <w:topLinePunct w:val="0"/>
              <w:autoSpaceDE/>
              <w:autoSpaceDN/>
              <w:bidi w:val="0"/>
              <w:adjustRightInd/>
              <w:snapToGrid/>
              <w:spacing w:line="42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因此本项目</w:t>
            </w:r>
            <w:r>
              <w:rPr>
                <w:rFonts w:hint="eastAsia" w:cs="Times New Roman"/>
                <w:color w:val="auto"/>
                <w:sz w:val="24"/>
                <w:szCs w:val="24"/>
                <w:highlight w:val="none"/>
                <w:lang w:val="en-US" w:eastAsia="zh-CN"/>
              </w:rPr>
              <w:t>非</w:t>
            </w:r>
            <w:r>
              <w:rPr>
                <w:rFonts w:hint="default" w:ascii="Times New Roman" w:hAnsi="Times New Roman" w:cs="Times New Roman"/>
                <w:color w:val="auto"/>
                <w:sz w:val="24"/>
                <w:szCs w:val="24"/>
                <w:highlight w:val="none"/>
                <w:lang w:val="en-US" w:eastAsia="zh-CN"/>
              </w:rPr>
              <w:t>正常工况下，</w:t>
            </w:r>
            <w:r>
              <w:rPr>
                <w:rFonts w:hint="eastAsia" w:cs="Times New Roman"/>
                <w:color w:val="auto"/>
                <w:sz w:val="24"/>
                <w:szCs w:val="24"/>
                <w:highlight w:val="none"/>
                <w:lang w:val="en-US" w:eastAsia="zh-CN"/>
              </w:rPr>
              <w:t>颗粒物和炼胶非甲烷总烃都将</w:t>
            </w:r>
            <w:r>
              <w:rPr>
                <w:rFonts w:hint="default" w:ascii="Times New Roman" w:hAnsi="Times New Roman" w:cs="Times New Roman"/>
                <w:color w:val="auto"/>
                <w:sz w:val="24"/>
                <w:szCs w:val="24"/>
                <w:highlight w:val="none"/>
                <w:lang w:val="en-US" w:eastAsia="zh-CN"/>
              </w:rPr>
              <w:t>超标</w:t>
            </w:r>
            <w:r>
              <w:rPr>
                <w:rFonts w:hint="eastAsia" w:cs="Times New Roman"/>
                <w:color w:val="auto"/>
                <w:sz w:val="24"/>
                <w:szCs w:val="24"/>
                <w:highlight w:val="none"/>
                <w:lang w:val="en-US" w:eastAsia="zh-CN"/>
              </w:rPr>
              <w:t>排放</w:t>
            </w:r>
            <w:r>
              <w:rPr>
                <w:rFonts w:hint="default" w:ascii="Times New Roman" w:hAnsi="Times New Roman" w:cs="Times New Roman"/>
                <w:color w:val="auto"/>
                <w:sz w:val="24"/>
                <w:szCs w:val="24"/>
                <w:highlight w:val="none"/>
                <w:lang w:val="en-US" w:eastAsia="zh-CN"/>
              </w:rPr>
              <w:t>。为预防非正常工况下的废气超标排放，建设单位应当加强废气处理系统运行台账管理，</w:t>
            </w:r>
            <w:r>
              <w:rPr>
                <w:rFonts w:hint="eastAsia" w:cs="Times New Roman"/>
                <w:color w:val="auto"/>
                <w:sz w:val="24"/>
                <w:szCs w:val="24"/>
                <w:highlight w:val="none"/>
                <w:lang w:val="en-US" w:eastAsia="zh-CN"/>
              </w:rPr>
              <w:t>定期对除尘系统的布袋进行检查，发现老化和破损的应</w:t>
            </w:r>
            <w:r>
              <w:rPr>
                <w:rFonts w:hint="default" w:ascii="Times New Roman" w:hAnsi="Times New Roman" w:cs="Times New Roman"/>
                <w:color w:val="auto"/>
                <w:sz w:val="24"/>
                <w:szCs w:val="24"/>
                <w:highlight w:val="none"/>
                <w:lang w:val="en-US" w:eastAsia="zh-CN"/>
              </w:rPr>
              <w:t>及时，</w:t>
            </w:r>
            <w:r>
              <w:rPr>
                <w:rFonts w:hint="eastAsia" w:cs="Times New Roman"/>
                <w:color w:val="auto"/>
                <w:sz w:val="24"/>
                <w:szCs w:val="24"/>
                <w:highlight w:val="none"/>
                <w:lang w:val="en-US" w:eastAsia="zh-CN"/>
              </w:rPr>
              <w:t>除尘系统发生故障时，生产线应及时停产检修。定期更换活性炭，确保活性炭吸附效能。</w:t>
            </w:r>
          </w:p>
          <w:p w14:paraId="48E7892E">
            <w:pPr>
              <w:pStyle w:val="42"/>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）大气环境防护距离及卫生防护距离：</w:t>
            </w:r>
          </w:p>
          <w:p w14:paraId="1A0126E3">
            <w:pPr>
              <w:pStyle w:val="4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根据screen3软件计算，本项目厂界外无废气超标点，因此不划设大气防护距离。</w:t>
            </w:r>
          </w:p>
          <w:p w14:paraId="0BFC57B4">
            <w:pPr>
              <w:pStyle w:val="42"/>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卫生防护距离本项目采用《大气有害物质无组织排放卫生防护距离推导技术导则》（GB/T39499-2020）推荐公式进行计算：</w:t>
            </w:r>
          </w:p>
          <w:p w14:paraId="16D0BA1D">
            <w:pPr>
              <w:pStyle w:val="42"/>
              <w:ind w:firstLine="48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position w:val="-30"/>
                <w:highlight w:val="none"/>
                <w:lang w:eastAsia="zh-CN"/>
              </w:rPr>
              <w:object>
                <v:shape id="_x0000_i1025" o:spt="75" type="#_x0000_t75" style="height:34pt;width:139.95pt;" o:ole="t" filled="f" o:preferrelative="t" stroked="f" coordsize="21600,21600">
                  <v:path/>
                  <v:fill on="f" focussize="0,0"/>
                  <v:stroke on="f"/>
                  <v:imagedata r:id="rId13" o:title=""/>
                  <o:lock v:ext="edit" aspectratio="t"/>
                  <w10:wrap type="none"/>
                  <w10:anchorlock/>
                </v:shape>
                <o:OLEObject Type="Embed" ProgID="Equation.KSEE3" ShapeID="_x0000_i1025" DrawAspect="Content" ObjectID="_1468075725" r:id="rId12">
                  <o:LockedField>false</o:LockedField>
                </o:OLEObject>
              </w:object>
            </w:r>
          </w:p>
          <w:p w14:paraId="249B1028">
            <w:pPr>
              <w:pStyle w:val="42"/>
              <w:ind w:firstLine="48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position w:val="-8"/>
                <w:highlight w:val="none"/>
                <w:lang w:eastAsia="zh-CN"/>
              </w:rPr>
              <w:object>
                <v:shape id="_x0000_i1026" o:spt="75" type="#_x0000_t75" style="height:18pt;width:51pt;" o:ole="t" filled="f" o:preferrelative="t" stroked="f" coordsize="21600,21600">
                  <v:path/>
                  <v:fill on="f" focussize="0,0"/>
                  <v:stroke on="f"/>
                  <v:imagedata r:id="rId15" o:title=""/>
                  <o:lock v:ext="edit" aspectratio="t"/>
                  <w10:wrap type="none"/>
                  <w10:anchorlock/>
                </v:shape>
                <o:OLEObject Type="Embed" ProgID="Equation.KSEE3" ShapeID="_x0000_i1026" DrawAspect="Content" ObjectID="_1468075726" r:id="rId14">
                  <o:LockedField>false</o:LockedField>
                </o:OLEObject>
              </w:object>
            </w:r>
          </w:p>
          <w:p w14:paraId="5451444D">
            <w:pPr>
              <w:pStyle w:val="42"/>
              <w:ind w:firstLine="480"/>
              <w:jc w:val="lef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式中</w:t>
            </w:r>
          </w:p>
          <w:p w14:paraId="208842EE">
            <w:pPr>
              <w:pStyle w:val="42"/>
              <w:ind w:firstLine="48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Q</w:t>
            </w:r>
            <w:r>
              <w:rPr>
                <w:rFonts w:hint="default" w:ascii="Times New Roman" w:hAnsi="Times New Roman" w:eastAsia="宋体" w:cs="Times New Roman"/>
                <w:color w:val="auto"/>
                <w:highlight w:val="none"/>
                <w:vertAlign w:val="subscript"/>
                <w:lang w:val="en-US" w:eastAsia="zh-CN"/>
              </w:rPr>
              <w:t>C</w:t>
            </w:r>
            <w:r>
              <w:rPr>
                <w:rFonts w:hint="default" w:ascii="Times New Roman" w:hAnsi="Times New Roman" w:eastAsia="宋体" w:cs="Times New Roman"/>
                <w:color w:val="auto"/>
                <w:highlight w:val="none"/>
                <w:lang w:eastAsia="zh-CN"/>
              </w:rPr>
              <w:t>：大气有害物质的无组织排放量</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单位为千克每小时</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eastAsia="zh-CN"/>
              </w:rPr>
              <w:t>kg/h)</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本项目</w:t>
            </w:r>
            <w:r>
              <w:rPr>
                <w:rFonts w:hint="eastAsia" w:ascii="Times New Roman" w:hAnsi="Times New Roman" w:cs="Times New Roman"/>
                <w:color w:val="auto"/>
                <w:highlight w:val="none"/>
                <w:lang w:val="en-US" w:eastAsia="zh-CN"/>
              </w:rPr>
              <w:t>颗粒物取值0.1187kg/h，挥发性有机物炼胶车间取值0.0931kg/h，硫化车间取值0.2693kg/h。</w:t>
            </w:r>
          </w:p>
          <w:p w14:paraId="591F1C87">
            <w:pPr>
              <w:pStyle w:val="42"/>
              <w:ind w:firstLine="48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Cm：</w:t>
            </w:r>
            <w:r>
              <w:rPr>
                <w:rFonts w:hint="default" w:ascii="Times New Roman" w:hAnsi="Times New Roman" w:eastAsia="宋体" w:cs="Times New Roman"/>
                <w:color w:val="auto"/>
                <w:highlight w:val="none"/>
                <w:lang w:eastAsia="zh-CN"/>
              </w:rPr>
              <w:t>大气有害物质环境空气质量的标准限值</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单位为毫克每立方米</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eastAsia="zh-CN"/>
              </w:rPr>
              <w:t>mg/m</w:t>
            </w:r>
            <w:r>
              <w:rPr>
                <w:rFonts w:hint="default" w:ascii="Times New Roman" w:hAnsi="Times New Roman" w:eastAsia="宋体" w:cs="Times New Roman"/>
                <w:color w:val="auto"/>
                <w:highlight w:val="none"/>
                <w:vertAlign w:val="superscript"/>
                <w:lang w:eastAsia="zh-CN"/>
              </w:rPr>
              <w:t>3</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本项目颗粒物参考TSP取值0.</w:t>
            </w:r>
            <w:r>
              <w:rPr>
                <w:rFonts w:hint="eastAsia" w:ascii="Times New Roman" w:hAnsi="Times New Roman" w:cs="Times New Roman"/>
                <w:color w:val="auto"/>
                <w:highlight w:val="none"/>
                <w:lang w:val="en-US" w:eastAsia="zh-CN"/>
              </w:rPr>
              <w:t>9</w:t>
            </w:r>
            <w:r>
              <w:rPr>
                <w:rFonts w:hint="eastAsia" w:ascii="Times New Roman" w:hAnsi="Times New Roman" w:eastAsia="宋体" w:cs="Times New Roman"/>
                <w:color w:val="auto"/>
                <w:highlight w:val="none"/>
                <w:lang w:val="en-US" w:eastAsia="zh-CN"/>
              </w:rPr>
              <w:t>mg/</w:t>
            </w: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vertAlign w:val="superscript"/>
                <w:lang w:eastAsia="zh-CN"/>
              </w:rPr>
              <w:t>3</w:t>
            </w:r>
            <w:r>
              <w:rPr>
                <w:rFonts w:hint="eastAsia" w:ascii="Times New Roman" w:hAnsi="Times New Roman" w:cs="Times New Roman"/>
                <w:color w:val="auto"/>
                <w:highlight w:val="none"/>
                <w:vertAlign w:val="baseline"/>
                <w:lang w:eastAsia="zh-CN"/>
              </w:rPr>
              <w:t>，非甲烷总烃</w:t>
            </w:r>
            <w:r>
              <w:rPr>
                <w:rFonts w:hint="eastAsia" w:ascii="Times New Roman" w:hAnsi="Times New Roman" w:cs="Times New Roman"/>
                <w:color w:val="auto"/>
                <w:highlight w:val="none"/>
                <w:vertAlign w:val="baseline"/>
                <w:lang w:val="en-US" w:eastAsia="zh-CN"/>
              </w:rPr>
              <w:t>取值</w:t>
            </w:r>
            <w:r>
              <w:rPr>
                <w:rFonts w:hint="eastAsia" w:ascii="Times New Roman" w:hAnsi="Times New Roman" w:cs="Times New Roman"/>
                <w:color w:val="auto"/>
                <w:highlight w:val="none"/>
                <w:lang w:val="en-US" w:eastAsia="zh-CN"/>
              </w:rPr>
              <w:t>1.2</w:t>
            </w:r>
            <w:r>
              <w:rPr>
                <w:rFonts w:hint="eastAsia" w:ascii="Times New Roman" w:hAnsi="Times New Roman" w:eastAsia="宋体" w:cs="Times New Roman"/>
                <w:color w:val="auto"/>
                <w:highlight w:val="none"/>
                <w:lang w:val="en-US" w:eastAsia="zh-CN"/>
              </w:rPr>
              <w:t>mg/</w:t>
            </w: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vertAlign w:val="superscript"/>
                <w:lang w:eastAsia="zh-CN"/>
              </w:rPr>
              <w:t>3</w:t>
            </w:r>
            <w:r>
              <w:rPr>
                <w:rFonts w:hint="eastAsia" w:ascii="Times New Roman" w:hAnsi="Times New Roman" w:cs="Times New Roman"/>
                <w:color w:val="auto"/>
                <w:highlight w:val="none"/>
                <w:vertAlign w:val="baseline"/>
                <w:lang w:val="en-US" w:eastAsia="zh-CN"/>
              </w:rPr>
              <w:t>。</w:t>
            </w:r>
          </w:p>
          <w:p w14:paraId="3B0EC9A3">
            <w:pPr>
              <w:pStyle w:val="42"/>
              <w:ind w:firstLine="480"/>
              <w:jc w:val="left"/>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L：大气有害物质卫生防护距离初值</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单位为米</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eastAsia="zh-CN"/>
              </w:rPr>
              <w:t>m)</w:t>
            </w:r>
            <w:r>
              <w:rPr>
                <w:rFonts w:hint="eastAsia" w:ascii="Times New Roman" w:hAnsi="Times New Roman" w:eastAsia="宋体" w:cs="Times New Roman"/>
                <w:color w:val="auto"/>
                <w:highlight w:val="none"/>
                <w:lang w:eastAsia="zh-CN"/>
              </w:rPr>
              <w:t>；</w:t>
            </w:r>
          </w:p>
          <w:p w14:paraId="53F21D20">
            <w:pPr>
              <w:pStyle w:val="42"/>
              <w:ind w:firstLine="480"/>
              <w:jc w:val="left"/>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r：</w:t>
            </w:r>
            <w:r>
              <w:rPr>
                <w:rFonts w:hint="default" w:ascii="Times New Roman" w:hAnsi="Times New Roman" w:eastAsia="宋体" w:cs="Times New Roman"/>
                <w:color w:val="auto"/>
                <w:highlight w:val="none"/>
                <w:lang w:eastAsia="zh-CN"/>
              </w:rPr>
              <w:t>大气有害物质无组织排放源所在生产单元的等效半径</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单位为米</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eastAsia="zh-CN"/>
              </w:rPr>
              <w:t>m)</w:t>
            </w:r>
            <w:r>
              <w:rPr>
                <w:rFonts w:hint="eastAsia" w:ascii="Times New Roman" w:hAnsi="Times New Roman" w:eastAsia="宋体" w:cs="Times New Roman"/>
                <w:color w:val="auto"/>
                <w:highlight w:val="none"/>
                <w:lang w:eastAsia="zh-CN"/>
              </w:rPr>
              <w:t>；</w:t>
            </w:r>
          </w:p>
          <w:p w14:paraId="611FE20F">
            <w:pPr>
              <w:pStyle w:val="42"/>
              <w:ind w:firstLine="480"/>
              <w:jc w:val="left"/>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S：企业生产单元占地面积（m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，炼胶车间约900㎡，硫化车间约1200㎡。</w:t>
            </w:r>
          </w:p>
          <w:p w14:paraId="58F301F7">
            <w:pPr>
              <w:pStyle w:val="42"/>
              <w:numPr>
                <w:ilvl w:val="0"/>
                <w:numId w:val="8"/>
              </w:numPr>
              <w:ind w:firstLine="480"/>
              <w:jc w:val="left"/>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B、C、D：卫生防护距离初值计算系数，无因次，根据工业企业所在地区近5年平均风速及大气污染源构成类别从表</w:t>
            </w:r>
            <w:r>
              <w:rPr>
                <w:rFonts w:hint="eastAsia" w:ascii="Times New Roman" w:hAnsi="Times New Roman" w:eastAsia="宋体" w:cs="Times New Roman"/>
                <w:color w:val="auto"/>
                <w:highlight w:val="none"/>
                <w:lang w:val="en-US" w:eastAsia="zh-CN"/>
              </w:rPr>
              <w:t>4-</w:t>
            </w:r>
            <w:r>
              <w:rPr>
                <w:rFonts w:hint="eastAsia" w:ascii="Times New Roman" w:hAnsi="Times New Roman" w:cs="Times New Roman"/>
                <w:color w:val="auto"/>
                <w:highlight w:val="none"/>
                <w:lang w:val="en-US" w:eastAsia="zh-CN"/>
              </w:rPr>
              <w:t>8</w:t>
            </w:r>
            <w:r>
              <w:rPr>
                <w:rFonts w:hint="default" w:ascii="Times New Roman" w:hAnsi="Times New Roman" w:eastAsia="宋体" w:cs="Times New Roman"/>
                <w:color w:val="auto"/>
                <w:highlight w:val="none"/>
                <w:lang w:eastAsia="zh-CN"/>
              </w:rPr>
              <w:t>查取。</w:t>
            </w:r>
            <w:r>
              <w:rPr>
                <w:rFonts w:hint="eastAsia" w:ascii="Times New Roman" w:hAnsi="Times New Roman" w:eastAsia="宋体" w:cs="Times New Roman"/>
                <w:color w:val="auto"/>
                <w:highlight w:val="none"/>
                <w:lang w:val="en-US" w:eastAsia="zh-CN"/>
              </w:rPr>
              <w:t>本项目企业所在地5年平均风速＜2</w:t>
            </w:r>
            <w:r>
              <w:rPr>
                <w:rFonts w:hint="default" w:ascii="Times New Roman" w:hAnsi="Times New Roman" w:eastAsia="宋体" w:cs="Times New Roman"/>
                <w:i w:val="0"/>
                <w:iCs w:val="0"/>
                <w:color w:val="auto"/>
                <w:kern w:val="0"/>
                <w:sz w:val="22"/>
                <w:szCs w:val="22"/>
                <w:highlight w:val="none"/>
                <w:u w:val="none"/>
                <w:lang w:val="en-US" w:eastAsia="zh-CN" w:bidi="ar"/>
              </w:rPr>
              <w:t>m/s</w:t>
            </w:r>
            <w:r>
              <w:rPr>
                <w:rFonts w:hint="eastAsia" w:ascii="Times New Roman" w:hAnsi="Times New Roman" w:eastAsia="宋体" w:cs="Times New Roman"/>
                <w:color w:val="auto"/>
                <w:highlight w:val="none"/>
                <w:lang w:val="en-US" w:eastAsia="zh-CN"/>
              </w:rPr>
              <w:t>。</w:t>
            </w:r>
          </w:p>
          <w:p w14:paraId="1FC85407">
            <w:pPr>
              <w:pStyle w:val="42"/>
              <w:numPr>
                <w:ilvl w:val="0"/>
                <w:numId w:val="0"/>
              </w:numPr>
              <w:jc w:val="center"/>
              <w:rPr>
                <w:rFonts w:hint="eastAsia" w:ascii="宋体" w:hAnsi="宋体" w:cs="宋体"/>
                <w:b/>
                <w:color w:val="auto"/>
                <w:sz w:val="24"/>
                <w:highlight w:val="none"/>
                <w:lang w:val="en-US" w:eastAsia="zh-CN"/>
              </w:rPr>
            </w:pPr>
            <w:r>
              <w:rPr>
                <w:rFonts w:hint="eastAsia" w:ascii="宋体" w:hAnsi="宋体" w:cs="宋体"/>
                <w:b/>
                <w:color w:val="auto"/>
                <w:sz w:val="24"/>
                <w:highlight w:val="none"/>
              </w:rPr>
              <w:t>表4-</w:t>
            </w:r>
            <w:r>
              <w:rPr>
                <w:rFonts w:hint="eastAsia" w:cs="宋体"/>
                <w:b/>
                <w:color w:val="auto"/>
                <w:sz w:val="24"/>
                <w:highlight w:val="none"/>
                <w:lang w:val="en-US" w:eastAsia="zh-CN"/>
              </w:rPr>
              <w:t>10</w:t>
            </w:r>
            <w:r>
              <w:rPr>
                <w:rFonts w:hint="eastAsia" w:ascii="宋体" w:hAnsi="宋体" w:cs="宋体"/>
                <w:b/>
                <w:color w:val="auto"/>
                <w:sz w:val="24"/>
                <w:highlight w:val="none"/>
                <w:lang w:val="en-US" w:eastAsia="zh-CN"/>
              </w:rPr>
              <w:t>卫生防护距离计算系数表</w:t>
            </w:r>
          </w:p>
          <w:tbl>
            <w:tblPr>
              <w:tblStyle w:val="23"/>
              <w:tblW w:w="81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73"/>
              <w:gridCol w:w="673"/>
              <w:gridCol w:w="636"/>
              <w:gridCol w:w="830"/>
              <w:gridCol w:w="816"/>
              <w:gridCol w:w="587"/>
              <w:gridCol w:w="717"/>
              <w:gridCol w:w="915"/>
              <w:gridCol w:w="587"/>
              <w:gridCol w:w="603"/>
              <w:gridCol w:w="1101"/>
            </w:tblGrid>
            <w:tr w14:paraId="5C80BC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4" w:hRule="atLeast"/>
                <w:jc w:val="center"/>
              </w:trPr>
              <w:tc>
                <w:tcPr>
                  <w:tcW w:w="673" w:type="dxa"/>
                  <w:vMerge w:val="restart"/>
                  <w:tcBorders>
                    <w:tl2br w:val="nil"/>
                    <w:tr2bl w:val="nil"/>
                  </w:tcBorders>
                  <w:noWrap/>
                  <w:vAlign w:val="center"/>
                </w:tcPr>
                <w:p w14:paraId="671E849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计算系数</w:t>
                  </w:r>
                </w:p>
              </w:tc>
              <w:tc>
                <w:tcPr>
                  <w:tcW w:w="673" w:type="dxa"/>
                  <w:vMerge w:val="restart"/>
                  <w:tcBorders>
                    <w:tl2br w:val="nil"/>
                    <w:tr2bl w:val="nil"/>
                  </w:tcBorders>
                  <w:noWrap w:val="0"/>
                  <w:vAlign w:val="center"/>
                </w:tcPr>
                <w:p w14:paraId="5945E1E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所在地近五年平均风速</w:t>
                  </w:r>
                  <w:r>
                    <w:rPr>
                      <w:rFonts w:hint="default" w:ascii="Times New Roman" w:hAnsi="Times New Roman" w:eastAsia="宋体" w:cs="Times New Roman"/>
                      <w:i w:val="0"/>
                      <w:iCs w:val="0"/>
                      <w:color w:val="auto"/>
                      <w:kern w:val="0"/>
                      <w:sz w:val="22"/>
                      <w:szCs w:val="22"/>
                      <w:highlight w:val="none"/>
                      <w:u w:val="none"/>
                      <w:lang w:val="en-US" w:eastAsia="zh-CN" w:bidi="ar"/>
                    </w:rPr>
                    <w:t>m/s</w:t>
                  </w:r>
                </w:p>
              </w:tc>
              <w:tc>
                <w:tcPr>
                  <w:tcW w:w="6792" w:type="dxa"/>
                  <w:gridSpan w:val="9"/>
                  <w:tcBorders>
                    <w:tl2br w:val="nil"/>
                    <w:tr2bl w:val="nil"/>
                  </w:tcBorders>
                  <w:noWrap/>
                  <w:vAlign w:val="center"/>
                </w:tcPr>
                <w:p w14:paraId="480AA7C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卫生防护距离</w:t>
                  </w:r>
                  <w:r>
                    <w:rPr>
                      <w:rFonts w:hint="default" w:ascii="Times New Roman" w:hAnsi="Times New Roman" w:eastAsia="宋体" w:cs="Times New Roman"/>
                      <w:i w:val="0"/>
                      <w:iCs w:val="0"/>
                      <w:color w:val="auto"/>
                      <w:kern w:val="0"/>
                      <w:sz w:val="22"/>
                      <w:szCs w:val="22"/>
                      <w:highlight w:val="none"/>
                      <w:u w:val="none"/>
                      <w:lang w:val="en-US" w:eastAsia="zh-CN" w:bidi="ar"/>
                    </w:rPr>
                    <w:t>L,m</w:t>
                  </w:r>
                </w:p>
              </w:tc>
            </w:tr>
            <w:tr w14:paraId="462B22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673" w:type="dxa"/>
                  <w:vMerge w:val="continue"/>
                  <w:tcBorders>
                    <w:tl2br w:val="nil"/>
                    <w:tr2bl w:val="nil"/>
                  </w:tcBorders>
                  <w:noWrap/>
                  <w:vAlign w:val="center"/>
                </w:tcPr>
                <w:p w14:paraId="0D6E34EE">
                  <w:pPr>
                    <w:jc w:val="center"/>
                    <w:rPr>
                      <w:rFonts w:hint="default" w:ascii="Times New Roman" w:hAnsi="Times New Roman" w:eastAsia="宋体" w:cs="Times New Roman"/>
                      <w:i w:val="0"/>
                      <w:iCs w:val="0"/>
                      <w:color w:val="auto"/>
                      <w:sz w:val="22"/>
                      <w:szCs w:val="22"/>
                      <w:highlight w:val="none"/>
                      <w:u w:val="none"/>
                    </w:rPr>
                  </w:pPr>
                </w:p>
              </w:tc>
              <w:tc>
                <w:tcPr>
                  <w:tcW w:w="673" w:type="dxa"/>
                  <w:vMerge w:val="continue"/>
                  <w:tcBorders>
                    <w:tl2br w:val="nil"/>
                    <w:tr2bl w:val="nil"/>
                  </w:tcBorders>
                  <w:noWrap w:val="0"/>
                  <w:vAlign w:val="center"/>
                </w:tcPr>
                <w:p w14:paraId="2C61BD0D">
                  <w:pPr>
                    <w:jc w:val="center"/>
                    <w:rPr>
                      <w:rFonts w:hint="default" w:ascii="Times New Roman" w:hAnsi="Times New Roman" w:eastAsia="宋体" w:cs="Times New Roman"/>
                      <w:i w:val="0"/>
                      <w:iCs w:val="0"/>
                      <w:color w:val="auto"/>
                      <w:sz w:val="22"/>
                      <w:szCs w:val="22"/>
                      <w:highlight w:val="none"/>
                      <w:u w:val="none"/>
                    </w:rPr>
                  </w:pPr>
                </w:p>
              </w:tc>
              <w:tc>
                <w:tcPr>
                  <w:tcW w:w="2282" w:type="dxa"/>
                  <w:gridSpan w:val="3"/>
                  <w:tcBorders>
                    <w:tl2br w:val="nil"/>
                    <w:tr2bl w:val="nil"/>
                  </w:tcBorders>
                  <w:noWrap/>
                  <w:vAlign w:val="center"/>
                </w:tcPr>
                <w:p w14:paraId="70DFDB1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L≤1000</w:t>
                  </w:r>
                </w:p>
              </w:tc>
              <w:tc>
                <w:tcPr>
                  <w:tcW w:w="2219" w:type="dxa"/>
                  <w:gridSpan w:val="3"/>
                  <w:tcBorders>
                    <w:tl2br w:val="nil"/>
                    <w:tr2bl w:val="nil"/>
                  </w:tcBorders>
                  <w:noWrap/>
                  <w:vAlign w:val="center"/>
                </w:tcPr>
                <w:p w14:paraId="3044ED8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1000</w:t>
                  </w:r>
                  <w:r>
                    <w:rPr>
                      <w:rFonts w:hint="eastAsia" w:ascii="Times New Roman" w:hAnsi="Times New Roman" w:eastAsia="宋体" w:cs="Times New Roman"/>
                      <w:i w:val="0"/>
                      <w:iCs w:val="0"/>
                      <w:color w:val="auto"/>
                      <w:kern w:val="0"/>
                      <w:sz w:val="22"/>
                      <w:szCs w:val="22"/>
                      <w:highlight w:val="none"/>
                      <w:u w:val="none"/>
                      <w:lang w:val="en-US" w:eastAsia="zh-CN" w:bidi="ar"/>
                    </w:rPr>
                    <w:t>&lt;</w:t>
                  </w:r>
                  <w:r>
                    <w:rPr>
                      <w:rFonts w:hint="default" w:ascii="Times New Roman" w:hAnsi="Times New Roman" w:eastAsia="宋体" w:cs="Times New Roman"/>
                      <w:i w:val="0"/>
                      <w:iCs w:val="0"/>
                      <w:color w:val="auto"/>
                      <w:kern w:val="0"/>
                      <w:sz w:val="22"/>
                      <w:szCs w:val="22"/>
                      <w:highlight w:val="none"/>
                      <w:u w:val="none"/>
                      <w:lang w:val="en-US" w:eastAsia="zh-CN" w:bidi="ar"/>
                    </w:rPr>
                    <w:t>L≤2000</w:t>
                  </w:r>
                </w:p>
              </w:tc>
              <w:tc>
                <w:tcPr>
                  <w:tcW w:w="2291" w:type="dxa"/>
                  <w:gridSpan w:val="3"/>
                  <w:tcBorders>
                    <w:tl2br w:val="nil"/>
                    <w:tr2bl w:val="nil"/>
                  </w:tcBorders>
                  <w:noWrap/>
                  <w:vAlign w:val="center"/>
                </w:tcPr>
                <w:p w14:paraId="23DE2F3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L</w:t>
                  </w:r>
                  <w:r>
                    <w:rPr>
                      <w:rFonts w:hint="eastAsia" w:cs="Times New Roman"/>
                      <w:i w:val="0"/>
                      <w:iCs w:val="0"/>
                      <w:color w:val="auto"/>
                      <w:kern w:val="0"/>
                      <w:sz w:val="22"/>
                      <w:szCs w:val="22"/>
                      <w:highlight w:val="none"/>
                      <w:u w:val="none"/>
                      <w:lang w:val="en-US" w:eastAsia="zh-CN" w:bidi="ar"/>
                    </w:rPr>
                    <w:t>&gt;</w:t>
                  </w:r>
                  <w:r>
                    <w:rPr>
                      <w:rFonts w:hint="default" w:ascii="Times New Roman" w:hAnsi="Times New Roman" w:eastAsia="宋体" w:cs="Times New Roman"/>
                      <w:i w:val="0"/>
                      <w:iCs w:val="0"/>
                      <w:color w:val="auto"/>
                      <w:kern w:val="0"/>
                      <w:sz w:val="22"/>
                      <w:szCs w:val="22"/>
                      <w:highlight w:val="none"/>
                      <w:u w:val="none"/>
                      <w:lang w:val="en-US" w:eastAsia="zh-CN" w:bidi="ar"/>
                    </w:rPr>
                    <w:t>2000</w:t>
                  </w:r>
                </w:p>
              </w:tc>
            </w:tr>
            <w:tr w14:paraId="03D992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673" w:type="dxa"/>
                  <w:vMerge w:val="continue"/>
                  <w:tcBorders>
                    <w:tl2br w:val="nil"/>
                    <w:tr2bl w:val="nil"/>
                  </w:tcBorders>
                  <w:noWrap/>
                  <w:vAlign w:val="center"/>
                </w:tcPr>
                <w:p w14:paraId="693D0158">
                  <w:pPr>
                    <w:jc w:val="center"/>
                    <w:rPr>
                      <w:rFonts w:hint="default" w:ascii="Times New Roman" w:hAnsi="Times New Roman" w:eastAsia="宋体" w:cs="Times New Roman"/>
                      <w:i w:val="0"/>
                      <w:iCs w:val="0"/>
                      <w:color w:val="auto"/>
                      <w:sz w:val="22"/>
                      <w:szCs w:val="22"/>
                      <w:highlight w:val="none"/>
                      <w:u w:val="none"/>
                    </w:rPr>
                  </w:pPr>
                </w:p>
              </w:tc>
              <w:tc>
                <w:tcPr>
                  <w:tcW w:w="673" w:type="dxa"/>
                  <w:vMerge w:val="continue"/>
                  <w:tcBorders>
                    <w:tl2br w:val="nil"/>
                    <w:tr2bl w:val="nil"/>
                  </w:tcBorders>
                  <w:noWrap w:val="0"/>
                  <w:vAlign w:val="center"/>
                </w:tcPr>
                <w:p w14:paraId="4BB9BE6B">
                  <w:pPr>
                    <w:jc w:val="center"/>
                    <w:rPr>
                      <w:rFonts w:hint="default" w:ascii="Times New Roman" w:hAnsi="Times New Roman" w:eastAsia="宋体" w:cs="Times New Roman"/>
                      <w:i w:val="0"/>
                      <w:iCs w:val="0"/>
                      <w:color w:val="auto"/>
                      <w:sz w:val="22"/>
                      <w:szCs w:val="22"/>
                      <w:highlight w:val="none"/>
                      <w:u w:val="none"/>
                    </w:rPr>
                  </w:pPr>
                </w:p>
              </w:tc>
              <w:tc>
                <w:tcPr>
                  <w:tcW w:w="636" w:type="dxa"/>
                  <w:tcBorders>
                    <w:tl2br w:val="nil"/>
                    <w:tr2bl w:val="nil"/>
                  </w:tcBorders>
                  <w:noWrap/>
                  <w:vAlign w:val="center"/>
                </w:tcPr>
                <w:p w14:paraId="308B4AF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I</w:t>
                  </w:r>
                </w:p>
              </w:tc>
              <w:tc>
                <w:tcPr>
                  <w:tcW w:w="830" w:type="dxa"/>
                  <w:tcBorders>
                    <w:tl2br w:val="nil"/>
                    <w:tr2bl w:val="nil"/>
                  </w:tcBorders>
                  <w:noWrap/>
                  <w:vAlign w:val="center"/>
                </w:tcPr>
                <w:p w14:paraId="283AA9D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II</w:t>
                  </w:r>
                </w:p>
              </w:tc>
              <w:tc>
                <w:tcPr>
                  <w:tcW w:w="816" w:type="dxa"/>
                  <w:tcBorders>
                    <w:tl2br w:val="nil"/>
                    <w:tr2bl w:val="nil"/>
                  </w:tcBorders>
                  <w:noWrap/>
                  <w:vAlign w:val="center"/>
                </w:tcPr>
                <w:p w14:paraId="1C9A9D9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cs="Times New Roman"/>
                      <w:i w:val="0"/>
                      <w:iCs w:val="0"/>
                      <w:color w:val="auto"/>
                      <w:kern w:val="0"/>
                      <w:sz w:val="22"/>
                      <w:szCs w:val="22"/>
                      <w:highlight w:val="none"/>
                      <w:u w:val="none"/>
                      <w:lang w:val="en-US" w:eastAsia="zh-CN" w:bidi="ar"/>
                    </w:rPr>
                    <w:t>Ⅲ</w:t>
                  </w:r>
                </w:p>
              </w:tc>
              <w:tc>
                <w:tcPr>
                  <w:tcW w:w="587" w:type="dxa"/>
                  <w:tcBorders>
                    <w:tl2br w:val="nil"/>
                    <w:tr2bl w:val="nil"/>
                  </w:tcBorders>
                  <w:noWrap/>
                  <w:vAlign w:val="center"/>
                </w:tcPr>
                <w:p w14:paraId="7A45697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I</w:t>
                  </w:r>
                </w:p>
              </w:tc>
              <w:tc>
                <w:tcPr>
                  <w:tcW w:w="717" w:type="dxa"/>
                  <w:tcBorders>
                    <w:tl2br w:val="nil"/>
                    <w:tr2bl w:val="nil"/>
                  </w:tcBorders>
                  <w:noWrap/>
                  <w:vAlign w:val="center"/>
                </w:tcPr>
                <w:p w14:paraId="4296688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II</w:t>
                  </w:r>
                </w:p>
              </w:tc>
              <w:tc>
                <w:tcPr>
                  <w:tcW w:w="915" w:type="dxa"/>
                  <w:tcBorders>
                    <w:tl2br w:val="nil"/>
                    <w:tr2bl w:val="nil"/>
                  </w:tcBorders>
                  <w:noWrap/>
                  <w:vAlign w:val="center"/>
                </w:tcPr>
                <w:p w14:paraId="74BD361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cs="Times New Roman"/>
                      <w:i w:val="0"/>
                      <w:iCs w:val="0"/>
                      <w:color w:val="auto"/>
                      <w:kern w:val="0"/>
                      <w:sz w:val="22"/>
                      <w:szCs w:val="22"/>
                      <w:highlight w:val="none"/>
                      <w:u w:val="none"/>
                      <w:lang w:val="en-US" w:eastAsia="zh-CN" w:bidi="ar"/>
                    </w:rPr>
                    <w:t>Ⅲ</w:t>
                  </w:r>
                </w:p>
              </w:tc>
              <w:tc>
                <w:tcPr>
                  <w:tcW w:w="587" w:type="dxa"/>
                  <w:tcBorders>
                    <w:tl2br w:val="nil"/>
                    <w:tr2bl w:val="nil"/>
                  </w:tcBorders>
                  <w:noWrap/>
                  <w:vAlign w:val="center"/>
                </w:tcPr>
                <w:p w14:paraId="06D60D5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I</w:t>
                  </w:r>
                </w:p>
              </w:tc>
              <w:tc>
                <w:tcPr>
                  <w:tcW w:w="603" w:type="dxa"/>
                  <w:tcBorders>
                    <w:tl2br w:val="nil"/>
                    <w:tr2bl w:val="nil"/>
                  </w:tcBorders>
                  <w:noWrap/>
                  <w:vAlign w:val="center"/>
                </w:tcPr>
                <w:p w14:paraId="5B2DE52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II</w:t>
                  </w:r>
                </w:p>
              </w:tc>
              <w:tc>
                <w:tcPr>
                  <w:tcW w:w="1101" w:type="dxa"/>
                  <w:tcBorders>
                    <w:tl2br w:val="nil"/>
                    <w:tr2bl w:val="nil"/>
                  </w:tcBorders>
                  <w:noWrap/>
                  <w:vAlign w:val="center"/>
                </w:tcPr>
                <w:p w14:paraId="129ACD1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cs="Times New Roman"/>
                      <w:i w:val="0"/>
                      <w:iCs w:val="0"/>
                      <w:color w:val="auto"/>
                      <w:kern w:val="0"/>
                      <w:sz w:val="22"/>
                      <w:szCs w:val="22"/>
                      <w:highlight w:val="none"/>
                      <w:u w:val="none"/>
                      <w:lang w:val="en-US" w:eastAsia="zh-CN" w:bidi="ar"/>
                    </w:rPr>
                    <w:t>Ⅲ</w:t>
                  </w:r>
                </w:p>
              </w:tc>
            </w:tr>
            <w:tr w14:paraId="06D085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673" w:type="dxa"/>
                  <w:vMerge w:val="restart"/>
                  <w:tcBorders>
                    <w:tl2br w:val="nil"/>
                    <w:tr2bl w:val="nil"/>
                  </w:tcBorders>
                  <w:noWrap/>
                  <w:vAlign w:val="center"/>
                </w:tcPr>
                <w:p w14:paraId="55840E4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A</w:t>
                  </w:r>
                </w:p>
              </w:tc>
              <w:tc>
                <w:tcPr>
                  <w:tcW w:w="673" w:type="dxa"/>
                  <w:tcBorders>
                    <w:tl2br w:val="nil"/>
                    <w:tr2bl w:val="nil"/>
                  </w:tcBorders>
                  <w:noWrap/>
                  <w:vAlign w:val="center"/>
                </w:tcPr>
                <w:p w14:paraId="46DCF64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Times New Roman" w:hAnsi="Times New Roman" w:eastAsia="宋体" w:cs="Times New Roman"/>
                      <w:i w:val="0"/>
                      <w:iCs w:val="0"/>
                      <w:color w:val="auto"/>
                      <w:kern w:val="0"/>
                      <w:sz w:val="22"/>
                      <w:szCs w:val="22"/>
                      <w:highlight w:val="none"/>
                      <w:u w:val="none"/>
                      <w:lang w:val="en-US" w:eastAsia="zh-CN" w:bidi="ar"/>
                    </w:rPr>
                    <w:t>&lt;</w:t>
                  </w: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636" w:type="dxa"/>
                  <w:tcBorders>
                    <w:tl2br w:val="nil"/>
                    <w:tr2bl w:val="nil"/>
                  </w:tcBorders>
                  <w:noWrap/>
                  <w:vAlign w:val="center"/>
                </w:tcPr>
                <w:p w14:paraId="51ED042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400</w:t>
                  </w:r>
                </w:p>
              </w:tc>
              <w:tc>
                <w:tcPr>
                  <w:tcW w:w="830" w:type="dxa"/>
                  <w:tcBorders>
                    <w:tl2br w:val="nil"/>
                    <w:tr2bl w:val="nil"/>
                  </w:tcBorders>
                  <w:noWrap/>
                  <w:vAlign w:val="center"/>
                </w:tcPr>
                <w:p w14:paraId="68643FC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400</w:t>
                  </w:r>
                </w:p>
              </w:tc>
              <w:tc>
                <w:tcPr>
                  <w:tcW w:w="816" w:type="dxa"/>
                  <w:tcBorders>
                    <w:tl2br w:val="nil"/>
                    <w:tr2bl w:val="nil"/>
                  </w:tcBorders>
                  <w:noWrap/>
                  <w:vAlign w:val="center"/>
                </w:tcPr>
                <w:p w14:paraId="3766269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400</w:t>
                  </w:r>
                </w:p>
              </w:tc>
              <w:tc>
                <w:tcPr>
                  <w:tcW w:w="587" w:type="dxa"/>
                  <w:tcBorders>
                    <w:tl2br w:val="nil"/>
                    <w:tr2bl w:val="nil"/>
                  </w:tcBorders>
                  <w:noWrap/>
                  <w:vAlign w:val="center"/>
                </w:tcPr>
                <w:p w14:paraId="4F652F7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400</w:t>
                  </w:r>
                </w:p>
              </w:tc>
              <w:tc>
                <w:tcPr>
                  <w:tcW w:w="717" w:type="dxa"/>
                  <w:tcBorders>
                    <w:tl2br w:val="nil"/>
                    <w:tr2bl w:val="nil"/>
                  </w:tcBorders>
                  <w:noWrap/>
                  <w:vAlign w:val="center"/>
                </w:tcPr>
                <w:p w14:paraId="50FEDF4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400</w:t>
                  </w:r>
                </w:p>
              </w:tc>
              <w:tc>
                <w:tcPr>
                  <w:tcW w:w="915" w:type="dxa"/>
                  <w:tcBorders>
                    <w:tl2br w:val="nil"/>
                    <w:tr2bl w:val="nil"/>
                  </w:tcBorders>
                  <w:noWrap/>
                  <w:vAlign w:val="center"/>
                </w:tcPr>
                <w:p w14:paraId="234C1B9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400</w:t>
                  </w:r>
                </w:p>
              </w:tc>
              <w:tc>
                <w:tcPr>
                  <w:tcW w:w="587" w:type="dxa"/>
                  <w:tcBorders>
                    <w:tl2br w:val="nil"/>
                    <w:tr2bl w:val="nil"/>
                  </w:tcBorders>
                  <w:noWrap/>
                  <w:vAlign w:val="center"/>
                </w:tcPr>
                <w:p w14:paraId="1B76321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80</w:t>
                  </w:r>
                </w:p>
              </w:tc>
              <w:tc>
                <w:tcPr>
                  <w:tcW w:w="603" w:type="dxa"/>
                  <w:tcBorders>
                    <w:tl2br w:val="nil"/>
                    <w:tr2bl w:val="nil"/>
                  </w:tcBorders>
                  <w:noWrap/>
                  <w:vAlign w:val="center"/>
                </w:tcPr>
                <w:p w14:paraId="343D294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80</w:t>
                  </w:r>
                </w:p>
              </w:tc>
              <w:tc>
                <w:tcPr>
                  <w:tcW w:w="1101" w:type="dxa"/>
                  <w:tcBorders>
                    <w:tl2br w:val="nil"/>
                    <w:tr2bl w:val="nil"/>
                  </w:tcBorders>
                  <w:noWrap/>
                  <w:vAlign w:val="center"/>
                </w:tcPr>
                <w:p w14:paraId="748569E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80</w:t>
                  </w:r>
                </w:p>
              </w:tc>
            </w:tr>
            <w:tr w14:paraId="592084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673" w:type="dxa"/>
                  <w:vMerge w:val="continue"/>
                  <w:tcBorders>
                    <w:tl2br w:val="nil"/>
                    <w:tr2bl w:val="nil"/>
                  </w:tcBorders>
                  <w:noWrap/>
                  <w:vAlign w:val="center"/>
                </w:tcPr>
                <w:p w14:paraId="7141ADF0">
                  <w:pPr>
                    <w:jc w:val="center"/>
                    <w:rPr>
                      <w:rFonts w:hint="default" w:ascii="Times New Roman" w:hAnsi="Times New Roman" w:eastAsia="宋体" w:cs="Times New Roman"/>
                      <w:i w:val="0"/>
                      <w:iCs w:val="0"/>
                      <w:color w:val="auto"/>
                      <w:sz w:val="22"/>
                      <w:szCs w:val="22"/>
                      <w:highlight w:val="none"/>
                      <w:u w:val="none"/>
                    </w:rPr>
                  </w:pPr>
                </w:p>
              </w:tc>
              <w:tc>
                <w:tcPr>
                  <w:tcW w:w="673" w:type="dxa"/>
                  <w:tcBorders>
                    <w:tl2br w:val="nil"/>
                    <w:tr2bl w:val="nil"/>
                  </w:tcBorders>
                  <w:noWrap/>
                  <w:vAlign w:val="center"/>
                </w:tcPr>
                <w:p w14:paraId="4704A52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2~4</w:t>
                  </w:r>
                </w:p>
              </w:tc>
              <w:tc>
                <w:tcPr>
                  <w:tcW w:w="636" w:type="dxa"/>
                  <w:tcBorders>
                    <w:tl2br w:val="nil"/>
                    <w:tr2bl w:val="nil"/>
                  </w:tcBorders>
                  <w:noWrap/>
                  <w:vAlign w:val="center"/>
                </w:tcPr>
                <w:p w14:paraId="3DA4D1D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700</w:t>
                  </w:r>
                </w:p>
              </w:tc>
              <w:tc>
                <w:tcPr>
                  <w:tcW w:w="830" w:type="dxa"/>
                  <w:tcBorders>
                    <w:tl2br w:val="nil"/>
                    <w:tr2bl w:val="nil"/>
                  </w:tcBorders>
                  <w:noWrap/>
                  <w:vAlign w:val="center"/>
                </w:tcPr>
                <w:p w14:paraId="6C09629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470</w:t>
                  </w:r>
                </w:p>
              </w:tc>
              <w:tc>
                <w:tcPr>
                  <w:tcW w:w="816" w:type="dxa"/>
                  <w:tcBorders>
                    <w:tl2br w:val="nil"/>
                    <w:tr2bl w:val="nil"/>
                  </w:tcBorders>
                  <w:noWrap/>
                  <w:vAlign w:val="center"/>
                </w:tcPr>
                <w:p w14:paraId="55DB73C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350</w:t>
                  </w:r>
                </w:p>
              </w:tc>
              <w:tc>
                <w:tcPr>
                  <w:tcW w:w="587" w:type="dxa"/>
                  <w:tcBorders>
                    <w:tl2br w:val="nil"/>
                    <w:tr2bl w:val="nil"/>
                  </w:tcBorders>
                  <w:noWrap/>
                  <w:vAlign w:val="center"/>
                </w:tcPr>
                <w:p w14:paraId="20CA2A9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700</w:t>
                  </w:r>
                </w:p>
              </w:tc>
              <w:tc>
                <w:tcPr>
                  <w:tcW w:w="717" w:type="dxa"/>
                  <w:tcBorders>
                    <w:tl2br w:val="nil"/>
                    <w:tr2bl w:val="nil"/>
                  </w:tcBorders>
                  <w:noWrap/>
                  <w:vAlign w:val="center"/>
                </w:tcPr>
                <w:p w14:paraId="097C282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470</w:t>
                  </w:r>
                </w:p>
              </w:tc>
              <w:tc>
                <w:tcPr>
                  <w:tcW w:w="915" w:type="dxa"/>
                  <w:tcBorders>
                    <w:tl2br w:val="nil"/>
                    <w:tr2bl w:val="nil"/>
                  </w:tcBorders>
                  <w:noWrap/>
                  <w:vAlign w:val="center"/>
                </w:tcPr>
                <w:p w14:paraId="5F05A49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350</w:t>
                  </w:r>
                </w:p>
              </w:tc>
              <w:tc>
                <w:tcPr>
                  <w:tcW w:w="587" w:type="dxa"/>
                  <w:tcBorders>
                    <w:tl2br w:val="nil"/>
                    <w:tr2bl w:val="nil"/>
                  </w:tcBorders>
                  <w:noWrap/>
                  <w:vAlign w:val="center"/>
                </w:tcPr>
                <w:p w14:paraId="2E92942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380</w:t>
                  </w:r>
                </w:p>
              </w:tc>
              <w:tc>
                <w:tcPr>
                  <w:tcW w:w="603" w:type="dxa"/>
                  <w:tcBorders>
                    <w:tl2br w:val="nil"/>
                    <w:tr2bl w:val="nil"/>
                  </w:tcBorders>
                  <w:noWrap/>
                  <w:vAlign w:val="center"/>
                </w:tcPr>
                <w:p w14:paraId="48E2595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250</w:t>
                  </w:r>
                </w:p>
              </w:tc>
              <w:tc>
                <w:tcPr>
                  <w:tcW w:w="1101" w:type="dxa"/>
                  <w:tcBorders>
                    <w:tl2br w:val="nil"/>
                    <w:tr2bl w:val="nil"/>
                  </w:tcBorders>
                  <w:noWrap/>
                  <w:vAlign w:val="center"/>
                </w:tcPr>
                <w:p w14:paraId="4D762B4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190</w:t>
                  </w:r>
                </w:p>
              </w:tc>
            </w:tr>
            <w:tr w14:paraId="539D40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673" w:type="dxa"/>
                  <w:vMerge w:val="continue"/>
                  <w:tcBorders>
                    <w:tl2br w:val="nil"/>
                    <w:tr2bl w:val="nil"/>
                  </w:tcBorders>
                  <w:noWrap/>
                  <w:vAlign w:val="center"/>
                </w:tcPr>
                <w:p w14:paraId="3BB588E1">
                  <w:pPr>
                    <w:jc w:val="center"/>
                    <w:rPr>
                      <w:rFonts w:hint="default" w:ascii="Times New Roman" w:hAnsi="Times New Roman" w:eastAsia="宋体" w:cs="Times New Roman"/>
                      <w:i w:val="0"/>
                      <w:iCs w:val="0"/>
                      <w:color w:val="auto"/>
                      <w:sz w:val="22"/>
                      <w:szCs w:val="22"/>
                      <w:highlight w:val="none"/>
                      <w:u w:val="none"/>
                    </w:rPr>
                  </w:pPr>
                </w:p>
              </w:tc>
              <w:tc>
                <w:tcPr>
                  <w:tcW w:w="673" w:type="dxa"/>
                  <w:tcBorders>
                    <w:tl2br w:val="nil"/>
                    <w:tr2bl w:val="nil"/>
                  </w:tcBorders>
                  <w:noWrap/>
                  <w:vAlign w:val="center"/>
                </w:tcPr>
                <w:p w14:paraId="1FBDDA3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cs="Times New Roman"/>
                      <w:i w:val="0"/>
                      <w:iCs w:val="0"/>
                      <w:color w:val="auto"/>
                      <w:kern w:val="0"/>
                      <w:sz w:val="22"/>
                      <w:szCs w:val="22"/>
                      <w:highlight w:val="none"/>
                      <w:u w:val="none"/>
                      <w:lang w:val="en-US" w:eastAsia="zh-CN" w:bidi="ar"/>
                    </w:rPr>
                    <w:t>&gt;</w:t>
                  </w: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636" w:type="dxa"/>
                  <w:tcBorders>
                    <w:tl2br w:val="nil"/>
                    <w:tr2bl w:val="nil"/>
                  </w:tcBorders>
                  <w:noWrap/>
                  <w:vAlign w:val="center"/>
                </w:tcPr>
                <w:p w14:paraId="3DFD956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530</w:t>
                  </w:r>
                </w:p>
              </w:tc>
              <w:tc>
                <w:tcPr>
                  <w:tcW w:w="830" w:type="dxa"/>
                  <w:tcBorders>
                    <w:tl2br w:val="nil"/>
                    <w:tr2bl w:val="nil"/>
                  </w:tcBorders>
                  <w:noWrap/>
                  <w:vAlign w:val="center"/>
                </w:tcPr>
                <w:p w14:paraId="3A86788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350</w:t>
                  </w:r>
                </w:p>
              </w:tc>
              <w:tc>
                <w:tcPr>
                  <w:tcW w:w="816" w:type="dxa"/>
                  <w:tcBorders>
                    <w:tl2br w:val="nil"/>
                    <w:tr2bl w:val="nil"/>
                  </w:tcBorders>
                  <w:noWrap/>
                  <w:vAlign w:val="center"/>
                </w:tcPr>
                <w:p w14:paraId="123D788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260</w:t>
                  </w:r>
                </w:p>
              </w:tc>
              <w:tc>
                <w:tcPr>
                  <w:tcW w:w="587" w:type="dxa"/>
                  <w:tcBorders>
                    <w:tl2br w:val="nil"/>
                    <w:tr2bl w:val="nil"/>
                  </w:tcBorders>
                  <w:noWrap/>
                  <w:vAlign w:val="center"/>
                </w:tcPr>
                <w:p w14:paraId="4773C2D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530</w:t>
                  </w:r>
                </w:p>
              </w:tc>
              <w:tc>
                <w:tcPr>
                  <w:tcW w:w="717" w:type="dxa"/>
                  <w:tcBorders>
                    <w:tl2br w:val="nil"/>
                    <w:tr2bl w:val="nil"/>
                  </w:tcBorders>
                  <w:noWrap/>
                  <w:vAlign w:val="center"/>
                </w:tcPr>
                <w:p w14:paraId="7A8F745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350</w:t>
                  </w:r>
                </w:p>
              </w:tc>
              <w:tc>
                <w:tcPr>
                  <w:tcW w:w="915" w:type="dxa"/>
                  <w:tcBorders>
                    <w:tl2br w:val="nil"/>
                    <w:tr2bl w:val="nil"/>
                  </w:tcBorders>
                  <w:noWrap/>
                  <w:vAlign w:val="center"/>
                </w:tcPr>
                <w:p w14:paraId="3142DE3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260</w:t>
                  </w:r>
                </w:p>
              </w:tc>
              <w:tc>
                <w:tcPr>
                  <w:tcW w:w="587" w:type="dxa"/>
                  <w:tcBorders>
                    <w:tl2br w:val="nil"/>
                    <w:tr2bl w:val="nil"/>
                  </w:tcBorders>
                  <w:noWrap/>
                  <w:vAlign w:val="center"/>
                </w:tcPr>
                <w:p w14:paraId="24D80A1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290</w:t>
                  </w:r>
                </w:p>
              </w:tc>
              <w:tc>
                <w:tcPr>
                  <w:tcW w:w="603" w:type="dxa"/>
                  <w:tcBorders>
                    <w:tl2br w:val="nil"/>
                    <w:tr2bl w:val="nil"/>
                  </w:tcBorders>
                  <w:noWrap/>
                  <w:vAlign w:val="center"/>
                </w:tcPr>
                <w:p w14:paraId="33595A6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190</w:t>
                  </w:r>
                </w:p>
              </w:tc>
              <w:tc>
                <w:tcPr>
                  <w:tcW w:w="1101" w:type="dxa"/>
                  <w:tcBorders>
                    <w:tl2br w:val="nil"/>
                    <w:tr2bl w:val="nil"/>
                  </w:tcBorders>
                  <w:noWrap/>
                  <w:vAlign w:val="center"/>
                </w:tcPr>
                <w:p w14:paraId="796004E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110</w:t>
                  </w:r>
                </w:p>
              </w:tc>
            </w:tr>
            <w:tr w14:paraId="5CCBCB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673" w:type="dxa"/>
                  <w:vMerge w:val="restart"/>
                  <w:tcBorders>
                    <w:tl2br w:val="nil"/>
                    <w:tr2bl w:val="nil"/>
                  </w:tcBorders>
                  <w:noWrap/>
                  <w:vAlign w:val="center"/>
                </w:tcPr>
                <w:p w14:paraId="5D01541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B</w:t>
                  </w:r>
                </w:p>
              </w:tc>
              <w:tc>
                <w:tcPr>
                  <w:tcW w:w="673" w:type="dxa"/>
                  <w:tcBorders>
                    <w:tl2br w:val="nil"/>
                    <w:tr2bl w:val="nil"/>
                  </w:tcBorders>
                  <w:noWrap/>
                  <w:vAlign w:val="center"/>
                </w:tcPr>
                <w:p w14:paraId="277C91F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Times New Roman" w:hAnsi="Times New Roman" w:eastAsia="宋体" w:cs="Times New Roman"/>
                      <w:i w:val="0"/>
                      <w:iCs w:val="0"/>
                      <w:color w:val="auto"/>
                      <w:kern w:val="0"/>
                      <w:sz w:val="22"/>
                      <w:szCs w:val="22"/>
                      <w:highlight w:val="none"/>
                      <w:u w:val="none"/>
                      <w:lang w:val="en-US" w:eastAsia="zh-CN" w:bidi="ar"/>
                    </w:rPr>
                    <w:t>&lt;</w:t>
                  </w: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2282" w:type="dxa"/>
                  <w:gridSpan w:val="3"/>
                  <w:tcBorders>
                    <w:tl2br w:val="nil"/>
                    <w:tr2bl w:val="nil"/>
                  </w:tcBorders>
                  <w:noWrap/>
                  <w:vAlign w:val="center"/>
                </w:tcPr>
                <w:p w14:paraId="323A666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0.01</w:t>
                  </w:r>
                </w:p>
              </w:tc>
              <w:tc>
                <w:tcPr>
                  <w:tcW w:w="2219" w:type="dxa"/>
                  <w:gridSpan w:val="3"/>
                  <w:tcBorders>
                    <w:tl2br w:val="nil"/>
                    <w:tr2bl w:val="nil"/>
                  </w:tcBorders>
                  <w:noWrap/>
                  <w:vAlign w:val="center"/>
                </w:tcPr>
                <w:p w14:paraId="2DE5007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0.015</w:t>
                  </w:r>
                </w:p>
              </w:tc>
              <w:tc>
                <w:tcPr>
                  <w:tcW w:w="2291" w:type="dxa"/>
                  <w:gridSpan w:val="3"/>
                  <w:tcBorders>
                    <w:tl2br w:val="nil"/>
                    <w:tr2bl w:val="nil"/>
                  </w:tcBorders>
                  <w:noWrap/>
                  <w:vAlign w:val="center"/>
                </w:tcPr>
                <w:p w14:paraId="23340F5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0.015</w:t>
                  </w:r>
                </w:p>
              </w:tc>
            </w:tr>
            <w:tr w14:paraId="5FC98E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673" w:type="dxa"/>
                  <w:vMerge w:val="continue"/>
                  <w:tcBorders>
                    <w:tl2br w:val="nil"/>
                    <w:tr2bl w:val="nil"/>
                  </w:tcBorders>
                  <w:noWrap/>
                  <w:vAlign w:val="center"/>
                </w:tcPr>
                <w:p w14:paraId="1F4517C0">
                  <w:pPr>
                    <w:jc w:val="center"/>
                    <w:rPr>
                      <w:rFonts w:hint="default" w:ascii="Times New Roman" w:hAnsi="Times New Roman" w:eastAsia="宋体" w:cs="Times New Roman"/>
                      <w:i w:val="0"/>
                      <w:iCs w:val="0"/>
                      <w:color w:val="auto"/>
                      <w:sz w:val="22"/>
                      <w:szCs w:val="22"/>
                      <w:highlight w:val="none"/>
                      <w:u w:val="none"/>
                    </w:rPr>
                  </w:pPr>
                </w:p>
              </w:tc>
              <w:tc>
                <w:tcPr>
                  <w:tcW w:w="673" w:type="dxa"/>
                  <w:tcBorders>
                    <w:tl2br w:val="nil"/>
                    <w:tr2bl w:val="nil"/>
                  </w:tcBorders>
                  <w:noWrap/>
                  <w:vAlign w:val="center"/>
                </w:tcPr>
                <w:p w14:paraId="5470C09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cs="Times New Roman"/>
                      <w:i w:val="0"/>
                      <w:iCs w:val="0"/>
                      <w:color w:val="auto"/>
                      <w:kern w:val="0"/>
                      <w:sz w:val="22"/>
                      <w:szCs w:val="22"/>
                      <w:highlight w:val="none"/>
                      <w:u w:val="none"/>
                      <w:lang w:val="en-US" w:eastAsia="zh-CN" w:bidi="ar"/>
                    </w:rPr>
                    <w:t>&gt;</w:t>
                  </w: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2282" w:type="dxa"/>
                  <w:gridSpan w:val="3"/>
                  <w:tcBorders>
                    <w:tl2br w:val="nil"/>
                    <w:tr2bl w:val="nil"/>
                  </w:tcBorders>
                  <w:noWrap/>
                  <w:vAlign w:val="center"/>
                </w:tcPr>
                <w:p w14:paraId="679F890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0.021</w:t>
                  </w:r>
                </w:p>
              </w:tc>
              <w:tc>
                <w:tcPr>
                  <w:tcW w:w="2219" w:type="dxa"/>
                  <w:gridSpan w:val="3"/>
                  <w:tcBorders>
                    <w:tl2br w:val="nil"/>
                    <w:tr2bl w:val="nil"/>
                  </w:tcBorders>
                  <w:noWrap/>
                  <w:vAlign w:val="center"/>
                </w:tcPr>
                <w:p w14:paraId="0356C03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0.036</w:t>
                  </w:r>
                </w:p>
              </w:tc>
              <w:tc>
                <w:tcPr>
                  <w:tcW w:w="2291" w:type="dxa"/>
                  <w:gridSpan w:val="3"/>
                  <w:tcBorders>
                    <w:tl2br w:val="nil"/>
                    <w:tr2bl w:val="nil"/>
                  </w:tcBorders>
                  <w:noWrap/>
                  <w:vAlign w:val="center"/>
                </w:tcPr>
                <w:p w14:paraId="504E982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0.036</w:t>
                  </w:r>
                </w:p>
              </w:tc>
            </w:tr>
            <w:tr w14:paraId="600863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673" w:type="dxa"/>
                  <w:vMerge w:val="restart"/>
                  <w:tcBorders>
                    <w:tl2br w:val="nil"/>
                    <w:tr2bl w:val="nil"/>
                  </w:tcBorders>
                  <w:noWrap/>
                  <w:vAlign w:val="center"/>
                </w:tcPr>
                <w:p w14:paraId="6D911FB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C</w:t>
                  </w:r>
                </w:p>
              </w:tc>
              <w:tc>
                <w:tcPr>
                  <w:tcW w:w="673" w:type="dxa"/>
                  <w:tcBorders>
                    <w:tl2br w:val="nil"/>
                    <w:tr2bl w:val="nil"/>
                  </w:tcBorders>
                  <w:noWrap/>
                  <w:vAlign w:val="center"/>
                </w:tcPr>
                <w:p w14:paraId="47DE4D1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Times New Roman" w:hAnsi="Times New Roman" w:eastAsia="宋体" w:cs="Times New Roman"/>
                      <w:i w:val="0"/>
                      <w:iCs w:val="0"/>
                      <w:color w:val="auto"/>
                      <w:kern w:val="0"/>
                      <w:sz w:val="22"/>
                      <w:szCs w:val="22"/>
                      <w:highlight w:val="none"/>
                      <w:u w:val="none"/>
                      <w:lang w:val="en-US" w:eastAsia="zh-CN" w:bidi="ar"/>
                    </w:rPr>
                    <w:t>&lt;</w:t>
                  </w: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2282" w:type="dxa"/>
                  <w:gridSpan w:val="3"/>
                  <w:tcBorders>
                    <w:tl2br w:val="nil"/>
                    <w:tr2bl w:val="nil"/>
                  </w:tcBorders>
                  <w:noWrap/>
                  <w:vAlign w:val="center"/>
                </w:tcPr>
                <w:p w14:paraId="26DF5179">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1.85</w:t>
                  </w:r>
                </w:p>
              </w:tc>
              <w:tc>
                <w:tcPr>
                  <w:tcW w:w="2219" w:type="dxa"/>
                  <w:gridSpan w:val="3"/>
                  <w:tcBorders>
                    <w:tl2br w:val="nil"/>
                    <w:tr2bl w:val="nil"/>
                  </w:tcBorders>
                  <w:noWrap/>
                  <w:vAlign w:val="center"/>
                </w:tcPr>
                <w:p w14:paraId="7C3974C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1.79</w:t>
                  </w:r>
                </w:p>
              </w:tc>
              <w:tc>
                <w:tcPr>
                  <w:tcW w:w="2291" w:type="dxa"/>
                  <w:gridSpan w:val="3"/>
                  <w:tcBorders>
                    <w:tl2br w:val="nil"/>
                    <w:tr2bl w:val="nil"/>
                  </w:tcBorders>
                  <w:noWrap/>
                  <w:vAlign w:val="center"/>
                </w:tcPr>
                <w:p w14:paraId="7A55877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1.79</w:t>
                  </w:r>
                </w:p>
              </w:tc>
            </w:tr>
            <w:tr w14:paraId="57EBEF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673" w:type="dxa"/>
                  <w:vMerge w:val="continue"/>
                  <w:tcBorders>
                    <w:tl2br w:val="nil"/>
                    <w:tr2bl w:val="nil"/>
                  </w:tcBorders>
                  <w:noWrap/>
                  <w:vAlign w:val="center"/>
                </w:tcPr>
                <w:p w14:paraId="7C644797">
                  <w:pPr>
                    <w:jc w:val="center"/>
                    <w:rPr>
                      <w:rFonts w:hint="default" w:ascii="Times New Roman" w:hAnsi="Times New Roman" w:eastAsia="宋体" w:cs="Times New Roman"/>
                      <w:i w:val="0"/>
                      <w:iCs w:val="0"/>
                      <w:color w:val="auto"/>
                      <w:sz w:val="22"/>
                      <w:szCs w:val="22"/>
                      <w:highlight w:val="none"/>
                      <w:u w:val="none"/>
                    </w:rPr>
                  </w:pPr>
                </w:p>
              </w:tc>
              <w:tc>
                <w:tcPr>
                  <w:tcW w:w="673" w:type="dxa"/>
                  <w:tcBorders>
                    <w:tl2br w:val="nil"/>
                    <w:tr2bl w:val="nil"/>
                  </w:tcBorders>
                  <w:noWrap/>
                  <w:vAlign w:val="center"/>
                </w:tcPr>
                <w:p w14:paraId="7CFAC0F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cs="Times New Roman"/>
                      <w:i w:val="0"/>
                      <w:iCs w:val="0"/>
                      <w:color w:val="auto"/>
                      <w:kern w:val="0"/>
                      <w:sz w:val="22"/>
                      <w:szCs w:val="22"/>
                      <w:highlight w:val="none"/>
                      <w:u w:val="none"/>
                      <w:lang w:val="en-US" w:eastAsia="zh-CN" w:bidi="ar"/>
                    </w:rPr>
                    <w:t>&gt;</w:t>
                  </w: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2282" w:type="dxa"/>
                  <w:gridSpan w:val="3"/>
                  <w:tcBorders>
                    <w:tl2br w:val="nil"/>
                    <w:tr2bl w:val="nil"/>
                  </w:tcBorders>
                  <w:noWrap/>
                  <w:vAlign w:val="center"/>
                </w:tcPr>
                <w:p w14:paraId="0666794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1.85</w:t>
                  </w:r>
                </w:p>
              </w:tc>
              <w:tc>
                <w:tcPr>
                  <w:tcW w:w="2219" w:type="dxa"/>
                  <w:gridSpan w:val="3"/>
                  <w:tcBorders>
                    <w:tl2br w:val="nil"/>
                    <w:tr2bl w:val="nil"/>
                  </w:tcBorders>
                  <w:noWrap/>
                  <w:vAlign w:val="center"/>
                </w:tcPr>
                <w:p w14:paraId="7C536C7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1.77</w:t>
                  </w:r>
                </w:p>
              </w:tc>
              <w:tc>
                <w:tcPr>
                  <w:tcW w:w="2291" w:type="dxa"/>
                  <w:gridSpan w:val="3"/>
                  <w:tcBorders>
                    <w:tl2br w:val="nil"/>
                    <w:tr2bl w:val="nil"/>
                  </w:tcBorders>
                  <w:noWrap/>
                  <w:vAlign w:val="center"/>
                </w:tcPr>
                <w:p w14:paraId="2A35506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1.77</w:t>
                  </w:r>
                </w:p>
              </w:tc>
            </w:tr>
            <w:tr w14:paraId="2CCA86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673" w:type="dxa"/>
                  <w:vMerge w:val="restart"/>
                  <w:tcBorders>
                    <w:tl2br w:val="nil"/>
                    <w:tr2bl w:val="nil"/>
                  </w:tcBorders>
                  <w:noWrap/>
                  <w:vAlign w:val="center"/>
                </w:tcPr>
                <w:p w14:paraId="6AD552F9">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D</w:t>
                  </w:r>
                </w:p>
              </w:tc>
              <w:tc>
                <w:tcPr>
                  <w:tcW w:w="673" w:type="dxa"/>
                  <w:tcBorders>
                    <w:tl2br w:val="nil"/>
                    <w:tr2bl w:val="nil"/>
                  </w:tcBorders>
                  <w:noWrap/>
                  <w:vAlign w:val="center"/>
                </w:tcPr>
                <w:p w14:paraId="32710B4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Times New Roman" w:hAnsi="Times New Roman" w:eastAsia="宋体" w:cs="Times New Roman"/>
                      <w:i w:val="0"/>
                      <w:iCs w:val="0"/>
                      <w:color w:val="auto"/>
                      <w:kern w:val="0"/>
                      <w:sz w:val="22"/>
                      <w:szCs w:val="22"/>
                      <w:highlight w:val="none"/>
                      <w:u w:val="none"/>
                      <w:lang w:val="en-US" w:eastAsia="zh-CN" w:bidi="ar"/>
                    </w:rPr>
                    <w:t>&lt;</w:t>
                  </w: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2282" w:type="dxa"/>
                  <w:gridSpan w:val="3"/>
                  <w:tcBorders>
                    <w:tl2br w:val="nil"/>
                    <w:tr2bl w:val="nil"/>
                  </w:tcBorders>
                  <w:noWrap/>
                  <w:vAlign w:val="center"/>
                </w:tcPr>
                <w:p w14:paraId="7A6AF70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0.78</w:t>
                  </w:r>
                </w:p>
              </w:tc>
              <w:tc>
                <w:tcPr>
                  <w:tcW w:w="2219" w:type="dxa"/>
                  <w:gridSpan w:val="3"/>
                  <w:tcBorders>
                    <w:tl2br w:val="nil"/>
                    <w:tr2bl w:val="nil"/>
                  </w:tcBorders>
                  <w:noWrap/>
                  <w:vAlign w:val="center"/>
                </w:tcPr>
                <w:p w14:paraId="3800DF4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0.78</w:t>
                  </w:r>
                </w:p>
              </w:tc>
              <w:tc>
                <w:tcPr>
                  <w:tcW w:w="2291" w:type="dxa"/>
                  <w:gridSpan w:val="3"/>
                  <w:tcBorders>
                    <w:tl2br w:val="nil"/>
                    <w:tr2bl w:val="nil"/>
                  </w:tcBorders>
                  <w:noWrap/>
                  <w:vAlign w:val="center"/>
                </w:tcPr>
                <w:p w14:paraId="4172236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0.57</w:t>
                  </w:r>
                </w:p>
              </w:tc>
            </w:tr>
            <w:tr w14:paraId="09AF75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673" w:type="dxa"/>
                  <w:vMerge w:val="continue"/>
                  <w:tcBorders>
                    <w:tl2br w:val="nil"/>
                    <w:tr2bl w:val="nil"/>
                  </w:tcBorders>
                  <w:noWrap/>
                  <w:vAlign w:val="center"/>
                </w:tcPr>
                <w:p w14:paraId="4C8C7589">
                  <w:pPr>
                    <w:jc w:val="center"/>
                    <w:rPr>
                      <w:rFonts w:hint="default" w:ascii="Times New Roman" w:hAnsi="Times New Roman" w:eastAsia="宋体" w:cs="Times New Roman"/>
                      <w:i w:val="0"/>
                      <w:iCs w:val="0"/>
                      <w:color w:val="auto"/>
                      <w:sz w:val="22"/>
                      <w:szCs w:val="22"/>
                      <w:highlight w:val="none"/>
                      <w:u w:val="none"/>
                    </w:rPr>
                  </w:pPr>
                </w:p>
              </w:tc>
              <w:tc>
                <w:tcPr>
                  <w:tcW w:w="673" w:type="dxa"/>
                  <w:tcBorders>
                    <w:tl2br w:val="nil"/>
                    <w:tr2bl w:val="nil"/>
                  </w:tcBorders>
                  <w:noWrap/>
                  <w:vAlign w:val="center"/>
                </w:tcPr>
                <w:p w14:paraId="5AFD59D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cs="Times New Roman"/>
                      <w:i w:val="0"/>
                      <w:iCs w:val="0"/>
                      <w:color w:val="auto"/>
                      <w:kern w:val="0"/>
                      <w:sz w:val="22"/>
                      <w:szCs w:val="22"/>
                      <w:highlight w:val="none"/>
                      <w:u w:val="none"/>
                      <w:lang w:val="en-US" w:eastAsia="zh-CN" w:bidi="ar"/>
                    </w:rPr>
                    <w:t>&gt;</w:t>
                  </w: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2282" w:type="dxa"/>
                  <w:gridSpan w:val="3"/>
                  <w:tcBorders>
                    <w:tl2br w:val="nil"/>
                    <w:tr2bl w:val="nil"/>
                  </w:tcBorders>
                  <w:noWrap/>
                  <w:vAlign w:val="center"/>
                </w:tcPr>
                <w:p w14:paraId="5A02495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0.84</w:t>
                  </w:r>
                </w:p>
              </w:tc>
              <w:tc>
                <w:tcPr>
                  <w:tcW w:w="2219" w:type="dxa"/>
                  <w:gridSpan w:val="3"/>
                  <w:tcBorders>
                    <w:tl2br w:val="nil"/>
                    <w:tr2bl w:val="nil"/>
                  </w:tcBorders>
                  <w:noWrap/>
                  <w:vAlign w:val="center"/>
                </w:tcPr>
                <w:p w14:paraId="4A425C89">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0.84</w:t>
                  </w:r>
                </w:p>
              </w:tc>
              <w:tc>
                <w:tcPr>
                  <w:tcW w:w="2291" w:type="dxa"/>
                  <w:gridSpan w:val="3"/>
                  <w:tcBorders>
                    <w:tl2br w:val="nil"/>
                    <w:tr2bl w:val="nil"/>
                  </w:tcBorders>
                  <w:noWrap/>
                  <w:vAlign w:val="center"/>
                </w:tcPr>
                <w:p w14:paraId="5599089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0.76</w:t>
                  </w:r>
                </w:p>
              </w:tc>
            </w:tr>
          </w:tbl>
          <w:p w14:paraId="21BA04EC">
            <w:pPr>
              <w:pStyle w:val="42"/>
              <w:bidi w:val="0"/>
              <w:rPr>
                <w:rFonts w:hint="eastAsia"/>
                <w:color w:val="auto"/>
                <w:highlight w:val="none"/>
                <w:lang w:val="en-US" w:eastAsia="zh-CN"/>
              </w:rPr>
            </w:pPr>
            <w:r>
              <w:rPr>
                <w:rFonts w:hint="eastAsia"/>
                <w:color w:val="auto"/>
                <w:highlight w:val="none"/>
                <w:lang w:val="en-US" w:eastAsia="zh-CN"/>
              </w:rPr>
              <w:t>经上述公式计算，其结果见下表</w:t>
            </w:r>
          </w:p>
          <w:p w14:paraId="4F704197">
            <w:pPr>
              <w:adjustRightInd w:val="0"/>
              <w:snapToGrid w:val="0"/>
              <w:spacing w:beforeLines="50" w:line="360" w:lineRule="auto"/>
              <w:jc w:val="center"/>
              <w:rPr>
                <w:rFonts w:hint="eastAsia" w:ascii="宋体" w:hAnsi="宋体" w:cs="宋体"/>
                <w:b/>
                <w:color w:val="auto"/>
                <w:sz w:val="24"/>
                <w:highlight w:val="none"/>
                <w:lang w:val="en-US" w:eastAsia="zh-CN"/>
              </w:rPr>
            </w:pPr>
            <w:r>
              <w:rPr>
                <w:rFonts w:hint="eastAsia" w:ascii="宋体" w:hAnsi="宋体" w:cs="宋体"/>
                <w:b/>
                <w:color w:val="auto"/>
                <w:sz w:val="24"/>
                <w:highlight w:val="none"/>
              </w:rPr>
              <w:t>表4-</w:t>
            </w:r>
            <w:r>
              <w:rPr>
                <w:rFonts w:hint="eastAsia" w:ascii="宋体" w:hAnsi="宋体" w:cs="宋体"/>
                <w:b/>
                <w:color w:val="auto"/>
                <w:sz w:val="24"/>
                <w:highlight w:val="none"/>
                <w:lang w:val="en-US" w:eastAsia="zh-CN"/>
              </w:rPr>
              <w:t>11卫生防护距离计算参数及结果表</w:t>
            </w:r>
          </w:p>
          <w:tbl>
            <w:tblPr>
              <w:tblStyle w:val="23"/>
              <w:tblW w:w="884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86"/>
              <w:gridCol w:w="967"/>
              <w:gridCol w:w="998"/>
              <w:gridCol w:w="972"/>
              <w:gridCol w:w="657"/>
              <w:gridCol w:w="893"/>
              <w:gridCol w:w="893"/>
              <w:gridCol w:w="893"/>
              <w:gridCol w:w="893"/>
              <w:gridCol w:w="893"/>
            </w:tblGrid>
            <w:tr w14:paraId="3E7F88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786" w:type="dxa"/>
                  <w:tcBorders>
                    <w:tl2br w:val="nil"/>
                    <w:tr2bl w:val="nil"/>
                  </w:tcBorders>
                  <w:noWrap w:val="0"/>
                  <w:vAlign w:val="center"/>
                </w:tcPr>
                <w:p w14:paraId="5B145C8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无组织排放源</w:t>
                  </w:r>
                </w:p>
              </w:tc>
              <w:tc>
                <w:tcPr>
                  <w:tcW w:w="967" w:type="dxa"/>
                  <w:tcBorders>
                    <w:tl2br w:val="nil"/>
                    <w:tr2bl w:val="nil"/>
                  </w:tcBorders>
                  <w:noWrap w:val="0"/>
                  <w:vAlign w:val="center"/>
                </w:tcPr>
                <w:p w14:paraId="2BDE751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污染物</w:t>
                  </w:r>
                </w:p>
              </w:tc>
              <w:tc>
                <w:tcPr>
                  <w:tcW w:w="998" w:type="dxa"/>
                  <w:tcBorders>
                    <w:tl2br w:val="nil"/>
                    <w:tr2bl w:val="nil"/>
                  </w:tcBorders>
                  <w:noWrap w:val="0"/>
                  <w:vAlign w:val="center"/>
                </w:tcPr>
                <w:p w14:paraId="42938A2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color w:val="auto"/>
                      <w:highlight w:val="none"/>
                      <w:lang w:eastAsia="zh-CN"/>
                    </w:rPr>
                    <w:t>Q</w:t>
                  </w:r>
                  <w:r>
                    <w:rPr>
                      <w:rFonts w:hint="default" w:ascii="Times New Roman" w:hAnsi="Times New Roman" w:eastAsia="宋体" w:cs="Times New Roman"/>
                      <w:color w:val="auto"/>
                      <w:highlight w:val="none"/>
                      <w:vertAlign w:val="subscript"/>
                      <w:lang w:val="en-US" w:eastAsia="zh-CN"/>
                    </w:rPr>
                    <w:t>C</w:t>
                  </w:r>
                  <w:r>
                    <w:rPr>
                      <w:rFonts w:hint="default" w:ascii="Times New Roman" w:hAnsi="Times New Roman" w:eastAsia="宋体" w:cs="Times New Roman"/>
                      <w:i w:val="0"/>
                      <w:iCs w:val="0"/>
                      <w:color w:val="auto"/>
                      <w:kern w:val="0"/>
                      <w:sz w:val="22"/>
                      <w:szCs w:val="22"/>
                      <w:highlight w:val="none"/>
                      <w:u w:val="none"/>
                      <w:lang w:val="en-US" w:eastAsia="zh-CN" w:bidi="ar"/>
                    </w:rPr>
                    <w:t>源强</w:t>
                  </w:r>
                  <w:r>
                    <w:rPr>
                      <w:rFonts w:hint="default" w:ascii="Times New Roman" w:hAnsi="Times New Roman" w:eastAsia="宋体" w:cs="Times New Roman"/>
                      <w:color w:val="auto"/>
                      <w:highlight w:val="none"/>
                      <w:lang w:val="en-US" w:eastAsia="zh-CN"/>
                    </w:rPr>
                    <w:t>kg/h</w:t>
                  </w:r>
                </w:p>
              </w:tc>
              <w:tc>
                <w:tcPr>
                  <w:tcW w:w="972" w:type="dxa"/>
                  <w:tcBorders>
                    <w:tl2br w:val="nil"/>
                    <w:tr2bl w:val="nil"/>
                  </w:tcBorders>
                  <w:noWrap w:val="0"/>
                  <w:vAlign w:val="center"/>
                </w:tcPr>
                <w:p w14:paraId="482E38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color w:val="auto"/>
                      <w:highlight w:val="none"/>
                      <w:lang w:eastAsia="zh-CN"/>
                    </w:rPr>
                    <w:t>Q</w:t>
                  </w:r>
                  <w:r>
                    <w:rPr>
                      <w:rFonts w:hint="default" w:ascii="Times New Roman" w:hAnsi="Times New Roman" w:eastAsia="宋体" w:cs="Times New Roman"/>
                      <w:color w:val="auto"/>
                      <w:highlight w:val="none"/>
                      <w:vertAlign w:val="subscript"/>
                      <w:lang w:val="en-US" w:eastAsia="zh-CN"/>
                    </w:rPr>
                    <w:t>C</w:t>
                  </w:r>
                  <w:r>
                    <w:rPr>
                      <w:rFonts w:hint="eastAsia" w:cs="Times New Roman"/>
                      <w:color w:val="auto"/>
                      <w:highlight w:val="none"/>
                      <w:vertAlign w:val="baseline"/>
                      <w:lang w:val="en-US" w:eastAsia="zh-CN"/>
                    </w:rPr>
                    <w:t>/C</w:t>
                  </w:r>
                  <w:r>
                    <w:rPr>
                      <w:rFonts w:hint="eastAsia" w:cs="Times New Roman"/>
                      <w:color w:val="auto"/>
                      <w:highlight w:val="none"/>
                      <w:vertAlign w:val="subscript"/>
                      <w:lang w:val="en-US" w:eastAsia="zh-CN"/>
                    </w:rPr>
                    <w:t>m</w:t>
                  </w:r>
                </w:p>
              </w:tc>
              <w:tc>
                <w:tcPr>
                  <w:tcW w:w="657" w:type="dxa"/>
                  <w:tcBorders>
                    <w:tl2br w:val="nil"/>
                    <w:tr2bl w:val="nil"/>
                  </w:tcBorders>
                  <w:noWrap w:val="0"/>
                  <w:vAlign w:val="center"/>
                </w:tcPr>
                <w:p w14:paraId="4738639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参数A</w:t>
                  </w:r>
                </w:p>
              </w:tc>
              <w:tc>
                <w:tcPr>
                  <w:tcW w:w="893" w:type="dxa"/>
                  <w:tcBorders>
                    <w:tl2br w:val="nil"/>
                    <w:tr2bl w:val="nil"/>
                  </w:tcBorders>
                  <w:noWrap w:val="0"/>
                  <w:vAlign w:val="center"/>
                </w:tcPr>
                <w:p w14:paraId="201BA45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参数B</w:t>
                  </w:r>
                </w:p>
              </w:tc>
              <w:tc>
                <w:tcPr>
                  <w:tcW w:w="893" w:type="dxa"/>
                  <w:tcBorders>
                    <w:tl2br w:val="nil"/>
                    <w:tr2bl w:val="nil"/>
                  </w:tcBorders>
                  <w:noWrap w:val="0"/>
                  <w:vAlign w:val="center"/>
                </w:tcPr>
                <w:p w14:paraId="0DDF4DB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参数C</w:t>
                  </w:r>
                </w:p>
              </w:tc>
              <w:tc>
                <w:tcPr>
                  <w:tcW w:w="893" w:type="dxa"/>
                  <w:tcBorders>
                    <w:tl2br w:val="nil"/>
                    <w:tr2bl w:val="nil"/>
                  </w:tcBorders>
                  <w:noWrap w:val="0"/>
                  <w:vAlign w:val="center"/>
                </w:tcPr>
                <w:p w14:paraId="3B80848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参数D</w:t>
                  </w:r>
                </w:p>
              </w:tc>
              <w:tc>
                <w:tcPr>
                  <w:tcW w:w="893" w:type="dxa"/>
                  <w:tcBorders>
                    <w:tl2br w:val="nil"/>
                    <w:tr2bl w:val="nil"/>
                  </w:tcBorders>
                  <w:noWrap w:val="0"/>
                  <w:vAlign w:val="center"/>
                </w:tcPr>
                <w:p w14:paraId="6BD4F92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卫生防护距离计算值（m</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893" w:type="dxa"/>
                  <w:tcBorders>
                    <w:tl2br w:val="nil"/>
                    <w:tr2bl w:val="nil"/>
                  </w:tcBorders>
                  <w:noWrap w:val="0"/>
                  <w:vAlign w:val="center"/>
                </w:tcPr>
                <w:p w14:paraId="3DE4587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卫生防护距离（m</w:t>
                  </w:r>
                  <w:r>
                    <w:rPr>
                      <w:rFonts w:hint="eastAsia" w:ascii="Times New Roman" w:hAnsi="Times New Roman" w:eastAsia="宋体" w:cs="Times New Roman"/>
                      <w:i w:val="0"/>
                      <w:iCs w:val="0"/>
                      <w:color w:val="auto"/>
                      <w:kern w:val="0"/>
                      <w:sz w:val="22"/>
                      <w:szCs w:val="22"/>
                      <w:highlight w:val="none"/>
                      <w:u w:val="none"/>
                      <w:lang w:val="en-US" w:eastAsia="zh-CN" w:bidi="ar"/>
                    </w:rPr>
                    <w:t>）</w:t>
                  </w:r>
                </w:p>
              </w:tc>
            </w:tr>
            <w:tr w14:paraId="6CAF68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50" w:hRule="atLeast"/>
                <w:jc w:val="center"/>
              </w:trPr>
              <w:tc>
                <w:tcPr>
                  <w:tcW w:w="786" w:type="dxa"/>
                  <w:vMerge w:val="restart"/>
                  <w:tcBorders>
                    <w:tl2br w:val="nil"/>
                    <w:tr2bl w:val="nil"/>
                  </w:tcBorders>
                  <w:noWrap/>
                  <w:vAlign w:val="center"/>
                </w:tcPr>
                <w:p w14:paraId="1CA8185F">
                  <w:pPr>
                    <w:jc w:val="center"/>
                    <w:rPr>
                      <w:rFonts w:hint="default" w:ascii="宋体" w:hAnsi="宋体" w:eastAsia="宋体" w:cs="宋体"/>
                      <w:i w:val="0"/>
                      <w:iCs w:val="0"/>
                      <w:color w:val="000000" w:themeColor="text1"/>
                      <w:sz w:val="21"/>
                      <w:szCs w:val="21"/>
                      <w:highlight w:val="none"/>
                      <w:u w:val="none"/>
                      <w:lang w:val="en-US" w:eastAsia="zh-CN"/>
                      <w14:textFill>
                        <w14:solidFill>
                          <w14:schemeClr w14:val="tx1"/>
                        </w14:solidFill>
                      </w14:textFill>
                    </w:rPr>
                  </w:pPr>
                  <w:r>
                    <w:rPr>
                      <w:rFonts w:hint="eastAsia" w:ascii="宋体" w:hAnsi="宋体" w:cs="宋体"/>
                      <w:i w:val="0"/>
                      <w:iCs w:val="0"/>
                      <w:color w:val="000000" w:themeColor="text1"/>
                      <w:sz w:val="21"/>
                      <w:szCs w:val="21"/>
                      <w:highlight w:val="none"/>
                      <w:u w:val="none"/>
                      <w:lang w:val="en-US" w:eastAsia="zh-CN"/>
                      <w14:textFill>
                        <w14:solidFill>
                          <w14:schemeClr w14:val="tx1"/>
                        </w14:solidFill>
                      </w14:textFill>
                    </w:rPr>
                    <w:t>上料及炼胶车间</w:t>
                  </w:r>
                </w:p>
              </w:tc>
              <w:tc>
                <w:tcPr>
                  <w:tcW w:w="967" w:type="dxa"/>
                  <w:tcBorders>
                    <w:tl2br w:val="nil"/>
                    <w:tr2bl w:val="nil"/>
                  </w:tcBorders>
                  <w:noWrap/>
                  <w:vAlign w:val="center"/>
                </w:tcPr>
                <w:p w14:paraId="5C9C73F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颗粒物</w:t>
                  </w:r>
                </w:p>
              </w:tc>
              <w:tc>
                <w:tcPr>
                  <w:tcW w:w="998" w:type="dxa"/>
                  <w:tcBorders>
                    <w:tl2br w:val="nil"/>
                    <w:tr2bl w:val="nil"/>
                  </w:tcBorders>
                  <w:noWrap/>
                  <w:vAlign w:val="center"/>
                </w:tcPr>
                <w:p w14:paraId="07A521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0.1187 </w:t>
                  </w:r>
                </w:p>
              </w:tc>
              <w:tc>
                <w:tcPr>
                  <w:tcW w:w="972" w:type="dxa"/>
                  <w:tcBorders>
                    <w:tl2br w:val="nil"/>
                    <w:tr2bl w:val="nil"/>
                  </w:tcBorders>
                  <w:noWrap/>
                  <w:vAlign w:val="center"/>
                </w:tcPr>
                <w:p w14:paraId="7CB6E3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0.1319 </w:t>
                  </w:r>
                </w:p>
              </w:tc>
              <w:tc>
                <w:tcPr>
                  <w:tcW w:w="657" w:type="dxa"/>
                  <w:tcBorders>
                    <w:tl2br w:val="nil"/>
                    <w:tr2bl w:val="nil"/>
                  </w:tcBorders>
                  <w:noWrap/>
                  <w:vAlign w:val="center"/>
                </w:tcPr>
                <w:p w14:paraId="632229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400 </w:t>
                  </w:r>
                </w:p>
              </w:tc>
              <w:tc>
                <w:tcPr>
                  <w:tcW w:w="893" w:type="dxa"/>
                  <w:tcBorders>
                    <w:tl2br w:val="nil"/>
                    <w:tr2bl w:val="nil"/>
                  </w:tcBorders>
                  <w:noWrap/>
                  <w:vAlign w:val="center"/>
                </w:tcPr>
                <w:p w14:paraId="3E3E16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w:t>
                  </w:r>
                </w:p>
              </w:tc>
              <w:tc>
                <w:tcPr>
                  <w:tcW w:w="893" w:type="dxa"/>
                  <w:tcBorders>
                    <w:tl2br w:val="nil"/>
                    <w:tr2bl w:val="nil"/>
                  </w:tcBorders>
                  <w:noWrap/>
                  <w:vAlign w:val="center"/>
                </w:tcPr>
                <w:p w14:paraId="5FF161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1.85 </w:t>
                  </w:r>
                </w:p>
              </w:tc>
              <w:tc>
                <w:tcPr>
                  <w:tcW w:w="893" w:type="dxa"/>
                  <w:tcBorders>
                    <w:tl2br w:val="nil"/>
                    <w:tr2bl w:val="nil"/>
                  </w:tcBorders>
                  <w:noWrap/>
                  <w:vAlign w:val="center"/>
                </w:tcPr>
                <w:p w14:paraId="09F295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0.78 </w:t>
                  </w:r>
                </w:p>
              </w:tc>
              <w:tc>
                <w:tcPr>
                  <w:tcW w:w="893" w:type="dxa"/>
                  <w:tcBorders>
                    <w:tl2br w:val="nil"/>
                    <w:tr2bl w:val="nil"/>
                  </w:tcBorders>
                  <w:noWrap/>
                  <w:vAlign w:val="center"/>
                </w:tcPr>
                <w:p w14:paraId="4DF0A3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8.0 </w:t>
                  </w:r>
                </w:p>
              </w:tc>
              <w:tc>
                <w:tcPr>
                  <w:tcW w:w="893" w:type="dxa"/>
                  <w:tcBorders>
                    <w:tl2br w:val="nil"/>
                    <w:tr2bl w:val="nil"/>
                  </w:tcBorders>
                  <w:noWrap/>
                  <w:vAlign w:val="center"/>
                </w:tcPr>
                <w:p w14:paraId="35EC1E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50 </w:t>
                  </w:r>
                </w:p>
              </w:tc>
            </w:tr>
            <w:tr w14:paraId="191385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50" w:hRule="atLeast"/>
                <w:jc w:val="center"/>
              </w:trPr>
              <w:tc>
                <w:tcPr>
                  <w:tcW w:w="786" w:type="dxa"/>
                  <w:vMerge w:val="continue"/>
                  <w:tcBorders>
                    <w:tl2br w:val="nil"/>
                    <w:tr2bl w:val="nil"/>
                  </w:tcBorders>
                  <w:noWrap/>
                  <w:vAlign w:val="center"/>
                </w:tcPr>
                <w:p w14:paraId="22869AA7">
                  <w:pPr>
                    <w:jc w:val="center"/>
                    <w:rPr>
                      <w:rFonts w:hint="eastAsia" w:ascii="宋体" w:hAnsi="宋体" w:cs="宋体"/>
                      <w:i w:val="0"/>
                      <w:iCs w:val="0"/>
                      <w:color w:val="000000" w:themeColor="text1"/>
                      <w:sz w:val="21"/>
                      <w:szCs w:val="21"/>
                      <w:highlight w:val="none"/>
                      <w:u w:val="none"/>
                      <w:lang w:val="en-US" w:eastAsia="zh-CN"/>
                      <w14:textFill>
                        <w14:solidFill>
                          <w14:schemeClr w14:val="tx1"/>
                        </w14:solidFill>
                      </w14:textFill>
                    </w:rPr>
                  </w:pPr>
                </w:p>
              </w:tc>
              <w:tc>
                <w:tcPr>
                  <w:tcW w:w="967" w:type="dxa"/>
                  <w:tcBorders>
                    <w:tl2br w:val="nil"/>
                    <w:tr2bl w:val="nil"/>
                  </w:tcBorders>
                  <w:noWrap/>
                  <w:vAlign w:val="center"/>
                </w:tcPr>
                <w:p w14:paraId="7EDE81F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非甲烷总烃</w:t>
                  </w:r>
                </w:p>
              </w:tc>
              <w:tc>
                <w:tcPr>
                  <w:tcW w:w="998" w:type="dxa"/>
                  <w:tcBorders>
                    <w:tl2br w:val="nil"/>
                    <w:tr2bl w:val="nil"/>
                  </w:tcBorders>
                  <w:noWrap/>
                  <w:vAlign w:val="center"/>
                </w:tcPr>
                <w:p w14:paraId="2071C6D9">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0.0931 </w:t>
                  </w:r>
                </w:p>
              </w:tc>
              <w:tc>
                <w:tcPr>
                  <w:tcW w:w="972" w:type="dxa"/>
                  <w:tcBorders>
                    <w:tl2br w:val="nil"/>
                    <w:tr2bl w:val="nil"/>
                  </w:tcBorders>
                  <w:noWrap/>
                  <w:vAlign w:val="center"/>
                </w:tcPr>
                <w:p w14:paraId="0A5D11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0.0776 </w:t>
                  </w:r>
                </w:p>
              </w:tc>
              <w:tc>
                <w:tcPr>
                  <w:tcW w:w="657" w:type="dxa"/>
                  <w:tcBorders>
                    <w:tl2br w:val="nil"/>
                    <w:tr2bl w:val="nil"/>
                  </w:tcBorders>
                  <w:noWrap/>
                  <w:vAlign w:val="center"/>
                </w:tcPr>
                <w:p w14:paraId="189E20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400</w:t>
                  </w:r>
                </w:p>
              </w:tc>
              <w:tc>
                <w:tcPr>
                  <w:tcW w:w="893" w:type="dxa"/>
                  <w:tcBorders>
                    <w:tl2br w:val="nil"/>
                    <w:tr2bl w:val="nil"/>
                  </w:tcBorders>
                  <w:noWrap/>
                  <w:vAlign w:val="center"/>
                </w:tcPr>
                <w:p w14:paraId="1AD4EB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w:t>
                  </w:r>
                </w:p>
              </w:tc>
              <w:tc>
                <w:tcPr>
                  <w:tcW w:w="893" w:type="dxa"/>
                  <w:tcBorders>
                    <w:tl2br w:val="nil"/>
                    <w:tr2bl w:val="nil"/>
                  </w:tcBorders>
                  <w:noWrap/>
                  <w:vAlign w:val="center"/>
                </w:tcPr>
                <w:p w14:paraId="6022EC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1.85</w:t>
                  </w:r>
                </w:p>
              </w:tc>
              <w:tc>
                <w:tcPr>
                  <w:tcW w:w="893" w:type="dxa"/>
                  <w:tcBorders>
                    <w:tl2br w:val="nil"/>
                    <w:tr2bl w:val="nil"/>
                  </w:tcBorders>
                  <w:noWrap/>
                  <w:vAlign w:val="center"/>
                </w:tcPr>
                <w:p w14:paraId="3230AB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0.78</w:t>
                  </w:r>
                </w:p>
              </w:tc>
              <w:tc>
                <w:tcPr>
                  <w:tcW w:w="893" w:type="dxa"/>
                  <w:tcBorders>
                    <w:tl2br w:val="nil"/>
                    <w:tr2bl w:val="nil"/>
                  </w:tcBorders>
                  <w:noWrap/>
                  <w:vAlign w:val="center"/>
                </w:tcPr>
                <w:p w14:paraId="7620BE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5.0 </w:t>
                  </w:r>
                </w:p>
              </w:tc>
              <w:tc>
                <w:tcPr>
                  <w:tcW w:w="893" w:type="dxa"/>
                  <w:tcBorders>
                    <w:tl2br w:val="nil"/>
                    <w:tr2bl w:val="nil"/>
                  </w:tcBorders>
                  <w:noWrap/>
                  <w:vAlign w:val="center"/>
                </w:tcPr>
                <w:p w14:paraId="5473DA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50 </w:t>
                  </w:r>
                </w:p>
              </w:tc>
            </w:tr>
            <w:tr w14:paraId="2E6B12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50" w:hRule="atLeast"/>
                <w:jc w:val="center"/>
              </w:trPr>
              <w:tc>
                <w:tcPr>
                  <w:tcW w:w="786" w:type="dxa"/>
                  <w:tcBorders>
                    <w:tl2br w:val="nil"/>
                    <w:tr2bl w:val="nil"/>
                  </w:tcBorders>
                  <w:noWrap/>
                  <w:vAlign w:val="center"/>
                </w:tcPr>
                <w:p w14:paraId="7CC2DDAD">
                  <w:pPr>
                    <w:jc w:val="center"/>
                    <w:rPr>
                      <w:rFonts w:hint="default" w:ascii="宋体" w:hAnsi="宋体" w:cs="宋体"/>
                      <w:i w:val="0"/>
                      <w:iCs w:val="0"/>
                      <w:color w:val="000000" w:themeColor="text1"/>
                      <w:sz w:val="21"/>
                      <w:szCs w:val="21"/>
                      <w:highlight w:val="none"/>
                      <w:u w:val="none"/>
                      <w:lang w:val="en-US" w:eastAsia="zh-CN"/>
                      <w14:textFill>
                        <w14:solidFill>
                          <w14:schemeClr w14:val="tx1"/>
                        </w14:solidFill>
                      </w14:textFill>
                    </w:rPr>
                  </w:pPr>
                  <w:r>
                    <w:rPr>
                      <w:rFonts w:hint="eastAsia" w:ascii="宋体" w:hAnsi="宋体" w:cs="宋体"/>
                      <w:i w:val="0"/>
                      <w:iCs w:val="0"/>
                      <w:color w:val="000000" w:themeColor="text1"/>
                      <w:sz w:val="21"/>
                      <w:szCs w:val="21"/>
                      <w:highlight w:val="none"/>
                      <w:u w:val="none"/>
                      <w:lang w:val="en-US" w:eastAsia="zh-CN"/>
                      <w14:textFill>
                        <w14:solidFill>
                          <w14:schemeClr w14:val="tx1"/>
                        </w14:solidFill>
                      </w14:textFill>
                    </w:rPr>
                    <w:t>硫化车间</w:t>
                  </w:r>
                </w:p>
              </w:tc>
              <w:tc>
                <w:tcPr>
                  <w:tcW w:w="967" w:type="dxa"/>
                  <w:tcBorders>
                    <w:tl2br w:val="nil"/>
                    <w:tr2bl w:val="nil"/>
                  </w:tcBorders>
                  <w:noWrap/>
                  <w:vAlign w:val="center"/>
                </w:tcPr>
                <w:p w14:paraId="1FC3B3A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非甲烷总烃</w:t>
                  </w:r>
                </w:p>
              </w:tc>
              <w:tc>
                <w:tcPr>
                  <w:tcW w:w="998" w:type="dxa"/>
                  <w:tcBorders>
                    <w:tl2br w:val="nil"/>
                    <w:tr2bl w:val="nil"/>
                  </w:tcBorders>
                  <w:noWrap/>
                  <w:vAlign w:val="center"/>
                </w:tcPr>
                <w:p w14:paraId="78DFE74D">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0.2693 </w:t>
                  </w:r>
                </w:p>
              </w:tc>
              <w:tc>
                <w:tcPr>
                  <w:tcW w:w="972" w:type="dxa"/>
                  <w:tcBorders>
                    <w:tl2br w:val="nil"/>
                    <w:tr2bl w:val="nil"/>
                  </w:tcBorders>
                  <w:noWrap/>
                  <w:vAlign w:val="center"/>
                </w:tcPr>
                <w:p w14:paraId="06156D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0.2244 </w:t>
                  </w:r>
                </w:p>
              </w:tc>
              <w:tc>
                <w:tcPr>
                  <w:tcW w:w="657" w:type="dxa"/>
                  <w:tcBorders>
                    <w:tl2br w:val="nil"/>
                    <w:tr2bl w:val="nil"/>
                  </w:tcBorders>
                  <w:noWrap/>
                  <w:vAlign w:val="center"/>
                </w:tcPr>
                <w:p w14:paraId="03D913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400</w:t>
                  </w:r>
                </w:p>
              </w:tc>
              <w:tc>
                <w:tcPr>
                  <w:tcW w:w="893" w:type="dxa"/>
                  <w:tcBorders>
                    <w:tl2br w:val="nil"/>
                    <w:tr2bl w:val="nil"/>
                  </w:tcBorders>
                  <w:noWrap/>
                  <w:vAlign w:val="center"/>
                </w:tcPr>
                <w:p w14:paraId="4ECF90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w:t>
                  </w:r>
                </w:p>
              </w:tc>
              <w:tc>
                <w:tcPr>
                  <w:tcW w:w="893" w:type="dxa"/>
                  <w:tcBorders>
                    <w:tl2br w:val="nil"/>
                    <w:tr2bl w:val="nil"/>
                  </w:tcBorders>
                  <w:noWrap/>
                  <w:vAlign w:val="center"/>
                </w:tcPr>
                <w:p w14:paraId="041219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1.85 </w:t>
                  </w:r>
                </w:p>
              </w:tc>
              <w:tc>
                <w:tcPr>
                  <w:tcW w:w="893" w:type="dxa"/>
                  <w:tcBorders>
                    <w:tl2br w:val="nil"/>
                    <w:tr2bl w:val="nil"/>
                  </w:tcBorders>
                  <w:noWrap/>
                  <w:vAlign w:val="center"/>
                </w:tcPr>
                <w:p w14:paraId="3CC562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0.78 </w:t>
                  </w:r>
                </w:p>
              </w:tc>
              <w:tc>
                <w:tcPr>
                  <w:tcW w:w="893" w:type="dxa"/>
                  <w:tcBorders>
                    <w:tl2br w:val="nil"/>
                    <w:tr2bl w:val="nil"/>
                  </w:tcBorders>
                  <w:noWrap/>
                  <w:vAlign w:val="center"/>
                </w:tcPr>
                <w:p w14:paraId="539F5F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17.0 </w:t>
                  </w:r>
                </w:p>
              </w:tc>
              <w:tc>
                <w:tcPr>
                  <w:tcW w:w="893" w:type="dxa"/>
                  <w:tcBorders>
                    <w:tl2br w:val="nil"/>
                    <w:tr2bl w:val="nil"/>
                  </w:tcBorders>
                  <w:noWrap/>
                  <w:vAlign w:val="center"/>
                </w:tcPr>
                <w:p w14:paraId="535841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50 </w:t>
                  </w:r>
                </w:p>
              </w:tc>
            </w:tr>
          </w:tbl>
          <w:p w14:paraId="7575B338">
            <w:pPr>
              <w:pStyle w:val="4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根据以上计算，</w:t>
            </w:r>
            <w:r>
              <w:rPr>
                <w:rFonts w:hint="eastAsia" w:ascii="Times New Roman" w:hAnsi="Times New Roman" w:cs="Times New Roman"/>
                <w:color w:val="000000" w:themeColor="text1"/>
                <w:highlight w:val="none"/>
                <w:lang w:val="en-US" w:eastAsia="zh-CN"/>
                <w14:textFill>
                  <w14:solidFill>
                    <w14:schemeClr w14:val="tx1"/>
                  </w14:solidFill>
                </w14:textFill>
              </w:rPr>
              <w:t>本项目单因子卫生防护距离计算值</w:t>
            </w:r>
            <w:r>
              <w:rPr>
                <w:rFonts w:hint="default" w:ascii="Times New Roman" w:hAnsi="Times New Roman" w:cs="Times New Roman"/>
                <w:color w:val="000000" w:themeColor="text1"/>
                <w:highlight w:val="none"/>
                <w:lang w:val="en-US" w:eastAsia="zh-CN"/>
                <w14:textFill>
                  <w14:solidFill>
                    <w14:schemeClr w14:val="tx1"/>
                  </w14:solidFill>
                </w14:textFill>
              </w:rPr>
              <w:t>L&lt;50m，</w:t>
            </w:r>
            <w:r>
              <w:rPr>
                <w:rFonts w:hint="eastAsia" w:ascii="Times New Roman" w:hAnsi="Times New Roman" w:cs="Times New Roman"/>
                <w:color w:val="000000" w:themeColor="text1"/>
                <w:highlight w:val="none"/>
                <w:lang w:val="en-US" w:eastAsia="zh-CN"/>
                <w14:textFill>
                  <w14:solidFill>
                    <w14:schemeClr w14:val="tx1"/>
                  </w14:solidFill>
                </w14:textFill>
              </w:rPr>
              <w:t>因此单因子</w:t>
            </w:r>
            <w:r>
              <w:rPr>
                <w:rFonts w:hint="default" w:ascii="Times New Roman" w:hAnsi="Times New Roman" w:cs="Times New Roman"/>
                <w:color w:val="000000" w:themeColor="text1"/>
                <w:highlight w:val="none"/>
                <w:lang w:val="en-US" w:eastAsia="zh-CN"/>
                <w14:textFill>
                  <w14:solidFill>
                    <w14:schemeClr w14:val="tx1"/>
                  </w14:solidFill>
                </w14:textFill>
              </w:rPr>
              <w:t>卫生防护距离值取</w:t>
            </w:r>
            <w:r>
              <w:rPr>
                <w:rFonts w:hint="eastAsia" w:ascii="Times New Roman" w:hAnsi="Times New Roman" w:cs="Times New Roman"/>
                <w:color w:val="000000" w:themeColor="text1"/>
                <w:highlight w:val="none"/>
                <w:lang w:val="en-US" w:eastAsia="zh-CN"/>
                <w14:textFill>
                  <w14:solidFill>
                    <w14:schemeClr w14:val="tx1"/>
                  </w14:solidFill>
                </w14:textFill>
              </w:rPr>
              <w:t>50</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eastAsia" w:ascii="Times New Roman" w:hAnsi="Times New Roman" w:cs="Times New Roman"/>
                <w:color w:val="000000" w:themeColor="text1"/>
                <w:highlight w:val="none"/>
                <w:lang w:val="en-US" w:eastAsia="zh-CN"/>
                <w14:textFill>
                  <w14:solidFill>
                    <w14:schemeClr w14:val="tx1"/>
                  </w14:solidFill>
                </w14:textFill>
              </w:rPr>
              <w:t>，上料和炼胶车间存在2种污染物卫生防护初值在同一级别，则该企业卫生防护距离终值需要提高一级，因此本项目最终卫生防护距离为100m</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2AEED478">
            <w:pPr>
              <w:pStyle w:val="4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卫生防护距离内管理要求：项目卫生防护距离内不得新建</w:t>
            </w:r>
            <w:r>
              <w:rPr>
                <w:rFonts w:hint="eastAsia" w:ascii="Times New Roman" w:hAnsi="Times New Roman" w:cs="Times New Roman"/>
                <w:color w:val="000000" w:themeColor="text1"/>
                <w:highlight w:val="none"/>
                <w:lang w:val="en-US" w:eastAsia="zh-CN"/>
                <w14:textFill>
                  <w14:solidFill>
                    <w14:schemeClr w14:val="tx1"/>
                  </w14:solidFill>
                </w14:textFill>
              </w:rPr>
              <w:t>居民、</w:t>
            </w:r>
            <w:r>
              <w:rPr>
                <w:rFonts w:hint="default" w:ascii="Times New Roman" w:hAnsi="Times New Roman" w:cs="Times New Roman"/>
                <w:color w:val="000000" w:themeColor="text1"/>
                <w:highlight w:val="none"/>
                <w:lang w:val="en-US" w:eastAsia="zh-CN"/>
                <w14:textFill>
                  <w14:solidFill>
                    <w14:schemeClr w14:val="tx1"/>
                  </w14:solidFill>
                </w14:textFill>
              </w:rPr>
              <w:t>食品、医药等</w:t>
            </w:r>
            <w:r>
              <w:rPr>
                <w:rFonts w:hint="eastAsia" w:ascii="Times New Roman" w:hAnsi="Times New Roman" w:cs="Times New Roman"/>
                <w:color w:val="000000" w:themeColor="text1"/>
                <w:highlight w:val="none"/>
                <w:lang w:val="en-US" w:eastAsia="zh-CN"/>
                <w14:textFill>
                  <w14:solidFill>
                    <w14:schemeClr w14:val="tx1"/>
                  </w14:solidFill>
                </w14:textFill>
              </w:rPr>
              <w:t>敏感项目</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70153639">
            <w:pPr>
              <w:numPr>
                <w:ilvl w:val="0"/>
                <w:numId w:val="0"/>
              </w:numPr>
              <w:spacing w:line="360" w:lineRule="auto"/>
              <w:ind w:leftChars="212"/>
              <w:rPr>
                <w:rFonts w:hint="eastAsia"/>
                <w:b/>
                <w:bCs/>
                <w:color w:val="auto"/>
                <w:sz w:val="24"/>
                <w:szCs w:val="24"/>
                <w:highlight w:val="none"/>
                <w:lang w:val="en-US" w:eastAsia="zh-CN"/>
              </w:rPr>
            </w:pPr>
            <w:r>
              <w:rPr>
                <w:rFonts w:hint="eastAsia"/>
                <w:b/>
                <w:bCs/>
                <w:color w:val="auto"/>
                <w:sz w:val="24"/>
                <w:szCs w:val="24"/>
                <w:highlight w:val="none"/>
                <w:lang w:val="en-US" w:eastAsia="zh-CN"/>
              </w:rPr>
              <w:t>（4）废气治理设施合理性</w:t>
            </w:r>
          </w:p>
          <w:p w14:paraId="0B96CB52">
            <w:pPr>
              <w:pStyle w:val="42"/>
              <w:bidi w:val="0"/>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lang w:val="en-US" w:eastAsia="zh-CN"/>
              </w:rPr>
              <w:t>本项目生产废气主要为粉尘和有机废气</w:t>
            </w:r>
            <w:r>
              <w:rPr>
                <w:rFonts w:hint="eastAsia" w:ascii="Times New Roman" w:hAnsi="Times New Roman" w:cs="Times New Roman"/>
                <w:color w:val="auto"/>
                <w:highlight w:val="none"/>
                <w:vertAlign w:val="baseline"/>
                <w:lang w:val="en-US" w:eastAsia="zh-CN"/>
              </w:rPr>
              <w:t>，项目采取的布袋除尘工艺和活性炭吸附有机废气工艺是目前国内技术成熟的主流除尘工艺，同时也是排污许可核发技术规范推荐的污染防治措施，因此其废气处理工艺是合理可行的。</w:t>
            </w:r>
          </w:p>
          <w:p w14:paraId="09FA9C5D">
            <w:pPr>
              <w:spacing w:line="360" w:lineRule="auto"/>
              <w:ind w:firstLine="482" w:firstLineChars="200"/>
              <w:rPr>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5</w:t>
            </w:r>
            <w:r>
              <w:rPr>
                <w:rFonts w:hint="eastAsia"/>
                <w:b/>
                <w:bCs/>
                <w:color w:val="auto"/>
                <w:sz w:val="24"/>
                <w:szCs w:val="24"/>
                <w:highlight w:val="none"/>
                <w:lang w:eastAsia="zh-CN"/>
              </w:rPr>
              <w:t>）</w:t>
            </w:r>
            <w:r>
              <w:rPr>
                <w:b/>
                <w:bCs/>
                <w:color w:val="auto"/>
                <w:sz w:val="24"/>
                <w:szCs w:val="24"/>
                <w:highlight w:val="none"/>
              </w:rPr>
              <w:t>废气排放环境影响定性分析</w:t>
            </w:r>
          </w:p>
          <w:p w14:paraId="1B87024F">
            <w:pPr>
              <w:spacing w:line="420" w:lineRule="auto"/>
              <w:ind w:firstLine="480" w:firstLineChars="200"/>
              <w:rPr>
                <w:color w:val="000000" w:themeColor="text1"/>
                <w:sz w:val="24"/>
                <w:highlight w:val="none"/>
                <w14:textFill>
                  <w14:solidFill>
                    <w14:schemeClr w14:val="tx1"/>
                  </w14:solidFill>
                </w14:textFill>
              </w:rPr>
            </w:pPr>
            <w:r>
              <w:rPr>
                <w:color w:val="000000" w:themeColor="text1"/>
                <w:kern w:val="0"/>
                <w:sz w:val="24"/>
                <w:highlight w:val="none"/>
                <w:lang w:bidi="ar"/>
                <w14:textFill>
                  <w14:solidFill>
                    <w14:schemeClr w14:val="tx1"/>
                  </w14:solidFill>
                </w14:textFill>
              </w:rPr>
              <w:t>根据分析，项目采取本次环评提出的措施处理后，</w:t>
            </w:r>
            <w:r>
              <w:rPr>
                <w:rFonts w:hint="eastAsia"/>
                <w:color w:val="000000" w:themeColor="text1"/>
                <w:kern w:val="0"/>
                <w:sz w:val="24"/>
                <w:highlight w:val="none"/>
                <w:lang w:val="en-US" w:eastAsia="zh-CN" w:bidi="ar"/>
                <w14:textFill>
                  <w14:solidFill>
                    <w14:schemeClr w14:val="tx1"/>
                  </w14:solidFill>
                </w14:textFill>
              </w:rPr>
              <w:t>有组织废气和无组织废气叠加后整体</w:t>
            </w:r>
            <w:r>
              <w:rPr>
                <w:rFonts w:hint="eastAsia"/>
                <w:color w:val="000000" w:themeColor="text1"/>
                <w:kern w:val="0"/>
                <w:sz w:val="24"/>
                <w:highlight w:val="none"/>
                <w:lang w:eastAsia="zh-CN" w:bidi="ar"/>
                <w14:textFill>
                  <w14:solidFill>
                    <w14:schemeClr w14:val="tx1"/>
                  </w14:solidFill>
                </w14:textFill>
              </w:rPr>
              <w:t>排放速率</w:t>
            </w:r>
            <w:r>
              <w:rPr>
                <w:rFonts w:hint="eastAsia"/>
                <w:color w:val="000000" w:themeColor="text1"/>
                <w:kern w:val="0"/>
                <w:sz w:val="24"/>
                <w:highlight w:val="none"/>
                <w:lang w:val="en-US" w:eastAsia="zh-CN" w:bidi="ar"/>
                <w14:textFill>
                  <w14:solidFill>
                    <w14:schemeClr w14:val="tx1"/>
                  </w14:solidFill>
                </w14:textFill>
              </w:rPr>
              <w:t>为，</w:t>
            </w:r>
            <w:r>
              <w:rPr>
                <w:rFonts w:hint="eastAsia"/>
                <w:color w:val="000000" w:themeColor="text1"/>
                <w:kern w:val="0"/>
                <w:sz w:val="24"/>
                <w:highlight w:val="none"/>
                <w:lang w:eastAsia="zh-CN" w:bidi="ar"/>
                <w14:textFill>
                  <w14:solidFill>
                    <w14:schemeClr w14:val="tx1"/>
                  </w14:solidFill>
                </w14:textFill>
              </w:rPr>
              <w:t>颗粒物为</w:t>
            </w:r>
            <w:r>
              <w:rPr>
                <w:rFonts w:hint="eastAsia"/>
                <w:color w:val="000000" w:themeColor="text1"/>
                <w:kern w:val="0"/>
                <w:sz w:val="24"/>
                <w:highlight w:val="none"/>
                <w:lang w:val="en-US" w:eastAsia="zh-CN" w:bidi="ar"/>
                <w14:textFill>
                  <w14:solidFill>
                    <w14:schemeClr w14:val="tx1"/>
                  </w14:solidFill>
                </w14:textFill>
              </w:rPr>
              <w:t>0.2193kg/h，氮氧化物0.0748kg/h，二氧化硫0.0044kg/h，非甲烷总烃0.6834kg，</w:t>
            </w:r>
            <w:r>
              <w:rPr>
                <w:color w:val="000000" w:themeColor="text1"/>
                <w:kern w:val="0"/>
                <w:sz w:val="24"/>
                <w:highlight w:val="none"/>
                <w:lang w:bidi="ar"/>
                <w14:textFill>
                  <w14:solidFill>
                    <w14:schemeClr w14:val="tx1"/>
                  </w14:solidFill>
                </w14:textFill>
              </w:rPr>
              <w:t>废气污染源均可以做到达标排放</w:t>
            </w:r>
            <w:r>
              <w:rPr>
                <w:color w:val="000000" w:themeColor="text1"/>
                <w:sz w:val="24"/>
                <w:highlight w:val="none"/>
                <w14:textFill>
                  <w14:solidFill>
                    <w14:schemeClr w14:val="tx1"/>
                  </w14:solidFill>
                </w14:textFill>
              </w:rPr>
              <w:t>。整体而言，本项目的建设和运营，不会对周边的大气环境造成明显影响。</w:t>
            </w:r>
          </w:p>
          <w:p w14:paraId="1B9EE223">
            <w:pPr>
              <w:spacing w:line="420" w:lineRule="auto"/>
              <w:ind w:firstLine="482" w:firstLineChars="200"/>
              <w:rPr>
                <w:rFonts w:hint="default"/>
                <w:b/>
                <w:bCs/>
                <w:color w:val="auto"/>
                <w:sz w:val="24"/>
                <w:highlight w:val="none"/>
                <w:lang w:val="en-US" w:eastAsia="zh-CN"/>
              </w:rPr>
            </w:pPr>
            <w:r>
              <w:rPr>
                <w:rFonts w:hint="eastAsia"/>
                <w:b/>
                <w:bCs/>
                <w:color w:val="auto"/>
                <w:sz w:val="24"/>
                <w:highlight w:val="none"/>
                <w:lang w:eastAsia="zh-CN"/>
              </w:rPr>
              <w:t>（</w:t>
            </w:r>
            <w:r>
              <w:rPr>
                <w:rFonts w:hint="eastAsia"/>
                <w:b/>
                <w:bCs/>
                <w:color w:val="auto"/>
                <w:sz w:val="24"/>
                <w:highlight w:val="none"/>
                <w:lang w:val="en-US" w:eastAsia="zh-CN"/>
              </w:rPr>
              <w:t>6）无组织排放控制措施</w:t>
            </w:r>
          </w:p>
          <w:p w14:paraId="491ABC5D">
            <w:pPr>
              <w:spacing w:line="420" w:lineRule="auto"/>
              <w:ind w:firstLine="480" w:firstLineChars="200"/>
              <w:rPr>
                <w:rFonts w:hint="eastAsia"/>
                <w:color w:val="auto"/>
                <w:kern w:val="0"/>
                <w:sz w:val="24"/>
                <w:highlight w:val="none"/>
                <w:lang w:val="en-US" w:eastAsia="zh-CN" w:bidi="ar"/>
              </w:rPr>
            </w:pPr>
            <w:r>
              <w:rPr>
                <w:rFonts w:hint="eastAsia"/>
                <w:color w:val="auto"/>
                <w:kern w:val="0"/>
                <w:sz w:val="24"/>
                <w:highlight w:val="none"/>
                <w:lang w:val="en-US" w:eastAsia="zh-CN" w:bidi="ar"/>
              </w:rPr>
              <w:t>①采用集气罩对废气进行收集的，在不影响操作的前提下，集气罩距离废气产生点的高度不得超过0.5m，集气罩边缘设置塑料软帘，提高废气收集率；</w:t>
            </w:r>
          </w:p>
          <w:p w14:paraId="17998609">
            <w:pPr>
              <w:spacing w:line="420" w:lineRule="auto"/>
              <w:ind w:firstLine="480" w:firstLineChars="200"/>
              <w:rPr>
                <w:rFonts w:hint="eastAsia"/>
                <w:color w:val="auto"/>
                <w:kern w:val="0"/>
                <w:sz w:val="24"/>
                <w:highlight w:val="none"/>
                <w:lang w:val="en-US" w:eastAsia="zh-CN" w:bidi="ar"/>
              </w:rPr>
            </w:pPr>
            <w:r>
              <w:rPr>
                <w:rFonts w:hint="eastAsia"/>
                <w:color w:val="auto"/>
                <w:kern w:val="0"/>
                <w:sz w:val="24"/>
                <w:highlight w:val="none"/>
                <w:lang w:val="en-US" w:eastAsia="zh-CN" w:bidi="ar"/>
              </w:rPr>
              <w:t>②粉尘状物料应采用密闭包装袋包装并存放于室内；</w:t>
            </w:r>
          </w:p>
          <w:p w14:paraId="1F3CC32A">
            <w:pPr>
              <w:spacing w:line="420" w:lineRule="auto"/>
              <w:ind w:firstLine="480" w:firstLineChars="200"/>
              <w:rPr>
                <w:rFonts w:hint="eastAsia"/>
                <w:color w:val="auto"/>
                <w:kern w:val="0"/>
                <w:sz w:val="24"/>
                <w:highlight w:val="none"/>
                <w:lang w:val="en-US" w:eastAsia="zh-CN" w:bidi="ar"/>
              </w:rPr>
            </w:pPr>
            <w:r>
              <w:rPr>
                <w:rFonts w:hint="eastAsia"/>
                <w:color w:val="auto"/>
                <w:kern w:val="0"/>
                <w:sz w:val="24"/>
                <w:highlight w:val="none"/>
                <w:lang w:val="en-US" w:eastAsia="zh-CN" w:bidi="ar"/>
              </w:rPr>
              <w:t>③挥发性有机物物料使用过程无法密闭的，应采取局部气体收集措施，废气应排放至挥发性有机物废气收集处理系统。</w:t>
            </w:r>
          </w:p>
          <w:p w14:paraId="1A6C759B">
            <w:pPr>
              <w:spacing w:line="420" w:lineRule="auto"/>
              <w:ind w:firstLine="480" w:firstLineChars="200"/>
              <w:rPr>
                <w:rFonts w:hint="eastAsia"/>
                <w:color w:val="auto"/>
                <w:kern w:val="0"/>
                <w:sz w:val="24"/>
                <w:highlight w:val="none"/>
                <w:lang w:val="en-US" w:eastAsia="zh-CN" w:bidi="ar"/>
              </w:rPr>
            </w:pPr>
            <w:r>
              <w:rPr>
                <w:rFonts w:hint="eastAsia"/>
                <w:color w:val="auto"/>
                <w:kern w:val="0"/>
                <w:sz w:val="24"/>
                <w:highlight w:val="none"/>
                <w:lang w:val="en-US" w:eastAsia="zh-CN" w:bidi="ar"/>
              </w:rPr>
              <w:t>④所有废气收集系统应采用技术经济合理的密闭方式，具有耐腐、气密性好的特性，同时考虑具备阻燃和抗静电等性能，并结合其他专业设备的运行、维护需要，设置观察口等设施。</w:t>
            </w:r>
          </w:p>
          <w:p w14:paraId="5CC2A4C8">
            <w:pPr>
              <w:spacing w:line="420" w:lineRule="auto"/>
              <w:ind w:firstLine="480" w:firstLineChars="200"/>
              <w:rPr>
                <w:rFonts w:hint="default"/>
                <w:color w:val="auto"/>
                <w:kern w:val="0"/>
                <w:sz w:val="24"/>
                <w:highlight w:val="none"/>
                <w:lang w:val="en-US" w:eastAsia="zh-CN" w:bidi="ar"/>
              </w:rPr>
            </w:pPr>
            <w:r>
              <w:rPr>
                <w:rFonts w:hint="eastAsia"/>
                <w:color w:val="auto"/>
                <w:kern w:val="0"/>
                <w:sz w:val="24"/>
                <w:highlight w:val="none"/>
                <w:lang w:val="en-US" w:eastAsia="zh-CN" w:bidi="ar"/>
              </w:rPr>
              <w:t>⑤加强上料和密炼区域厂房封闭，使未有效收集的粉尘尽量在车间内沉降后收集，车间加强地面沉降粉尘收集，做到“日产日清”。</w:t>
            </w:r>
          </w:p>
          <w:p w14:paraId="54204BF9">
            <w:pPr>
              <w:numPr>
                <w:ilvl w:val="0"/>
                <w:numId w:val="0"/>
              </w:numPr>
              <w:spacing w:line="360" w:lineRule="auto"/>
              <w:ind w:leftChars="200"/>
              <w:rPr>
                <w:rFonts w:hint="default" w:ascii="Times New Roman" w:hAnsi="Times New Roman" w:eastAsia="宋体" w:cs="Times New Roman"/>
                <w:b/>
                <w:bCs/>
                <w:color w:val="auto"/>
                <w:sz w:val="24"/>
                <w:szCs w:val="20"/>
                <w:highlight w:val="none"/>
              </w:rPr>
            </w:pPr>
            <w:r>
              <w:rPr>
                <w:rFonts w:hint="eastAsia" w:cs="Times New Roman"/>
                <w:b/>
                <w:bCs/>
                <w:color w:val="auto"/>
                <w:sz w:val="24"/>
                <w:szCs w:val="20"/>
                <w:highlight w:val="none"/>
                <w:lang w:val="en-US" w:eastAsia="zh-CN"/>
              </w:rPr>
              <w:t>2.</w:t>
            </w:r>
            <w:r>
              <w:rPr>
                <w:rFonts w:hint="default" w:ascii="Times New Roman" w:hAnsi="Times New Roman" w:eastAsia="宋体" w:cs="Times New Roman"/>
                <w:b/>
                <w:bCs/>
                <w:color w:val="auto"/>
                <w:sz w:val="24"/>
                <w:szCs w:val="20"/>
                <w:highlight w:val="none"/>
              </w:rPr>
              <w:t>废水排放及处理措施</w:t>
            </w:r>
          </w:p>
          <w:p w14:paraId="65615B56">
            <w:pPr>
              <w:spacing w:line="42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本项目运营期废水</w:t>
            </w:r>
            <w:r>
              <w:rPr>
                <w:rFonts w:hint="eastAsia" w:cs="Times New Roman"/>
                <w:color w:val="auto"/>
                <w:sz w:val="24"/>
                <w:szCs w:val="20"/>
                <w:highlight w:val="none"/>
                <w:lang w:val="en-US" w:eastAsia="zh-CN"/>
              </w:rPr>
              <w:t>主要有生活废水、炼胶机循环冷却水、橡胶管清洗废水</w:t>
            </w:r>
            <w:r>
              <w:rPr>
                <w:rFonts w:hint="default" w:ascii="Times New Roman" w:hAnsi="Times New Roman" w:eastAsia="宋体" w:cs="Times New Roman"/>
                <w:color w:val="auto"/>
                <w:sz w:val="24"/>
                <w:szCs w:val="20"/>
                <w:highlight w:val="none"/>
              </w:rPr>
              <w:t>。</w:t>
            </w:r>
          </w:p>
          <w:p w14:paraId="4D865A4A">
            <w:pPr>
              <w:spacing w:line="360" w:lineRule="auto"/>
              <w:ind w:firstLine="482" w:firstLineChars="200"/>
              <w:rPr>
                <w:rFonts w:hint="default" w:ascii="Times New Roman" w:hAnsi="Times New Roman" w:eastAsia="宋体" w:cs="Times New Roman"/>
                <w:b/>
                <w:bCs/>
                <w:color w:val="auto"/>
                <w:sz w:val="24"/>
                <w:szCs w:val="20"/>
                <w:highlight w:val="none"/>
              </w:rPr>
            </w:pPr>
            <w:r>
              <w:rPr>
                <w:rFonts w:hint="default" w:ascii="Times New Roman" w:hAnsi="Times New Roman" w:eastAsia="宋体" w:cs="Times New Roman"/>
                <w:b/>
                <w:bCs/>
                <w:color w:val="auto"/>
                <w:sz w:val="24"/>
                <w:szCs w:val="20"/>
                <w:highlight w:val="none"/>
              </w:rPr>
              <w:t>①</w:t>
            </w:r>
            <w:r>
              <w:rPr>
                <w:rFonts w:hint="eastAsia" w:cs="Times New Roman"/>
                <w:b/>
                <w:bCs/>
                <w:color w:val="auto"/>
                <w:sz w:val="24"/>
                <w:szCs w:val="20"/>
                <w:highlight w:val="none"/>
                <w:lang w:eastAsia="zh-CN"/>
              </w:rPr>
              <w:t>生活污水</w:t>
            </w:r>
          </w:p>
          <w:p w14:paraId="54AE1F7F">
            <w:pPr>
              <w:pStyle w:val="42"/>
              <w:bidi w:val="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根据《四川省用水定额》（川府函〔2021〕8号），结合遂宁市当地实际情况确定本项目办公生活用水定额为160L每人每日。项目定员400人（含新增约150人），据此本项目生活和办公用水的最大日用量为64.0m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/d。在使用过程中自然耗散10%，则生活污水排放量约57.6m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/d，项目</w:t>
            </w:r>
            <w:r>
              <w:rPr>
                <w:rFonts w:hint="eastAsia" w:ascii="Times New Roman" w:hAnsi="Times New Roman" w:cs="Times New Roman"/>
                <w:color w:val="auto"/>
                <w:highlight w:val="none"/>
                <w:lang w:eastAsia="zh-CN"/>
              </w:rPr>
              <w:t>生活污水</w:t>
            </w:r>
            <w:r>
              <w:rPr>
                <w:rFonts w:hint="default" w:ascii="Times New Roman" w:hAnsi="Times New Roman" w:cs="Times New Roman"/>
                <w:color w:val="auto"/>
                <w:highlight w:val="none"/>
              </w:rPr>
              <w:t>经过厂区化粪池</w:t>
            </w:r>
            <w:r>
              <w:rPr>
                <w:rFonts w:hint="eastAsia" w:ascii="Times New Roman" w:hAnsi="Times New Roman" w:cs="Times New Roman"/>
                <w:color w:val="auto"/>
                <w:highlight w:val="none"/>
                <w:lang w:eastAsia="zh-CN"/>
              </w:rPr>
              <w:t>达到</w:t>
            </w:r>
            <w:r>
              <w:rPr>
                <w:rFonts w:hint="default" w:ascii="Times New Roman" w:hAnsi="Times New Roman" w:eastAsia="宋体" w:cs="Times New Roman"/>
                <w:color w:val="auto"/>
                <w:sz w:val="24"/>
                <w:szCs w:val="20"/>
                <w:highlight w:val="none"/>
              </w:rPr>
              <w:t>《污水综合排放标准》（GB8978-1996）三级标准及《污水排入城市下水道水质标准》</w:t>
            </w:r>
            <w:r>
              <w:rPr>
                <w:rFonts w:hint="eastAsia"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GB/T31962-2015</w:t>
            </w:r>
            <w:r>
              <w:rPr>
                <w:rFonts w:hint="eastAsia"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B级标准后排入市政污水管网送</w:t>
            </w:r>
            <w:r>
              <w:rPr>
                <w:rFonts w:hint="default" w:ascii="Times New Roman" w:hAnsi="Times New Roman" w:eastAsia="宋体" w:cs="Times New Roman"/>
                <w:color w:val="auto"/>
                <w:sz w:val="24"/>
                <w:szCs w:val="20"/>
                <w:highlight w:val="none"/>
                <w:lang w:eastAsia="zh-CN"/>
              </w:rPr>
              <w:t>大英县工业污水处理厂</w:t>
            </w:r>
            <w:r>
              <w:rPr>
                <w:rFonts w:hint="default" w:ascii="Times New Roman" w:hAnsi="Times New Roman" w:eastAsia="宋体" w:cs="Times New Roman"/>
                <w:color w:val="auto"/>
                <w:sz w:val="24"/>
                <w:szCs w:val="20"/>
                <w:highlight w:val="none"/>
              </w:rPr>
              <w:t>处理。</w:t>
            </w:r>
          </w:p>
          <w:p w14:paraId="65C3ED9A">
            <w:pPr>
              <w:pStyle w:val="42"/>
              <w:bidi w:val="0"/>
              <w:rPr>
                <w:rFonts w:hint="eastAsia" w:ascii="Times New Roman" w:hAnsi="Times New Roman" w:cs="Times New Roman"/>
                <w:color w:val="auto"/>
                <w:highlight w:val="none"/>
                <w:lang w:val="en-US" w:eastAsia="zh-CN"/>
              </w:rPr>
            </w:pPr>
            <w:r>
              <w:rPr>
                <w:rFonts w:hint="eastAsia" w:ascii="Times New Roman" w:hAnsi="Times New Roman" w:cs="Times New Roman"/>
                <w:b/>
                <w:bCs/>
                <w:color w:val="auto"/>
                <w:highlight w:val="none"/>
                <w:lang w:val="en-US" w:eastAsia="zh-CN"/>
              </w:rPr>
              <w:t>②</w:t>
            </w:r>
            <w:r>
              <w:rPr>
                <w:rFonts w:hint="default" w:ascii="Times New Roman" w:hAnsi="Times New Roman" w:cs="Times New Roman"/>
                <w:b/>
                <w:bCs/>
                <w:color w:val="auto"/>
                <w:highlight w:val="none"/>
              </w:rPr>
              <w:t>循环冷却水：</w:t>
            </w:r>
            <w:r>
              <w:rPr>
                <w:rFonts w:hint="default" w:ascii="Times New Roman" w:hAnsi="Times New Roman" w:cs="Times New Roman"/>
                <w:color w:val="auto"/>
                <w:highlight w:val="none"/>
              </w:rPr>
              <w:t>项目炼胶机需采用水进行间接冷却，项目已在炼胶车间西侧设置了一处200m³的循环冷却水池，冷却水循环使用不排放，循环过程中自然损耗蒸发约0.2m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损耗部分定期添加。</w:t>
            </w:r>
          </w:p>
          <w:p w14:paraId="1F39D7C1">
            <w:pPr>
              <w:pStyle w:val="42"/>
              <w:bidi w:val="0"/>
              <w:rPr>
                <w:rFonts w:hint="default" w:ascii="Times New Roman" w:hAnsi="Times New Roman" w:cs="Times New Roman"/>
                <w:color w:val="auto"/>
                <w:highlight w:val="none"/>
                <w:lang w:val="en-US" w:eastAsia="zh-CN"/>
              </w:rPr>
            </w:pPr>
            <w:r>
              <w:rPr>
                <w:rFonts w:hint="eastAsia" w:ascii="Times New Roman" w:hAnsi="Times New Roman" w:cs="Times New Roman"/>
                <w:b/>
                <w:bCs/>
                <w:color w:val="auto"/>
                <w:highlight w:val="none"/>
                <w:lang w:val="en-US" w:eastAsia="zh-CN"/>
              </w:rPr>
              <w:t>③</w:t>
            </w:r>
            <w:r>
              <w:rPr>
                <w:rFonts w:hint="default" w:ascii="Times New Roman" w:hAnsi="Times New Roman" w:cs="Times New Roman"/>
                <w:b/>
                <w:bCs/>
                <w:color w:val="auto"/>
                <w:sz w:val="24"/>
                <w:szCs w:val="20"/>
                <w:highlight w:val="none"/>
                <w:lang w:val="en-US" w:eastAsia="zh-CN"/>
              </w:rPr>
              <w:t>橡胶管清洗废水：</w:t>
            </w:r>
            <w:r>
              <w:rPr>
                <w:rFonts w:hint="default" w:ascii="Times New Roman" w:hAnsi="Times New Roman" w:cs="Times New Roman"/>
                <w:color w:val="auto"/>
                <w:highlight w:val="none"/>
                <w:lang w:val="en-US" w:eastAsia="zh-CN"/>
              </w:rPr>
              <w:t>本项目橡胶流体管道硫化后续进行清洗，产品清洗过程中损耗约0.5m³/d，清洗废水经循环池循(150m³）环使用1个月后更新排放一次，每次排放量约150m³（平均后约5.0m³/d）。</w:t>
            </w:r>
            <w:r>
              <w:rPr>
                <w:rFonts w:hint="eastAsia" w:ascii="Times New Roman" w:hAnsi="Times New Roman" w:cs="Times New Roman"/>
                <w:color w:val="auto"/>
                <w:highlight w:val="none"/>
                <w:lang w:val="en-US" w:eastAsia="zh-CN"/>
              </w:rPr>
              <w:t>需要说明的是2023年前公司清洗废水由直排，变更为循环使用1个月后再更新排放一次，因此生产废水排放量较前期环评大幅度减少。</w:t>
            </w:r>
          </w:p>
          <w:p w14:paraId="540D28EF">
            <w:pPr>
              <w:pStyle w:val="42"/>
              <w:bidi w:val="0"/>
              <w:rPr>
                <w:rFonts w:hint="eastAsia" w:ascii="Times New Roman" w:hAnsi="Times New Roman" w:cs="Times New Roman"/>
                <w:snapToGrid w:val="0"/>
                <w:color w:val="auto"/>
                <w:sz w:val="24"/>
                <w:szCs w:val="22"/>
                <w:highlight w:val="none"/>
                <w:lang w:val="en-US" w:eastAsia="zh-CN"/>
              </w:rPr>
            </w:pPr>
            <w:r>
              <w:rPr>
                <w:rFonts w:hint="eastAsia" w:ascii="Times New Roman" w:hAnsi="Times New Roman" w:cs="Times New Roman"/>
                <w:color w:val="auto"/>
                <w:highlight w:val="none"/>
                <w:lang w:val="en-US" w:eastAsia="zh-CN"/>
              </w:rPr>
              <w:t>根据</w:t>
            </w:r>
            <w:r>
              <w:rPr>
                <w:rFonts w:hint="default" w:ascii="Times New Roman" w:hAnsi="Times New Roman" w:cs="Times New Roman"/>
                <w:snapToGrid w:val="0"/>
                <w:color w:val="auto"/>
                <w:sz w:val="24"/>
                <w:szCs w:val="22"/>
                <w:highlight w:val="none"/>
              </w:rPr>
              <w:t>《排放源</w:t>
            </w:r>
            <w:r>
              <w:rPr>
                <w:rFonts w:hint="default" w:ascii="Times New Roman" w:hAnsi="Times New Roman" w:eastAsia="宋体" w:cs="Times New Roman"/>
                <w:snapToGrid w:val="0"/>
                <w:color w:val="auto"/>
                <w:sz w:val="24"/>
                <w:szCs w:val="22"/>
                <w:highlight w:val="none"/>
              </w:rPr>
              <w:t>统计调查产排污核算方法和系数手册</w:t>
            </w:r>
            <w:r>
              <w:rPr>
                <w:rFonts w:hint="default" w:ascii="Times New Roman" w:hAnsi="Times New Roman" w:eastAsia="宋体" w:cs="Times New Roman"/>
                <w:snapToGrid w:val="0"/>
                <w:color w:val="auto"/>
                <w:sz w:val="24"/>
                <w:szCs w:val="22"/>
                <w:highlight w:val="none"/>
                <w:lang w:val="en-US" w:eastAsia="zh-CN"/>
              </w:rPr>
              <w:t>2912橡胶板、管、带制造</w:t>
            </w:r>
            <w:r>
              <w:rPr>
                <w:rFonts w:hint="default" w:ascii="Times New Roman" w:hAnsi="Times New Roman" w:eastAsia="宋体" w:cs="Times New Roman"/>
                <w:snapToGrid w:val="0"/>
                <w:color w:val="auto"/>
                <w:sz w:val="24"/>
                <w:szCs w:val="22"/>
                <w:highlight w:val="none"/>
              </w:rPr>
              <w:t>行业系数手册》</w:t>
            </w:r>
            <w:r>
              <w:rPr>
                <w:rFonts w:hint="eastAsia" w:ascii="Times New Roman" w:hAnsi="Times New Roman" w:cs="Times New Roman"/>
                <w:snapToGrid w:val="0"/>
                <w:color w:val="auto"/>
                <w:sz w:val="24"/>
                <w:szCs w:val="22"/>
                <w:highlight w:val="none"/>
                <w:lang w:val="en-US" w:eastAsia="zh-CN"/>
              </w:rPr>
              <w:t>核算，橡胶管硫化清洗过程中主要污染物产生浓度为COD：169.312mg/L、氨氮：3.95mg/L、总氮：15.16mg/L、总磷：0.66mg/L、石油类：5.93mg/L。清洗废水经絮凝沉淀后定期更新</w:t>
            </w:r>
            <w:r>
              <w:rPr>
                <w:rFonts w:hint="default" w:ascii="Times New Roman" w:hAnsi="Times New Roman" w:eastAsia="宋体" w:cs="Times New Roman"/>
                <w:color w:val="auto"/>
                <w:sz w:val="24"/>
                <w:szCs w:val="20"/>
                <w:highlight w:val="none"/>
              </w:rPr>
              <w:t>排入市政污水管网送</w:t>
            </w:r>
            <w:r>
              <w:rPr>
                <w:rFonts w:hint="default" w:ascii="Times New Roman" w:hAnsi="Times New Roman" w:eastAsia="宋体" w:cs="Times New Roman"/>
                <w:color w:val="auto"/>
                <w:sz w:val="24"/>
                <w:szCs w:val="20"/>
                <w:highlight w:val="none"/>
                <w:lang w:eastAsia="zh-CN"/>
              </w:rPr>
              <w:t>大英县工业污水处理厂</w:t>
            </w:r>
            <w:r>
              <w:rPr>
                <w:rFonts w:hint="default" w:ascii="Times New Roman" w:hAnsi="Times New Roman" w:eastAsia="宋体" w:cs="Times New Roman"/>
                <w:color w:val="auto"/>
                <w:sz w:val="24"/>
                <w:szCs w:val="20"/>
                <w:highlight w:val="none"/>
              </w:rPr>
              <w:t>处理。</w:t>
            </w:r>
          </w:p>
          <w:p w14:paraId="6B570ABF">
            <w:pPr>
              <w:numPr>
                <w:ilvl w:val="0"/>
                <w:numId w:val="0"/>
              </w:numPr>
              <w:spacing w:line="360" w:lineRule="auto"/>
              <w:ind w:leftChars="200"/>
              <w:rPr>
                <w:rFonts w:hint="default" w:ascii="Times New Roman" w:hAnsi="Times New Roman" w:eastAsia="宋体" w:cs="Times New Roman"/>
                <w:b/>
                <w:bCs/>
                <w:color w:val="auto"/>
                <w:sz w:val="24"/>
                <w:szCs w:val="20"/>
                <w:lang w:val="en-US" w:eastAsia="zh-CN"/>
              </w:rPr>
            </w:pPr>
            <w:r>
              <w:rPr>
                <w:rFonts w:hint="eastAsia" w:ascii="Times New Roman" w:hAnsi="Times New Roman" w:cs="Times New Roman"/>
                <w:b/>
                <w:bCs/>
                <w:color w:val="auto"/>
                <w:sz w:val="24"/>
                <w:szCs w:val="20"/>
                <w:lang w:val="en-US" w:eastAsia="zh-CN"/>
              </w:rPr>
              <w:t>④</w:t>
            </w:r>
            <w:r>
              <w:rPr>
                <w:rFonts w:hint="default" w:ascii="Times New Roman" w:hAnsi="Times New Roman" w:eastAsia="宋体" w:cs="Times New Roman"/>
                <w:b/>
                <w:bCs/>
                <w:color w:val="auto"/>
                <w:sz w:val="24"/>
                <w:szCs w:val="20"/>
                <w:lang w:val="en-US" w:eastAsia="zh-CN"/>
              </w:rPr>
              <w:t>本项目建成后废水排放情况</w:t>
            </w:r>
          </w:p>
          <w:p w14:paraId="6864B7DD">
            <w:pPr>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textAlignment w:val="auto"/>
              <w:rPr>
                <w:rFonts w:hint="default" w:ascii="Times New Roman" w:hAnsi="Times New Roman" w:cs="Times New Roman"/>
                <w:bCs/>
                <w:color w:val="auto"/>
                <w:sz w:val="24"/>
                <w:szCs w:val="24"/>
                <w:lang w:val="en-US" w:eastAsia="zh-CN"/>
              </w:rPr>
            </w:pPr>
            <w:r>
              <w:rPr>
                <w:rFonts w:hint="default" w:ascii="Times New Roman" w:hAnsi="Times New Roman" w:eastAsia="宋体" w:cs="Times New Roman"/>
                <w:color w:val="auto"/>
                <w:sz w:val="24"/>
                <w:szCs w:val="20"/>
                <w:lang w:val="en-US" w:eastAsia="zh-CN"/>
              </w:rPr>
              <w:t>本项目</w:t>
            </w:r>
            <w:r>
              <w:rPr>
                <w:rFonts w:hint="eastAsia" w:ascii="Times New Roman" w:hAnsi="Times New Roman" w:eastAsia="宋体" w:cs="Times New Roman"/>
                <w:color w:val="auto"/>
                <w:sz w:val="24"/>
                <w:szCs w:val="20"/>
                <w:lang w:val="en-US" w:eastAsia="zh-CN"/>
              </w:rPr>
              <w:t>清洗</w:t>
            </w:r>
            <w:r>
              <w:rPr>
                <w:rFonts w:hint="default" w:ascii="Times New Roman" w:hAnsi="Times New Roman" w:eastAsia="宋体" w:cs="Times New Roman"/>
                <w:color w:val="auto"/>
                <w:sz w:val="24"/>
                <w:szCs w:val="20"/>
                <w:lang w:val="en-US" w:eastAsia="zh-CN"/>
              </w:rPr>
              <w:t>废水经</w:t>
            </w:r>
            <w:r>
              <w:rPr>
                <w:rFonts w:hint="default" w:ascii="Times New Roman" w:hAnsi="Times New Roman" w:cs="Times New Roman"/>
                <w:color w:val="auto"/>
                <w:sz w:val="24"/>
                <w:szCs w:val="20"/>
                <w:lang w:val="en-US" w:eastAsia="zh-CN"/>
              </w:rPr>
              <w:t>处理后经</w:t>
            </w:r>
            <w:r>
              <w:rPr>
                <w:rFonts w:hint="default" w:ascii="Times New Roman" w:hAnsi="Times New Roman" w:eastAsia="宋体" w:cs="Times New Roman"/>
                <w:color w:val="auto"/>
                <w:sz w:val="24"/>
                <w:szCs w:val="20"/>
                <w:lang w:val="en-US" w:eastAsia="zh-CN"/>
              </w:rPr>
              <w:t>厂区总排口排入市政污水管网送</w:t>
            </w:r>
            <w:r>
              <w:rPr>
                <w:rFonts w:hint="eastAsia" w:ascii="Times New Roman" w:hAnsi="Times New Roman" w:eastAsia="宋体" w:cs="Times New Roman"/>
                <w:color w:val="auto"/>
                <w:sz w:val="24"/>
                <w:szCs w:val="20"/>
                <w:lang w:val="en-US" w:eastAsia="zh-CN"/>
              </w:rPr>
              <w:t>大英县工业废水</w:t>
            </w:r>
            <w:r>
              <w:rPr>
                <w:rFonts w:hint="default" w:ascii="Times New Roman" w:hAnsi="Times New Roman" w:eastAsia="宋体" w:cs="Times New Roman"/>
                <w:color w:val="auto"/>
                <w:sz w:val="24"/>
                <w:szCs w:val="20"/>
                <w:lang w:val="en-US" w:eastAsia="zh-CN"/>
              </w:rPr>
              <w:t>污水处理厂处理，</w:t>
            </w:r>
            <w:r>
              <w:rPr>
                <w:rFonts w:hint="default" w:ascii="Times New Roman" w:hAnsi="Times New Roman" w:cs="Times New Roman"/>
                <w:color w:val="auto"/>
                <w:sz w:val="24"/>
                <w:szCs w:val="20"/>
                <w:lang w:val="en-US" w:eastAsia="zh-CN"/>
              </w:rPr>
              <w:t>根据前文计算，本项目生产废水排放量为</w:t>
            </w:r>
            <w:r>
              <w:rPr>
                <w:rFonts w:hint="eastAsia" w:cs="Times New Roman"/>
                <w:color w:val="auto"/>
                <w:sz w:val="24"/>
                <w:szCs w:val="20"/>
                <w:lang w:val="en-US" w:eastAsia="zh-CN"/>
              </w:rPr>
              <w:t>1800</w:t>
            </w:r>
            <w:r>
              <w:rPr>
                <w:rFonts w:hint="default" w:ascii="Times New Roman" w:hAnsi="Times New Roman" w:cs="Times New Roman"/>
                <w:color w:val="auto"/>
                <w:sz w:val="24"/>
                <w:szCs w:val="20"/>
                <w:lang w:val="en-US" w:eastAsia="zh-CN"/>
              </w:rPr>
              <w:t>m³/a</w:t>
            </w:r>
            <w:r>
              <w:rPr>
                <w:rFonts w:hint="default" w:ascii="Times New Roman" w:hAnsi="Times New Roman" w:cs="Times New Roman"/>
                <w:bCs/>
                <w:color w:val="auto"/>
                <w:sz w:val="24"/>
                <w:szCs w:val="24"/>
                <w:lang w:eastAsia="zh-CN"/>
              </w:rPr>
              <w:t>，生活污水</w:t>
            </w:r>
            <w:r>
              <w:rPr>
                <w:rFonts w:hint="default" w:ascii="Times New Roman" w:hAnsi="Times New Roman" w:cs="Times New Roman"/>
                <w:bCs/>
                <w:color w:val="auto"/>
                <w:sz w:val="24"/>
                <w:szCs w:val="24"/>
                <w:lang w:val="en-US" w:eastAsia="zh-CN"/>
              </w:rPr>
              <w:t>排放量为</w:t>
            </w:r>
            <w:r>
              <w:rPr>
                <w:rFonts w:hint="eastAsia" w:ascii="Times New Roman" w:hAnsi="Times New Roman" w:cs="Times New Roman"/>
                <w:bCs/>
                <w:color w:val="auto"/>
                <w:sz w:val="24"/>
                <w:szCs w:val="24"/>
                <w:lang w:val="en-US" w:eastAsia="zh-CN"/>
              </w:rPr>
              <w:t>17280</w:t>
            </w:r>
            <w:r>
              <w:rPr>
                <w:rFonts w:hint="default" w:ascii="Times New Roman" w:hAnsi="Times New Roman" w:cs="Times New Roman"/>
                <w:color w:val="auto"/>
                <w:sz w:val="24"/>
                <w:szCs w:val="20"/>
                <w:lang w:val="en-US" w:eastAsia="zh-CN"/>
              </w:rPr>
              <w:t>m³/a。</w:t>
            </w:r>
          </w:p>
          <w:p w14:paraId="3743F737">
            <w:pPr>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生产废水与生活污水在总排放口排放信息如下：</w:t>
            </w:r>
          </w:p>
          <w:p w14:paraId="6400BD45">
            <w:pPr>
              <w:pStyle w:val="43"/>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表4-</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2</w:t>
            </w:r>
            <w:r>
              <w:rPr>
                <w:rFonts w:hint="default" w:ascii="Times New Roman" w:hAnsi="Times New Roman" w:eastAsia="宋体" w:cs="Times New Roman"/>
                <w:color w:val="auto"/>
                <w:lang w:val="en-US" w:eastAsia="zh-CN"/>
              </w:rPr>
              <w:t>废水间接排放信息汇总</w:t>
            </w:r>
          </w:p>
          <w:tbl>
            <w:tblPr>
              <w:tblStyle w:val="23"/>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40"/>
              <w:gridCol w:w="988"/>
              <w:gridCol w:w="827"/>
              <w:gridCol w:w="1020"/>
              <w:gridCol w:w="750"/>
              <w:gridCol w:w="945"/>
              <w:gridCol w:w="620"/>
              <w:gridCol w:w="596"/>
              <w:gridCol w:w="616"/>
              <w:gridCol w:w="733"/>
              <w:gridCol w:w="669"/>
            </w:tblGrid>
            <w:tr w14:paraId="330F6C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80" w:hRule="atLeast"/>
                <w:jc w:val="center"/>
              </w:trPr>
              <w:tc>
                <w:tcPr>
                  <w:tcW w:w="740" w:type="dxa"/>
                  <w:tcBorders>
                    <w:tl2br w:val="nil"/>
                    <w:tr2bl w:val="nil"/>
                  </w:tcBorders>
                  <w:shd w:val="clear" w:color="auto" w:fill="auto"/>
                  <w:vAlign w:val="center"/>
                </w:tcPr>
                <w:p w14:paraId="05E8401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产污环节</w:t>
                  </w:r>
                </w:p>
              </w:tc>
              <w:tc>
                <w:tcPr>
                  <w:tcW w:w="988" w:type="dxa"/>
                  <w:tcBorders>
                    <w:tl2br w:val="nil"/>
                    <w:tr2bl w:val="nil"/>
                  </w:tcBorders>
                  <w:shd w:val="clear" w:color="auto" w:fill="auto"/>
                  <w:vAlign w:val="center"/>
                </w:tcPr>
                <w:p w14:paraId="179E20E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w:t>
                  </w:r>
                </w:p>
              </w:tc>
              <w:tc>
                <w:tcPr>
                  <w:tcW w:w="827" w:type="dxa"/>
                  <w:tcBorders>
                    <w:tl2br w:val="nil"/>
                    <w:tr2bl w:val="nil"/>
                  </w:tcBorders>
                  <w:shd w:val="clear" w:color="auto" w:fill="auto"/>
                  <w:vAlign w:val="center"/>
                </w:tcPr>
                <w:p w14:paraId="46CFCD8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排放量（</w:t>
                  </w:r>
                  <w:r>
                    <w:rPr>
                      <w:rFonts w:hint="default" w:ascii="Times New Roman" w:hAnsi="Times New Roman" w:eastAsia="宋体" w:cs="Times New Roman"/>
                      <w:b/>
                      <w:bCs/>
                      <w:i w:val="0"/>
                      <w:iCs w:val="0"/>
                      <w:color w:val="000000"/>
                      <w:kern w:val="0"/>
                      <w:sz w:val="21"/>
                      <w:szCs w:val="21"/>
                      <w:u w:val="none"/>
                      <w:lang w:val="en-US" w:eastAsia="zh-CN" w:bidi="ar"/>
                    </w:rPr>
                    <w:t>m³/a</w:t>
                  </w:r>
                  <w:r>
                    <w:rPr>
                      <w:rFonts w:hint="eastAsia" w:ascii="宋体" w:hAnsi="宋体" w:eastAsia="宋体" w:cs="宋体"/>
                      <w:b/>
                      <w:bCs/>
                      <w:i w:val="0"/>
                      <w:iCs w:val="0"/>
                      <w:color w:val="000000"/>
                      <w:kern w:val="0"/>
                      <w:sz w:val="21"/>
                      <w:szCs w:val="21"/>
                      <w:u w:val="none"/>
                      <w:lang w:val="en-US" w:eastAsia="zh-CN" w:bidi="ar"/>
                    </w:rPr>
                    <w:t>）</w:t>
                  </w:r>
                </w:p>
              </w:tc>
              <w:tc>
                <w:tcPr>
                  <w:tcW w:w="1020" w:type="dxa"/>
                  <w:tcBorders>
                    <w:tl2br w:val="nil"/>
                    <w:tr2bl w:val="nil"/>
                  </w:tcBorders>
                  <w:shd w:val="clear" w:color="auto" w:fill="auto"/>
                  <w:vAlign w:val="center"/>
                </w:tcPr>
                <w:p w14:paraId="5FF0974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预测排放浓度（</w:t>
                  </w:r>
                  <w:r>
                    <w:rPr>
                      <w:rFonts w:hint="default" w:ascii="Times New Roman" w:hAnsi="Times New Roman" w:eastAsia="宋体" w:cs="Times New Roman"/>
                      <w:b/>
                      <w:bCs/>
                      <w:i w:val="0"/>
                      <w:iCs w:val="0"/>
                      <w:color w:val="000000"/>
                      <w:kern w:val="0"/>
                      <w:sz w:val="21"/>
                      <w:szCs w:val="21"/>
                      <w:u w:val="none"/>
                      <w:lang w:val="en-US" w:eastAsia="zh-CN" w:bidi="ar"/>
                    </w:rPr>
                    <w:t>mg/L)</w:t>
                  </w:r>
                </w:p>
              </w:tc>
              <w:tc>
                <w:tcPr>
                  <w:tcW w:w="750" w:type="dxa"/>
                  <w:tcBorders>
                    <w:tl2br w:val="nil"/>
                    <w:tr2bl w:val="nil"/>
                  </w:tcBorders>
                  <w:shd w:val="clear" w:color="auto" w:fill="auto"/>
                  <w:vAlign w:val="center"/>
                </w:tcPr>
                <w:p w14:paraId="7FF24ED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排放标准（</w:t>
                  </w:r>
                  <w:r>
                    <w:rPr>
                      <w:rFonts w:hint="default" w:ascii="Times New Roman" w:hAnsi="Times New Roman" w:eastAsia="宋体" w:cs="Times New Roman"/>
                      <w:b/>
                      <w:bCs/>
                      <w:i w:val="0"/>
                      <w:iCs w:val="0"/>
                      <w:color w:val="000000"/>
                      <w:kern w:val="0"/>
                      <w:sz w:val="21"/>
                      <w:szCs w:val="21"/>
                      <w:u w:val="none"/>
                      <w:lang w:val="en-US" w:eastAsia="zh-CN" w:bidi="ar"/>
                    </w:rPr>
                    <w:t>mg/L)</w:t>
                  </w:r>
                </w:p>
              </w:tc>
              <w:tc>
                <w:tcPr>
                  <w:tcW w:w="945" w:type="dxa"/>
                  <w:tcBorders>
                    <w:tl2br w:val="nil"/>
                    <w:tr2bl w:val="nil"/>
                  </w:tcBorders>
                  <w:shd w:val="clear" w:color="auto" w:fill="auto"/>
                  <w:vAlign w:val="center"/>
                </w:tcPr>
                <w:p w14:paraId="5340BBF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总量控制（</w:t>
                  </w:r>
                  <w:r>
                    <w:rPr>
                      <w:rFonts w:hint="default" w:ascii="Times New Roman" w:hAnsi="Times New Roman" w:eastAsia="宋体" w:cs="Times New Roman"/>
                      <w:b/>
                      <w:bCs/>
                      <w:i w:val="0"/>
                      <w:iCs w:val="0"/>
                      <w:color w:val="000000"/>
                      <w:kern w:val="0"/>
                      <w:sz w:val="21"/>
                      <w:szCs w:val="21"/>
                      <w:u w:val="none"/>
                      <w:lang w:val="en-US" w:eastAsia="zh-CN" w:bidi="ar"/>
                    </w:rPr>
                    <w:t>t/a)</w:t>
                  </w:r>
                </w:p>
              </w:tc>
              <w:tc>
                <w:tcPr>
                  <w:tcW w:w="620" w:type="dxa"/>
                  <w:tcBorders>
                    <w:tl2br w:val="nil"/>
                    <w:tr2bl w:val="nil"/>
                  </w:tcBorders>
                  <w:shd w:val="clear" w:color="auto" w:fill="auto"/>
                  <w:vAlign w:val="center"/>
                </w:tcPr>
                <w:p w14:paraId="1CE7D60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排放方式</w:t>
                  </w:r>
                </w:p>
              </w:tc>
              <w:tc>
                <w:tcPr>
                  <w:tcW w:w="596" w:type="dxa"/>
                  <w:tcBorders>
                    <w:tl2br w:val="nil"/>
                    <w:tr2bl w:val="nil"/>
                  </w:tcBorders>
                  <w:shd w:val="clear" w:color="auto" w:fill="auto"/>
                  <w:vAlign w:val="center"/>
                </w:tcPr>
                <w:p w14:paraId="6D32752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排放去向</w:t>
                  </w:r>
                </w:p>
              </w:tc>
              <w:tc>
                <w:tcPr>
                  <w:tcW w:w="616" w:type="dxa"/>
                  <w:tcBorders>
                    <w:tl2br w:val="nil"/>
                    <w:tr2bl w:val="nil"/>
                  </w:tcBorders>
                  <w:shd w:val="clear" w:color="auto" w:fill="auto"/>
                  <w:vAlign w:val="center"/>
                </w:tcPr>
                <w:p w14:paraId="740AECF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排放口编号</w:t>
                  </w:r>
                </w:p>
              </w:tc>
              <w:tc>
                <w:tcPr>
                  <w:tcW w:w="733" w:type="dxa"/>
                  <w:tcBorders>
                    <w:tl2br w:val="nil"/>
                    <w:tr2bl w:val="nil"/>
                  </w:tcBorders>
                  <w:shd w:val="clear" w:color="auto" w:fill="auto"/>
                  <w:vAlign w:val="center"/>
                </w:tcPr>
                <w:p w14:paraId="1A6CB45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排放口类型</w:t>
                  </w:r>
                </w:p>
              </w:tc>
              <w:tc>
                <w:tcPr>
                  <w:tcW w:w="669" w:type="dxa"/>
                  <w:tcBorders>
                    <w:tl2br w:val="nil"/>
                    <w:tr2bl w:val="nil"/>
                  </w:tcBorders>
                  <w:shd w:val="clear" w:color="auto" w:fill="auto"/>
                  <w:vAlign w:val="center"/>
                </w:tcPr>
                <w:p w14:paraId="4DD75D8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坐标</w:t>
                  </w:r>
                </w:p>
              </w:tc>
            </w:tr>
            <w:tr w14:paraId="0065F6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jc w:val="center"/>
              </w:trPr>
              <w:tc>
                <w:tcPr>
                  <w:tcW w:w="740" w:type="dxa"/>
                  <w:vMerge w:val="restart"/>
                  <w:tcBorders>
                    <w:tl2br w:val="nil"/>
                    <w:tr2bl w:val="nil"/>
                  </w:tcBorders>
                  <w:shd w:val="clear" w:color="auto" w:fill="auto"/>
                  <w:vAlign w:val="center"/>
                </w:tcPr>
                <w:p w14:paraId="10A936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生产废水</w:t>
                  </w:r>
                </w:p>
              </w:tc>
              <w:tc>
                <w:tcPr>
                  <w:tcW w:w="988" w:type="dxa"/>
                  <w:tcBorders>
                    <w:tl2br w:val="nil"/>
                    <w:tr2bl w:val="nil"/>
                  </w:tcBorders>
                  <w:shd w:val="clear" w:color="auto" w:fill="auto"/>
                  <w:vAlign w:val="center"/>
                </w:tcPr>
                <w:p w14:paraId="319D47BA">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化学需氧量</w:t>
                  </w:r>
                </w:p>
              </w:tc>
              <w:tc>
                <w:tcPr>
                  <w:tcW w:w="827" w:type="dxa"/>
                  <w:vMerge w:val="restart"/>
                  <w:tcBorders>
                    <w:tl2br w:val="nil"/>
                    <w:tr2bl w:val="nil"/>
                  </w:tcBorders>
                  <w:shd w:val="clear" w:color="auto" w:fill="auto"/>
                  <w:vAlign w:val="center"/>
                </w:tcPr>
                <w:p w14:paraId="02DA291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1800</w:t>
                  </w:r>
                </w:p>
              </w:tc>
              <w:tc>
                <w:tcPr>
                  <w:tcW w:w="1020" w:type="dxa"/>
                  <w:tcBorders>
                    <w:tl2br w:val="nil"/>
                    <w:tr2bl w:val="nil"/>
                  </w:tcBorders>
                  <w:shd w:val="clear" w:color="auto" w:fill="auto"/>
                  <w:vAlign w:val="center"/>
                </w:tcPr>
                <w:p w14:paraId="5A86F5B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135</w:t>
                  </w:r>
                </w:p>
              </w:tc>
              <w:tc>
                <w:tcPr>
                  <w:tcW w:w="750" w:type="dxa"/>
                  <w:tcBorders>
                    <w:tl2br w:val="nil"/>
                    <w:tr2bl w:val="nil"/>
                  </w:tcBorders>
                  <w:shd w:val="clear" w:color="auto" w:fill="auto"/>
                  <w:vAlign w:val="center"/>
                </w:tcPr>
                <w:p w14:paraId="54AFBE2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945" w:type="dxa"/>
                  <w:tcBorders>
                    <w:tl2br w:val="nil"/>
                    <w:tr2bl w:val="nil"/>
                  </w:tcBorders>
                  <w:shd w:val="clear" w:color="auto" w:fill="auto"/>
                  <w:vAlign w:val="center"/>
                </w:tcPr>
                <w:p w14:paraId="16C5079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0.54</w:t>
                  </w:r>
                </w:p>
              </w:tc>
              <w:tc>
                <w:tcPr>
                  <w:tcW w:w="620" w:type="dxa"/>
                  <w:vMerge w:val="restart"/>
                  <w:tcBorders>
                    <w:tl2br w:val="nil"/>
                    <w:tr2bl w:val="nil"/>
                  </w:tcBorders>
                  <w:shd w:val="clear" w:color="auto" w:fill="auto"/>
                  <w:vAlign w:val="center"/>
                </w:tcPr>
                <w:p w14:paraId="6FA596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间接排放</w:t>
                  </w:r>
                </w:p>
              </w:tc>
              <w:tc>
                <w:tcPr>
                  <w:tcW w:w="596" w:type="dxa"/>
                  <w:vMerge w:val="restart"/>
                  <w:tcBorders>
                    <w:tl2br w:val="nil"/>
                    <w:tr2bl w:val="nil"/>
                  </w:tcBorders>
                  <w:shd w:val="clear" w:color="auto" w:fill="auto"/>
                  <w:vAlign w:val="center"/>
                </w:tcPr>
                <w:p w14:paraId="74D0D7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厂区总排放口</w:t>
                  </w:r>
                </w:p>
              </w:tc>
              <w:tc>
                <w:tcPr>
                  <w:tcW w:w="616" w:type="dxa"/>
                  <w:vMerge w:val="restart"/>
                  <w:tcBorders>
                    <w:tl2br w:val="nil"/>
                    <w:tr2bl w:val="nil"/>
                  </w:tcBorders>
                  <w:shd w:val="clear" w:color="auto" w:fill="auto"/>
                  <w:vAlign w:val="center"/>
                </w:tcPr>
                <w:p w14:paraId="3595915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DW001</w:t>
                  </w:r>
                </w:p>
              </w:tc>
              <w:tc>
                <w:tcPr>
                  <w:tcW w:w="733" w:type="dxa"/>
                  <w:vMerge w:val="restart"/>
                  <w:tcBorders>
                    <w:tl2br w:val="nil"/>
                    <w:tr2bl w:val="nil"/>
                  </w:tcBorders>
                  <w:shd w:val="clear" w:color="auto" w:fill="auto"/>
                  <w:vAlign w:val="center"/>
                </w:tcPr>
                <w:p w14:paraId="6834F5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一般排放口</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总排放口</w:t>
                  </w:r>
                </w:p>
              </w:tc>
              <w:tc>
                <w:tcPr>
                  <w:tcW w:w="669" w:type="dxa"/>
                  <w:vMerge w:val="restart"/>
                  <w:tcBorders>
                    <w:tl2br w:val="nil"/>
                    <w:tr2bl w:val="nil"/>
                  </w:tcBorders>
                  <w:shd w:val="clear" w:color="auto" w:fill="auto"/>
                  <w:vAlign w:val="center"/>
                </w:tcPr>
                <w:p w14:paraId="5F7E79D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105 .280588    ,30 .580274    </w:t>
                  </w:r>
                </w:p>
              </w:tc>
            </w:tr>
            <w:tr w14:paraId="521649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0" w:hRule="atLeast"/>
                <w:jc w:val="center"/>
              </w:trPr>
              <w:tc>
                <w:tcPr>
                  <w:tcW w:w="740" w:type="dxa"/>
                  <w:vMerge w:val="continue"/>
                  <w:tcBorders>
                    <w:tl2br w:val="nil"/>
                    <w:tr2bl w:val="nil"/>
                  </w:tcBorders>
                  <w:shd w:val="clear" w:color="auto" w:fill="auto"/>
                  <w:vAlign w:val="center"/>
                </w:tcPr>
                <w:p w14:paraId="6ADE618C">
                  <w:pPr>
                    <w:jc w:val="center"/>
                    <w:rPr>
                      <w:rFonts w:hint="eastAsia" w:ascii="宋体" w:hAnsi="宋体" w:eastAsia="宋体" w:cs="宋体"/>
                      <w:i w:val="0"/>
                      <w:iCs w:val="0"/>
                      <w:color w:val="000000"/>
                      <w:sz w:val="21"/>
                      <w:szCs w:val="21"/>
                      <w:u w:val="none"/>
                    </w:rPr>
                  </w:pPr>
                </w:p>
              </w:tc>
              <w:tc>
                <w:tcPr>
                  <w:tcW w:w="988" w:type="dxa"/>
                  <w:tcBorders>
                    <w:tl2br w:val="nil"/>
                    <w:tr2bl w:val="nil"/>
                  </w:tcBorders>
                  <w:shd w:val="clear" w:color="auto" w:fill="auto"/>
                  <w:vAlign w:val="center"/>
                </w:tcPr>
                <w:p w14:paraId="355FF36A">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氨氮</w:t>
                  </w:r>
                </w:p>
              </w:tc>
              <w:tc>
                <w:tcPr>
                  <w:tcW w:w="827" w:type="dxa"/>
                  <w:vMerge w:val="continue"/>
                  <w:tcBorders>
                    <w:tl2br w:val="nil"/>
                    <w:tr2bl w:val="nil"/>
                  </w:tcBorders>
                  <w:shd w:val="clear" w:color="auto" w:fill="auto"/>
                  <w:vAlign w:val="center"/>
                </w:tcPr>
                <w:p w14:paraId="3FA56D77">
                  <w:pPr>
                    <w:jc w:val="center"/>
                    <w:rPr>
                      <w:rFonts w:hint="default" w:ascii="Times New Roman" w:hAnsi="Times New Roman" w:eastAsia="宋体" w:cs="Times New Roman"/>
                      <w:i w:val="0"/>
                      <w:iCs w:val="0"/>
                      <w:color w:val="000000"/>
                      <w:sz w:val="21"/>
                      <w:szCs w:val="21"/>
                      <w:u w:val="none"/>
                    </w:rPr>
                  </w:pPr>
                </w:p>
              </w:tc>
              <w:tc>
                <w:tcPr>
                  <w:tcW w:w="1020" w:type="dxa"/>
                  <w:tcBorders>
                    <w:tl2br w:val="nil"/>
                    <w:tr2bl w:val="nil"/>
                  </w:tcBorders>
                  <w:shd w:val="clear" w:color="auto" w:fill="auto"/>
                  <w:vAlign w:val="center"/>
                </w:tcPr>
                <w:p w14:paraId="7B6CD14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3.2</w:t>
                  </w:r>
                </w:p>
              </w:tc>
              <w:tc>
                <w:tcPr>
                  <w:tcW w:w="750" w:type="dxa"/>
                  <w:tcBorders>
                    <w:tl2br w:val="nil"/>
                    <w:tr2bl w:val="nil"/>
                  </w:tcBorders>
                  <w:shd w:val="clear" w:color="auto" w:fill="auto"/>
                  <w:vAlign w:val="center"/>
                </w:tcPr>
                <w:p w14:paraId="1B6721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945" w:type="dxa"/>
                  <w:tcBorders>
                    <w:tl2br w:val="nil"/>
                    <w:tr2bl w:val="nil"/>
                  </w:tcBorders>
                  <w:shd w:val="clear" w:color="auto" w:fill="auto"/>
                  <w:vAlign w:val="center"/>
                </w:tcPr>
                <w:p w14:paraId="313596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0.054</w:t>
                  </w:r>
                </w:p>
              </w:tc>
              <w:tc>
                <w:tcPr>
                  <w:tcW w:w="620" w:type="dxa"/>
                  <w:vMerge w:val="continue"/>
                  <w:tcBorders>
                    <w:tl2br w:val="nil"/>
                    <w:tr2bl w:val="nil"/>
                  </w:tcBorders>
                  <w:shd w:val="clear" w:color="auto" w:fill="auto"/>
                  <w:vAlign w:val="center"/>
                </w:tcPr>
                <w:p w14:paraId="4D9D6F67">
                  <w:pPr>
                    <w:jc w:val="center"/>
                    <w:rPr>
                      <w:rFonts w:hint="eastAsia" w:ascii="宋体" w:hAnsi="宋体" w:eastAsia="宋体" w:cs="宋体"/>
                      <w:i w:val="0"/>
                      <w:iCs w:val="0"/>
                      <w:color w:val="000000"/>
                      <w:sz w:val="21"/>
                      <w:szCs w:val="21"/>
                      <w:u w:val="none"/>
                    </w:rPr>
                  </w:pPr>
                </w:p>
              </w:tc>
              <w:tc>
                <w:tcPr>
                  <w:tcW w:w="596" w:type="dxa"/>
                  <w:vMerge w:val="continue"/>
                  <w:tcBorders>
                    <w:tl2br w:val="nil"/>
                    <w:tr2bl w:val="nil"/>
                  </w:tcBorders>
                  <w:shd w:val="clear" w:color="auto" w:fill="auto"/>
                  <w:vAlign w:val="center"/>
                </w:tcPr>
                <w:p w14:paraId="33E9FFCB">
                  <w:pPr>
                    <w:jc w:val="center"/>
                    <w:rPr>
                      <w:rFonts w:hint="eastAsia" w:ascii="宋体" w:hAnsi="宋体" w:eastAsia="宋体" w:cs="宋体"/>
                      <w:i w:val="0"/>
                      <w:iCs w:val="0"/>
                      <w:color w:val="000000"/>
                      <w:sz w:val="21"/>
                      <w:szCs w:val="21"/>
                      <w:u w:val="none"/>
                    </w:rPr>
                  </w:pPr>
                </w:p>
              </w:tc>
              <w:tc>
                <w:tcPr>
                  <w:tcW w:w="616" w:type="dxa"/>
                  <w:vMerge w:val="continue"/>
                  <w:tcBorders>
                    <w:tl2br w:val="nil"/>
                    <w:tr2bl w:val="nil"/>
                  </w:tcBorders>
                  <w:shd w:val="clear" w:color="auto" w:fill="auto"/>
                  <w:vAlign w:val="center"/>
                </w:tcPr>
                <w:p w14:paraId="0FAEECB0">
                  <w:pPr>
                    <w:jc w:val="center"/>
                    <w:rPr>
                      <w:rFonts w:hint="default" w:ascii="Times New Roman" w:hAnsi="Times New Roman" w:eastAsia="宋体" w:cs="Times New Roman"/>
                      <w:i w:val="0"/>
                      <w:iCs w:val="0"/>
                      <w:color w:val="000000"/>
                      <w:sz w:val="21"/>
                      <w:szCs w:val="21"/>
                      <w:u w:val="none"/>
                    </w:rPr>
                  </w:pPr>
                </w:p>
              </w:tc>
              <w:tc>
                <w:tcPr>
                  <w:tcW w:w="733" w:type="dxa"/>
                  <w:vMerge w:val="continue"/>
                  <w:tcBorders>
                    <w:tl2br w:val="nil"/>
                    <w:tr2bl w:val="nil"/>
                  </w:tcBorders>
                  <w:shd w:val="clear" w:color="auto" w:fill="auto"/>
                  <w:vAlign w:val="center"/>
                </w:tcPr>
                <w:p w14:paraId="1328B0F7">
                  <w:pPr>
                    <w:jc w:val="center"/>
                    <w:rPr>
                      <w:rFonts w:hint="eastAsia" w:ascii="宋体" w:hAnsi="宋体" w:eastAsia="宋体" w:cs="宋体"/>
                      <w:i w:val="0"/>
                      <w:iCs w:val="0"/>
                      <w:color w:val="000000"/>
                      <w:sz w:val="21"/>
                      <w:szCs w:val="21"/>
                      <w:u w:val="none"/>
                    </w:rPr>
                  </w:pPr>
                </w:p>
              </w:tc>
              <w:tc>
                <w:tcPr>
                  <w:tcW w:w="669" w:type="dxa"/>
                  <w:vMerge w:val="continue"/>
                  <w:tcBorders>
                    <w:tl2br w:val="nil"/>
                    <w:tr2bl w:val="nil"/>
                  </w:tcBorders>
                  <w:shd w:val="clear" w:color="auto" w:fill="auto"/>
                  <w:vAlign w:val="center"/>
                </w:tcPr>
                <w:p w14:paraId="40E563E6">
                  <w:pPr>
                    <w:jc w:val="center"/>
                    <w:rPr>
                      <w:rFonts w:hint="default" w:ascii="Times New Roman" w:hAnsi="Times New Roman" w:eastAsia="宋体" w:cs="Times New Roman"/>
                      <w:i w:val="0"/>
                      <w:iCs w:val="0"/>
                      <w:color w:val="000000"/>
                      <w:sz w:val="21"/>
                      <w:szCs w:val="21"/>
                      <w:u w:val="none"/>
                    </w:rPr>
                  </w:pPr>
                </w:p>
              </w:tc>
            </w:tr>
            <w:tr w14:paraId="0CB99B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0" w:hRule="atLeast"/>
                <w:jc w:val="center"/>
              </w:trPr>
              <w:tc>
                <w:tcPr>
                  <w:tcW w:w="740" w:type="dxa"/>
                  <w:vMerge w:val="continue"/>
                  <w:tcBorders>
                    <w:tl2br w:val="nil"/>
                    <w:tr2bl w:val="nil"/>
                  </w:tcBorders>
                  <w:shd w:val="clear" w:color="auto" w:fill="auto"/>
                  <w:vAlign w:val="center"/>
                </w:tcPr>
                <w:p w14:paraId="0F76590D">
                  <w:pPr>
                    <w:jc w:val="center"/>
                    <w:rPr>
                      <w:rFonts w:hint="eastAsia" w:ascii="宋体" w:hAnsi="宋体" w:eastAsia="宋体" w:cs="宋体"/>
                      <w:i w:val="0"/>
                      <w:iCs w:val="0"/>
                      <w:color w:val="000000"/>
                      <w:sz w:val="21"/>
                      <w:szCs w:val="21"/>
                      <w:u w:val="none"/>
                    </w:rPr>
                  </w:pPr>
                </w:p>
              </w:tc>
              <w:tc>
                <w:tcPr>
                  <w:tcW w:w="988" w:type="dxa"/>
                  <w:tcBorders>
                    <w:tl2br w:val="nil"/>
                    <w:tr2bl w:val="nil"/>
                  </w:tcBorders>
                  <w:shd w:val="clear" w:color="auto" w:fill="auto"/>
                  <w:vAlign w:val="center"/>
                </w:tcPr>
                <w:p w14:paraId="71921946">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总氮</w:t>
                  </w:r>
                </w:p>
              </w:tc>
              <w:tc>
                <w:tcPr>
                  <w:tcW w:w="827" w:type="dxa"/>
                  <w:vMerge w:val="continue"/>
                  <w:tcBorders>
                    <w:tl2br w:val="nil"/>
                    <w:tr2bl w:val="nil"/>
                  </w:tcBorders>
                  <w:shd w:val="clear" w:color="auto" w:fill="auto"/>
                  <w:vAlign w:val="center"/>
                </w:tcPr>
                <w:p w14:paraId="209F0EFA">
                  <w:pPr>
                    <w:jc w:val="center"/>
                    <w:rPr>
                      <w:rFonts w:hint="default" w:ascii="Times New Roman" w:hAnsi="Times New Roman" w:eastAsia="宋体" w:cs="Times New Roman"/>
                      <w:i w:val="0"/>
                      <w:iCs w:val="0"/>
                      <w:color w:val="000000"/>
                      <w:sz w:val="21"/>
                      <w:szCs w:val="21"/>
                      <w:u w:val="none"/>
                    </w:rPr>
                  </w:pPr>
                </w:p>
              </w:tc>
              <w:tc>
                <w:tcPr>
                  <w:tcW w:w="1020" w:type="dxa"/>
                  <w:tcBorders>
                    <w:tl2br w:val="nil"/>
                    <w:tr2bl w:val="nil"/>
                  </w:tcBorders>
                  <w:shd w:val="clear" w:color="auto" w:fill="auto"/>
                  <w:vAlign w:val="center"/>
                </w:tcPr>
                <w:p w14:paraId="3E1D2D5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12.1</w:t>
                  </w:r>
                </w:p>
              </w:tc>
              <w:tc>
                <w:tcPr>
                  <w:tcW w:w="750" w:type="dxa"/>
                  <w:tcBorders>
                    <w:tl2br w:val="nil"/>
                    <w:tr2bl w:val="nil"/>
                  </w:tcBorders>
                  <w:shd w:val="clear" w:color="auto" w:fill="auto"/>
                  <w:vAlign w:val="center"/>
                </w:tcPr>
                <w:p w14:paraId="3CBA6F2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945" w:type="dxa"/>
                  <w:tcBorders>
                    <w:tl2br w:val="nil"/>
                    <w:tr2bl w:val="nil"/>
                  </w:tcBorders>
                  <w:shd w:val="clear" w:color="auto" w:fill="auto"/>
                  <w:vAlign w:val="center"/>
                </w:tcPr>
                <w:p w14:paraId="38F85A5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0.072</w:t>
                  </w:r>
                </w:p>
              </w:tc>
              <w:tc>
                <w:tcPr>
                  <w:tcW w:w="620" w:type="dxa"/>
                  <w:vMerge w:val="continue"/>
                  <w:tcBorders>
                    <w:tl2br w:val="nil"/>
                    <w:tr2bl w:val="nil"/>
                  </w:tcBorders>
                  <w:shd w:val="clear" w:color="auto" w:fill="auto"/>
                  <w:vAlign w:val="center"/>
                </w:tcPr>
                <w:p w14:paraId="321016F1">
                  <w:pPr>
                    <w:jc w:val="center"/>
                    <w:rPr>
                      <w:rFonts w:hint="eastAsia" w:ascii="宋体" w:hAnsi="宋体" w:eastAsia="宋体" w:cs="宋体"/>
                      <w:i w:val="0"/>
                      <w:iCs w:val="0"/>
                      <w:color w:val="000000"/>
                      <w:sz w:val="21"/>
                      <w:szCs w:val="21"/>
                      <w:u w:val="none"/>
                    </w:rPr>
                  </w:pPr>
                </w:p>
              </w:tc>
              <w:tc>
                <w:tcPr>
                  <w:tcW w:w="596" w:type="dxa"/>
                  <w:vMerge w:val="continue"/>
                  <w:tcBorders>
                    <w:tl2br w:val="nil"/>
                    <w:tr2bl w:val="nil"/>
                  </w:tcBorders>
                  <w:shd w:val="clear" w:color="auto" w:fill="auto"/>
                  <w:vAlign w:val="center"/>
                </w:tcPr>
                <w:p w14:paraId="38697913">
                  <w:pPr>
                    <w:jc w:val="center"/>
                    <w:rPr>
                      <w:rFonts w:hint="eastAsia" w:ascii="宋体" w:hAnsi="宋体" w:eastAsia="宋体" w:cs="宋体"/>
                      <w:i w:val="0"/>
                      <w:iCs w:val="0"/>
                      <w:color w:val="000000"/>
                      <w:sz w:val="21"/>
                      <w:szCs w:val="21"/>
                      <w:u w:val="none"/>
                    </w:rPr>
                  </w:pPr>
                </w:p>
              </w:tc>
              <w:tc>
                <w:tcPr>
                  <w:tcW w:w="616" w:type="dxa"/>
                  <w:vMerge w:val="continue"/>
                  <w:tcBorders>
                    <w:tl2br w:val="nil"/>
                    <w:tr2bl w:val="nil"/>
                  </w:tcBorders>
                  <w:shd w:val="clear" w:color="auto" w:fill="auto"/>
                  <w:vAlign w:val="center"/>
                </w:tcPr>
                <w:p w14:paraId="357B4F65">
                  <w:pPr>
                    <w:jc w:val="center"/>
                    <w:rPr>
                      <w:rFonts w:hint="default" w:ascii="Times New Roman" w:hAnsi="Times New Roman" w:eastAsia="宋体" w:cs="Times New Roman"/>
                      <w:i w:val="0"/>
                      <w:iCs w:val="0"/>
                      <w:color w:val="000000"/>
                      <w:sz w:val="21"/>
                      <w:szCs w:val="21"/>
                      <w:u w:val="none"/>
                    </w:rPr>
                  </w:pPr>
                </w:p>
              </w:tc>
              <w:tc>
                <w:tcPr>
                  <w:tcW w:w="733" w:type="dxa"/>
                  <w:vMerge w:val="continue"/>
                  <w:tcBorders>
                    <w:tl2br w:val="nil"/>
                    <w:tr2bl w:val="nil"/>
                  </w:tcBorders>
                  <w:shd w:val="clear" w:color="auto" w:fill="auto"/>
                  <w:vAlign w:val="center"/>
                </w:tcPr>
                <w:p w14:paraId="56C21F6E">
                  <w:pPr>
                    <w:jc w:val="center"/>
                    <w:rPr>
                      <w:rFonts w:hint="eastAsia" w:ascii="宋体" w:hAnsi="宋体" w:eastAsia="宋体" w:cs="宋体"/>
                      <w:i w:val="0"/>
                      <w:iCs w:val="0"/>
                      <w:color w:val="000000"/>
                      <w:sz w:val="21"/>
                      <w:szCs w:val="21"/>
                      <w:u w:val="none"/>
                    </w:rPr>
                  </w:pPr>
                </w:p>
              </w:tc>
              <w:tc>
                <w:tcPr>
                  <w:tcW w:w="669" w:type="dxa"/>
                  <w:vMerge w:val="continue"/>
                  <w:tcBorders>
                    <w:tl2br w:val="nil"/>
                    <w:tr2bl w:val="nil"/>
                  </w:tcBorders>
                  <w:shd w:val="clear" w:color="auto" w:fill="auto"/>
                  <w:vAlign w:val="center"/>
                </w:tcPr>
                <w:p w14:paraId="759758A7">
                  <w:pPr>
                    <w:jc w:val="center"/>
                    <w:rPr>
                      <w:rFonts w:hint="default" w:ascii="Times New Roman" w:hAnsi="Times New Roman" w:eastAsia="宋体" w:cs="Times New Roman"/>
                      <w:i w:val="0"/>
                      <w:iCs w:val="0"/>
                      <w:color w:val="000000"/>
                      <w:sz w:val="21"/>
                      <w:szCs w:val="21"/>
                      <w:u w:val="none"/>
                    </w:rPr>
                  </w:pPr>
                </w:p>
              </w:tc>
            </w:tr>
            <w:tr w14:paraId="27B204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0" w:hRule="atLeast"/>
                <w:jc w:val="center"/>
              </w:trPr>
              <w:tc>
                <w:tcPr>
                  <w:tcW w:w="740" w:type="dxa"/>
                  <w:vMerge w:val="continue"/>
                  <w:tcBorders>
                    <w:tl2br w:val="nil"/>
                    <w:tr2bl w:val="nil"/>
                  </w:tcBorders>
                  <w:shd w:val="clear" w:color="auto" w:fill="auto"/>
                  <w:vAlign w:val="center"/>
                </w:tcPr>
                <w:p w14:paraId="76027145">
                  <w:pPr>
                    <w:jc w:val="center"/>
                    <w:rPr>
                      <w:rFonts w:hint="eastAsia" w:ascii="宋体" w:hAnsi="宋体" w:eastAsia="宋体" w:cs="宋体"/>
                      <w:i w:val="0"/>
                      <w:iCs w:val="0"/>
                      <w:color w:val="000000"/>
                      <w:sz w:val="21"/>
                      <w:szCs w:val="21"/>
                      <w:u w:val="none"/>
                    </w:rPr>
                  </w:pPr>
                </w:p>
              </w:tc>
              <w:tc>
                <w:tcPr>
                  <w:tcW w:w="988" w:type="dxa"/>
                  <w:tcBorders>
                    <w:tl2br w:val="nil"/>
                    <w:tr2bl w:val="nil"/>
                  </w:tcBorders>
                  <w:shd w:val="clear" w:color="auto" w:fill="auto"/>
                  <w:vAlign w:val="center"/>
                </w:tcPr>
                <w:p w14:paraId="4C00C5CB">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总磷</w:t>
                  </w:r>
                </w:p>
              </w:tc>
              <w:tc>
                <w:tcPr>
                  <w:tcW w:w="827" w:type="dxa"/>
                  <w:vMerge w:val="continue"/>
                  <w:tcBorders>
                    <w:tl2br w:val="nil"/>
                    <w:tr2bl w:val="nil"/>
                  </w:tcBorders>
                  <w:shd w:val="clear" w:color="auto" w:fill="auto"/>
                  <w:vAlign w:val="center"/>
                </w:tcPr>
                <w:p w14:paraId="4F8C2AE6">
                  <w:pPr>
                    <w:jc w:val="center"/>
                    <w:rPr>
                      <w:rFonts w:hint="default" w:ascii="Times New Roman" w:hAnsi="Times New Roman" w:eastAsia="宋体" w:cs="Times New Roman"/>
                      <w:i w:val="0"/>
                      <w:iCs w:val="0"/>
                      <w:color w:val="000000"/>
                      <w:sz w:val="21"/>
                      <w:szCs w:val="21"/>
                      <w:u w:val="none"/>
                    </w:rPr>
                  </w:pPr>
                </w:p>
              </w:tc>
              <w:tc>
                <w:tcPr>
                  <w:tcW w:w="1020" w:type="dxa"/>
                  <w:tcBorders>
                    <w:tl2br w:val="nil"/>
                    <w:tr2bl w:val="nil"/>
                  </w:tcBorders>
                  <w:shd w:val="clear" w:color="auto" w:fill="auto"/>
                  <w:vAlign w:val="center"/>
                </w:tcPr>
                <w:p w14:paraId="38B07A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0.5</w:t>
                  </w:r>
                </w:p>
              </w:tc>
              <w:tc>
                <w:tcPr>
                  <w:tcW w:w="750" w:type="dxa"/>
                  <w:tcBorders>
                    <w:tl2br w:val="nil"/>
                    <w:tr2bl w:val="nil"/>
                  </w:tcBorders>
                  <w:shd w:val="clear" w:color="auto" w:fill="auto"/>
                  <w:vAlign w:val="center"/>
                </w:tcPr>
                <w:p w14:paraId="644BCDD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945" w:type="dxa"/>
                  <w:tcBorders>
                    <w:tl2br w:val="nil"/>
                    <w:tr2bl w:val="nil"/>
                  </w:tcBorders>
                  <w:shd w:val="clear" w:color="auto" w:fill="auto"/>
                  <w:vAlign w:val="center"/>
                </w:tcPr>
                <w:p w14:paraId="56E27C5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0.0018</w:t>
                  </w:r>
                </w:p>
              </w:tc>
              <w:tc>
                <w:tcPr>
                  <w:tcW w:w="620" w:type="dxa"/>
                  <w:vMerge w:val="continue"/>
                  <w:tcBorders>
                    <w:tl2br w:val="nil"/>
                    <w:tr2bl w:val="nil"/>
                  </w:tcBorders>
                  <w:shd w:val="clear" w:color="auto" w:fill="auto"/>
                  <w:vAlign w:val="center"/>
                </w:tcPr>
                <w:p w14:paraId="18D92533">
                  <w:pPr>
                    <w:jc w:val="center"/>
                    <w:rPr>
                      <w:rFonts w:hint="eastAsia" w:ascii="宋体" w:hAnsi="宋体" w:eastAsia="宋体" w:cs="宋体"/>
                      <w:i w:val="0"/>
                      <w:iCs w:val="0"/>
                      <w:color w:val="000000"/>
                      <w:sz w:val="21"/>
                      <w:szCs w:val="21"/>
                      <w:u w:val="none"/>
                    </w:rPr>
                  </w:pPr>
                </w:p>
              </w:tc>
              <w:tc>
                <w:tcPr>
                  <w:tcW w:w="596" w:type="dxa"/>
                  <w:vMerge w:val="continue"/>
                  <w:tcBorders>
                    <w:tl2br w:val="nil"/>
                    <w:tr2bl w:val="nil"/>
                  </w:tcBorders>
                  <w:shd w:val="clear" w:color="auto" w:fill="auto"/>
                  <w:vAlign w:val="center"/>
                </w:tcPr>
                <w:p w14:paraId="2021BB93">
                  <w:pPr>
                    <w:jc w:val="center"/>
                    <w:rPr>
                      <w:rFonts w:hint="eastAsia" w:ascii="宋体" w:hAnsi="宋体" w:eastAsia="宋体" w:cs="宋体"/>
                      <w:i w:val="0"/>
                      <w:iCs w:val="0"/>
                      <w:color w:val="000000"/>
                      <w:sz w:val="21"/>
                      <w:szCs w:val="21"/>
                      <w:u w:val="none"/>
                    </w:rPr>
                  </w:pPr>
                </w:p>
              </w:tc>
              <w:tc>
                <w:tcPr>
                  <w:tcW w:w="616" w:type="dxa"/>
                  <w:vMerge w:val="continue"/>
                  <w:tcBorders>
                    <w:tl2br w:val="nil"/>
                    <w:tr2bl w:val="nil"/>
                  </w:tcBorders>
                  <w:shd w:val="clear" w:color="auto" w:fill="auto"/>
                  <w:vAlign w:val="center"/>
                </w:tcPr>
                <w:p w14:paraId="2225A92B">
                  <w:pPr>
                    <w:jc w:val="center"/>
                    <w:rPr>
                      <w:rFonts w:hint="default" w:ascii="Times New Roman" w:hAnsi="Times New Roman" w:eastAsia="宋体" w:cs="Times New Roman"/>
                      <w:i w:val="0"/>
                      <w:iCs w:val="0"/>
                      <w:color w:val="000000"/>
                      <w:sz w:val="21"/>
                      <w:szCs w:val="21"/>
                      <w:u w:val="none"/>
                    </w:rPr>
                  </w:pPr>
                </w:p>
              </w:tc>
              <w:tc>
                <w:tcPr>
                  <w:tcW w:w="733" w:type="dxa"/>
                  <w:vMerge w:val="continue"/>
                  <w:tcBorders>
                    <w:tl2br w:val="nil"/>
                    <w:tr2bl w:val="nil"/>
                  </w:tcBorders>
                  <w:shd w:val="clear" w:color="auto" w:fill="auto"/>
                  <w:vAlign w:val="center"/>
                </w:tcPr>
                <w:p w14:paraId="0E9C0D54">
                  <w:pPr>
                    <w:jc w:val="center"/>
                    <w:rPr>
                      <w:rFonts w:hint="eastAsia" w:ascii="宋体" w:hAnsi="宋体" w:eastAsia="宋体" w:cs="宋体"/>
                      <w:i w:val="0"/>
                      <w:iCs w:val="0"/>
                      <w:color w:val="000000"/>
                      <w:sz w:val="21"/>
                      <w:szCs w:val="21"/>
                      <w:u w:val="none"/>
                    </w:rPr>
                  </w:pPr>
                </w:p>
              </w:tc>
              <w:tc>
                <w:tcPr>
                  <w:tcW w:w="669" w:type="dxa"/>
                  <w:vMerge w:val="continue"/>
                  <w:tcBorders>
                    <w:tl2br w:val="nil"/>
                    <w:tr2bl w:val="nil"/>
                  </w:tcBorders>
                  <w:shd w:val="clear" w:color="auto" w:fill="auto"/>
                  <w:vAlign w:val="center"/>
                </w:tcPr>
                <w:p w14:paraId="2FD070B6">
                  <w:pPr>
                    <w:jc w:val="center"/>
                    <w:rPr>
                      <w:rFonts w:hint="default" w:ascii="Times New Roman" w:hAnsi="Times New Roman" w:eastAsia="宋体" w:cs="Times New Roman"/>
                      <w:i w:val="0"/>
                      <w:iCs w:val="0"/>
                      <w:color w:val="000000"/>
                      <w:sz w:val="21"/>
                      <w:szCs w:val="21"/>
                      <w:u w:val="none"/>
                    </w:rPr>
                  </w:pPr>
                </w:p>
              </w:tc>
            </w:tr>
            <w:tr w14:paraId="4BD59A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70" w:hRule="atLeast"/>
                <w:jc w:val="center"/>
              </w:trPr>
              <w:tc>
                <w:tcPr>
                  <w:tcW w:w="740" w:type="dxa"/>
                  <w:vMerge w:val="continue"/>
                  <w:tcBorders>
                    <w:tl2br w:val="nil"/>
                    <w:tr2bl w:val="nil"/>
                  </w:tcBorders>
                  <w:shd w:val="clear" w:color="auto" w:fill="auto"/>
                  <w:vAlign w:val="center"/>
                </w:tcPr>
                <w:p w14:paraId="508DAB31">
                  <w:pPr>
                    <w:jc w:val="center"/>
                    <w:rPr>
                      <w:rFonts w:hint="eastAsia" w:ascii="宋体" w:hAnsi="宋体" w:eastAsia="宋体" w:cs="宋体"/>
                      <w:i w:val="0"/>
                      <w:iCs w:val="0"/>
                      <w:color w:val="000000"/>
                      <w:sz w:val="21"/>
                      <w:szCs w:val="21"/>
                      <w:u w:val="none"/>
                    </w:rPr>
                  </w:pPr>
                </w:p>
              </w:tc>
              <w:tc>
                <w:tcPr>
                  <w:tcW w:w="988" w:type="dxa"/>
                  <w:tcBorders>
                    <w:tl2br w:val="nil"/>
                    <w:tr2bl w:val="nil"/>
                  </w:tcBorders>
                  <w:shd w:val="clear" w:color="auto" w:fill="auto"/>
                  <w:vAlign w:val="center"/>
                </w:tcPr>
                <w:p w14:paraId="152A8857">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石油类</w:t>
                  </w:r>
                </w:p>
              </w:tc>
              <w:tc>
                <w:tcPr>
                  <w:tcW w:w="827" w:type="dxa"/>
                  <w:vMerge w:val="continue"/>
                  <w:tcBorders>
                    <w:tl2br w:val="nil"/>
                    <w:tr2bl w:val="nil"/>
                  </w:tcBorders>
                  <w:shd w:val="clear" w:color="auto" w:fill="auto"/>
                  <w:vAlign w:val="center"/>
                </w:tcPr>
                <w:p w14:paraId="60842461">
                  <w:pPr>
                    <w:jc w:val="center"/>
                    <w:rPr>
                      <w:rFonts w:hint="default" w:ascii="Times New Roman" w:hAnsi="Times New Roman" w:eastAsia="宋体" w:cs="Times New Roman"/>
                      <w:i w:val="0"/>
                      <w:iCs w:val="0"/>
                      <w:color w:val="000000"/>
                      <w:sz w:val="21"/>
                      <w:szCs w:val="21"/>
                      <w:u w:val="none"/>
                    </w:rPr>
                  </w:pPr>
                </w:p>
              </w:tc>
              <w:tc>
                <w:tcPr>
                  <w:tcW w:w="1020" w:type="dxa"/>
                  <w:tcBorders>
                    <w:tl2br w:val="nil"/>
                    <w:tr2bl w:val="nil"/>
                  </w:tcBorders>
                  <w:shd w:val="clear" w:color="auto" w:fill="auto"/>
                  <w:vAlign w:val="center"/>
                </w:tcPr>
                <w:p w14:paraId="5906090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4.7</w:t>
                  </w:r>
                </w:p>
              </w:tc>
              <w:tc>
                <w:tcPr>
                  <w:tcW w:w="750" w:type="dxa"/>
                  <w:tcBorders>
                    <w:tl2br w:val="nil"/>
                    <w:tr2bl w:val="nil"/>
                  </w:tcBorders>
                  <w:shd w:val="clear" w:color="auto" w:fill="auto"/>
                  <w:vAlign w:val="center"/>
                </w:tcPr>
                <w:p w14:paraId="7B5BB97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45" w:type="dxa"/>
                  <w:tcBorders>
                    <w:tl2br w:val="nil"/>
                    <w:tr2bl w:val="nil"/>
                  </w:tcBorders>
                  <w:shd w:val="clear" w:color="auto" w:fill="auto"/>
                  <w:vAlign w:val="center"/>
                </w:tcPr>
                <w:p w14:paraId="2CEAE61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620" w:type="dxa"/>
                  <w:vMerge w:val="continue"/>
                  <w:tcBorders>
                    <w:tl2br w:val="nil"/>
                    <w:tr2bl w:val="nil"/>
                  </w:tcBorders>
                  <w:shd w:val="clear" w:color="auto" w:fill="auto"/>
                  <w:vAlign w:val="center"/>
                </w:tcPr>
                <w:p w14:paraId="67A2DC2D">
                  <w:pPr>
                    <w:jc w:val="center"/>
                    <w:rPr>
                      <w:rFonts w:hint="eastAsia" w:ascii="宋体" w:hAnsi="宋体" w:eastAsia="宋体" w:cs="宋体"/>
                      <w:i w:val="0"/>
                      <w:iCs w:val="0"/>
                      <w:color w:val="000000"/>
                      <w:sz w:val="21"/>
                      <w:szCs w:val="21"/>
                      <w:u w:val="none"/>
                    </w:rPr>
                  </w:pPr>
                </w:p>
              </w:tc>
              <w:tc>
                <w:tcPr>
                  <w:tcW w:w="596" w:type="dxa"/>
                  <w:vMerge w:val="continue"/>
                  <w:tcBorders>
                    <w:tl2br w:val="nil"/>
                    <w:tr2bl w:val="nil"/>
                  </w:tcBorders>
                  <w:shd w:val="clear" w:color="auto" w:fill="auto"/>
                  <w:vAlign w:val="center"/>
                </w:tcPr>
                <w:p w14:paraId="6ACC7E88">
                  <w:pPr>
                    <w:jc w:val="center"/>
                    <w:rPr>
                      <w:rFonts w:hint="eastAsia" w:ascii="宋体" w:hAnsi="宋体" w:eastAsia="宋体" w:cs="宋体"/>
                      <w:i w:val="0"/>
                      <w:iCs w:val="0"/>
                      <w:color w:val="000000"/>
                      <w:sz w:val="21"/>
                      <w:szCs w:val="21"/>
                      <w:u w:val="none"/>
                    </w:rPr>
                  </w:pPr>
                </w:p>
              </w:tc>
              <w:tc>
                <w:tcPr>
                  <w:tcW w:w="616" w:type="dxa"/>
                  <w:vMerge w:val="continue"/>
                  <w:tcBorders>
                    <w:tl2br w:val="nil"/>
                    <w:tr2bl w:val="nil"/>
                  </w:tcBorders>
                  <w:shd w:val="clear" w:color="auto" w:fill="auto"/>
                  <w:vAlign w:val="center"/>
                </w:tcPr>
                <w:p w14:paraId="4341C895">
                  <w:pPr>
                    <w:jc w:val="center"/>
                    <w:rPr>
                      <w:rFonts w:hint="default" w:ascii="Times New Roman" w:hAnsi="Times New Roman" w:eastAsia="宋体" w:cs="Times New Roman"/>
                      <w:i w:val="0"/>
                      <w:iCs w:val="0"/>
                      <w:color w:val="000000"/>
                      <w:sz w:val="21"/>
                      <w:szCs w:val="21"/>
                      <w:u w:val="none"/>
                    </w:rPr>
                  </w:pPr>
                </w:p>
              </w:tc>
              <w:tc>
                <w:tcPr>
                  <w:tcW w:w="733" w:type="dxa"/>
                  <w:vMerge w:val="continue"/>
                  <w:tcBorders>
                    <w:tl2br w:val="nil"/>
                    <w:tr2bl w:val="nil"/>
                  </w:tcBorders>
                  <w:shd w:val="clear" w:color="auto" w:fill="auto"/>
                  <w:vAlign w:val="center"/>
                </w:tcPr>
                <w:p w14:paraId="562C44B7">
                  <w:pPr>
                    <w:jc w:val="center"/>
                    <w:rPr>
                      <w:rFonts w:hint="eastAsia" w:ascii="宋体" w:hAnsi="宋体" w:eastAsia="宋体" w:cs="宋体"/>
                      <w:i w:val="0"/>
                      <w:iCs w:val="0"/>
                      <w:color w:val="000000"/>
                      <w:sz w:val="21"/>
                      <w:szCs w:val="21"/>
                      <w:u w:val="none"/>
                    </w:rPr>
                  </w:pPr>
                </w:p>
              </w:tc>
              <w:tc>
                <w:tcPr>
                  <w:tcW w:w="669" w:type="dxa"/>
                  <w:vMerge w:val="continue"/>
                  <w:tcBorders>
                    <w:tl2br w:val="nil"/>
                    <w:tr2bl w:val="nil"/>
                  </w:tcBorders>
                  <w:shd w:val="clear" w:color="auto" w:fill="auto"/>
                  <w:vAlign w:val="center"/>
                </w:tcPr>
                <w:p w14:paraId="0A8955C8">
                  <w:pPr>
                    <w:jc w:val="center"/>
                    <w:rPr>
                      <w:rFonts w:hint="default" w:ascii="Times New Roman" w:hAnsi="Times New Roman" w:eastAsia="宋体" w:cs="Times New Roman"/>
                      <w:i w:val="0"/>
                      <w:iCs w:val="0"/>
                      <w:color w:val="000000"/>
                      <w:sz w:val="21"/>
                      <w:szCs w:val="21"/>
                      <w:u w:val="none"/>
                    </w:rPr>
                  </w:pPr>
                </w:p>
              </w:tc>
            </w:tr>
            <w:tr w14:paraId="302280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70" w:hRule="atLeast"/>
                <w:jc w:val="center"/>
              </w:trPr>
              <w:tc>
                <w:tcPr>
                  <w:tcW w:w="740" w:type="dxa"/>
                  <w:vMerge w:val="continue"/>
                  <w:tcBorders>
                    <w:tl2br w:val="nil"/>
                    <w:tr2bl w:val="nil"/>
                  </w:tcBorders>
                  <w:shd w:val="clear" w:color="auto" w:fill="auto"/>
                  <w:vAlign w:val="center"/>
                </w:tcPr>
                <w:p w14:paraId="0CB1F20D">
                  <w:pPr>
                    <w:jc w:val="center"/>
                    <w:rPr>
                      <w:rFonts w:hint="eastAsia" w:ascii="宋体" w:hAnsi="宋体" w:eastAsia="宋体" w:cs="宋体"/>
                      <w:i w:val="0"/>
                      <w:iCs w:val="0"/>
                      <w:color w:val="000000"/>
                      <w:sz w:val="21"/>
                      <w:szCs w:val="21"/>
                      <w:u w:val="none"/>
                    </w:rPr>
                  </w:pPr>
                </w:p>
              </w:tc>
              <w:tc>
                <w:tcPr>
                  <w:tcW w:w="988" w:type="dxa"/>
                  <w:tcBorders>
                    <w:tl2br w:val="nil"/>
                    <w:tr2bl w:val="nil"/>
                  </w:tcBorders>
                  <w:shd w:val="clear" w:color="auto" w:fill="auto"/>
                  <w:vAlign w:val="center"/>
                </w:tcPr>
                <w:p w14:paraId="66EC43E1">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悬浮物</w:t>
                  </w:r>
                </w:p>
              </w:tc>
              <w:tc>
                <w:tcPr>
                  <w:tcW w:w="827" w:type="dxa"/>
                  <w:vMerge w:val="continue"/>
                  <w:tcBorders>
                    <w:tl2br w:val="nil"/>
                    <w:tr2bl w:val="nil"/>
                  </w:tcBorders>
                  <w:shd w:val="clear" w:color="auto" w:fill="auto"/>
                  <w:vAlign w:val="center"/>
                </w:tcPr>
                <w:p w14:paraId="2A13D7F2">
                  <w:pPr>
                    <w:jc w:val="center"/>
                    <w:rPr>
                      <w:rFonts w:hint="default" w:ascii="Times New Roman" w:hAnsi="Times New Roman" w:eastAsia="宋体" w:cs="Times New Roman"/>
                      <w:i w:val="0"/>
                      <w:iCs w:val="0"/>
                      <w:color w:val="000000"/>
                      <w:sz w:val="21"/>
                      <w:szCs w:val="21"/>
                      <w:u w:val="none"/>
                    </w:rPr>
                  </w:pPr>
                </w:p>
              </w:tc>
              <w:tc>
                <w:tcPr>
                  <w:tcW w:w="1020" w:type="dxa"/>
                  <w:tcBorders>
                    <w:tl2br w:val="nil"/>
                    <w:tr2bl w:val="nil"/>
                  </w:tcBorders>
                  <w:shd w:val="clear" w:color="auto" w:fill="auto"/>
                  <w:vAlign w:val="center"/>
                </w:tcPr>
                <w:p w14:paraId="7AC84F3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 </w:t>
                  </w:r>
                </w:p>
              </w:tc>
              <w:tc>
                <w:tcPr>
                  <w:tcW w:w="750" w:type="dxa"/>
                  <w:tcBorders>
                    <w:tl2br w:val="nil"/>
                    <w:tr2bl w:val="nil"/>
                  </w:tcBorders>
                  <w:shd w:val="clear" w:color="auto" w:fill="auto"/>
                  <w:vAlign w:val="center"/>
                </w:tcPr>
                <w:p w14:paraId="2BFAE84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45" w:type="dxa"/>
                  <w:tcBorders>
                    <w:tl2br w:val="nil"/>
                    <w:tr2bl w:val="nil"/>
                  </w:tcBorders>
                  <w:shd w:val="clear" w:color="auto" w:fill="auto"/>
                  <w:vAlign w:val="center"/>
                </w:tcPr>
                <w:p w14:paraId="78222C4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0.27</w:t>
                  </w:r>
                </w:p>
              </w:tc>
              <w:tc>
                <w:tcPr>
                  <w:tcW w:w="620" w:type="dxa"/>
                  <w:vMerge w:val="continue"/>
                  <w:tcBorders>
                    <w:tl2br w:val="nil"/>
                    <w:tr2bl w:val="nil"/>
                  </w:tcBorders>
                  <w:shd w:val="clear" w:color="auto" w:fill="auto"/>
                  <w:vAlign w:val="center"/>
                </w:tcPr>
                <w:p w14:paraId="6D5E0E67">
                  <w:pPr>
                    <w:jc w:val="center"/>
                    <w:rPr>
                      <w:rFonts w:hint="eastAsia" w:ascii="宋体" w:hAnsi="宋体" w:eastAsia="宋体" w:cs="宋体"/>
                      <w:i w:val="0"/>
                      <w:iCs w:val="0"/>
                      <w:color w:val="000000"/>
                      <w:sz w:val="21"/>
                      <w:szCs w:val="21"/>
                      <w:u w:val="none"/>
                    </w:rPr>
                  </w:pPr>
                </w:p>
              </w:tc>
              <w:tc>
                <w:tcPr>
                  <w:tcW w:w="596" w:type="dxa"/>
                  <w:vMerge w:val="continue"/>
                  <w:tcBorders>
                    <w:tl2br w:val="nil"/>
                    <w:tr2bl w:val="nil"/>
                  </w:tcBorders>
                  <w:shd w:val="clear" w:color="auto" w:fill="auto"/>
                  <w:vAlign w:val="center"/>
                </w:tcPr>
                <w:p w14:paraId="2FF46E7F">
                  <w:pPr>
                    <w:jc w:val="center"/>
                    <w:rPr>
                      <w:rFonts w:hint="eastAsia" w:ascii="宋体" w:hAnsi="宋体" w:eastAsia="宋体" w:cs="宋体"/>
                      <w:i w:val="0"/>
                      <w:iCs w:val="0"/>
                      <w:color w:val="000000"/>
                      <w:sz w:val="21"/>
                      <w:szCs w:val="21"/>
                      <w:u w:val="none"/>
                    </w:rPr>
                  </w:pPr>
                </w:p>
              </w:tc>
              <w:tc>
                <w:tcPr>
                  <w:tcW w:w="616" w:type="dxa"/>
                  <w:vMerge w:val="continue"/>
                  <w:tcBorders>
                    <w:tl2br w:val="nil"/>
                    <w:tr2bl w:val="nil"/>
                  </w:tcBorders>
                  <w:shd w:val="clear" w:color="auto" w:fill="auto"/>
                  <w:vAlign w:val="center"/>
                </w:tcPr>
                <w:p w14:paraId="0744A93B">
                  <w:pPr>
                    <w:jc w:val="center"/>
                    <w:rPr>
                      <w:rFonts w:hint="default" w:ascii="Times New Roman" w:hAnsi="Times New Roman" w:eastAsia="宋体" w:cs="Times New Roman"/>
                      <w:i w:val="0"/>
                      <w:iCs w:val="0"/>
                      <w:color w:val="000000"/>
                      <w:sz w:val="21"/>
                      <w:szCs w:val="21"/>
                      <w:u w:val="none"/>
                    </w:rPr>
                  </w:pPr>
                </w:p>
              </w:tc>
              <w:tc>
                <w:tcPr>
                  <w:tcW w:w="733" w:type="dxa"/>
                  <w:vMerge w:val="continue"/>
                  <w:tcBorders>
                    <w:tl2br w:val="nil"/>
                    <w:tr2bl w:val="nil"/>
                  </w:tcBorders>
                  <w:shd w:val="clear" w:color="auto" w:fill="auto"/>
                  <w:vAlign w:val="center"/>
                </w:tcPr>
                <w:p w14:paraId="5D648223">
                  <w:pPr>
                    <w:jc w:val="center"/>
                    <w:rPr>
                      <w:rFonts w:hint="eastAsia" w:ascii="宋体" w:hAnsi="宋体" w:eastAsia="宋体" w:cs="宋体"/>
                      <w:i w:val="0"/>
                      <w:iCs w:val="0"/>
                      <w:color w:val="000000"/>
                      <w:sz w:val="21"/>
                      <w:szCs w:val="21"/>
                      <w:u w:val="none"/>
                    </w:rPr>
                  </w:pPr>
                </w:p>
              </w:tc>
              <w:tc>
                <w:tcPr>
                  <w:tcW w:w="669" w:type="dxa"/>
                  <w:vMerge w:val="continue"/>
                  <w:tcBorders>
                    <w:tl2br w:val="nil"/>
                    <w:tr2bl w:val="nil"/>
                  </w:tcBorders>
                  <w:shd w:val="clear" w:color="auto" w:fill="auto"/>
                  <w:vAlign w:val="center"/>
                </w:tcPr>
                <w:p w14:paraId="3EF5B48A">
                  <w:pPr>
                    <w:jc w:val="center"/>
                    <w:rPr>
                      <w:rFonts w:hint="default" w:ascii="Times New Roman" w:hAnsi="Times New Roman" w:eastAsia="宋体" w:cs="Times New Roman"/>
                      <w:i w:val="0"/>
                      <w:iCs w:val="0"/>
                      <w:color w:val="000000"/>
                      <w:sz w:val="21"/>
                      <w:szCs w:val="21"/>
                      <w:u w:val="none"/>
                    </w:rPr>
                  </w:pPr>
                </w:p>
              </w:tc>
            </w:tr>
            <w:tr w14:paraId="70866B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jc w:val="center"/>
              </w:trPr>
              <w:tc>
                <w:tcPr>
                  <w:tcW w:w="740" w:type="dxa"/>
                  <w:vMerge w:val="restart"/>
                  <w:tcBorders>
                    <w:tl2br w:val="nil"/>
                    <w:tr2bl w:val="nil"/>
                  </w:tcBorders>
                  <w:shd w:val="clear" w:color="auto" w:fill="auto"/>
                  <w:vAlign w:val="center"/>
                </w:tcPr>
                <w:p w14:paraId="217A9E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生活废水</w:t>
                  </w:r>
                </w:p>
              </w:tc>
              <w:tc>
                <w:tcPr>
                  <w:tcW w:w="988" w:type="dxa"/>
                  <w:tcBorders>
                    <w:tl2br w:val="nil"/>
                    <w:tr2bl w:val="nil"/>
                  </w:tcBorders>
                  <w:shd w:val="clear" w:color="auto" w:fill="auto"/>
                  <w:vAlign w:val="center"/>
                </w:tcPr>
                <w:p w14:paraId="4CCF06CD">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bidi="ar"/>
                      <w14:textFill>
                        <w14:solidFill>
                          <w14:schemeClr w14:val="tx1"/>
                        </w14:solidFill>
                      </w14:textFill>
                    </w:rPr>
                  </w:pP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化学需氧量</w:t>
                  </w:r>
                </w:p>
              </w:tc>
              <w:tc>
                <w:tcPr>
                  <w:tcW w:w="827" w:type="dxa"/>
                  <w:vMerge w:val="restart"/>
                  <w:tcBorders>
                    <w:tl2br w:val="nil"/>
                    <w:tr2bl w:val="nil"/>
                  </w:tcBorders>
                  <w:shd w:val="clear" w:color="auto" w:fill="auto"/>
                  <w:vAlign w:val="center"/>
                </w:tcPr>
                <w:p w14:paraId="2E247ED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17280</w:t>
                  </w:r>
                </w:p>
              </w:tc>
              <w:tc>
                <w:tcPr>
                  <w:tcW w:w="1020" w:type="dxa"/>
                  <w:tcBorders>
                    <w:tl2br w:val="nil"/>
                    <w:tr2bl w:val="nil"/>
                  </w:tcBorders>
                  <w:shd w:val="clear" w:color="auto" w:fill="auto"/>
                  <w:vAlign w:val="center"/>
                </w:tcPr>
                <w:p w14:paraId="7E42F2D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750" w:type="dxa"/>
                  <w:tcBorders>
                    <w:tl2br w:val="nil"/>
                    <w:tr2bl w:val="nil"/>
                  </w:tcBorders>
                  <w:shd w:val="clear" w:color="auto" w:fill="auto"/>
                  <w:vAlign w:val="center"/>
                </w:tcPr>
                <w:p w14:paraId="392809A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945" w:type="dxa"/>
                  <w:tcBorders>
                    <w:tl2br w:val="nil"/>
                    <w:tr2bl w:val="nil"/>
                  </w:tcBorders>
                  <w:shd w:val="clear" w:color="auto" w:fill="auto"/>
                  <w:vAlign w:val="center"/>
                </w:tcPr>
                <w:p w14:paraId="6226CE3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8.64</w:t>
                  </w:r>
                </w:p>
              </w:tc>
              <w:tc>
                <w:tcPr>
                  <w:tcW w:w="620" w:type="dxa"/>
                  <w:vMerge w:val="restart"/>
                  <w:tcBorders>
                    <w:tl2br w:val="nil"/>
                    <w:tr2bl w:val="nil"/>
                  </w:tcBorders>
                  <w:shd w:val="clear" w:color="auto" w:fill="auto"/>
                  <w:vAlign w:val="center"/>
                </w:tcPr>
                <w:p w14:paraId="77C6D2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间接排放</w:t>
                  </w:r>
                </w:p>
              </w:tc>
              <w:tc>
                <w:tcPr>
                  <w:tcW w:w="596" w:type="dxa"/>
                  <w:vMerge w:val="restart"/>
                  <w:tcBorders>
                    <w:tl2br w:val="nil"/>
                    <w:tr2bl w:val="nil"/>
                  </w:tcBorders>
                  <w:shd w:val="clear" w:color="auto" w:fill="auto"/>
                  <w:vAlign w:val="center"/>
                </w:tcPr>
                <w:p w14:paraId="7AD28D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厂区总排放口</w:t>
                  </w:r>
                </w:p>
              </w:tc>
              <w:tc>
                <w:tcPr>
                  <w:tcW w:w="616" w:type="dxa"/>
                  <w:vMerge w:val="continue"/>
                  <w:tcBorders>
                    <w:tl2br w:val="nil"/>
                    <w:tr2bl w:val="nil"/>
                  </w:tcBorders>
                  <w:shd w:val="clear" w:color="auto" w:fill="auto"/>
                  <w:vAlign w:val="center"/>
                </w:tcPr>
                <w:p w14:paraId="0ABCC43A">
                  <w:pPr>
                    <w:jc w:val="center"/>
                    <w:rPr>
                      <w:rFonts w:hint="default" w:ascii="Times New Roman" w:hAnsi="Times New Roman" w:eastAsia="宋体" w:cs="Times New Roman"/>
                      <w:i w:val="0"/>
                      <w:iCs w:val="0"/>
                      <w:color w:val="000000"/>
                      <w:sz w:val="21"/>
                      <w:szCs w:val="21"/>
                      <w:u w:val="none"/>
                    </w:rPr>
                  </w:pPr>
                </w:p>
              </w:tc>
              <w:tc>
                <w:tcPr>
                  <w:tcW w:w="733" w:type="dxa"/>
                  <w:vMerge w:val="continue"/>
                  <w:tcBorders>
                    <w:tl2br w:val="nil"/>
                    <w:tr2bl w:val="nil"/>
                  </w:tcBorders>
                  <w:shd w:val="clear" w:color="auto" w:fill="auto"/>
                  <w:vAlign w:val="center"/>
                </w:tcPr>
                <w:p w14:paraId="2172AD33">
                  <w:pPr>
                    <w:jc w:val="center"/>
                    <w:rPr>
                      <w:rFonts w:hint="eastAsia" w:ascii="宋体" w:hAnsi="宋体" w:eastAsia="宋体" w:cs="宋体"/>
                      <w:i w:val="0"/>
                      <w:iCs w:val="0"/>
                      <w:color w:val="000000"/>
                      <w:sz w:val="21"/>
                      <w:szCs w:val="21"/>
                      <w:u w:val="none"/>
                    </w:rPr>
                  </w:pPr>
                </w:p>
              </w:tc>
              <w:tc>
                <w:tcPr>
                  <w:tcW w:w="669" w:type="dxa"/>
                  <w:vMerge w:val="continue"/>
                  <w:tcBorders>
                    <w:tl2br w:val="nil"/>
                    <w:tr2bl w:val="nil"/>
                  </w:tcBorders>
                  <w:shd w:val="clear" w:color="auto" w:fill="auto"/>
                  <w:vAlign w:val="center"/>
                </w:tcPr>
                <w:p w14:paraId="28D7C6B7">
                  <w:pPr>
                    <w:jc w:val="center"/>
                    <w:rPr>
                      <w:rFonts w:hint="default" w:ascii="Times New Roman" w:hAnsi="Times New Roman" w:eastAsia="宋体" w:cs="Times New Roman"/>
                      <w:i w:val="0"/>
                      <w:iCs w:val="0"/>
                      <w:color w:val="000000"/>
                      <w:sz w:val="21"/>
                      <w:szCs w:val="21"/>
                      <w:u w:val="none"/>
                    </w:rPr>
                  </w:pPr>
                </w:p>
              </w:tc>
            </w:tr>
            <w:tr w14:paraId="07759A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70" w:hRule="atLeast"/>
                <w:jc w:val="center"/>
              </w:trPr>
              <w:tc>
                <w:tcPr>
                  <w:tcW w:w="740" w:type="dxa"/>
                  <w:vMerge w:val="continue"/>
                  <w:tcBorders>
                    <w:tl2br w:val="nil"/>
                    <w:tr2bl w:val="nil"/>
                  </w:tcBorders>
                  <w:shd w:val="clear" w:color="auto" w:fill="auto"/>
                  <w:vAlign w:val="center"/>
                </w:tcPr>
                <w:p w14:paraId="64D918BC">
                  <w:pPr>
                    <w:jc w:val="center"/>
                    <w:rPr>
                      <w:rFonts w:hint="eastAsia" w:ascii="宋体" w:hAnsi="宋体" w:eastAsia="宋体" w:cs="宋体"/>
                      <w:i w:val="0"/>
                      <w:iCs w:val="0"/>
                      <w:color w:val="000000"/>
                      <w:sz w:val="21"/>
                      <w:szCs w:val="21"/>
                      <w:u w:val="none"/>
                    </w:rPr>
                  </w:pPr>
                </w:p>
              </w:tc>
              <w:tc>
                <w:tcPr>
                  <w:tcW w:w="988" w:type="dxa"/>
                  <w:tcBorders>
                    <w:tl2br w:val="nil"/>
                    <w:tr2bl w:val="nil"/>
                  </w:tcBorders>
                  <w:shd w:val="clear" w:color="auto" w:fill="auto"/>
                  <w:vAlign w:val="center"/>
                </w:tcPr>
                <w:p w14:paraId="05670624">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bidi="ar"/>
                      <w14:textFill>
                        <w14:solidFill>
                          <w14:schemeClr w14:val="tx1"/>
                        </w14:solidFill>
                      </w14:textFill>
                    </w:rPr>
                  </w:pP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氨氮</w:t>
                  </w:r>
                </w:p>
              </w:tc>
              <w:tc>
                <w:tcPr>
                  <w:tcW w:w="827" w:type="dxa"/>
                  <w:vMerge w:val="continue"/>
                  <w:tcBorders>
                    <w:tl2br w:val="nil"/>
                    <w:tr2bl w:val="nil"/>
                  </w:tcBorders>
                  <w:shd w:val="clear" w:color="auto" w:fill="auto"/>
                  <w:vAlign w:val="center"/>
                </w:tcPr>
                <w:p w14:paraId="1C4741DF">
                  <w:pPr>
                    <w:jc w:val="center"/>
                    <w:rPr>
                      <w:rFonts w:hint="default" w:ascii="Times New Roman" w:hAnsi="Times New Roman" w:eastAsia="宋体" w:cs="Times New Roman"/>
                      <w:i w:val="0"/>
                      <w:iCs w:val="0"/>
                      <w:color w:val="000000"/>
                      <w:sz w:val="21"/>
                      <w:szCs w:val="21"/>
                      <w:u w:val="none"/>
                    </w:rPr>
                  </w:pPr>
                </w:p>
              </w:tc>
              <w:tc>
                <w:tcPr>
                  <w:tcW w:w="1020" w:type="dxa"/>
                  <w:tcBorders>
                    <w:tl2br w:val="nil"/>
                    <w:tr2bl w:val="nil"/>
                  </w:tcBorders>
                  <w:shd w:val="clear" w:color="auto" w:fill="auto"/>
                  <w:vAlign w:val="center"/>
                </w:tcPr>
                <w:p w14:paraId="0D90823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750" w:type="dxa"/>
                  <w:tcBorders>
                    <w:tl2br w:val="nil"/>
                    <w:tr2bl w:val="nil"/>
                  </w:tcBorders>
                  <w:shd w:val="clear" w:color="auto" w:fill="auto"/>
                  <w:vAlign w:val="center"/>
                </w:tcPr>
                <w:p w14:paraId="1BCDE87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945" w:type="dxa"/>
                  <w:tcBorders>
                    <w:tl2br w:val="nil"/>
                    <w:tr2bl w:val="nil"/>
                  </w:tcBorders>
                  <w:shd w:val="clear" w:color="auto" w:fill="auto"/>
                  <w:vAlign w:val="center"/>
                </w:tcPr>
                <w:p w14:paraId="1B0283A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0.7776</w:t>
                  </w:r>
                </w:p>
              </w:tc>
              <w:tc>
                <w:tcPr>
                  <w:tcW w:w="620" w:type="dxa"/>
                  <w:vMerge w:val="continue"/>
                  <w:tcBorders>
                    <w:tl2br w:val="nil"/>
                    <w:tr2bl w:val="nil"/>
                  </w:tcBorders>
                  <w:shd w:val="clear" w:color="auto" w:fill="auto"/>
                  <w:vAlign w:val="center"/>
                </w:tcPr>
                <w:p w14:paraId="7CE0F062">
                  <w:pPr>
                    <w:jc w:val="center"/>
                    <w:rPr>
                      <w:rFonts w:hint="eastAsia" w:ascii="宋体" w:hAnsi="宋体" w:eastAsia="宋体" w:cs="宋体"/>
                      <w:i w:val="0"/>
                      <w:iCs w:val="0"/>
                      <w:color w:val="000000"/>
                      <w:sz w:val="21"/>
                      <w:szCs w:val="21"/>
                      <w:u w:val="none"/>
                    </w:rPr>
                  </w:pPr>
                </w:p>
              </w:tc>
              <w:tc>
                <w:tcPr>
                  <w:tcW w:w="596" w:type="dxa"/>
                  <w:vMerge w:val="continue"/>
                  <w:tcBorders>
                    <w:tl2br w:val="nil"/>
                    <w:tr2bl w:val="nil"/>
                  </w:tcBorders>
                  <w:shd w:val="clear" w:color="auto" w:fill="auto"/>
                  <w:vAlign w:val="center"/>
                </w:tcPr>
                <w:p w14:paraId="3514665E">
                  <w:pPr>
                    <w:jc w:val="center"/>
                    <w:rPr>
                      <w:rFonts w:hint="eastAsia" w:ascii="宋体" w:hAnsi="宋体" w:eastAsia="宋体" w:cs="宋体"/>
                      <w:i w:val="0"/>
                      <w:iCs w:val="0"/>
                      <w:color w:val="000000"/>
                      <w:sz w:val="21"/>
                      <w:szCs w:val="21"/>
                      <w:u w:val="none"/>
                    </w:rPr>
                  </w:pPr>
                </w:p>
              </w:tc>
              <w:tc>
                <w:tcPr>
                  <w:tcW w:w="616" w:type="dxa"/>
                  <w:vMerge w:val="continue"/>
                  <w:tcBorders>
                    <w:tl2br w:val="nil"/>
                    <w:tr2bl w:val="nil"/>
                  </w:tcBorders>
                  <w:shd w:val="clear" w:color="auto" w:fill="auto"/>
                  <w:vAlign w:val="center"/>
                </w:tcPr>
                <w:p w14:paraId="1552CB24">
                  <w:pPr>
                    <w:jc w:val="center"/>
                    <w:rPr>
                      <w:rFonts w:hint="default" w:ascii="Times New Roman" w:hAnsi="Times New Roman" w:eastAsia="宋体" w:cs="Times New Roman"/>
                      <w:i w:val="0"/>
                      <w:iCs w:val="0"/>
                      <w:color w:val="000000"/>
                      <w:sz w:val="21"/>
                      <w:szCs w:val="21"/>
                      <w:u w:val="none"/>
                    </w:rPr>
                  </w:pPr>
                </w:p>
              </w:tc>
              <w:tc>
                <w:tcPr>
                  <w:tcW w:w="733" w:type="dxa"/>
                  <w:vMerge w:val="continue"/>
                  <w:tcBorders>
                    <w:tl2br w:val="nil"/>
                    <w:tr2bl w:val="nil"/>
                  </w:tcBorders>
                  <w:shd w:val="clear" w:color="auto" w:fill="auto"/>
                  <w:vAlign w:val="center"/>
                </w:tcPr>
                <w:p w14:paraId="6AD66697">
                  <w:pPr>
                    <w:jc w:val="center"/>
                    <w:rPr>
                      <w:rFonts w:hint="eastAsia" w:ascii="宋体" w:hAnsi="宋体" w:eastAsia="宋体" w:cs="宋体"/>
                      <w:i w:val="0"/>
                      <w:iCs w:val="0"/>
                      <w:color w:val="000000"/>
                      <w:sz w:val="21"/>
                      <w:szCs w:val="21"/>
                      <w:u w:val="none"/>
                    </w:rPr>
                  </w:pPr>
                </w:p>
              </w:tc>
              <w:tc>
                <w:tcPr>
                  <w:tcW w:w="669" w:type="dxa"/>
                  <w:vMerge w:val="continue"/>
                  <w:tcBorders>
                    <w:tl2br w:val="nil"/>
                    <w:tr2bl w:val="nil"/>
                  </w:tcBorders>
                  <w:shd w:val="clear" w:color="auto" w:fill="auto"/>
                  <w:vAlign w:val="center"/>
                </w:tcPr>
                <w:p w14:paraId="42C2D9A1">
                  <w:pPr>
                    <w:jc w:val="center"/>
                    <w:rPr>
                      <w:rFonts w:hint="default" w:ascii="Times New Roman" w:hAnsi="Times New Roman" w:eastAsia="宋体" w:cs="Times New Roman"/>
                      <w:i w:val="0"/>
                      <w:iCs w:val="0"/>
                      <w:color w:val="000000"/>
                      <w:sz w:val="21"/>
                      <w:szCs w:val="21"/>
                      <w:u w:val="none"/>
                    </w:rPr>
                  </w:pPr>
                </w:p>
              </w:tc>
            </w:tr>
            <w:tr w14:paraId="08487B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70" w:hRule="atLeast"/>
                <w:jc w:val="center"/>
              </w:trPr>
              <w:tc>
                <w:tcPr>
                  <w:tcW w:w="740" w:type="dxa"/>
                  <w:vMerge w:val="continue"/>
                  <w:tcBorders>
                    <w:tl2br w:val="nil"/>
                    <w:tr2bl w:val="nil"/>
                  </w:tcBorders>
                  <w:shd w:val="clear" w:color="auto" w:fill="auto"/>
                  <w:vAlign w:val="center"/>
                </w:tcPr>
                <w:p w14:paraId="229B75EE">
                  <w:pPr>
                    <w:jc w:val="center"/>
                    <w:rPr>
                      <w:rFonts w:hint="eastAsia" w:ascii="宋体" w:hAnsi="宋体" w:eastAsia="宋体" w:cs="宋体"/>
                      <w:i w:val="0"/>
                      <w:iCs w:val="0"/>
                      <w:color w:val="000000"/>
                      <w:sz w:val="21"/>
                      <w:szCs w:val="21"/>
                      <w:u w:val="none"/>
                    </w:rPr>
                  </w:pPr>
                </w:p>
              </w:tc>
              <w:tc>
                <w:tcPr>
                  <w:tcW w:w="988" w:type="dxa"/>
                  <w:tcBorders>
                    <w:tl2br w:val="nil"/>
                    <w:tr2bl w:val="nil"/>
                  </w:tcBorders>
                  <w:shd w:val="clear" w:color="auto" w:fill="auto"/>
                  <w:vAlign w:val="center"/>
                </w:tcPr>
                <w:p w14:paraId="627D5325">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bidi="ar"/>
                      <w14:textFill>
                        <w14:solidFill>
                          <w14:schemeClr w14:val="tx1"/>
                        </w14:solidFill>
                      </w14:textFill>
                    </w:rPr>
                  </w:pP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总氮</w:t>
                  </w:r>
                </w:p>
              </w:tc>
              <w:tc>
                <w:tcPr>
                  <w:tcW w:w="827" w:type="dxa"/>
                  <w:vMerge w:val="continue"/>
                  <w:tcBorders>
                    <w:tl2br w:val="nil"/>
                    <w:tr2bl w:val="nil"/>
                  </w:tcBorders>
                  <w:shd w:val="clear" w:color="auto" w:fill="auto"/>
                  <w:vAlign w:val="center"/>
                </w:tcPr>
                <w:p w14:paraId="29028305">
                  <w:pPr>
                    <w:jc w:val="center"/>
                    <w:rPr>
                      <w:rFonts w:hint="default" w:ascii="Times New Roman" w:hAnsi="Times New Roman" w:eastAsia="宋体" w:cs="Times New Roman"/>
                      <w:i w:val="0"/>
                      <w:iCs w:val="0"/>
                      <w:color w:val="000000"/>
                      <w:sz w:val="21"/>
                      <w:szCs w:val="21"/>
                      <w:u w:val="none"/>
                    </w:rPr>
                  </w:pPr>
                </w:p>
              </w:tc>
              <w:tc>
                <w:tcPr>
                  <w:tcW w:w="1020" w:type="dxa"/>
                  <w:tcBorders>
                    <w:tl2br w:val="nil"/>
                    <w:tr2bl w:val="nil"/>
                  </w:tcBorders>
                  <w:shd w:val="clear" w:color="auto" w:fill="auto"/>
                  <w:vAlign w:val="center"/>
                </w:tcPr>
                <w:p w14:paraId="10DF25D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750" w:type="dxa"/>
                  <w:tcBorders>
                    <w:tl2br w:val="nil"/>
                    <w:tr2bl w:val="nil"/>
                  </w:tcBorders>
                  <w:shd w:val="clear" w:color="auto" w:fill="auto"/>
                  <w:vAlign w:val="center"/>
                </w:tcPr>
                <w:p w14:paraId="19C958C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945" w:type="dxa"/>
                  <w:tcBorders>
                    <w:tl2br w:val="nil"/>
                    <w:tr2bl w:val="nil"/>
                  </w:tcBorders>
                  <w:shd w:val="clear" w:color="auto" w:fill="auto"/>
                  <w:vAlign w:val="center"/>
                </w:tcPr>
                <w:p w14:paraId="17F1252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1.2096</w:t>
                  </w:r>
                </w:p>
              </w:tc>
              <w:tc>
                <w:tcPr>
                  <w:tcW w:w="620" w:type="dxa"/>
                  <w:vMerge w:val="continue"/>
                  <w:tcBorders>
                    <w:tl2br w:val="nil"/>
                    <w:tr2bl w:val="nil"/>
                  </w:tcBorders>
                  <w:shd w:val="clear" w:color="auto" w:fill="auto"/>
                  <w:vAlign w:val="center"/>
                </w:tcPr>
                <w:p w14:paraId="43E70C4D">
                  <w:pPr>
                    <w:jc w:val="center"/>
                    <w:rPr>
                      <w:rFonts w:hint="eastAsia" w:ascii="宋体" w:hAnsi="宋体" w:eastAsia="宋体" w:cs="宋体"/>
                      <w:i w:val="0"/>
                      <w:iCs w:val="0"/>
                      <w:color w:val="000000"/>
                      <w:sz w:val="21"/>
                      <w:szCs w:val="21"/>
                      <w:u w:val="none"/>
                    </w:rPr>
                  </w:pPr>
                </w:p>
              </w:tc>
              <w:tc>
                <w:tcPr>
                  <w:tcW w:w="596" w:type="dxa"/>
                  <w:vMerge w:val="continue"/>
                  <w:tcBorders>
                    <w:tl2br w:val="nil"/>
                    <w:tr2bl w:val="nil"/>
                  </w:tcBorders>
                  <w:shd w:val="clear" w:color="auto" w:fill="auto"/>
                  <w:vAlign w:val="center"/>
                </w:tcPr>
                <w:p w14:paraId="082F3C51">
                  <w:pPr>
                    <w:jc w:val="center"/>
                    <w:rPr>
                      <w:rFonts w:hint="eastAsia" w:ascii="宋体" w:hAnsi="宋体" w:eastAsia="宋体" w:cs="宋体"/>
                      <w:i w:val="0"/>
                      <w:iCs w:val="0"/>
                      <w:color w:val="000000"/>
                      <w:sz w:val="21"/>
                      <w:szCs w:val="21"/>
                      <w:u w:val="none"/>
                    </w:rPr>
                  </w:pPr>
                </w:p>
              </w:tc>
              <w:tc>
                <w:tcPr>
                  <w:tcW w:w="616" w:type="dxa"/>
                  <w:vMerge w:val="continue"/>
                  <w:tcBorders>
                    <w:tl2br w:val="nil"/>
                    <w:tr2bl w:val="nil"/>
                  </w:tcBorders>
                  <w:shd w:val="clear" w:color="auto" w:fill="auto"/>
                  <w:vAlign w:val="center"/>
                </w:tcPr>
                <w:p w14:paraId="2271E5CD">
                  <w:pPr>
                    <w:jc w:val="center"/>
                    <w:rPr>
                      <w:rFonts w:hint="default" w:ascii="Times New Roman" w:hAnsi="Times New Roman" w:eastAsia="宋体" w:cs="Times New Roman"/>
                      <w:i w:val="0"/>
                      <w:iCs w:val="0"/>
                      <w:color w:val="000000"/>
                      <w:sz w:val="21"/>
                      <w:szCs w:val="21"/>
                      <w:u w:val="none"/>
                    </w:rPr>
                  </w:pPr>
                </w:p>
              </w:tc>
              <w:tc>
                <w:tcPr>
                  <w:tcW w:w="733" w:type="dxa"/>
                  <w:vMerge w:val="continue"/>
                  <w:tcBorders>
                    <w:tl2br w:val="nil"/>
                    <w:tr2bl w:val="nil"/>
                  </w:tcBorders>
                  <w:shd w:val="clear" w:color="auto" w:fill="auto"/>
                  <w:vAlign w:val="center"/>
                </w:tcPr>
                <w:p w14:paraId="1134EE99">
                  <w:pPr>
                    <w:jc w:val="center"/>
                    <w:rPr>
                      <w:rFonts w:hint="eastAsia" w:ascii="宋体" w:hAnsi="宋体" w:eastAsia="宋体" w:cs="宋体"/>
                      <w:i w:val="0"/>
                      <w:iCs w:val="0"/>
                      <w:color w:val="000000"/>
                      <w:sz w:val="21"/>
                      <w:szCs w:val="21"/>
                      <w:u w:val="none"/>
                    </w:rPr>
                  </w:pPr>
                </w:p>
              </w:tc>
              <w:tc>
                <w:tcPr>
                  <w:tcW w:w="669" w:type="dxa"/>
                  <w:vMerge w:val="continue"/>
                  <w:tcBorders>
                    <w:tl2br w:val="nil"/>
                    <w:tr2bl w:val="nil"/>
                  </w:tcBorders>
                  <w:shd w:val="clear" w:color="auto" w:fill="auto"/>
                  <w:vAlign w:val="center"/>
                </w:tcPr>
                <w:p w14:paraId="2ACE6665">
                  <w:pPr>
                    <w:jc w:val="center"/>
                    <w:rPr>
                      <w:rFonts w:hint="default" w:ascii="Times New Roman" w:hAnsi="Times New Roman" w:eastAsia="宋体" w:cs="Times New Roman"/>
                      <w:i w:val="0"/>
                      <w:iCs w:val="0"/>
                      <w:color w:val="000000"/>
                      <w:sz w:val="21"/>
                      <w:szCs w:val="21"/>
                      <w:u w:val="none"/>
                    </w:rPr>
                  </w:pPr>
                </w:p>
              </w:tc>
            </w:tr>
            <w:tr w14:paraId="6900EF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jc w:val="center"/>
              </w:trPr>
              <w:tc>
                <w:tcPr>
                  <w:tcW w:w="740" w:type="dxa"/>
                  <w:vMerge w:val="continue"/>
                  <w:tcBorders>
                    <w:tl2br w:val="nil"/>
                    <w:tr2bl w:val="nil"/>
                  </w:tcBorders>
                  <w:shd w:val="clear" w:color="auto" w:fill="auto"/>
                  <w:vAlign w:val="center"/>
                </w:tcPr>
                <w:p w14:paraId="5DC28ED9">
                  <w:pPr>
                    <w:jc w:val="center"/>
                    <w:rPr>
                      <w:rFonts w:hint="eastAsia" w:ascii="宋体" w:hAnsi="宋体" w:eastAsia="宋体" w:cs="宋体"/>
                      <w:i w:val="0"/>
                      <w:iCs w:val="0"/>
                      <w:color w:val="000000"/>
                      <w:sz w:val="21"/>
                      <w:szCs w:val="21"/>
                      <w:u w:val="none"/>
                    </w:rPr>
                  </w:pPr>
                </w:p>
              </w:tc>
              <w:tc>
                <w:tcPr>
                  <w:tcW w:w="988" w:type="dxa"/>
                  <w:tcBorders>
                    <w:tl2br w:val="nil"/>
                    <w:tr2bl w:val="nil"/>
                  </w:tcBorders>
                  <w:shd w:val="clear" w:color="auto" w:fill="auto"/>
                  <w:vAlign w:val="center"/>
                </w:tcPr>
                <w:p w14:paraId="6175C6E6">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bidi="ar"/>
                      <w14:textFill>
                        <w14:solidFill>
                          <w14:schemeClr w14:val="tx1"/>
                        </w14:solidFill>
                      </w14:textFill>
                    </w:rPr>
                  </w:pP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动植物油</w:t>
                  </w:r>
                </w:p>
              </w:tc>
              <w:tc>
                <w:tcPr>
                  <w:tcW w:w="827" w:type="dxa"/>
                  <w:vMerge w:val="continue"/>
                  <w:tcBorders>
                    <w:tl2br w:val="nil"/>
                    <w:tr2bl w:val="nil"/>
                  </w:tcBorders>
                  <w:shd w:val="clear" w:color="auto" w:fill="auto"/>
                  <w:vAlign w:val="center"/>
                </w:tcPr>
                <w:p w14:paraId="66761F83">
                  <w:pPr>
                    <w:jc w:val="center"/>
                    <w:rPr>
                      <w:rFonts w:hint="default" w:ascii="Times New Roman" w:hAnsi="Times New Roman" w:eastAsia="宋体" w:cs="Times New Roman"/>
                      <w:i w:val="0"/>
                      <w:iCs w:val="0"/>
                      <w:color w:val="000000"/>
                      <w:sz w:val="21"/>
                      <w:szCs w:val="21"/>
                      <w:u w:val="none"/>
                    </w:rPr>
                  </w:pPr>
                </w:p>
              </w:tc>
              <w:tc>
                <w:tcPr>
                  <w:tcW w:w="1020" w:type="dxa"/>
                  <w:tcBorders>
                    <w:tl2br w:val="nil"/>
                    <w:tr2bl w:val="nil"/>
                  </w:tcBorders>
                  <w:shd w:val="clear" w:color="auto" w:fill="auto"/>
                  <w:vAlign w:val="center"/>
                </w:tcPr>
                <w:p w14:paraId="41063C3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50" w:type="dxa"/>
                  <w:tcBorders>
                    <w:tl2br w:val="nil"/>
                    <w:tr2bl w:val="nil"/>
                  </w:tcBorders>
                  <w:shd w:val="clear" w:color="auto" w:fill="auto"/>
                  <w:vAlign w:val="center"/>
                </w:tcPr>
                <w:p w14:paraId="5E306E8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45" w:type="dxa"/>
                  <w:tcBorders>
                    <w:tl2br w:val="nil"/>
                    <w:tr2bl w:val="nil"/>
                  </w:tcBorders>
                  <w:shd w:val="clear" w:color="auto" w:fill="auto"/>
                  <w:vAlign w:val="center"/>
                </w:tcPr>
                <w:p w14:paraId="52F06B4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1.728</w:t>
                  </w:r>
                </w:p>
              </w:tc>
              <w:tc>
                <w:tcPr>
                  <w:tcW w:w="620" w:type="dxa"/>
                  <w:vMerge w:val="continue"/>
                  <w:tcBorders>
                    <w:tl2br w:val="nil"/>
                    <w:tr2bl w:val="nil"/>
                  </w:tcBorders>
                  <w:shd w:val="clear" w:color="auto" w:fill="auto"/>
                  <w:vAlign w:val="center"/>
                </w:tcPr>
                <w:p w14:paraId="0A5EBCFA">
                  <w:pPr>
                    <w:jc w:val="center"/>
                    <w:rPr>
                      <w:rFonts w:hint="eastAsia" w:ascii="宋体" w:hAnsi="宋体" w:eastAsia="宋体" w:cs="宋体"/>
                      <w:i w:val="0"/>
                      <w:iCs w:val="0"/>
                      <w:color w:val="000000"/>
                      <w:sz w:val="21"/>
                      <w:szCs w:val="21"/>
                      <w:u w:val="none"/>
                    </w:rPr>
                  </w:pPr>
                </w:p>
              </w:tc>
              <w:tc>
                <w:tcPr>
                  <w:tcW w:w="596" w:type="dxa"/>
                  <w:vMerge w:val="continue"/>
                  <w:tcBorders>
                    <w:tl2br w:val="nil"/>
                    <w:tr2bl w:val="nil"/>
                  </w:tcBorders>
                  <w:shd w:val="clear" w:color="auto" w:fill="auto"/>
                  <w:vAlign w:val="center"/>
                </w:tcPr>
                <w:p w14:paraId="546C0D2C">
                  <w:pPr>
                    <w:jc w:val="center"/>
                    <w:rPr>
                      <w:rFonts w:hint="eastAsia" w:ascii="宋体" w:hAnsi="宋体" w:eastAsia="宋体" w:cs="宋体"/>
                      <w:i w:val="0"/>
                      <w:iCs w:val="0"/>
                      <w:color w:val="000000"/>
                      <w:sz w:val="21"/>
                      <w:szCs w:val="21"/>
                      <w:u w:val="none"/>
                    </w:rPr>
                  </w:pPr>
                </w:p>
              </w:tc>
              <w:tc>
                <w:tcPr>
                  <w:tcW w:w="616" w:type="dxa"/>
                  <w:vMerge w:val="continue"/>
                  <w:tcBorders>
                    <w:tl2br w:val="nil"/>
                    <w:tr2bl w:val="nil"/>
                  </w:tcBorders>
                  <w:shd w:val="clear" w:color="auto" w:fill="auto"/>
                  <w:vAlign w:val="center"/>
                </w:tcPr>
                <w:p w14:paraId="5737D50A">
                  <w:pPr>
                    <w:jc w:val="center"/>
                    <w:rPr>
                      <w:rFonts w:hint="default" w:ascii="Times New Roman" w:hAnsi="Times New Roman" w:eastAsia="宋体" w:cs="Times New Roman"/>
                      <w:i w:val="0"/>
                      <w:iCs w:val="0"/>
                      <w:color w:val="000000"/>
                      <w:sz w:val="21"/>
                      <w:szCs w:val="21"/>
                      <w:u w:val="none"/>
                    </w:rPr>
                  </w:pPr>
                </w:p>
              </w:tc>
              <w:tc>
                <w:tcPr>
                  <w:tcW w:w="733" w:type="dxa"/>
                  <w:vMerge w:val="continue"/>
                  <w:tcBorders>
                    <w:tl2br w:val="nil"/>
                    <w:tr2bl w:val="nil"/>
                  </w:tcBorders>
                  <w:shd w:val="clear" w:color="auto" w:fill="auto"/>
                  <w:vAlign w:val="center"/>
                </w:tcPr>
                <w:p w14:paraId="787E74DF">
                  <w:pPr>
                    <w:jc w:val="center"/>
                    <w:rPr>
                      <w:rFonts w:hint="eastAsia" w:ascii="宋体" w:hAnsi="宋体" w:eastAsia="宋体" w:cs="宋体"/>
                      <w:i w:val="0"/>
                      <w:iCs w:val="0"/>
                      <w:color w:val="000000"/>
                      <w:sz w:val="21"/>
                      <w:szCs w:val="21"/>
                      <w:u w:val="none"/>
                    </w:rPr>
                  </w:pPr>
                </w:p>
              </w:tc>
              <w:tc>
                <w:tcPr>
                  <w:tcW w:w="669" w:type="dxa"/>
                  <w:vMerge w:val="continue"/>
                  <w:tcBorders>
                    <w:tl2br w:val="nil"/>
                    <w:tr2bl w:val="nil"/>
                  </w:tcBorders>
                  <w:shd w:val="clear" w:color="auto" w:fill="auto"/>
                  <w:vAlign w:val="center"/>
                </w:tcPr>
                <w:p w14:paraId="1B881968">
                  <w:pPr>
                    <w:jc w:val="center"/>
                    <w:rPr>
                      <w:rFonts w:hint="default" w:ascii="Times New Roman" w:hAnsi="Times New Roman" w:eastAsia="宋体" w:cs="Times New Roman"/>
                      <w:i w:val="0"/>
                      <w:iCs w:val="0"/>
                      <w:color w:val="000000"/>
                      <w:sz w:val="21"/>
                      <w:szCs w:val="21"/>
                      <w:u w:val="none"/>
                    </w:rPr>
                  </w:pPr>
                </w:p>
              </w:tc>
            </w:tr>
            <w:tr w14:paraId="0CE1AF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jc w:val="center"/>
              </w:trPr>
              <w:tc>
                <w:tcPr>
                  <w:tcW w:w="740" w:type="dxa"/>
                  <w:vMerge w:val="continue"/>
                  <w:tcBorders>
                    <w:tl2br w:val="nil"/>
                    <w:tr2bl w:val="nil"/>
                  </w:tcBorders>
                  <w:shd w:val="clear" w:color="auto" w:fill="auto"/>
                  <w:vAlign w:val="center"/>
                </w:tcPr>
                <w:p w14:paraId="506AEA5B">
                  <w:pPr>
                    <w:jc w:val="center"/>
                    <w:rPr>
                      <w:rFonts w:hint="eastAsia" w:ascii="宋体" w:hAnsi="宋体" w:eastAsia="宋体" w:cs="宋体"/>
                      <w:i w:val="0"/>
                      <w:iCs w:val="0"/>
                      <w:color w:val="000000"/>
                      <w:sz w:val="21"/>
                      <w:szCs w:val="21"/>
                      <w:u w:val="none"/>
                    </w:rPr>
                  </w:pPr>
                </w:p>
              </w:tc>
              <w:tc>
                <w:tcPr>
                  <w:tcW w:w="988" w:type="dxa"/>
                  <w:tcBorders>
                    <w:tl2br w:val="nil"/>
                    <w:tr2bl w:val="nil"/>
                  </w:tcBorders>
                  <w:shd w:val="clear" w:color="auto" w:fill="auto"/>
                  <w:vAlign w:val="center"/>
                </w:tcPr>
                <w:p w14:paraId="785E9757">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bidi="ar"/>
                      <w14:textFill>
                        <w14:solidFill>
                          <w14:schemeClr w14:val="tx1"/>
                        </w14:solidFill>
                      </w14:textFill>
                    </w:rPr>
                  </w:pP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总磷</w:t>
                  </w:r>
                </w:p>
              </w:tc>
              <w:tc>
                <w:tcPr>
                  <w:tcW w:w="827" w:type="dxa"/>
                  <w:vMerge w:val="continue"/>
                  <w:tcBorders>
                    <w:tl2br w:val="nil"/>
                    <w:tr2bl w:val="nil"/>
                  </w:tcBorders>
                  <w:shd w:val="clear" w:color="auto" w:fill="auto"/>
                  <w:vAlign w:val="center"/>
                </w:tcPr>
                <w:p w14:paraId="1C25F440">
                  <w:pPr>
                    <w:jc w:val="center"/>
                    <w:rPr>
                      <w:rFonts w:hint="default" w:ascii="Times New Roman" w:hAnsi="Times New Roman" w:eastAsia="宋体" w:cs="Times New Roman"/>
                      <w:i w:val="0"/>
                      <w:iCs w:val="0"/>
                      <w:color w:val="000000"/>
                      <w:sz w:val="21"/>
                      <w:szCs w:val="21"/>
                      <w:u w:val="none"/>
                    </w:rPr>
                  </w:pPr>
                </w:p>
              </w:tc>
              <w:tc>
                <w:tcPr>
                  <w:tcW w:w="1020" w:type="dxa"/>
                  <w:tcBorders>
                    <w:tl2br w:val="nil"/>
                    <w:tr2bl w:val="nil"/>
                  </w:tcBorders>
                  <w:shd w:val="clear" w:color="auto" w:fill="auto"/>
                  <w:vAlign w:val="center"/>
                </w:tcPr>
                <w:p w14:paraId="6128BBF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750" w:type="dxa"/>
                  <w:tcBorders>
                    <w:tl2br w:val="nil"/>
                    <w:tr2bl w:val="nil"/>
                  </w:tcBorders>
                  <w:shd w:val="clear" w:color="auto" w:fill="auto"/>
                  <w:vAlign w:val="center"/>
                </w:tcPr>
                <w:p w14:paraId="2123C8E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45" w:type="dxa"/>
                  <w:tcBorders>
                    <w:tl2br w:val="nil"/>
                    <w:tr2bl w:val="nil"/>
                  </w:tcBorders>
                  <w:shd w:val="clear" w:color="auto" w:fill="auto"/>
                  <w:vAlign w:val="center"/>
                </w:tcPr>
                <w:p w14:paraId="6A78F8B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0.13824</w:t>
                  </w:r>
                </w:p>
              </w:tc>
              <w:tc>
                <w:tcPr>
                  <w:tcW w:w="620" w:type="dxa"/>
                  <w:vMerge w:val="continue"/>
                  <w:tcBorders>
                    <w:tl2br w:val="nil"/>
                    <w:tr2bl w:val="nil"/>
                  </w:tcBorders>
                  <w:shd w:val="clear" w:color="auto" w:fill="auto"/>
                  <w:vAlign w:val="center"/>
                </w:tcPr>
                <w:p w14:paraId="6AF2F134">
                  <w:pPr>
                    <w:jc w:val="center"/>
                    <w:rPr>
                      <w:rFonts w:hint="eastAsia" w:ascii="宋体" w:hAnsi="宋体" w:eastAsia="宋体" w:cs="宋体"/>
                      <w:i w:val="0"/>
                      <w:iCs w:val="0"/>
                      <w:color w:val="000000"/>
                      <w:sz w:val="21"/>
                      <w:szCs w:val="21"/>
                      <w:u w:val="none"/>
                    </w:rPr>
                  </w:pPr>
                </w:p>
              </w:tc>
              <w:tc>
                <w:tcPr>
                  <w:tcW w:w="596" w:type="dxa"/>
                  <w:vMerge w:val="continue"/>
                  <w:tcBorders>
                    <w:tl2br w:val="nil"/>
                    <w:tr2bl w:val="nil"/>
                  </w:tcBorders>
                  <w:shd w:val="clear" w:color="auto" w:fill="auto"/>
                  <w:vAlign w:val="center"/>
                </w:tcPr>
                <w:p w14:paraId="08A77DF7">
                  <w:pPr>
                    <w:jc w:val="center"/>
                    <w:rPr>
                      <w:rFonts w:hint="eastAsia" w:ascii="宋体" w:hAnsi="宋体" w:eastAsia="宋体" w:cs="宋体"/>
                      <w:i w:val="0"/>
                      <w:iCs w:val="0"/>
                      <w:color w:val="000000"/>
                      <w:sz w:val="21"/>
                      <w:szCs w:val="21"/>
                      <w:u w:val="none"/>
                    </w:rPr>
                  </w:pPr>
                </w:p>
              </w:tc>
              <w:tc>
                <w:tcPr>
                  <w:tcW w:w="616" w:type="dxa"/>
                  <w:vMerge w:val="continue"/>
                  <w:tcBorders>
                    <w:tl2br w:val="nil"/>
                    <w:tr2bl w:val="nil"/>
                  </w:tcBorders>
                  <w:shd w:val="clear" w:color="auto" w:fill="auto"/>
                  <w:vAlign w:val="center"/>
                </w:tcPr>
                <w:p w14:paraId="4B1AB2AF">
                  <w:pPr>
                    <w:jc w:val="center"/>
                    <w:rPr>
                      <w:rFonts w:hint="default" w:ascii="Times New Roman" w:hAnsi="Times New Roman" w:eastAsia="宋体" w:cs="Times New Roman"/>
                      <w:i w:val="0"/>
                      <w:iCs w:val="0"/>
                      <w:color w:val="000000"/>
                      <w:sz w:val="21"/>
                      <w:szCs w:val="21"/>
                      <w:u w:val="none"/>
                    </w:rPr>
                  </w:pPr>
                </w:p>
              </w:tc>
              <w:tc>
                <w:tcPr>
                  <w:tcW w:w="733" w:type="dxa"/>
                  <w:vMerge w:val="continue"/>
                  <w:tcBorders>
                    <w:tl2br w:val="nil"/>
                    <w:tr2bl w:val="nil"/>
                  </w:tcBorders>
                  <w:shd w:val="clear" w:color="auto" w:fill="auto"/>
                  <w:vAlign w:val="center"/>
                </w:tcPr>
                <w:p w14:paraId="6C593356">
                  <w:pPr>
                    <w:jc w:val="center"/>
                    <w:rPr>
                      <w:rFonts w:hint="eastAsia" w:ascii="宋体" w:hAnsi="宋体" w:eastAsia="宋体" w:cs="宋体"/>
                      <w:i w:val="0"/>
                      <w:iCs w:val="0"/>
                      <w:color w:val="000000"/>
                      <w:sz w:val="21"/>
                      <w:szCs w:val="21"/>
                      <w:u w:val="none"/>
                    </w:rPr>
                  </w:pPr>
                </w:p>
              </w:tc>
              <w:tc>
                <w:tcPr>
                  <w:tcW w:w="669" w:type="dxa"/>
                  <w:vMerge w:val="continue"/>
                  <w:tcBorders>
                    <w:tl2br w:val="nil"/>
                    <w:tr2bl w:val="nil"/>
                  </w:tcBorders>
                  <w:shd w:val="clear" w:color="auto" w:fill="auto"/>
                  <w:vAlign w:val="center"/>
                </w:tcPr>
                <w:p w14:paraId="71F39B14">
                  <w:pPr>
                    <w:jc w:val="center"/>
                    <w:rPr>
                      <w:rFonts w:hint="default" w:ascii="Times New Roman" w:hAnsi="Times New Roman" w:eastAsia="宋体" w:cs="Times New Roman"/>
                      <w:i w:val="0"/>
                      <w:iCs w:val="0"/>
                      <w:color w:val="000000"/>
                      <w:sz w:val="21"/>
                      <w:szCs w:val="21"/>
                      <w:u w:val="none"/>
                    </w:rPr>
                  </w:pPr>
                </w:p>
              </w:tc>
            </w:tr>
          </w:tbl>
          <w:p w14:paraId="6D60F942">
            <w:pPr>
              <w:pStyle w:val="42"/>
              <w:bidi w:val="0"/>
              <w:rPr>
                <w:rFonts w:hint="default" w:ascii="Times New Roman" w:hAnsi="Times New Roman" w:cs="Times New Roman"/>
                <w:color w:val="auto"/>
                <w:sz w:val="24"/>
                <w:szCs w:val="20"/>
                <w:lang w:val="en-US" w:eastAsia="zh-CN"/>
              </w:rPr>
            </w:pPr>
            <w:r>
              <w:rPr>
                <w:rFonts w:hint="eastAsia" w:ascii="Times New Roman" w:hAnsi="Times New Roman" w:cs="Times New Roman"/>
                <w:color w:val="auto"/>
                <w:highlight w:val="none"/>
                <w:lang w:val="en-US" w:eastAsia="zh-CN"/>
              </w:rPr>
              <w:t>根据</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eastAsia="zh-CN"/>
              </w:rPr>
              <w:t>橡胶制品工业污染物排放标准</w:t>
            </w:r>
            <w:r>
              <w:rPr>
                <w:rFonts w:hint="default" w:ascii="Times New Roman" w:hAnsi="Times New Roman" w:eastAsia="宋体" w:cs="Times New Roman"/>
                <w:color w:val="auto"/>
                <w:sz w:val="24"/>
                <w:szCs w:val="20"/>
              </w:rPr>
              <w:t>》（GB</w:t>
            </w:r>
            <w:r>
              <w:rPr>
                <w:rFonts w:hint="default" w:ascii="Times New Roman" w:hAnsi="Times New Roman" w:eastAsia="宋体" w:cs="Times New Roman"/>
                <w:color w:val="auto"/>
                <w:sz w:val="24"/>
                <w:szCs w:val="20"/>
                <w:lang w:val="en-US" w:eastAsia="zh-CN"/>
              </w:rPr>
              <w:t>27632</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val="en-US" w:eastAsia="zh-CN"/>
              </w:rPr>
              <w:t>2011</w:t>
            </w:r>
            <w:r>
              <w:rPr>
                <w:rFonts w:hint="default" w:ascii="Times New Roman" w:hAnsi="Times New Roman" w:eastAsia="宋体" w:cs="Times New Roman"/>
                <w:color w:val="auto"/>
                <w:sz w:val="24"/>
                <w:szCs w:val="20"/>
              </w:rPr>
              <w:t>）</w:t>
            </w:r>
            <w:r>
              <w:rPr>
                <w:rFonts w:hint="eastAsia" w:ascii="Times New Roman" w:hAnsi="Times New Roman" w:cs="Times New Roman"/>
                <w:color w:val="auto"/>
                <w:sz w:val="24"/>
                <w:szCs w:val="20"/>
                <w:lang w:val="en-US" w:eastAsia="zh-CN"/>
              </w:rPr>
              <w:t>基准排水量为7.0m³/t胶，本项目基准排水量为0.65m³/t胶，远低于排放标准规定的基准排水量。</w:t>
            </w:r>
          </w:p>
          <w:p w14:paraId="6F5020B8">
            <w:pPr>
              <w:pStyle w:val="42"/>
              <w:bidi w:val="0"/>
              <w:rPr>
                <w:rFonts w:hint="default" w:ascii="Times New Roman" w:hAnsi="Times New Roman" w:eastAsia="宋体" w:cs="Times New Roman"/>
                <w:color w:val="auto"/>
                <w:sz w:val="24"/>
                <w:szCs w:val="20"/>
                <w:highlight w:val="none"/>
                <w:lang w:eastAsia="zh-CN"/>
              </w:rPr>
            </w:pPr>
            <w:r>
              <w:rPr>
                <w:rFonts w:hint="default" w:ascii="Times New Roman" w:hAnsi="Times New Roman" w:eastAsia="宋体" w:cs="Times New Roman"/>
                <w:color w:val="auto"/>
                <w:sz w:val="24"/>
                <w:szCs w:val="20"/>
                <w:highlight w:val="none"/>
                <w:lang w:eastAsia="zh-CN"/>
              </w:rPr>
              <w:t>项目废水</w:t>
            </w:r>
            <w:r>
              <w:rPr>
                <w:rFonts w:hint="default" w:ascii="Times New Roman" w:hAnsi="Times New Roman" w:eastAsia="宋体" w:cs="Times New Roman"/>
                <w:color w:val="auto"/>
                <w:sz w:val="24"/>
                <w:szCs w:val="20"/>
                <w:highlight w:val="none"/>
              </w:rPr>
              <w:t>经</w:t>
            </w:r>
            <w:r>
              <w:rPr>
                <w:rFonts w:hint="default" w:ascii="Times New Roman" w:hAnsi="Times New Roman" w:eastAsia="宋体" w:cs="Times New Roman"/>
                <w:color w:val="auto"/>
                <w:sz w:val="24"/>
                <w:szCs w:val="20"/>
                <w:highlight w:val="none"/>
                <w:lang w:eastAsia="zh-CN"/>
              </w:rPr>
              <w:t>市政污水管网送</w:t>
            </w:r>
            <w:r>
              <w:rPr>
                <w:rFonts w:hint="default" w:ascii="Times New Roman" w:hAnsi="Times New Roman" w:eastAsia="宋体" w:cs="Times New Roman"/>
                <w:color w:val="auto"/>
                <w:sz w:val="24"/>
                <w:szCs w:val="22"/>
                <w:highlight w:val="none"/>
                <w:lang w:eastAsia="zh-CN"/>
              </w:rPr>
              <w:t>大英县工业污水处理厂</w:t>
            </w:r>
            <w:r>
              <w:rPr>
                <w:rFonts w:hint="default" w:ascii="Times New Roman" w:hAnsi="Times New Roman" w:eastAsia="宋体" w:cs="Times New Roman"/>
                <w:color w:val="auto"/>
                <w:sz w:val="24"/>
                <w:szCs w:val="20"/>
                <w:highlight w:val="none"/>
              </w:rPr>
              <w:t>处理达到</w:t>
            </w:r>
            <w:r>
              <w:rPr>
                <w:rFonts w:hint="eastAsia" w:cs="Times New Roman"/>
                <w:color w:val="auto"/>
                <w:sz w:val="24"/>
                <w:szCs w:val="20"/>
                <w:highlight w:val="none"/>
                <w:lang w:val="en-US" w:eastAsia="zh-CN"/>
              </w:rPr>
              <w:t>园区污水处理厂环评规定的</w:t>
            </w:r>
            <w:r>
              <w:rPr>
                <w:rFonts w:hint="default" w:ascii="Times New Roman" w:hAnsi="Times New Roman" w:eastAsia="宋体" w:cs="Times New Roman"/>
                <w:color w:val="auto"/>
                <w:sz w:val="24"/>
                <w:szCs w:val="24"/>
                <w:highlight w:val="none"/>
              </w:rPr>
              <w:t>《地表水环境质量标准》（GB3838-2002）中Ⅲ类水标准，</w:t>
            </w:r>
            <w:r>
              <w:rPr>
                <w:rFonts w:hint="eastAsia" w:cs="Times New Roman"/>
                <w:color w:val="auto"/>
                <w:sz w:val="24"/>
                <w:szCs w:val="24"/>
                <w:highlight w:val="none"/>
                <w:lang w:val="en-US" w:eastAsia="zh-CN"/>
              </w:rPr>
              <w:t>氨氮达到</w:t>
            </w:r>
            <w:r>
              <w:rPr>
                <w:rFonts w:hint="default" w:ascii="Times New Roman" w:hAnsi="Times New Roman" w:eastAsia="宋体" w:cs="Times New Roman"/>
                <w:color w:val="auto"/>
                <w:sz w:val="24"/>
                <w:szCs w:val="24"/>
                <w:highlight w:val="none"/>
              </w:rPr>
              <w:t>《四川省岷江、沱江流域水污染物排放标准》DB51/2311-2016中“城镇污水处理厂”标准</w:t>
            </w:r>
            <w:r>
              <w:rPr>
                <w:rFonts w:hint="default" w:ascii="Times New Roman" w:hAnsi="Times New Roman" w:eastAsia="宋体" w:cs="Times New Roman"/>
                <w:color w:val="auto"/>
                <w:sz w:val="24"/>
                <w:szCs w:val="20"/>
                <w:highlight w:val="none"/>
              </w:rPr>
              <w:t>排入郪江</w:t>
            </w:r>
            <w:r>
              <w:rPr>
                <w:rFonts w:hint="default" w:ascii="Times New Roman" w:hAnsi="Times New Roman" w:eastAsia="宋体" w:cs="Times New Roman"/>
                <w:color w:val="auto"/>
                <w:sz w:val="24"/>
                <w:szCs w:val="20"/>
                <w:highlight w:val="none"/>
                <w:lang w:eastAsia="zh-CN"/>
              </w:rPr>
              <w:t>。</w:t>
            </w:r>
          </w:p>
          <w:p w14:paraId="04850E09">
            <w:pPr>
              <w:spacing w:line="42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本项目废水经过</w:t>
            </w:r>
            <w:r>
              <w:rPr>
                <w:rFonts w:hint="default" w:ascii="Times New Roman" w:hAnsi="Times New Roman" w:eastAsia="宋体" w:cs="Times New Roman"/>
                <w:color w:val="auto"/>
                <w:sz w:val="24"/>
                <w:szCs w:val="22"/>
                <w:highlight w:val="none"/>
                <w:lang w:eastAsia="zh-CN"/>
              </w:rPr>
              <w:t>大英县工业污水处理厂</w:t>
            </w:r>
            <w:r>
              <w:rPr>
                <w:rFonts w:hint="default" w:ascii="Times New Roman" w:hAnsi="Times New Roman" w:eastAsia="宋体" w:cs="Times New Roman"/>
                <w:color w:val="auto"/>
                <w:sz w:val="24"/>
                <w:szCs w:val="20"/>
                <w:highlight w:val="none"/>
              </w:rPr>
              <w:t>处理后污染物排放情况如下表所示：</w:t>
            </w:r>
          </w:p>
          <w:p w14:paraId="12D86E59">
            <w:pPr>
              <w:adjustRightInd w:val="0"/>
              <w:snapToGrid w:val="0"/>
              <w:spacing w:before="156" w:beforeLines="50" w:line="360" w:lineRule="auto"/>
              <w:ind w:firstLine="0" w:firstLine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4-</w:t>
            </w:r>
            <w:r>
              <w:rPr>
                <w:rFonts w:hint="eastAsia" w:cs="Times New Roman"/>
                <w:b/>
                <w:color w:val="auto"/>
                <w:sz w:val="24"/>
                <w:szCs w:val="24"/>
                <w:highlight w:val="none"/>
                <w:lang w:val="en-US" w:eastAsia="zh-CN"/>
              </w:rPr>
              <w:t>13</w:t>
            </w:r>
            <w:r>
              <w:rPr>
                <w:rFonts w:hint="default" w:ascii="Times New Roman" w:hAnsi="Times New Roman" w:eastAsia="宋体" w:cs="Times New Roman"/>
                <w:b/>
                <w:color w:val="auto"/>
                <w:sz w:val="24"/>
                <w:szCs w:val="24"/>
                <w:highlight w:val="none"/>
              </w:rPr>
              <w:t>本项目水污染物最终排放量一览表</w:t>
            </w:r>
          </w:p>
          <w:tbl>
            <w:tblPr>
              <w:tblStyle w:val="23"/>
              <w:tblW w:w="822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54"/>
              <w:gridCol w:w="922"/>
              <w:gridCol w:w="1000"/>
              <w:gridCol w:w="1029"/>
              <w:gridCol w:w="1039"/>
              <w:gridCol w:w="870"/>
              <w:gridCol w:w="1106"/>
            </w:tblGrid>
            <w:tr w14:paraId="634B02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4" w:hRule="atLeast"/>
                <w:jc w:val="center"/>
              </w:trPr>
              <w:tc>
                <w:tcPr>
                  <w:tcW w:w="2254" w:type="dxa"/>
                  <w:noWrap w:val="0"/>
                  <w:vAlign w:val="center"/>
                </w:tcPr>
                <w:p w14:paraId="350A5459">
                  <w:pPr>
                    <w:spacing w:line="240" w:lineRule="atLeast"/>
                    <w:ind w:firstLine="0" w:firstLineChars="0"/>
                    <w:jc w:val="center"/>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
                      <w:bCs/>
                      <w:color w:val="auto"/>
                      <w:sz w:val="24"/>
                      <w:szCs w:val="21"/>
                      <w:highlight w:val="none"/>
                    </w:rPr>
                    <w:t>项目</w:t>
                  </w:r>
                </w:p>
              </w:tc>
              <w:tc>
                <w:tcPr>
                  <w:tcW w:w="5966" w:type="dxa"/>
                  <w:gridSpan w:val="6"/>
                  <w:noWrap w:val="0"/>
                  <w:vAlign w:val="center"/>
                </w:tcPr>
                <w:p w14:paraId="55059E70">
                  <w:pPr>
                    <w:spacing w:line="240" w:lineRule="atLeast"/>
                    <w:ind w:firstLine="0" w:firstLineChars="0"/>
                    <w:jc w:val="center"/>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rPr>
                    <w:t>排放量</w:t>
                  </w:r>
                </w:p>
              </w:tc>
            </w:tr>
            <w:tr w14:paraId="2CBE40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2254" w:type="dxa"/>
                  <w:noWrap w:val="0"/>
                  <w:vAlign w:val="center"/>
                </w:tcPr>
                <w:p w14:paraId="4B3DDBA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污染因子</w:t>
                  </w:r>
                </w:p>
              </w:tc>
              <w:tc>
                <w:tcPr>
                  <w:tcW w:w="922" w:type="dxa"/>
                  <w:noWrap w:val="0"/>
                  <w:vAlign w:val="center"/>
                </w:tcPr>
                <w:p w14:paraId="37023723">
                  <w:pPr>
                    <w:spacing w:line="240" w:lineRule="atLeas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p>
              </w:tc>
              <w:tc>
                <w:tcPr>
                  <w:tcW w:w="1000" w:type="dxa"/>
                  <w:noWrap w:val="0"/>
                  <w:vAlign w:val="center"/>
                </w:tcPr>
                <w:p w14:paraId="59291C05">
                  <w:pPr>
                    <w:spacing w:line="240" w:lineRule="atLeas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NH</w:t>
                  </w:r>
                  <w:r>
                    <w:rPr>
                      <w:rFonts w:hint="default" w:ascii="Times New Roman" w:hAnsi="Times New Roman" w:eastAsia="宋体" w:cs="Times New Roman"/>
                      <w:b/>
                      <w:bCs/>
                      <w:color w:val="auto"/>
                      <w:sz w:val="21"/>
                      <w:szCs w:val="21"/>
                      <w:highlight w:val="none"/>
                      <w:vertAlign w:val="subscript"/>
                    </w:rPr>
                    <w:t>3</w:t>
                  </w:r>
                  <w:r>
                    <w:rPr>
                      <w:rFonts w:hint="default" w:ascii="Times New Roman" w:hAnsi="Times New Roman" w:eastAsia="宋体" w:cs="Times New Roman"/>
                      <w:b/>
                      <w:bCs/>
                      <w:color w:val="auto"/>
                      <w:sz w:val="21"/>
                      <w:szCs w:val="21"/>
                      <w:highlight w:val="none"/>
                    </w:rPr>
                    <w:t>-N</w:t>
                  </w:r>
                </w:p>
              </w:tc>
              <w:tc>
                <w:tcPr>
                  <w:tcW w:w="1029" w:type="dxa"/>
                  <w:noWrap w:val="0"/>
                  <w:vAlign w:val="center"/>
                </w:tcPr>
                <w:p w14:paraId="16C5F52C">
                  <w:pPr>
                    <w:spacing w:line="240" w:lineRule="atLeas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TN</w:t>
                  </w:r>
                </w:p>
              </w:tc>
              <w:tc>
                <w:tcPr>
                  <w:tcW w:w="1039" w:type="dxa"/>
                  <w:noWrap w:val="0"/>
                  <w:vAlign w:val="center"/>
                </w:tcPr>
                <w:p w14:paraId="58CC1A25">
                  <w:pPr>
                    <w:spacing w:line="240" w:lineRule="atLeas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TP</w:t>
                  </w:r>
                </w:p>
              </w:tc>
              <w:tc>
                <w:tcPr>
                  <w:tcW w:w="870" w:type="dxa"/>
                  <w:noWrap w:val="0"/>
                  <w:vAlign w:val="center"/>
                </w:tcPr>
                <w:p w14:paraId="1AAC66B7">
                  <w:pPr>
                    <w:spacing w:line="240" w:lineRule="atLeas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c>
                <w:tcPr>
                  <w:tcW w:w="1106" w:type="dxa"/>
                  <w:noWrap w:val="0"/>
                  <w:vAlign w:val="center"/>
                </w:tcPr>
                <w:p w14:paraId="0C6C9859">
                  <w:pPr>
                    <w:spacing w:line="240" w:lineRule="atLeas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石油类</w:t>
                  </w:r>
                </w:p>
              </w:tc>
            </w:tr>
            <w:tr w14:paraId="13B3DD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2254" w:type="dxa"/>
                  <w:noWrap w:val="0"/>
                  <w:vAlign w:val="center"/>
                </w:tcPr>
                <w:p w14:paraId="588819B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《地表水环境质量标准》（GB3838-2002）中Ⅲ类水标准</w:t>
                  </w:r>
                </w:p>
              </w:tc>
              <w:tc>
                <w:tcPr>
                  <w:tcW w:w="922" w:type="dxa"/>
                  <w:noWrap w:val="0"/>
                  <w:vAlign w:val="center"/>
                </w:tcPr>
                <w:p w14:paraId="06E3756A">
                  <w:pPr>
                    <w:spacing w:line="240" w:lineRule="atLeast"/>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20mg/L</w:t>
                  </w:r>
                </w:p>
              </w:tc>
              <w:tc>
                <w:tcPr>
                  <w:tcW w:w="1000" w:type="dxa"/>
                  <w:noWrap w:val="0"/>
                  <w:vAlign w:val="center"/>
                </w:tcPr>
                <w:p w14:paraId="0336F4FE">
                  <w:pPr>
                    <w:spacing w:line="240" w:lineRule="atLeast"/>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1029" w:type="dxa"/>
                  <w:noWrap w:val="0"/>
                  <w:vAlign w:val="center"/>
                </w:tcPr>
                <w:p w14:paraId="604D239C">
                  <w:pPr>
                    <w:spacing w:line="240" w:lineRule="atLeast"/>
                    <w:ind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1.0mg/L</w:t>
                  </w:r>
                </w:p>
              </w:tc>
              <w:tc>
                <w:tcPr>
                  <w:tcW w:w="1039" w:type="dxa"/>
                  <w:noWrap w:val="0"/>
                  <w:vAlign w:val="center"/>
                </w:tcPr>
                <w:p w14:paraId="40814B65">
                  <w:pPr>
                    <w:spacing w:line="240" w:lineRule="atLeast"/>
                    <w:ind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0.2mg/L</w:t>
                  </w:r>
                </w:p>
              </w:tc>
              <w:tc>
                <w:tcPr>
                  <w:tcW w:w="870" w:type="dxa"/>
                  <w:noWrap w:val="0"/>
                  <w:vAlign w:val="center"/>
                </w:tcPr>
                <w:p w14:paraId="7397F8D5">
                  <w:pPr>
                    <w:spacing w:line="240" w:lineRule="atLeast"/>
                    <w:ind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4mg/L</w:t>
                  </w:r>
                </w:p>
              </w:tc>
              <w:tc>
                <w:tcPr>
                  <w:tcW w:w="1106" w:type="dxa"/>
                  <w:noWrap w:val="0"/>
                  <w:vAlign w:val="center"/>
                </w:tcPr>
                <w:p w14:paraId="1E398C5C">
                  <w:pPr>
                    <w:spacing w:line="240" w:lineRule="atLeast"/>
                    <w:ind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0.05mg/L</w:t>
                  </w:r>
                </w:p>
              </w:tc>
            </w:tr>
            <w:tr w14:paraId="27CFAF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2254" w:type="dxa"/>
                  <w:noWrap w:val="0"/>
                  <w:vAlign w:val="center"/>
                </w:tcPr>
                <w:p w14:paraId="14A389D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《四川省岷江、沱江流域水污染物排放标准》</w:t>
                  </w:r>
                  <w:r>
                    <w:rPr>
                      <w:rFonts w:hint="default" w:ascii="Times New Roman" w:hAnsi="Times New Roman" w:eastAsia="宋体" w:cs="Times New Roman"/>
                      <w:bCs/>
                      <w:color w:val="auto"/>
                      <w:sz w:val="21"/>
                      <w:szCs w:val="21"/>
                      <w:highlight w:val="none"/>
                    </w:rPr>
                    <w:t>DB51/2311-2016</w:t>
                  </w:r>
                </w:p>
              </w:tc>
              <w:tc>
                <w:tcPr>
                  <w:tcW w:w="922" w:type="dxa"/>
                  <w:noWrap w:val="0"/>
                  <w:vAlign w:val="center"/>
                </w:tcPr>
                <w:p w14:paraId="739675BD">
                  <w:pPr>
                    <w:spacing w:line="240" w:lineRule="atLeast"/>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1000" w:type="dxa"/>
                  <w:noWrap w:val="0"/>
                  <w:vAlign w:val="center"/>
                </w:tcPr>
                <w:p w14:paraId="77B88DC1">
                  <w:pPr>
                    <w:spacing w:line="240" w:lineRule="atLeast"/>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rPr>
                    <w:t>5mg/L</w:t>
                  </w:r>
                </w:p>
              </w:tc>
              <w:tc>
                <w:tcPr>
                  <w:tcW w:w="1029" w:type="dxa"/>
                  <w:noWrap w:val="0"/>
                  <w:vAlign w:val="center"/>
                </w:tcPr>
                <w:p w14:paraId="03A5669D">
                  <w:pPr>
                    <w:spacing w:line="240" w:lineRule="atLeast"/>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1039" w:type="dxa"/>
                  <w:noWrap w:val="0"/>
                  <w:vAlign w:val="center"/>
                </w:tcPr>
                <w:p w14:paraId="7C5B7D25">
                  <w:pPr>
                    <w:spacing w:line="240" w:lineRule="atLeast"/>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870" w:type="dxa"/>
                  <w:noWrap w:val="0"/>
                  <w:vAlign w:val="center"/>
                </w:tcPr>
                <w:p w14:paraId="10439A1C">
                  <w:pPr>
                    <w:spacing w:line="240" w:lineRule="atLeast"/>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1106" w:type="dxa"/>
                  <w:noWrap w:val="0"/>
                  <w:vAlign w:val="center"/>
                </w:tcPr>
                <w:p w14:paraId="5146F8C3">
                  <w:pPr>
                    <w:spacing w:line="240" w:lineRule="atLeast"/>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r>
            <w:tr w14:paraId="04EB35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2254" w:type="dxa"/>
                  <w:noWrap w:val="0"/>
                  <w:vAlign w:val="center"/>
                </w:tcPr>
                <w:p w14:paraId="76A4989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排放量</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t</w:t>
                  </w:r>
                  <w:r>
                    <w:rPr>
                      <w:rFonts w:hint="default" w:ascii="Times New Roman" w:hAnsi="Times New Roman" w:eastAsia="宋体" w:cs="Times New Roman"/>
                      <w:bCs/>
                      <w:color w:val="auto"/>
                      <w:sz w:val="21"/>
                      <w:szCs w:val="21"/>
                      <w:highlight w:val="none"/>
                      <w:lang w:eastAsia="zh-CN"/>
                    </w:rPr>
                    <w:t>）</w:t>
                  </w:r>
                </w:p>
                <w:p w14:paraId="40B0AF7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废水</w:t>
                  </w:r>
                  <w:r>
                    <w:rPr>
                      <w:rFonts w:hint="eastAsia" w:cs="Times New Roman"/>
                      <w:bCs/>
                      <w:color w:val="auto"/>
                      <w:sz w:val="21"/>
                      <w:szCs w:val="21"/>
                      <w:highlight w:val="none"/>
                      <w:lang w:val="en-US" w:eastAsia="zh-CN"/>
                    </w:rPr>
                    <w:t>19080</w:t>
                  </w:r>
                  <w:r>
                    <w:rPr>
                      <w:rFonts w:hint="default" w:ascii="Times New Roman" w:hAnsi="Times New Roman" w:eastAsia="宋体" w:cs="Times New Roman"/>
                      <w:bCs/>
                      <w:color w:val="auto"/>
                      <w:sz w:val="21"/>
                      <w:szCs w:val="21"/>
                      <w:highlight w:val="none"/>
                    </w:rPr>
                    <w:t>t/a</w:t>
                  </w:r>
                  <w:r>
                    <w:rPr>
                      <w:rFonts w:hint="default" w:ascii="Times New Roman" w:hAnsi="Times New Roman" w:eastAsia="宋体" w:cs="Times New Roman"/>
                      <w:bCs/>
                      <w:color w:val="auto"/>
                      <w:sz w:val="21"/>
                      <w:szCs w:val="21"/>
                      <w:highlight w:val="none"/>
                      <w:lang w:eastAsia="zh-CN"/>
                    </w:rPr>
                    <w:t>）</w:t>
                  </w:r>
                </w:p>
              </w:tc>
              <w:tc>
                <w:tcPr>
                  <w:tcW w:w="922" w:type="dxa"/>
                  <w:noWrap w:val="0"/>
                  <w:vAlign w:val="center"/>
                </w:tcPr>
                <w:p w14:paraId="52B40B98">
                  <w:pPr>
                    <w:keepNext w:val="0"/>
                    <w:keepLines w:val="0"/>
                    <w:widowControl/>
                    <w:suppressLineNumbers w:val="0"/>
                    <w:jc w:val="center"/>
                    <w:textAlignment w:val="center"/>
                    <w:rPr>
                      <w:rFonts w:hint="default" w:ascii="Times New Roman" w:hAnsi="Times New Roman" w:eastAsia="宋体" w:cs="Times New Roman"/>
                      <w:bCs w:val="0"/>
                      <w:color w:val="auto"/>
                      <w:kern w:val="0"/>
                      <w:sz w:val="21"/>
                      <w:szCs w:val="21"/>
                      <w:highlight w:val="none"/>
                      <w:u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0.3816 </w:t>
                  </w:r>
                </w:p>
              </w:tc>
              <w:tc>
                <w:tcPr>
                  <w:tcW w:w="1000" w:type="dxa"/>
                  <w:noWrap w:val="0"/>
                  <w:vAlign w:val="center"/>
                </w:tcPr>
                <w:p w14:paraId="2DC7AAE9">
                  <w:pPr>
                    <w:keepNext w:val="0"/>
                    <w:keepLines w:val="0"/>
                    <w:widowControl/>
                    <w:suppressLineNumbers w:val="0"/>
                    <w:jc w:val="center"/>
                    <w:textAlignment w:val="center"/>
                    <w:rPr>
                      <w:rFonts w:hint="default" w:ascii="Times New Roman" w:hAnsi="Times New Roman" w:eastAsia="宋体" w:cs="Times New Roman"/>
                      <w:bCs w:val="0"/>
                      <w:color w:val="auto"/>
                      <w:kern w:val="0"/>
                      <w:sz w:val="21"/>
                      <w:szCs w:val="21"/>
                      <w:highlight w:val="none"/>
                      <w:u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0.0286 </w:t>
                  </w:r>
                </w:p>
              </w:tc>
              <w:tc>
                <w:tcPr>
                  <w:tcW w:w="1029" w:type="dxa"/>
                  <w:noWrap w:val="0"/>
                  <w:vAlign w:val="center"/>
                </w:tcPr>
                <w:p w14:paraId="58729AFA">
                  <w:pPr>
                    <w:keepNext w:val="0"/>
                    <w:keepLines w:val="0"/>
                    <w:widowControl/>
                    <w:suppressLineNumbers w:val="0"/>
                    <w:jc w:val="center"/>
                    <w:textAlignment w:val="center"/>
                    <w:rPr>
                      <w:rFonts w:hint="default" w:ascii="Times New Roman" w:hAnsi="Times New Roman" w:eastAsia="宋体" w:cs="Times New Roman"/>
                      <w:bCs w:val="0"/>
                      <w:color w:val="auto"/>
                      <w:kern w:val="0"/>
                      <w:sz w:val="21"/>
                      <w:szCs w:val="21"/>
                      <w:highlight w:val="none"/>
                      <w:u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0.0191 </w:t>
                  </w:r>
                </w:p>
              </w:tc>
              <w:tc>
                <w:tcPr>
                  <w:tcW w:w="1039" w:type="dxa"/>
                  <w:noWrap w:val="0"/>
                  <w:vAlign w:val="center"/>
                </w:tcPr>
                <w:p w14:paraId="01454ACB">
                  <w:pPr>
                    <w:keepNext w:val="0"/>
                    <w:keepLines w:val="0"/>
                    <w:widowControl/>
                    <w:suppressLineNumbers w:val="0"/>
                    <w:jc w:val="center"/>
                    <w:textAlignment w:val="center"/>
                    <w:rPr>
                      <w:rFonts w:hint="default" w:ascii="Times New Roman" w:hAnsi="Times New Roman" w:eastAsia="宋体" w:cs="Times New Roman"/>
                      <w:bCs w:val="0"/>
                      <w:color w:val="auto"/>
                      <w:kern w:val="0"/>
                      <w:sz w:val="21"/>
                      <w:szCs w:val="21"/>
                      <w:highlight w:val="none"/>
                      <w:u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0.0038 </w:t>
                  </w:r>
                </w:p>
              </w:tc>
              <w:tc>
                <w:tcPr>
                  <w:tcW w:w="870" w:type="dxa"/>
                  <w:noWrap w:val="0"/>
                  <w:vAlign w:val="center"/>
                </w:tcPr>
                <w:p w14:paraId="6B311CB0">
                  <w:pPr>
                    <w:keepNext w:val="0"/>
                    <w:keepLines w:val="0"/>
                    <w:widowControl/>
                    <w:suppressLineNumbers w:val="0"/>
                    <w:jc w:val="center"/>
                    <w:textAlignment w:val="center"/>
                    <w:rPr>
                      <w:rFonts w:hint="default" w:ascii="Times New Roman" w:hAnsi="Times New Roman" w:eastAsia="宋体" w:cs="Times New Roman"/>
                      <w:bCs w:val="0"/>
                      <w:color w:val="auto"/>
                      <w:kern w:val="0"/>
                      <w:sz w:val="21"/>
                      <w:szCs w:val="21"/>
                      <w:highlight w:val="none"/>
                      <w:u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0.0763 </w:t>
                  </w:r>
                </w:p>
              </w:tc>
              <w:tc>
                <w:tcPr>
                  <w:tcW w:w="1106" w:type="dxa"/>
                  <w:noWrap w:val="0"/>
                  <w:vAlign w:val="center"/>
                </w:tcPr>
                <w:p w14:paraId="7D915744">
                  <w:pPr>
                    <w:keepNext w:val="0"/>
                    <w:keepLines w:val="0"/>
                    <w:widowControl/>
                    <w:suppressLineNumbers w:val="0"/>
                    <w:jc w:val="center"/>
                    <w:textAlignment w:val="center"/>
                    <w:rPr>
                      <w:rFonts w:hint="default" w:ascii="Times New Roman" w:hAnsi="Times New Roman" w:eastAsia="宋体" w:cs="Times New Roman"/>
                      <w:bCs w:val="0"/>
                      <w:color w:val="auto"/>
                      <w:kern w:val="0"/>
                      <w:sz w:val="21"/>
                      <w:szCs w:val="21"/>
                      <w:highlight w:val="none"/>
                      <w:u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0.0010 </w:t>
                  </w:r>
                </w:p>
              </w:tc>
            </w:tr>
          </w:tbl>
          <w:p w14:paraId="4ADB3B10">
            <w:pPr>
              <w:widowControl w:val="0"/>
              <w:spacing w:after="120" w:line="360" w:lineRule="auto"/>
              <w:ind w:firstLine="480" w:firstLineChars="200"/>
              <w:jc w:val="both"/>
              <w:rPr>
                <w:rFonts w:hint="default" w:ascii="Times New Roman" w:hAnsi="Times New Roman" w:eastAsia="宋体" w:cs="Times New Roman"/>
                <w:b/>
                <w:bCs/>
                <w:color w:val="auto"/>
                <w:kern w:val="2"/>
                <w:sz w:val="24"/>
                <w:highlight w:val="none"/>
                <w:lang w:val="en-US" w:eastAsia="zh-CN" w:bidi="ar-SA"/>
              </w:rPr>
            </w:pPr>
            <w:r>
              <w:rPr>
                <w:rFonts w:hint="eastAsia" w:cs="Times New Roman"/>
                <w:color w:val="auto"/>
                <w:sz w:val="24"/>
                <w:szCs w:val="20"/>
                <w:highlight w:val="none"/>
                <w:lang w:val="en-US" w:eastAsia="zh-CN"/>
              </w:rPr>
              <w:t xml:space="preserve"> </w:t>
            </w:r>
            <w:r>
              <w:rPr>
                <w:rFonts w:hint="default" w:ascii="Times New Roman" w:hAnsi="Times New Roman" w:eastAsia="宋体" w:cs="Times New Roman"/>
                <w:b/>
                <w:bCs/>
                <w:color w:val="auto"/>
                <w:kern w:val="2"/>
                <w:sz w:val="24"/>
                <w:highlight w:val="none"/>
                <w:lang w:val="en-US" w:eastAsia="zh-CN" w:bidi="ar-SA"/>
              </w:rPr>
              <w:t>②</w:t>
            </w:r>
            <w:r>
              <w:rPr>
                <w:rFonts w:hint="eastAsia" w:cs="Times New Roman"/>
                <w:b/>
                <w:bCs/>
                <w:color w:val="auto"/>
                <w:kern w:val="2"/>
                <w:sz w:val="24"/>
                <w:highlight w:val="none"/>
                <w:lang w:val="en-US" w:eastAsia="zh-CN" w:bidi="ar-SA"/>
              </w:rPr>
              <w:t>生活污水处理</w:t>
            </w:r>
            <w:r>
              <w:rPr>
                <w:rFonts w:hint="default" w:ascii="Times New Roman" w:hAnsi="Times New Roman" w:eastAsia="宋体" w:cs="Times New Roman"/>
                <w:b/>
                <w:bCs/>
                <w:color w:val="auto"/>
                <w:kern w:val="2"/>
                <w:sz w:val="24"/>
                <w:highlight w:val="none"/>
                <w:lang w:val="en-US" w:eastAsia="zh-CN" w:bidi="ar-SA"/>
              </w:rPr>
              <w:t>可行性分析</w:t>
            </w:r>
          </w:p>
          <w:p w14:paraId="696C4626">
            <w:pPr>
              <w:widowControl w:val="0"/>
              <w:spacing w:after="120" w:line="360" w:lineRule="auto"/>
              <w:ind w:firstLine="482" w:firstLineChars="200"/>
              <w:jc w:val="both"/>
              <w:rPr>
                <w:rFonts w:hint="default" w:ascii="Times New Roman" w:hAnsi="Times New Roman" w:eastAsia="宋体" w:cs="Times New Roman"/>
                <w:b/>
                <w:bCs/>
                <w:color w:val="auto"/>
                <w:kern w:val="2"/>
                <w:sz w:val="24"/>
                <w:highlight w:val="none"/>
                <w:lang w:val="en-US" w:eastAsia="zh-CN" w:bidi="ar-SA"/>
              </w:rPr>
            </w:pPr>
            <w:r>
              <w:rPr>
                <w:rFonts w:hint="default" w:ascii="Times New Roman" w:hAnsi="Times New Roman" w:eastAsia="宋体" w:cs="Times New Roman"/>
                <w:b/>
                <w:bCs/>
                <w:color w:val="auto"/>
                <w:kern w:val="2"/>
                <w:sz w:val="24"/>
                <w:highlight w:val="none"/>
                <w:lang w:val="en-US" w:eastAsia="zh-CN" w:bidi="ar-SA"/>
              </w:rPr>
              <w:t>厂区</w:t>
            </w:r>
            <w:r>
              <w:rPr>
                <w:rFonts w:hint="eastAsia" w:cs="Times New Roman"/>
                <w:b/>
                <w:bCs/>
                <w:color w:val="auto"/>
                <w:kern w:val="2"/>
                <w:sz w:val="24"/>
                <w:highlight w:val="none"/>
                <w:lang w:val="en-US" w:eastAsia="zh-CN" w:bidi="ar-SA"/>
              </w:rPr>
              <w:t>生活污水化粪池</w:t>
            </w:r>
            <w:r>
              <w:rPr>
                <w:rFonts w:hint="default" w:ascii="Times New Roman" w:hAnsi="Times New Roman" w:eastAsia="宋体" w:cs="Times New Roman"/>
                <w:b/>
                <w:bCs/>
                <w:color w:val="auto"/>
                <w:kern w:val="2"/>
                <w:sz w:val="24"/>
                <w:highlight w:val="none"/>
                <w:lang w:val="en-US" w:eastAsia="zh-CN" w:bidi="ar-SA"/>
              </w:rPr>
              <w:t>可行性：</w:t>
            </w:r>
          </w:p>
          <w:p w14:paraId="604ABFE2">
            <w:pPr>
              <w:keepNext w:val="0"/>
              <w:keepLines w:val="0"/>
              <w:pageBreakBefore w:val="0"/>
              <w:widowControl w:val="0"/>
              <w:kinsoku/>
              <w:wordWrap/>
              <w:overflowPunct/>
              <w:topLinePunct w:val="0"/>
              <w:autoSpaceDE/>
              <w:autoSpaceDN/>
              <w:bidi w:val="0"/>
              <w:adjustRightInd/>
              <w:snapToGrid/>
              <w:spacing w:line="420" w:lineRule="auto"/>
              <w:ind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eastAsia="zh-CN"/>
              </w:rPr>
              <w:t>本项目</w:t>
            </w:r>
            <w:r>
              <w:rPr>
                <w:rFonts w:hint="eastAsia" w:cs="Times New Roman"/>
                <w:color w:val="auto"/>
                <w:sz w:val="24"/>
                <w:szCs w:val="22"/>
                <w:highlight w:val="none"/>
                <w:lang w:val="en-US" w:eastAsia="zh-CN"/>
              </w:rPr>
              <w:t>厂区</w:t>
            </w:r>
            <w:r>
              <w:rPr>
                <w:rFonts w:hint="default" w:ascii="Times New Roman" w:hAnsi="Times New Roman" w:eastAsia="宋体" w:cs="Times New Roman"/>
                <w:color w:val="auto"/>
                <w:sz w:val="24"/>
                <w:szCs w:val="22"/>
                <w:highlight w:val="none"/>
                <w:lang w:eastAsia="zh-CN"/>
              </w:rPr>
              <w:t>已建设了</w:t>
            </w:r>
            <w:r>
              <w:rPr>
                <w:rFonts w:hint="eastAsia" w:cs="Times New Roman"/>
                <w:color w:val="auto"/>
                <w:sz w:val="24"/>
                <w:szCs w:val="22"/>
                <w:highlight w:val="none"/>
                <w:lang w:val="en-US" w:eastAsia="zh-CN"/>
              </w:rPr>
              <w:t>100</w:t>
            </w:r>
            <w:r>
              <w:rPr>
                <w:rFonts w:hint="default" w:ascii="Times New Roman" w:hAnsi="Times New Roman" w:eastAsia="宋体" w:cs="Times New Roman"/>
                <w:color w:val="auto"/>
                <w:sz w:val="24"/>
                <w:szCs w:val="22"/>
                <w:highlight w:val="none"/>
                <w:lang w:val="en-US" w:eastAsia="zh-CN"/>
              </w:rPr>
              <w:t>m³</w:t>
            </w:r>
            <w:r>
              <w:rPr>
                <w:rFonts w:hint="eastAsia" w:cs="Times New Roman"/>
                <w:color w:val="auto"/>
                <w:sz w:val="24"/>
                <w:szCs w:val="22"/>
                <w:highlight w:val="none"/>
                <w:lang w:val="en-US" w:eastAsia="zh-CN"/>
              </w:rPr>
              <w:t>/d处理能力的</w:t>
            </w:r>
            <w:r>
              <w:rPr>
                <w:rFonts w:hint="default" w:ascii="Times New Roman" w:hAnsi="Times New Roman" w:eastAsia="宋体" w:cs="Times New Roman"/>
                <w:color w:val="auto"/>
                <w:sz w:val="24"/>
                <w:szCs w:val="22"/>
                <w:highlight w:val="none"/>
                <w:lang w:val="en-US" w:eastAsia="zh-CN"/>
              </w:rPr>
              <w:t>的</w:t>
            </w:r>
            <w:r>
              <w:rPr>
                <w:rFonts w:hint="eastAsia" w:cs="Times New Roman"/>
                <w:color w:val="auto"/>
                <w:sz w:val="24"/>
                <w:szCs w:val="22"/>
                <w:highlight w:val="none"/>
                <w:lang w:val="en-US" w:eastAsia="zh-CN"/>
              </w:rPr>
              <w:t>生活污水化粪池一处</w:t>
            </w:r>
            <w:r>
              <w:rPr>
                <w:rFonts w:hint="default" w:ascii="Times New Roman" w:hAnsi="Times New Roman" w:eastAsia="宋体" w:cs="Times New Roman"/>
                <w:color w:val="auto"/>
                <w:sz w:val="24"/>
                <w:szCs w:val="22"/>
                <w:highlight w:val="none"/>
                <w:lang w:val="en-US" w:eastAsia="zh-CN"/>
              </w:rPr>
              <w:t>，</w:t>
            </w:r>
            <w:r>
              <w:rPr>
                <w:rFonts w:hint="eastAsia" w:cs="Times New Roman"/>
                <w:color w:val="auto"/>
                <w:sz w:val="24"/>
                <w:szCs w:val="22"/>
                <w:highlight w:val="none"/>
                <w:lang w:val="en-US" w:eastAsia="zh-CN"/>
              </w:rPr>
              <w:t>生活污水化粪池</w:t>
            </w:r>
            <w:r>
              <w:rPr>
                <w:rFonts w:hint="default" w:ascii="Times New Roman" w:hAnsi="Times New Roman" w:eastAsia="宋体" w:cs="Times New Roman"/>
                <w:color w:val="auto"/>
                <w:sz w:val="24"/>
                <w:szCs w:val="22"/>
                <w:highlight w:val="none"/>
                <w:lang w:val="en-US" w:eastAsia="zh-CN"/>
              </w:rPr>
              <w:t>主要处理工艺为厌氧处理（三格结构）及漂浮物隔离。本项目</w:t>
            </w:r>
            <w:r>
              <w:rPr>
                <w:rFonts w:hint="eastAsia" w:cs="Times New Roman"/>
                <w:color w:val="auto"/>
                <w:sz w:val="24"/>
                <w:szCs w:val="22"/>
                <w:highlight w:val="none"/>
                <w:lang w:val="en-US" w:eastAsia="zh-CN"/>
              </w:rPr>
              <w:t>生活污水</w:t>
            </w:r>
            <w:r>
              <w:rPr>
                <w:rFonts w:hint="default" w:ascii="Times New Roman" w:hAnsi="Times New Roman" w:eastAsia="宋体" w:cs="Times New Roman"/>
                <w:color w:val="auto"/>
                <w:sz w:val="24"/>
                <w:szCs w:val="22"/>
                <w:highlight w:val="none"/>
                <w:lang w:val="en-US" w:eastAsia="zh-CN"/>
              </w:rPr>
              <w:t>产生</w:t>
            </w:r>
            <w:r>
              <w:rPr>
                <w:rFonts w:hint="eastAsia" w:cs="Times New Roman"/>
                <w:color w:val="auto"/>
                <w:sz w:val="24"/>
                <w:szCs w:val="22"/>
                <w:highlight w:val="none"/>
                <w:lang w:val="en-US" w:eastAsia="zh-CN"/>
              </w:rPr>
              <w:t>量</w:t>
            </w:r>
            <w:r>
              <w:rPr>
                <w:rFonts w:hint="default" w:ascii="Times New Roman" w:hAnsi="Times New Roman" w:eastAsia="宋体" w:cs="Times New Roman"/>
                <w:color w:val="auto"/>
                <w:sz w:val="24"/>
                <w:szCs w:val="22"/>
                <w:highlight w:val="none"/>
                <w:lang w:val="en-US" w:eastAsia="zh-CN"/>
              </w:rPr>
              <w:t>约为</w:t>
            </w:r>
            <w:r>
              <w:rPr>
                <w:rFonts w:hint="eastAsia" w:cs="Times New Roman"/>
                <w:color w:val="auto"/>
                <w:sz w:val="24"/>
                <w:szCs w:val="20"/>
                <w:highlight w:val="none"/>
                <w:lang w:val="en-US" w:eastAsia="zh-CN"/>
              </w:rPr>
              <w:t>57.6</w:t>
            </w:r>
            <w:r>
              <w:rPr>
                <w:rFonts w:hint="default" w:ascii="Times New Roman" w:hAnsi="Times New Roman" w:eastAsia="宋体" w:cs="Times New Roman"/>
                <w:color w:val="auto"/>
                <w:sz w:val="24"/>
                <w:szCs w:val="22"/>
                <w:highlight w:val="none"/>
                <w:lang w:val="en-US" w:eastAsia="zh-CN"/>
              </w:rPr>
              <w:t>m³/d，项目已建的</w:t>
            </w:r>
            <w:r>
              <w:rPr>
                <w:rFonts w:hint="eastAsia" w:cs="Times New Roman"/>
                <w:color w:val="auto"/>
                <w:sz w:val="24"/>
                <w:szCs w:val="22"/>
                <w:highlight w:val="none"/>
                <w:lang w:val="en-US" w:eastAsia="zh-CN"/>
              </w:rPr>
              <w:t>生活污水化粪池</w:t>
            </w:r>
            <w:r>
              <w:rPr>
                <w:rFonts w:hint="default" w:ascii="Times New Roman" w:hAnsi="Times New Roman" w:eastAsia="宋体" w:cs="Times New Roman"/>
                <w:color w:val="auto"/>
                <w:sz w:val="24"/>
                <w:szCs w:val="22"/>
                <w:highlight w:val="none"/>
                <w:lang w:val="en-US" w:eastAsia="zh-CN"/>
              </w:rPr>
              <w:t>有足够的容积收纳和处理本项目的</w:t>
            </w:r>
            <w:r>
              <w:rPr>
                <w:rFonts w:hint="eastAsia" w:cs="Times New Roman"/>
                <w:color w:val="auto"/>
                <w:sz w:val="24"/>
                <w:szCs w:val="22"/>
                <w:highlight w:val="none"/>
                <w:lang w:val="en-US" w:eastAsia="zh-CN"/>
              </w:rPr>
              <w:t>生活污水</w:t>
            </w:r>
            <w:r>
              <w:rPr>
                <w:rFonts w:hint="default" w:ascii="Times New Roman" w:hAnsi="Times New Roman" w:eastAsia="宋体" w:cs="Times New Roman"/>
                <w:color w:val="auto"/>
                <w:sz w:val="24"/>
                <w:szCs w:val="22"/>
                <w:highlight w:val="none"/>
                <w:lang w:val="en-US" w:eastAsia="zh-CN"/>
              </w:rPr>
              <w:t>。项目生活废水经过</w:t>
            </w:r>
            <w:r>
              <w:rPr>
                <w:rFonts w:hint="eastAsia" w:cs="Times New Roman"/>
                <w:color w:val="auto"/>
                <w:sz w:val="24"/>
                <w:szCs w:val="22"/>
                <w:highlight w:val="none"/>
                <w:lang w:val="en-US" w:eastAsia="zh-CN"/>
              </w:rPr>
              <w:t>化粪池</w:t>
            </w:r>
            <w:r>
              <w:rPr>
                <w:rFonts w:hint="default" w:ascii="Times New Roman" w:hAnsi="Times New Roman" w:eastAsia="宋体" w:cs="Times New Roman"/>
                <w:color w:val="auto"/>
                <w:sz w:val="24"/>
                <w:szCs w:val="22"/>
                <w:highlight w:val="none"/>
                <w:lang w:val="en-US" w:eastAsia="zh-CN"/>
              </w:rPr>
              <w:t>处理后排入市政污水管网送大英县工业污水处理厂处理。</w:t>
            </w:r>
          </w:p>
          <w:p w14:paraId="5A67FAEE">
            <w:pPr>
              <w:tabs>
                <w:tab w:val="left" w:pos="820"/>
              </w:tabs>
              <w:spacing w:line="420" w:lineRule="auto"/>
              <w:ind w:firstLine="482" w:firstLineChars="200"/>
              <w:rPr>
                <w:rFonts w:hint="default" w:ascii="Times New Roman" w:hAnsi="Times New Roman" w:eastAsia="宋体" w:cs="Times New Roman"/>
                <w:b/>
                <w:bCs/>
                <w:color w:val="auto"/>
                <w:sz w:val="24"/>
                <w:szCs w:val="20"/>
                <w:highlight w:val="none"/>
              </w:rPr>
            </w:pPr>
            <w:r>
              <w:rPr>
                <w:rFonts w:hint="default" w:ascii="Times New Roman" w:hAnsi="Times New Roman" w:eastAsia="宋体" w:cs="Times New Roman"/>
                <w:b/>
                <w:bCs/>
                <w:color w:val="auto"/>
                <w:sz w:val="24"/>
                <w:szCs w:val="20"/>
                <w:highlight w:val="none"/>
                <w:lang w:eastAsia="zh-CN"/>
              </w:rPr>
              <w:t>大英县工业污水处理厂</w:t>
            </w:r>
            <w:r>
              <w:rPr>
                <w:rFonts w:hint="default" w:ascii="Times New Roman" w:hAnsi="Times New Roman" w:eastAsia="宋体" w:cs="Times New Roman"/>
                <w:b/>
                <w:bCs/>
                <w:color w:val="auto"/>
                <w:sz w:val="24"/>
                <w:szCs w:val="20"/>
                <w:highlight w:val="none"/>
              </w:rPr>
              <w:t>处理措施可行性如下：</w:t>
            </w:r>
          </w:p>
          <w:p w14:paraId="223A2816">
            <w:pPr>
              <w:spacing w:line="42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①</w:t>
            </w:r>
            <w:r>
              <w:rPr>
                <w:rFonts w:hint="default" w:ascii="Times New Roman" w:hAnsi="Times New Roman" w:eastAsia="宋体" w:cs="Times New Roman"/>
                <w:color w:val="auto"/>
                <w:sz w:val="24"/>
                <w:szCs w:val="20"/>
                <w:highlight w:val="none"/>
                <w:lang w:eastAsia="zh-CN"/>
              </w:rPr>
              <w:t>大英县工业污水处理厂</w:t>
            </w:r>
            <w:r>
              <w:rPr>
                <w:rFonts w:hint="default" w:ascii="Times New Roman" w:hAnsi="Times New Roman" w:eastAsia="宋体" w:cs="Times New Roman"/>
                <w:color w:val="auto"/>
                <w:sz w:val="24"/>
                <w:szCs w:val="24"/>
                <w:highlight w:val="none"/>
              </w:rPr>
              <w:t>服务范围为大英工业园区</w:t>
            </w:r>
            <w:r>
              <w:rPr>
                <w:rFonts w:hint="default" w:ascii="Times New Roman" w:hAnsi="Times New Roman" w:eastAsia="宋体" w:cs="Times New Roman"/>
                <w:color w:val="auto"/>
                <w:sz w:val="24"/>
                <w:szCs w:val="24"/>
                <w:highlight w:val="none"/>
                <w:lang w:eastAsia="zh-CN"/>
              </w:rPr>
              <w:t>已驻企业排水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2"/>
                <w:highlight w:val="none"/>
              </w:rPr>
              <w:t>本项目所在地属于</w:t>
            </w:r>
            <w:r>
              <w:rPr>
                <w:rFonts w:hint="default" w:ascii="Times New Roman" w:hAnsi="Times New Roman" w:eastAsia="宋体" w:cs="Times New Roman"/>
                <w:color w:val="auto"/>
                <w:sz w:val="24"/>
                <w:szCs w:val="22"/>
                <w:highlight w:val="none"/>
                <w:lang w:eastAsia="zh-CN"/>
              </w:rPr>
              <w:t>大英县工业污水处理厂</w:t>
            </w:r>
            <w:r>
              <w:rPr>
                <w:rFonts w:hint="default" w:ascii="Times New Roman" w:hAnsi="Times New Roman" w:eastAsia="宋体" w:cs="Times New Roman"/>
                <w:color w:val="auto"/>
                <w:sz w:val="24"/>
                <w:szCs w:val="22"/>
                <w:highlight w:val="none"/>
              </w:rPr>
              <w:t>的收水范围；</w:t>
            </w:r>
          </w:p>
          <w:p w14:paraId="5E646DD8">
            <w:pPr>
              <w:spacing w:line="42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②</w:t>
            </w:r>
            <w:r>
              <w:rPr>
                <w:rFonts w:hint="default" w:ascii="Times New Roman" w:hAnsi="Times New Roman" w:eastAsia="宋体" w:cs="Times New Roman"/>
                <w:color w:val="auto"/>
                <w:sz w:val="24"/>
                <w:szCs w:val="20"/>
                <w:highlight w:val="none"/>
              </w:rPr>
              <w:t>项目所在区域</w:t>
            </w:r>
            <w:r>
              <w:rPr>
                <w:rFonts w:hint="default" w:ascii="Times New Roman" w:hAnsi="Times New Roman" w:eastAsia="宋体" w:cs="Times New Roman"/>
                <w:color w:val="auto"/>
                <w:sz w:val="24"/>
                <w:szCs w:val="22"/>
                <w:highlight w:val="none"/>
              </w:rPr>
              <w:t>污水管网已铺设到位，且已接入</w:t>
            </w:r>
            <w:r>
              <w:rPr>
                <w:rFonts w:hint="default" w:ascii="Times New Roman" w:hAnsi="Times New Roman" w:eastAsia="宋体" w:cs="Times New Roman"/>
                <w:color w:val="auto"/>
                <w:sz w:val="24"/>
                <w:szCs w:val="22"/>
                <w:highlight w:val="none"/>
                <w:lang w:eastAsia="zh-CN"/>
              </w:rPr>
              <w:t>大英县工业污水处理厂</w:t>
            </w:r>
            <w:r>
              <w:rPr>
                <w:rFonts w:hint="default" w:ascii="Times New Roman" w:hAnsi="Times New Roman" w:eastAsia="宋体" w:cs="Times New Roman"/>
                <w:color w:val="auto"/>
                <w:sz w:val="24"/>
                <w:szCs w:val="22"/>
                <w:highlight w:val="none"/>
              </w:rPr>
              <w:t>的收水管网；</w:t>
            </w:r>
          </w:p>
          <w:p w14:paraId="0E97C4AE">
            <w:pPr>
              <w:spacing w:line="42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③本项目废水水质简单，满足</w:t>
            </w:r>
            <w:r>
              <w:rPr>
                <w:rFonts w:hint="default" w:ascii="Times New Roman" w:hAnsi="Times New Roman" w:eastAsia="宋体" w:cs="Times New Roman"/>
                <w:color w:val="auto"/>
                <w:sz w:val="24"/>
                <w:szCs w:val="22"/>
                <w:highlight w:val="none"/>
                <w:lang w:eastAsia="zh-CN"/>
              </w:rPr>
              <w:t>大英县工业污水处理厂</w:t>
            </w:r>
            <w:r>
              <w:rPr>
                <w:rFonts w:hint="default" w:ascii="Times New Roman" w:hAnsi="Times New Roman" w:eastAsia="宋体" w:cs="Times New Roman"/>
                <w:color w:val="auto"/>
                <w:sz w:val="24"/>
                <w:szCs w:val="22"/>
                <w:highlight w:val="none"/>
              </w:rPr>
              <w:t>的处理工艺要求，项目</w:t>
            </w:r>
            <w:r>
              <w:rPr>
                <w:rFonts w:hint="eastAsia" w:cs="Times New Roman"/>
                <w:color w:val="auto"/>
                <w:sz w:val="24"/>
                <w:szCs w:val="22"/>
                <w:highlight w:val="none"/>
                <w:lang w:eastAsia="zh-CN"/>
              </w:rPr>
              <w:t>出水水质</w:t>
            </w:r>
            <w:r>
              <w:rPr>
                <w:rFonts w:hint="default" w:ascii="Times New Roman" w:hAnsi="Times New Roman" w:eastAsia="宋体" w:cs="Times New Roman"/>
                <w:color w:val="auto"/>
                <w:sz w:val="24"/>
                <w:szCs w:val="22"/>
                <w:highlight w:val="none"/>
              </w:rPr>
              <w:t>不会对</w:t>
            </w:r>
            <w:r>
              <w:rPr>
                <w:rFonts w:hint="default" w:ascii="Times New Roman" w:hAnsi="Times New Roman" w:eastAsia="宋体" w:cs="Times New Roman"/>
                <w:color w:val="auto"/>
                <w:sz w:val="24"/>
                <w:szCs w:val="22"/>
                <w:highlight w:val="none"/>
                <w:lang w:eastAsia="zh-CN"/>
              </w:rPr>
              <w:t>大英县工业污水处理厂</w:t>
            </w:r>
            <w:r>
              <w:rPr>
                <w:rFonts w:hint="default" w:ascii="Times New Roman" w:hAnsi="Times New Roman" w:eastAsia="宋体" w:cs="Times New Roman"/>
                <w:color w:val="auto"/>
                <w:sz w:val="24"/>
                <w:szCs w:val="22"/>
                <w:highlight w:val="none"/>
              </w:rPr>
              <w:t>的处理工艺造成冲击；</w:t>
            </w:r>
          </w:p>
          <w:p w14:paraId="3ACE356C">
            <w:pPr>
              <w:spacing w:line="42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④</w:t>
            </w:r>
            <w:r>
              <w:rPr>
                <w:rFonts w:hint="default" w:ascii="Times New Roman" w:hAnsi="Times New Roman" w:eastAsia="宋体" w:cs="Times New Roman"/>
                <w:color w:val="auto"/>
                <w:sz w:val="24"/>
                <w:szCs w:val="22"/>
                <w:highlight w:val="none"/>
                <w:lang w:eastAsia="zh-CN"/>
              </w:rPr>
              <w:t>大英县工业污水处理厂设计处理规模为</w:t>
            </w:r>
            <w:r>
              <w:rPr>
                <w:rFonts w:hint="default"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，目前已运行</w:t>
            </w:r>
            <w:r>
              <w:rPr>
                <w:rFonts w:hint="default" w:ascii="Times New Roman" w:hAnsi="Times New Roman" w:eastAsia="宋体" w:cs="Times New Roman"/>
                <w:color w:val="auto"/>
                <w:sz w:val="24"/>
                <w:szCs w:val="24"/>
                <w:highlight w:val="none"/>
              </w:rPr>
              <w:t>处理规模</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/d，处理工艺为“收集、预处理+水解酸化+A</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/O一体化自回流改良型氧化沟+MBR+中性催化+化学除磷（含高效沉淀、精密过滤）+垂直流人工湿地”组合工艺</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该污水处理厂已</w:t>
            </w:r>
            <w:r>
              <w:rPr>
                <w:rFonts w:hint="default" w:ascii="Times New Roman" w:hAnsi="Times New Roman" w:eastAsia="宋体" w:cs="Times New Roman"/>
                <w:color w:val="auto"/>
                <w:sz w:val="24"/>
                <w:szCs w:val="24"/>
                <w:highlight w:val="none"/>
                <w:lang w:val="en-US" w:eastAsia="zh-CN"/>
              </w:rPr>
              <w:t>投入使用，</w:t>
            </w:r>
            <w:r>
              <w:rPr>
                <w:rFonts w:hint="default" w:ascii="Times New Roman" w:hAnsi="Times New Roman" w:eastAsia="宋体" w:cs="Times New Roman"/>
                <w:color w:val="auto"/>
                <w:sz w:val="24"/>
                <w:szCs w:val="24"/>
                <w:highlight w:val="none"/>
              </w:rPr>
              <w:t>出水</w:t>
            </w:r>
            <w:r>
              <w:rPr>
                <w:rFonts w:hint="default" w:ascii="Times New Roman" w:hAnsi="Times New Roman" w:eastAsia="宋体" w:cs="Times New Roman"/>
                <w:color w:val="auto"/>
                <w:sz w:val="24"/>
                <w:szCs w:val="24"/>
                <w:highlight w:val="none"/>
                <w:lang w:eastAsia="zh-CN"/>
              </w:rPr>
              <w:t>可稳定达标排放</w:t>
            </w:r>
            <w:r>
              <w:rPr>
                <w:rFonts w:hint="default" w:ascii="Times New Roman" w:hAnsi="Times New Roman" w:eastAsia="宋体" w:cs="Times New Roman"/>
                <w:color w:val="auto"/>
                <w:sz w:val="24"/>
                <w:szCs w:val="22"/>
                <w:highlight w:val="none"/>
              </w:rPr>
              <w:t>。</w:t>
            </w:r>
          </w:p>
          <w:p w14:paraId="295380A3">
            <w:pPr>
              <w:tabs>
                <w:tab w:val="left" w:pos="820"/>
              </w:tabs>
              <w:spacing w:line="360" w:lineRule="auto"/>
              <w:ind w:firstLine="482" w:firstLineChars="200"/>
              <w:rPr>
                <w:rFonts w:hint="default" w:ascii="Times New Roman" w:hAnsi="Times New Roman" w:eastAsia="宋体" w:cs="Times New Roman"/>
                <w:b/>
                <w:bCs/>
                <w:color w:val="auto"/>
                <w:sz w:val="24"/>
                <w:szCs w:val="20"/>
                <w:highlight w:val="none"/>
              </w:rPr>
            </w:pPr>
            <w:r>
              <w:rPr>
                <w:rFonts w:hint="eastAsia" w:cs="Times New Roman"/>
                <w:b/>
                <w:bCs/>
                <w:color w:val="FF0000"/>
                <w:sz w:val="24"/>
                <w:szCs w:val="22"/>
                <w:highlight w:val="none"/>
                <w:lang w:val="en-US" w:eastAsia="zh-CN"/>
              </w:rPr>
              <w:t xml:space="preserve"> 3.</w:t>
            </w:r>
            <w:r>
              <w:rPr>
                <w:rFonts w:hint="default" w:ascii="Times New Roman" w:hAnsi="Times New Roman" w:eastAsia="宋体" w:cs="Times New Roman"/>
                <w:b/>
                <w:bCs/>
                <w:color w:val="auto"/>
                <w:sz w:val="24"/>
                <w:szCs w:val="20"/>
                <w:highlight w:val="none"/>
              </w:rPr>
              <w:t>噪声排放及处理措施</w:t>
            </w:r>
          </w:p>
          <w:p w14:paraId="5EBE1EC5">
            <w:pPr>
              <w:spacing w:line="420" w:lineRule="auto"/>
              <w:ind w:firstLine="482" w:firstLineChars="200"/>
              <w:rPr>
                <w:rFonts w:hint="default" w:ascii="Times New Roman" w:hAnsi="Times New Roman" w:eastAsia="宋体" w:cs="Times New Roman"/>
                <w:b/>
                <w:bCs/>
                <w:color w:val="auto"/>
                <w:sz w:val="24"/>
                <w:szCs w:val="22"/>
                <w:highlight w:val="none"/>
                <w:lang w:eastAsia="zh-CN"/>
              </w:rPr>
            </w:pPr>
            <w:r>
              <w:rPr>
                <w:rFonts w:hint="default" w:ascii="Times New Roman" w:hAnsi="Times New Roman" w:eastAsia="宋体" w:cs="Times New Roman"/>
                <w:b/>
                <w:bCs/>
                <w:color w:val="auto"/>
                <w:sz w:val="24"/>
                <w:szCs w:val="22"/>
                <w:highlight w:val="none"/>
                <w:lang w:eastAsia="zh-CN"/>
              </w:rPr>
              <w:t>（</w:t>
            </w:r>
            <w:r>
              <w:rPr>
                <w:rFonts w:hint="default" w:ascii="Times New Roman" w:hAnsi="Times New Roman" w:eastAsia="宋体" w:cs="Times New Roman"/>
                <w:b/>
                <w:bCs/>
                <w:color w:val="auto"/>
                <w:sz w:val="24"/>
                <w:szCs w:val="22"/>
                <w:highlight w:val="none"/>
                <w:lang w:val="en-US" w:eastAsia="zh-CN"/>
              </w:rPr>
              <w:t>1</w:t>
            </w:r>
            <w:r>
              <w:rPr>
                <w:rFonts w:hint="default" w:ascii="Times New Roman" w:hAnsi="Times New Roman" w:eastAsia="宋体" w:cs="Times New Roman"/>
                <w:b/>
                <w:bCs/>
                <w:color w:val="auto"/>
                <w:sz w:val="24"/>
                <w:szCs w:val="22"/>
                <w:highlight w:val="none"/>
                <w:lang w:eastAsia="zh-CN"/>
              </w:rPr>
              <w:t>）主要噪声源及治理措施</w:t>
            </w:r>
          </w:p>
          <w:p w14:paraId="4057E93D">
            <w:pPr>
              <w:spacing w:line="42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本项目营运期主要噪声源为</w:t>
            </w:r>
            <w:r>
              <w:rPr>
                <w:rFonts w:hint="eastAsia" w:cs="Times New Roman"/>
                <w:color w:val="auto"/>
                <w:sz w:val="24"/>
                <w:szCs w:val="22"/>
                <w:highlight w:val="none"/>
                <w:lang w:val="en-US" w:eastAsia="zh-CN"/>
              </w:rPr>
              <w:t>密炼机</w:t>
            </w:r>
            <w:r>
              <w:rPr>
                <w:rFonts w:hint="default" w:ascii="Times New Roman" w:hAnsi="Times New Roman" w:eastAsia="宋体" w:cs="Times New Roman"/>
                <w:color w:val="auto"/>
                <w:sz w:val="24"/>
                <w:szCs w:val="22"/>
                <w:highlight w:val="none"/>
                <w:lang w:eastAsia="zh-CN"/>
              </w:rPr>
              <w:t>、</w:t>
            </w:r>
            <w:r>
              <w:rPr>
                <w:rFonts w:hint="eastAsia" w:cs="Times New Roman"/>
                <w:color w:val="auto"/>
                <w:sz w:val="24"/>
                <w:szCs w:val="22"/>
                <w:highlight w:val="none"/>
                <w:lang w:val="en-US" w:eastAsia="zh-CN"/>
              </w:rPr>
              <w:t>开炼机</w:t>
            </w:r>
            <w:r>
              <w:rPr>
                <w:rFonts w:hint="default" w:ascii="Times New Roman" w:hAnsi="Times New Roman" w:eastAsia="宋体" w:cs="Times New Roman"/>
                <w:color w:val="auto"/>
                <w:sz w:val="24"/>
                <w:szCs w:val="22"/>
                <w:highlight w:val="none"/>
                <w:lang w:eastAsia="zh-CN"/>
              </w:rPr>
              <w:t>、</w:t>
            </w:r>
            <w:r>
              <w:rPr>
                <w:rFonts w:hint="eastAsia" w:cs="Times New Roman"/>
                <w:color w:val="auto"/>
                <w:sz w:val="24"/>
                <w:szCs w:val="22"/>
                <w:highlight w:val="none"/>
                <w:lang w:val="en-US" w:eastAsia="zh-CN"/>
              </w:rPr>
              <w:t>全自动配料机</w:t>
            </w:r>
            <w:r>
              <w:rPr>
                <w:rFonts w:hint="default" w:ascii="Times New Roman" w:hAnsi="Times New Roman" w:eastAsia="宋体" w:cs="Times New Roman"/>
                <w:color w:val="auto"/>
                <w:sz w:val="24"/>
                <w:szCs w:val="22"/>
                <w:highlight w:val="none"/>
                <w:lang w:eastAsia="zh-CN"/>
              </w:rPr>
              <w:t>、</w:t>
            </w:r>
            <w:r>
              <w:rPr>
                <w:rFonts w:hint="eastAsia" w:cs="Times New Roman"/>
                <w:color w:val="auto"/>
                <w:sz w:val="24"/>
                <w:szCs w:val="22"/>
                <w:highlight w:val="none"/>
                <w:lang w:val="en-US" w:eastAsia="zh-CN"/>
              </w:rPr>
              <w:t>空压机、蒸汽锅炉、工业洗脱机（清洗机）及环保设备风机</w:t>
            </w:r>
            <w:r>
              <w:rPr>
                <w:rFonts w:hint="default" w:ascii="Times New Roman" w:hAnsi="Times New Roman" w:eastAsia="宋体" w:cs="Times New Roman"/>
                <w:color w:val="auto"/>
                <w:sz w:val="24"/>
                <w:szCs w:val="22"/>
                <w:highlight w:val="none"/>
              </w:rPr>
              <w:t>运行噪声，噪声值约在70-90dB</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A</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范围内，厂房为封闭式</w:t>
            </w:r>
            <w:r>
              <w:rPr>
                <w:rFonts w:hint="default" w:ascii="Times New Roman" w:hAnsi="Times New Roman" w:eastAsia="宋体" w:cs="Times New Roman"/>
                <w:color w:val="auto"/>
                <w:sz w:val="24"/>
                <w:szCs w:val="22"/>
                <w:highlight w:val="none"/>
                <w:lang w:eastAsia="zh-CN"/>
              </w:rPr>
              <w:t>钢</w:t>
            </w:r>
            <w:r>
              <w:rPr>
                <w:rFonts w:hint="eastAsia" w:cs="Times New Roman"/>
                <w:color w:val="auto"/>
                <w:sz w:val="24"/>
                <w:szCs w:val="22"/>
                <w:highlight w:val="none"/>
                <w:lang w:val="en-US" w:eastAsia="zh-CN"/>
              </w:rPr>
              <w:t>框架</w:t>
            </w:r>
            <w:r>
              <w:rPr>
                <w:rFonts w:hint="default" w:ascii="Times New Roman" w:hAnsi="Times New Roman" w:eastAsia="宋体" w:cs="Times New Roman"/>
                <w:color w:val="auto"/>
                <w:sz w:val="24"/>
                <w:szCs w:val="22"/>
                <w:highlight w:val="none"/>
              </w:rPr>
              <w:t>厂房</w:t>
            </w:r>
            <w:r>
              <w:rPr>
                <w:rFonts w:hint="default" w:ascii="Times New Roman" w:hAnsi="Times New Roman" w:eastAsia="宋体" w:cs="Times New Roman"/>
                <w:color w:val="auto"/>
                <w:sz w:val="24"/>
                <w:szCs w:val="22"/>
                <w:highlight w:val="none"/>
                <w:lang w:eastAsia="zh-CN"/>
              </w:rPr>
              <w:t>，</w:t>
            </w:r>
            <w:r>
              <w:rPr>
                <w:rFonts w:hint="eastAsia" w:cs="Times New Roman"/>
                <w:color w:val="auto"/>
                <w:sz w:val="24"/>
                <w:szCs w:val="22"/>
                <w:highlight w:val="none"/>
                <w:lang w:eastAsia="zh-CN"/>
              </w:rPr>
              <w:t>除</w:t>
            </w:r>
            <w:r>
              <w:rPr>
                <w:rFonts w:hint="eastAsia" w:cs="Times New Roman"/>
                <w:color w:val="auto"/>
                <w:sz w:val="24"/>
                <w:szCs w:val="22"/>
                <w:highlight w:val="none"/>
                <w:lang w:val="en-US" w:eastAsia="zh-CN"/>
              </w:rPr>
              <w:t>环保设备风机外，</w:t>
            </w:r>
            <w:r>
              <w:rPr>
                <w:rFonts w:hint="default" w:ascii="Times New Roman" w:hAnsi="Times New Roman" w:eastAsia="宋体" w:cs="Times New Roman"/>
                <w:color w:val="auto"/>
                <w:sz w:val="24"/>
                <w:szCs w:val="22"/>
                <w:highlight w:val="none"/>
              </w:rPr>
              <w:t>项目</w:t>
            </w:r>
            <w:r>
              <w:rPr>
                <w:rFonts w:hint="eastAsia" w:cs="Times New Roman"/>
                <w:color w:val="auto"/>
                <w:sz w:val="24"/>
                <w:szCs w:val="22"/>
                <w:highlight w:val="none"/>
                <w:lang w:val="en-US" w:eastAsia="zh-CN"/>
              </w:rPr>
              <w:t>其他</w:t>
            </w:r>
            <w:r>
              <w:rPr>
                <w:rFonts w:hint="default" w:ascii="Times New Roman" w:hAnsi="Times New Roman" w:eastAsia="宋体" w:cs="Times New Roman"/>
                <w:color w:val="auto"/>
                <w:sz w:val="24"/>
                <w:szCs w:val="22"/>
                <w:highlight w:val="none"/>
              </w:rPr>
              <w:t>设备均设置于厂房内，可利用厂房建筑结构消减噪声对外环境的影响。主要声源治理前噪声源强值见</w:t>
            </w:r>
            <w:r>
              <w:rPr>
                <w:rFonts w:hint="default" w:ascii="Times New Roman" w:hAnsi="Times New Roman" w:eastAsia="宋体" w:cs="Times New Roman"/>
                <w:color w:val="auto"/>
                <w:sz w:val="24"/>
                <w:szCs w:val="22"/>
                <w:highlight w:val="none"/>
                <w:lang w:eastAsia="zh-CN"/>
              </w:rPr>
              <w:t>下表</w:t>
            </w:r>
            <w:r>
              <w:rPr>
                <w:rFonts w:hint="default" w:ascii="Times New Roman" w:hAnsi="Times New Roman" w:eastAsia="宋体" w:cs="Times New Roman"/>
                <w:color w:val="auto"/>
                <w:sz w:val="24"/>
                <w:szCs w:val="22"/>
                <w:highlight w:val="none"/>
              </w:rPr>
              <w:t>。</w:t>
            </w:r>
          </w:p>
          <w:p w14:paraId="1A232015">
            <w:pPr>
              <w:pStyle w:val="11"/>
              <w:rPr>
                <w:rFonts w:hint="default" w:ascii="Times New Roman" w:hAnsi="Times New Roman" w:eastAsia="宋体" w:cs="Times New Roman"/>
                <w:color w:val="auto"/>
                <w:sz w:val="24"/>
                <w:szCs w:val="22"/>
                <w:highlight w:val="none"/>
              </w:rPr>
            </w:pPr>
          </w:p>
          <w:p w14:paraId="59A8EB3C">
            <w:pPr>
              <w:rPr>
                <w:rFonts w:hint="default" w:ascii="Times New Roman" w:hAnsi="Times New Roman" w:eastAsia="宋体" w:cs="Times New Roman"/>
                <w:color w:val="auto"/>
                <w:sz w:val="24"/>
                <w:szCs w:val="22"/>
                <w:highlight w:val="none"/>
              </w:rPr>
            </w:pPr>
          </w:p>
          <w:p w14:paraId="7E2972E1">
            <w:pPr>
              <w:pStyle w:val="11"/>
              <w:rPr>
                <w:rFonts w:hint="default" w:ascii="Times New Roman" w:hAnsi="Times New Roman" w:eastAsia="宋体" w:cs="Times New Roman"/>
                <w:color w:val="auto"/>
                <w:sz w:val="24"/>
                <w:szCs w:val="22"/>
                <w:highlight w:val="none"/>
              </w:rPr>
            </w:pPr>
          </w:p>
          <w:p w14:paraId="52E355F5">
            <w:pPr>
              <w:pStyle w:val="11"/>
              <w:rPr>
                <w:rFonts w:hint="default" w:ascii="Times New Roman" w:hAnsi="Times New Roman" w:eastAsia="宋体" w:cs="Times New Roman"/>
                <w:color w:val="auto"/>
                <w:sz w:val="24"/>
                <w:szCs w:val="22"/>
                <w:highlight w:val="none"/>
              </w:rPr>
            </w:pPr>
          </w:p>
          <w:p w14:paraId="543AE9E2">
            <w:pPr>
              <w:rPr>
                <w:rFonts w:hint="default" w:ascii="Times New Roman" w:hAnsi="Times New Roman" w:eastAsia="宋体" w:cs="Times New Roman"/>
                <w:color w:val="auto"/>
                <w:sz w:val="24"/>
                <w:szCs w:val="22"/>
                <w:highlight w:val="none"/>
              </w:rPr>
            </w:pPr>
          </w:p>
          <w:p w14:paraId="30BAA7B3">
            <w:pPr>
              <w:pStyle w:val="11"/>
              <w:rPr>
                <w:rFonts w:hint="default" w:ascii="Times New Roman" w:hAnsi="Times New Roman" w:eastAsia="宋体" w:cs="Times New Roman"/>
                <w:color w:val="auto"/>
                <w:sz w:val="24"/>
                <w:szCs w:val="22"/>
                <w:highlight w:val="none"/>
              </w:rPr>
            </w:pPr>
          </w:p>
          <w:p w14:paraId="5D8E6FD8">
            <w:pPr>
              <w:rPr>
                <w:rFonts w:hint="default" w:ascii="Times New Roman" w:hAnsi="Times New Roman" w:eastAsia="宋体" w:cs="Times New Roman"/>
                <w:color w:val="auto"/>
                <w:sz w:val="24"/>
                <w:szCs w:val="22"/>
                <w:highlight w:val="none"/>
              </w:rPr>
            </w:pPr>
          </w:p>
          <w:p w14:paraId="24123154">
            <w:pPr>
              <w:pStyle w:val="11"/>
              <w:rPr>
                <w:rFonts w:hint="default" w:ascii="Times New Roman" w:hAnsi="Times New Roman" w:eastAsia="宋体" w:cs="Times New Roman"/>
                <w:color w:val="auto"/>
                <w:sz w:val="24"/>
                <w:szCs w:val="22"/>
                <w:highlight w:val="none"/>
              </w:rPr>
            </w:pPr>
          </w:p>
          <w:p w14:paraId="5F06A7F9">
            <w:pPr>
              <w:rPr>
                <w:rFonts w:hint="default"/>
                <w:highlight w:val="none"/>
              </w:rPr>
            </w:pPr>
          </w:p>
          <w:p w14:paraId="0B09B275">
            <w:pPr>
              <w:rPr>
                <w:rFonts w:hint="default"/>
                <w:color w:val="auto"/>
                <w:highlight w:val="none"/>
                <w:vertAlign w:val="baseline"/>
              </w:rPr>
            </w:pPr>
          </w:p>
        </w:tc>
      </w:tr>
    </w:tbl>
    <w:p w14:paraId="093B7ABA">
      <w:pPr>
        <w:pStyle w:val="11"/>
        <w:rPr>
          <w:rFonts w:hint="default"/>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B0B2311">
      <w:pPr>
        <w:adjustRightInd w:val="0"/>
        <w:snapToGrid w:val="0"/>
        <w:spacing w:before="120" w:beforeLines="50"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表4-</w:t>
      </w:r>
      <w:r>
        <w:rPr>
          <w:rFonts w:hint="eastAsia" w:cs="Times New Roman"/>
          <w:b/>
          <w:color w:val="auto"/>
          <w:sz w:val="24"/>
          <w:highlight w:val="none"/>
          <w:lang w:val="en-US" w:eastAsia="zh-CN"/>
        </w:rPr>
        <w:t>14</w:t>
      </w:r>
      <w:r>
        <w:rPr>
          <w:rFonts w:hint="default" w:ascii="Times New Roman" w:hAnsi="Times New Roman" w:cs="Times New Roman"/>
          <w:b/>
          <w:color w:val="auto"/>
          <w:sz w:val="24"/>
          <w:highlight w:val="none"/>
        </w:rPr>
        <w:tab/>
      </w:r>
      <w:r>
        <w:rPr>
          <w:rFonts w:hint="default" w:ascii="Times New Roman" w:hAnsi="Times New Roman" w:cs="Times New Roman"/>
          <w:b/>
          <w:color w:val="auto"/>
          <w:sz w:val="24"/>
          <w:highlight w:val="none"/>
        </w:rPr>
        <w:t>项目主要噪声源调查表（室内）</w:t>
      </w:r>
    </w:p>
    <w:tbl>
      <w:tblPr>
        <w:tblStyle w:val="23"/>
        <w:tblW w:w="1417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10"/>
        <w:gridCol w:w="757"/>
        <w:gridCol w:w="1255"/>
        <w:gridCol w:w="841"/>
        <w:gridCol w:w="1048"/>
        <w:gridCol w:w="1102"/>
        <w:gridCol w:w="1054"/>
        <w:gridCol w:w="891"/>
        <w:gridCol w:w="975"/>
        <w:gridCol w:w="1223"/>
        <w:gridCol w:w="1179"/>
        <w:gridCol w:w="888"/>
        <w:gridCol w:w="873"/>
        <w:gridCol w:w="1080"/>
      </w:tblGrid>
      <w:tr w14:paraId="75321F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4" w:hRule="atLeast"/>
          <w:jc w:val="center"/>
        </w:trPr>
        <w:tc>
          <w:tcPr>
            <w:tcW w:w="1010" w:type="dxa"/>
            <w:vMerge w:val="restart"/>
            <w:tcBorders>
              <w:tl2br w:val="nil"/>
              <w:tr2bl w:val="nil"/>
            </w:tcBorders>
            <w:shd w:val="clear" w:color="auto" w:fill="auto"/>
            <w:noWrap/>
            <w:vAlign w:val="center"/>
          </w:tcPr>
          <w:p w14:paraId="6AEFB5E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757" w:type="dxa"/>
            <w:vMerge w:val="restart"/>
            <w:tcBorders>
              <w:tl2br w:val="nil"/>
              <w:tr2bl w:val="nil"/>
            </w:tcBorders>
            <w:shd w:val="clear" w:color="auto" w:fill="auto"/>
            <w:noWrap/>
            <w:vAlign w:val="center"/>
          </w:tcPr>
          <w:p w14:paraId="21C4C9F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建筑物名称</w:t>
            </w:r>
          </w:p>
        </w:tc>
        <w:tc>
          <w:tcPr>
            <w:tcW w:w="1255" w:type="dxa"/>
            <w:vMerge w:val="restart"/>
            <w:tcBorders>
              <w:tl2br w:val="nil"/>
              <w:tr2bl w:val="nil"/>
            </w:tcBorders>
            <w:shd w:val="clear" w:color="auto" w:fill="auto"/>
            <w:noWrap/>
            <w:vAlign w:val="center"/>
          </w:tcPr>
          <w:p w14:paraId="5D810B2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声源名称</w:t>
            </w:r>
          </w:p>
        </w:tc>
        <w:tc>
          <w:tcPr>
            <w:tcW w:w="841" w:type="dxa"/>
            <w:vMerge w:val="restart"/>
            <w:tcBorders>
              <w:tl2br w:val="nil"/>
              <w:tr2bl w:val="nil"/>
            </w:tcBorders>
            <w:shd w:val="clear" w:color="auto" w:fill="auto"/>
            <w:vAlign w:val="center"/>
          </w:tcPr>
          <w:p w14:paraId="0C532E7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声源源强</w:t>
            </w:r>
            <w:r>
              <w:rPr>
                <w:rFonts w:hint="default" w:ascii="Times New Roman" w:hAnsi="Times New Roman" w:eastAsia="宋体" w:cs="Times New Roman"/>
                <w:b/>
                <w:bCs/>
                <w:i w:val="0"/>
                <w:iCs w:val="0"/>
                <w:color w:val="auto"/>
                <w:kern w:val="0"/>
                <w:sz w:val="21"/>
                <w:szCs w:val="21"/>
                <w:u w:val="none"/>
                <w:lang w:val="en-US" w:eastAsia="zh-CN" w:bidi="ar"/>
              </w:rPr>
              <w:t>dB</w:t>
            </w:r>
            <w:r>
              <w:rPr>
                <w:rFonts w:hint="eastAsia" w:ascii="宋体" w:hAnsi="宋体" w:eastAsia="宋体" w:cs="宋体"/>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A)</w:t>
            </w:r>
          </w:p>
        </w:tc>
        <w:tc>
          <w:tcPr>
            <w:tcW w:w="1048" w:type="dxa"/>
            <w:vMerge w:val="restart"/>
            <w:tcBorders>
              <w:tl2br w:val="nil"/>
              <w:tr2bl w:val="nil"/>
            </w:tcBorders>
            <w:shd w:val="clear" w:color="auto" w:fill="auto"/>
            <w:vAlign w:val="center"/>
          </w:tcPr>
          <w:p w14:paraId="3C0E37A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声源控制措施</w:t>
            </w:r>
          </w:p>
        </w:tc>
        <w:tc>
          <w:tcPr>
            <w:tcW w:w="3047" w:type="dxa"/>
            <w:gridSpan w:val="3"/>
            <w:tcBorders>
              <w:tl2br w:val="nil"/>
              <w:tr2bl w:val="nil"/>
            </w:tcBorders>
            <w:shd w:val="clear" w:color="auto" w:fill="auto"/>
            <w:noWrap/>
            <w:vAlign w:val="center"/>
          </w:tcPr>
          <w:p w14:paraId="5F38D82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空间位置</w:t>
            </w:r>
            <w:r>
              <w:rPr>
                <w:rFonts w:hint="default" w:ascii="Times New Roman" w:hAnsi="Times New Roman" w:eastAsia="宋体" w:cs="Times New Roman"/>
                <w:i w:val="0"/>
                <w:iCs w:val="0"/>
                <w:color w:val="auto"/>
                <w:kern w:val="0"/>
                <w:sz w:val="21"/>
                <w:szCs w:val="21"/>
                <w:u w:val="none"/>
                <w:lang w:val="en-US" w:eastAsia="zh-CN" w:bidi="ar"/>
              </w:rPr>
              <w:t>/m</w:t>
            </w:r>
          </w:p>
        </w:tc>
        <w:tc>
          <w:tcPr>
            <w:tcW w:w="975" w:type="dxa"/>
            <w:vMerge w:val="restart"/>
            <w:tcBorders>
              <w:tl2br w:val="nil"/>
              <w:tr2bl w:val="nil"/>
            </w:tcBorders>
            <w:shd w:val="clear" w:color="auto" w:fill="auto"/>
            <w:vAlign w:val="center"/>
          </w:tcPr>
          <w:p w14:paraId="71D7623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距室内边界最近距离</w:t>
            </w:r>
            <w:r>
              <w:rPr>
                <w:rFonts w:hint="default" w:ascii="Times New Roman" w:hAnsi="Times New Roman" w:eastAsia="宋体" w:cs="Times New Roman"/>
                <w:i w:val="0"/>
                <w:iCs w:val="0"/>
                <w:color w:val="auto"/>
                <w:kern w:val="0"/>
                <w:sz w:val="21"/>
                <w:szCs w:val="21"/>
                <w:u w:val="none"/>
                <w:lang w:val="en-US" w:eastAsia="zh-CN" w:bidi="ar"/>
              </w:rPr>
              <w:t>/m</w:t>
            </w:r>
          </w:p>
        </w:tc>
        <w:tc>
          <w:tcPr>
            <w:tcW w:w="1223" w:type="dxa"/>
            <w:vMerge w:val="restart"/>
            <w:tcBorders>
              <w:tl2br w:val="nil"/>
              <w:tr2bl w:val="nil"/>
            </w:tcBorders>
            <w:shd w:val="clear" w:color="auto" w:fill="auto"/>
            <w:vAlign w:val="center"/>
          </w:tcPr>
          <w:p w14:paraId="701F03E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室内边界声级</w:t>
            </w:r>
            <w:r>
              <w:rPr>
                <w:rFonts w:hint="default" w:ascii="Times New Roman" w:hAnsi="Times New Roman" w:eastAsia="宋体" w:cs="Times New Roman"/>
                <w:i w:val="0"/>
                <w:iCs w:val="0"/>
                <w:color w:val="auto"/>
                <w:kern w:val="0"/>
                <w:sz w:val="21"/>
                <w:szCs w:val="21"/>
                <w:u w:val="none"/>
                <w:lang w:val="en-US" w:eastAsia="zh-CN" w:bidi="ar"/>
              </w:rPr>
              <w:t>/dB</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A)</w:t>
            </w:r>
          </w:p>
        </w:tc>
        <w:tc>
          <w:tcPr>
            <w:tcW w:w="1179" w:type="dxa"/>
            <w:vMerge w:val="restart"/>
            <w:tcBorders>
              <w:tl2br w:val="nil"/>
              <w:tr2bl w:val="nil"/>
            </w:tcBorders>
            <w:shd w:val="clear" w:color="auto" w:fill="auto"/>
            <w:vAlign w:val="center"/>
          </w:tcPr>
          <w:p w14:paraId="1999FD4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运行时段</w:t>
            </w:r>
          </w:p>
        </w:tc>
        <w:tc>
          <w:tcPr>
            <w:tcW w:w="888" w:type="dxa"/>
            <w:vMerge w:val="restart"/>
            <w:tcBorders>
              <w:tl2br w:val="nil"/>
              <w:tr2bl w:val="nil"/>
            </w:tcBorders>
            <w:shd w:val="clear" w:color="auto" w:fill="auto"/>
            <w:vAlign w:val="center"/>
          </w:tcPr>
          <w:p w14:paraId="2418B8F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建筑物插入损失</w:t>
            </w:r>
            <w:r>
              <w:rPr>
                <w:rFonts w:hint="default" w:ascii="Times New Roman" w:hAnsi="Times New Roman" w:eastAsia="宋体" w:cs="Times New Roman"/>
                <w:i w:val="0"/>
                <w:iCs w:val="0"/>
                <w:color w:val="auto"/>
                <w:kern w:val="0"/>
                <w:sz w:val="21"/>
                <w:szCs w:val="21"/>
                <w:u w:val="none"/>
                <w:lang w:val="en-US" w:eastAsia="zh-CN" w:bidi="ar"/>
              </w:rPr>
              <w:t>/dB</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A)</w:t>
            </w:r>
          </w:p>
        </w:tc>
        <w:tc>
          <w:tcPr>
            <w:tcW w:w="1953" w:type="dxa"/>
            <w:gridSpan w:val="2"/>
            <w:tcBorders>
              <w:tl2br w:val="nil"/>
              <w:tr2bl w:val="nil"/>
            </w:tcBorders>
            <w:shd w:val="clear" w:color="auto" w:fill="auto"/>
            <w:vAlign w:val="center"/>
          </w:tcPr>
          <w:p w14:paraId="1FDBE67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建筑物外噪声</w:t>
            </w:r>
          </w:p>
        </w:tc>
      </w:tr>
      <w:tr w14:paraId="386414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34" w:hRule="atLeast"/>
          <w:jc w:val="center"/>
        </w:trPr>
        <w:tc>
          <w:tcPr>
            <w:tcW w:w="1010" w:type="dxa"/>
            <w:vMerge w:val="continue"/>
            <w:tcBorders>
              <w:tl2br w:val="nil"/>
              <w:tr2bl w:val="nil"/>
            </w:tcBorders>
            <w:shd w:val="clear" w:color="auto" w:fill="auto"/>
            <w:noWrap/>
            <w:vAlign w:val="center"/>
          </w:tcPr>
          <w:p w14:paraId="44744A1D">
            <w:pPr>
              <w:jc w:val="center"/>
              <w:rPr>
                <w:rFonts w:hint="eastAsia" w:ascii="宋体" w:hAnsi="宋体" w:eastAsia="宋体" w:cs="宋体"/>
                <w:i w:val="0"/>
                <w:iCs w:val="0"/>
                <w:color w:val="auto"/>
                <w:sz w:val="21"/>
                <w:szCs w:val="21"/>
                <w:u w:val="none"/>
              </w:rPr>
            </w:pPr>
          </w:p>
        </w:tc>
        <w:tc>
          <w:tcPr>
            <w:tcW w:w="757" w:type="dxa"/>
            <w:vMerge w:val="continue"/>
            <w:tcBorders>
              <w:tl2br w:val="nil"/>
              <w:tr2bl w:val="nil"/>
            </w:tcBorders>
            <w:shd w:val="clear" w:color="auto" w:fill="auto"/>
            <w:noWrap/>
            <w:vAlign w:val="center"/>
          </w:tcPr>
          <w:p w14:paraId="37B3BD96">
            <w:pPr>
              <w:jc w:val="center"/>
              <w:rPr>
                <w:rFonts w:hint="eastAsia" w:ascii="宋体" w:hAnsi="宋体" w:eastAsia="宋体" w:cs="宋体"/>
                <w:i w:val="0"/>
                <w:iCs w:val="0"/>
                <w:color w:val="auto"/>
                <w:sz w:val="21"/>
                <w:szCs w:val="21"/>
                <w:u w:val="none"/>
              </w:rPr>
            </w:pPr>
          </w:p>
        </w:tc>
        <w:tc>
          <w:tcPr>
            <w:tcW w:w="1255" w:type="dxa"/>
            <w:vMerge w:val="continue"/>
            <w:tcBorders>
              <w:tl2br w:val="nil"/>
              <w:tr2bl w:val="nil"/>
            </w:tcBorders>
            <w:shd w:val="clear" w:color="auto" w:fill="auto"/>
            <w:noWrap/>
            <w:vAlign w:val="center"/>
          </w:tcPr>
          <w:p w14:paraId="36642DAA">
            <w:pPr>
              <w:jc w:val="center"/>
              <w:rPr>
                <w:rFonts w:hint="eastAsia" w:ascii="宋体" w:hAnsi="宋体" w:eastAsia="宋体" w:cs="宋体"/>
                <w:i w:val="0"/>
                <w:iCs w:val="0"/>
                <w:color w:val="auto"/>
                <w:sz w:val="21"/>
                <w:szCs w:val="21"/>
                <w:u w:val="none"/>
              </w:rPr>
            </w:pPr>
          </w:p>
        </w:tc>
        <w:tc>
          <w:tcPr>
            <w:tcW w:w="841" w:type="dxa"/>
            <w:vMerge w:val="continue"/>
            <w:tcBorders>
              <w:tl2br w:val="nil"/>
              <w:tr2bl w:val="nil"/>
            </w:tcBorders>
            <w:shd w:val="clear" w:color="auto" w:fill="auto"/>
            <w:vAlign w:val="center"/>
          </w:tcPr>
          <w:p w14:paraId="43FB69C4">
            <w:pPr>
              <w:jc w:val="center"/>
              <w:rPr>
                <w:rFonts w:hint="eastAsia" w:ascii="宋体" w:hAnsi="宋体" w:eastAsia="宋体" w:cs="宋体"/>
                <w:i w:val="0"/>
                <w:iCs w:val="0"/>
                <w:color w:val="auto"/>
                <w:sz w:val="21"/>
                <w:szCs w:val="21"/>
                <w:u w:val="none"/>
              </w:rPr>
            </w:pPr>
          </w:p>
        </w:tc>
        <w:tc>
          <w:tcPr>
            <w:tcW w:w="1048" w:type="dxa"/>
            <w:vMerge w:val="continue"/>
            <w:tcBorders>
              <w:tl2br w:val="nil"/>
              <w:tr2bl w:val="nil"/>
            </w:tcBorders>
            <w:shd w:val="clear" w:color="auto" w:fill="auto"/>
            <w:vAlign w:val="center"/>
          </w:tcPr>
          <w:p w14:paraId="0246944A">
            <w:pPr>
              <w:jc w:val="center"/>
              <w:rPr>
                <w:rFonts w:hint="eastAsia" w:ascii="宋体" w:hAnsi="宋体" w:eastAsia="宋体" w:cs="宋体"/>
                <w:i w:val="0"/>
                <w:iCs w:val="0"/>
                <w:color w:val="auto"/>
                <w:sz w:val="21"/>
                <w:szCs w:val="21"/>
                <w:u w:val="none"/>
              </w:rPr>
            </w:pPr>
          </w:p>
        </w:tc>
        <w:tc>
          <w:tcPr>
            <w:tcW w:w="1102" w:type="dxa"/>
            <w:tcBorders>
              <w:tl2br w:val="nil"/>
              <w:tr2bl w:val="nil"/>
            </w:tcBorders>
            <w:shd w:val="clear" w:color="auto" w:fill="auto"/>
            <w:noWrap/>
            <w:vAlign w:val="center"/>
          </w:tcPr>
          <w:p w14:paraId="7A7F32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w:t>
            </w:r>
          </w:p>
        </w:tc>
        <w:tc>
          <w:tcPr>
            <w:tcW w:w="1054" w:type="dxa"/>
            <w:tcBorders>
              <w:tl2br w:val="nil"/>
              <w:tr2bl w:val="nil"/>
            </w:tcBorders>
            <w:shd w:val="clear" w:color="auto" w:fill="auto"/>
            <w:noWrap/>
            <w:vAlign w:val="center"/>
          </w:tcPr>
          <w:p w14:paraId="0420CC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Y</w:t>
            </w:r>
          </w:p>
        </w:tc>
        <w:tc>
          <w:tcPr>
            <w:tcW w:w="891" w:type="dxa"/>
            <w:tcBorders>
              <w:tl2br w:val="nil"/>
              <w:tr2bl w:val="nil"/>
            </w:tcBorders>
            <w:shd w:val="clear" w:color="auto" w:fill="auto"/>
            <w:noWrap/>
            <w:vAlign w:val="center"/>
          </w:tcPr>
          <w:p w14:paraId="1290B3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Z</w:t>
            </w:r>
          </w:p>
        </w:tc>
        <w:tc>
          <w:tcPr>
            <w:tcW w:w="975" w:type="dxa"/>
            <w:vMerge w:val="continue"/>
            <w:tcBorders>
              <w:tl2br w:val="nil"/>
              <w:tr2bl w:val="nil"/>
            </w:tcBorders>
            <w:shd w:val="clear" w:color="auto" w:fill="auto"/>
            <w:vAlign w:val="center"/>
          </w:tcPr>
          <w:p w14:paraId="195D4743">
            <w:pPr>
              <w:jc w:val="center"/>
              <w:rPr>
                <w:rFonts w:hint="eastAsia" w:ascii="宋体" w:hAnsi="宋体" w:eastAsia="宋体" w:cs="宋体"/>
                <w:i w:val="0"/>
                <w:iCs w:val="0"/>
                <w:color w:val="auto"/>
                <w:sz w:val="21"/>
                <w:szCs w:val="21"/>
                <w:u w:val="none"/>
              </w:rPr>
            </w:pPr>
          </w:p>
        </w:tc>
        <w:tc>
          <w:tcPr>
            <w:tcW w:w="1223" w:type="dxa"/>
            <w:vMerge w:val="continue"/>
            <w:tcBorders>
              <w:tl2br w:val="nil"/>
              <w:tr2bl w:val="nil"/>
            </w:tcBorders>
            <w:shd w:val="clear" w:color="auto" w:fill="auto"/>
            <w:vAlign w:val="center"/>
          </w:tcPr>
          <w:p w14:paraId="60DED1D3">
            <w:pPr>
              <w:jc w:val="center"/>
              <w:rPr>
                <w:rFonts w:hint="eastAsia" w:ascii="宋体" w:hAnsi="宋体" w:eastAsia="宋体" w:cs="宋体"/>
                <w:i w:val="0"/>
                <w:iCs w:val="0"/>
                <w:color w:val="auto"/>
                <w:sz w:val="21"/>
                <w:szCs w:val="21"/>
                <w:u w:val="none"/>
              </w:rPr>
            </w:pPr>
          </w:p>
        </w:tc>
        <w:tc>
          <w:tcPr>
            <w:tcW w:w="1179" w:type="dxa"/>
            <w:vMerge w:val="continue"/>
            <w:tcBorders>
              <w:tl2br w:val="nil"/>
              <w:tr2bl w:val="nil"/>
            </w:tcBorders>
            <w:shd w:val="clear" w:color="auto" w:fill="auto"/>
            <w:vAlign w:val="center"/>
          </w:tcPr>
          <w:p w14:paraId="79BF1F80">
            <w:pPr>
              <w:jc w:val="center"/>
              <w:rPr>
                <w:rFonts w:hint="eastAsia" w:ascii="宋体" w:hAnsi="宋体" w:eastAsia="宋体" w:cs="宋体"/>
                <w:i w:val="0"/>
                <w:iCs w:val="0"/>
                <w:color w:val="auto"/>
                <w:sz w:val="21"/>
                <w:szCs w:val="21"/>
                <w:u w:val="none"/>
              </w:rPr>
            </w:pPr>
          </w:p>
        </w:tc>
        <w:tc>
          <w:tcPr>
            <w:tcW w:w="888" w:type="dxa"/>
            <w:vMerge w:val="continue"/>
            <w:tcBorders>
              <w:tl2br w:val="nil"/>
              <w:tr2bl w:val="nil"/>
            </w:tcBorders>
            <w:shd w:val="clear" w:color="auto" w:fill="auto"/>
            <w:vAlign w:val="center"/>
          </w:tcPr>
          <w:p w14:paraId="354CFB9B">
            <w:pPr>
              <w:jc w:val="center"/>
              <w:rPr>
                <w:rFonts w:hint="eastAsia" w:ascii="宋体" w:hAnsi="宋体" w:eastAsia="宋体" w:cs="宋体"/>
                <w:i w:val="0"/>
                <w:iCs w:val="0"/>
                <w:color w:val="auto"/>
                <w:sz w:val="21"/>
                <w:szCs w:val="21"/>
                <w:u w:val="none"/>
              </w:rPr>
            </w:pPr>
          </w:p>
        </w:tc>
        <w:tc>
          <w:tcPr>
            <w:tcW w:w="873" w:type="dxa"/>
            <w:tcBorders>
              <w:tl2br w:val="nil"/>
              <w:tr2bl w:val="nil"/>
            </w:tcBorders>
            <w:shd w:val="clear" w:color="auto" w:fill="auto"/>
            <w:vAlign w:val="center"/>
          </w:tcPr>
          <w:p w14:paraId="2D4F917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声压级</w:t>
            </w:r>
            <w:r>
              <w:rPr>
                <w:rFonts w:hint="default" w:ascii="Times New Roman" w:hAnsi="Times New Roman" w:eastAsia="宋体" w:cs="Times New Roman"/>
                <w:i w:val="0"/>
                <w:iCs w:val="0"/>
                <w:color w:val="auto"/>
                <w:kern w:val="0"/>
                <w:sz w:val="21"/>
                <w:szCs w:val="21"/>
                <w:u w:val="none"/>
                <w:lang w:val="en-US" w:eastAsia="zh-CN" w:bidi="ar"/>
              </w:rPr>
              <w:t>/dB</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A)</w:t>
            </w:r>
          </w:p>
        </w:tc>
        <w:tc>
          <w:tcPr>
            <w:tcW w:w="1080" w:type="dxa"/>
            <w:tcBorders>
              <w:tl2br w:val="nil"/>
              <w:tr2bl w:val="nil"/>
            </w:tcBorders>
            <w:shd w:val="clear" w:color="auto" w:fill="auto"/>
            <w:vAlign w:val="center"/>
          </w:tcPr>
          <w:p w14:paraId="0D2D78B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建筑物外距离</w:t>
            </w:r>
          </w:p>
        </w:tc>
      </w:tr>
      <w:tr w14:paraId="7A5B0F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1010" w:type="dxa"/>
            <w:tcBorders>
              <w:tl2br w:val="nil"/>
              <w:tr2bl w:val="nil"/>
            </w:tcBorders>
            <w:shd w:val="clear" w:color="auto" w:fill="auto"/>
            <w:noWrap/>
            <w:vAlign w:val="center"/>
          </w:tcPr>
          <w:p w14:paraId="3B3ACC2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757" w:type="dxa"/>
            <w:vMerge w:val="restart"/>
            <w:tcBorders>
              <w:tl2br w:val="nil"/>
              <w:tr2bl w:val="nil"/>
            </w:tcBorders>
            <w:shd w:val="clear" w:color="auto" w:fill="auto"/>
            <w:noWrap/>
            <w:vAlign w:val="center"/>
          </w:tcPr>
          <w:p w14:paraId="3290C18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混炼生产线</w:t>
            </w:r>
          </w:p>
        </w:tc>
        <w:tc>
          <w:tcPr>
            <w:tcW w:w="1255" w:type="dxa"/>
            <w:tcBorders>
              <w:tl2br w:val="nil"/>
              <w:tr2bl w:val="nil"/>
            </w:tcBorders>
            <w:shd w:val="clear" w:color="auto" w:fill="auto"/>
            <w:noWrap/>
            <w:vAlign w:val="center"/>
          </w:tcPr>
          <w:p w14:paraId="07BF952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密炼机</w:t>
            </w:r>
          </w:p>
        </w:tc>
        <w:tc>
          <w:tcPr>
            <w:tcW w:w="841" w:type="dxa"/>
            <w:tcBorders>
              <w:tl2br w:val="nil"/>
              <w:tr2bl w:val="nil"/>
            </w:tcBorders>
            <w:shd w:val="clear" w:color="auto" w:fill="auto"/>
            <w:noWrap/>
            <w:vAlign w:val="center"/>
          </w:tcPr>
          <w:p w14:paraId="30EED3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048" w:type="dxa"/>
            <w:vMerge w:val="restart"/>
            <w:tcBorders>
              <w:tl2br w:val="nil"/>
              <w:tr2bl w:val="nil"/>
            </w:tcBorders>
            <w:shd w:val="clear" w:color="auto" w:fill="auto"/>
            <w:vAlign w:val="center"/>
          </w:tcPr>
          <w:p w14:paraId="03D41AA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选用低噪声设备，加强设备保养，加强建筑物封闭，设置减震设施</w:t>
            </w:r>
          </w:p>
        </w:tc>
        <w:tc>
          <w:tcPr>
            <w:tcW w:w="1102" w:type="dxa"/>
            <w:tcBorders>
              <w:tl2br w:val="nil"/>
              <w:tr2bl w:val="nil"/>
            </w:tcBorders>
            <w:shd w:val="clear" w:color="auto" w:fill="auto"/>
            <w:noWrap/>
            <w:vAlign w:val="center"/>
          </w:tcPr>
          <w:p w14:paraId="34CA9F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-61.27</w:t>
            </w:r>
          </w:p>
        </w:tc>
        <w:tc>
          <w:tcPr>
            <w:tcW w:w="1054" w:type="dxa"/>
            <w:tcBorders>
              <w:tl2br w:val="nil"/>
              <w:tr2bl w:val="nil"/>
            </w:tcBorders>
            <w:shd w:val="clear" w:color="auto" w:fill="auto"/>
            <w:noWrap/>
            <w:vAlign w:val="center"/>
          </w:tcPr>
          <w:p w14:paraId="6FB580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29.06</w:t>
            </w:r>
          </w:p>
        </w:tc>
        <w:tc>
          <w:tcPr>
            <w:tcW w:w="891" w:type="dxa"/>
            <w:tcBorders>
              <w:tl2br w:val="nil"/>
              <w:tr2bl w:val="nil"/>
            </w:tcBorders>
            <w:shd w:val="clear" w:color="auto" w:fill="auto"/>
            <w:noWrap/>
            <w:vAlign w:val="center"/>
          </w:tcPr>
          <w:p w14:paraId="7CC9F2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5" w:type="dxa"/>
            <w:tcBorders>
              <w:tl2br w:val="nil"/>
              <w:tr2bl w:val="nil"/>
            </w:tcBorders>
            <w:shd w:val="clear" w:color="auto" w:fill="auto"/>
            <w:noWrap/>
            <w:vAlign w:val="center"/>
          </w:tcPr>
          <w:p w14:paraId="5E6871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223" w:type="dxa"/>
            <w:tcBorders>
              <w:tl2br w:val="nil"/>
              <w:tr2bl w:val="nil"/>
            </w:tcBorders>
            <w:shd w:val="clear" w:color="auto" w:fill="auto"/>
            <w:noWrap/>
            <w:vAlign w:val="center"/>
          </w:tcPr>
          <w:p w14:paraId="2AD967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69.4 </w:t>
            </w:r>
          </w:p>
        </w:tc>
        <w:tc>
          <w:tcPr>
            <w:tcW w:w="1179" w:type="dxa"/>
            <w:vMerge w:val="restart"/>
            <w:tcBorders>
              <w:tl2br w:val="nil"/>
              <w:tr2bl w:val="nil"/>
            </w:tcBorders>
            <w:shd w:val="clear" w:color="auto" w:fill="auto"/>
            <w:vAlign w:val="center"/>
          </w:tcPr>
          <w:p w14:paraId="38F3CA84">
            <w:pPr>
              <w:keepNext w:val="0"/>
              <w:keepLines w:val="0"/>
              <w:widowControl/>
              <w:suppressLineNumbers w:val="0"/>
              <w:jc w:val="center"/>
              <w:textAlignment w:val="center"/>
              <w:rPr>
                <w:rFonts w:hint="default" w:ascii="宋体" w:hAnsi="宋体" w:eastAsia="宋体" w:cs="宋体"/>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8:00-18:00/20:00-6:00</w:t>
            </w:r>
          </w:p>
        </w:tc>
        <w:tc>
          <w:tcPr>
            <w:tcW w:w="888" w:type="dxa"/>
            <w:tcBorders>
              <w:tl2br w:val="nil"/>
              <w:tr2bl w:val="nil"/>
            </w:tcBorders>
            <w:shd w:val="clear" w:color="auto" w:fill="auto"/>
            <w:noWrap/>
            <w:vAlign w:val="center"/>
          </w:tcPr>
          <w:p w14:paraId="7D65280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873" w:type="dxa"/>
            <w:tcBorders>
              <w:tl2br w:val="nil"/>
              <w:tr2bl w:val="nil"/>
            </w:tcBorders>
            <w:shd w:val="clear" w:color="auto" w:fill="auto"/>
            <w:noWrap/>
            <w:vAlign w:val="center"/>
          </w:tcPr>
          <w:p w14:paraId="2A6BD72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53.4 </w:t>
            </w:r>
          </w:p>
        </w:tc>
        <w:tc>
          <w:tcPr>
            <w:tcW w:w="1080" w:type="dxa"/>
            <w:tcBorders>
              <w:tl2br w:val="nil"/>
              <w:tr2bl w:val="nil"/>
            </w:tcBorders>
            <w:shd w:val="clear" w:color="auto" w:fill="auto"/>
            <w:noWrap/>
            <w:vAlign w:val="center"/>
          </w:tcPr>
          <w:p w14:paraId="272FFA8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622F79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1010" w:type="dxa"/>
            <w:tcBorders>
              <w:tl2br w:val="nil"/>
              <w:tr2bl w:val="nil"/>
            </w:tcBorders>
            <w:shd w:val="clear" w:color="auto" w:fill="auto"/>
            <w:noWrap/>
            <w:vAlign w:val="center"/>
          </w:tcPr>
          <w:p w14:paraId="4BF9B89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w:t>
            </w:r>
          </w:p>
        </w:tc>
        <w:tc>
          <w:tcPr>
            <w:tcW w:w="757" w:type="dxa"/>
            <w:vMerge w:val="continue"/>
            <w:tcBorders>
              <w:tl2br w:val="nil"/>
              <w:tr2bl w:val="nil"/>
            </w:tcBorders>
            <w:shd w:val="clear" w:color="auto" w:fill="auto"/>
            <w:noWrap/>
            <w:vAlign w:val="center"/>
          </w:tcPr>
          <w:p w14:paraId="2395B4E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1255" w:type="dxa"/>
            <w:tcBorders>
              <w:tl2br w:val="nil"/>
              <w:tr2bl w:val="nil"/>
            </w:tcBorders>
            <w:shd w:val="clear" w:color="auto" w:fill="auto"/>
            <w:noWrap/>
            <w:vAlign w:val="center"/>
          </w:tcPr>
          <w:p w14:paraId="27596E0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密炼机</w:t>
            </w:r>
          </w:p>
        </w:tc>
        <w:tc>
          <w:tcPr>
            <w:tcW w:w="841" w:type="dxa"/>
            <w:tcBorders>
              <w:tl2br w:val="nil"/>
              <w:tr2bl w:val="nil"/>
            </w:tcBorders>
            <w:shd w:val="clear" w:color="auto" w:fill="auto"/>
            <w:noWrap/>
            <w:vAlign w:val="center"/>
          </w:tcPr>
          <w:p w14:paraId="6F0898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048" w:type="dxa"/>
            <w:vMerge w:val="continue"/>
            <w:tcBorders>
              <w:tl2br w:val="nil"/>
              <w:tr2bl w:val="nil"/>
            </w:tcBorders>
            <w:shd w:val="clear" w:color="auto" w:fill="auto"/>
            <w:vAlign w:val="center"/>
          </w:tcPr>
          <w:p w14:paraId="1F0DA27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1102" w:type="dxa"/>
            <w:tcBorders>
              <w:tl2br w:val="nil"/>
              <w:tr2bl w:val="nil"/>
            </w:tcBorders>
            <w:shd w:val="clear" w:color="auto" w:fill="auto"/>
            <w:noWrap/>
            <w:vAlign w:val="center"/>
          </w:tcPr>
          <w:p w14:paraId="6AC49C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-59.3</w:t>
            </w:r>
          </w:p>
        </w:tc>
        <w:tc>
          <w:tcPr>
            <w:tcW w:w="1054" w:type="dxa"/>
            <w:tcBorders>
              <w:tl2br w:val="nil"/>
              <w:tr2bl w:val="nil"/>
            </w:tcBorders>
            <w:shd w:val="clear" w:color="auto" w:fill="auto"/>
            <w:noWrap/>
            <w:vAlign w:val="center"/>
          </w:tcPr>
          <w:p w14:paraId="06F430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31.5</w:t>
            </w:r>
          </w:p>
        </w:tc>
        <w:tc>
          <w:tcPr>
            <w:tcW w:w="891" w:type="dxa"/>
            <w:tcBorders>
              <w:tl2br w:val="nil"/>
              <w:tr2bl w:val="nil"/>
            </w:tcBorders>
            <w:shd w:val="clear" w:color="auto" w:fill="auto"/>
            <w:noWrap/>
            <w:vAlign w:val="center"/>
          </w:tcPr>
          <w:p w14:paraId="26C28A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5" w:type="dxa"/>
            <w:tcBorders>
              <w:tl2br w:val="nil"/>
              <w:tr2bl w:val="nil"/>
            </w:tcBorders>
            <w:shd w:val="clear" w:color="auto" w:fill="auto"/>
            <w:noWrap/>
            <w:vAlign w:val="center"/>
          </w:tcPr>
          <w:p w14:paraId="1D8C40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1223" w:type="dxa"/>
            <w:tcBorders>
              <w:tl2br w:val="nil"/>
              <w:tr2bl w:val="nil"/>
            </w:tcBorders>
            <w:shd w:val="clear" w:color="auto" w:fill="auto"/>
            <w:noWrap/>
            <w:vAlign w:val="center"/>
          </w:tcPr>
          <w:p w14:paraId="0C0AC8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69.4 </w:t>
            </w:r>
          </w:p>
        </w:tc>
        <w:tc>
          <w:tcPr>
            <w:tcW w:w="1179" w:type="dxa"/>
            <w:vMerge w:val="continue"/>
            <w:tcBorders>
              <w:tl2br w:val="nil"/>
              <w:tr2bl w:val="nil"/>
            </w:tcBorders>
            <w:shd w:val="clear" w:color="auto" w:fill="auto"/>
            <w:vAlign w:val="center"/>
          </w:tcPr>
          <w:p w14:paraId="6B07709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888" w:type="dxa"/>
            <w:tcBorders>
              <w:tl2br w:val="nil"/>
              <w:tr2bl w:val="nil"/>
            </w:tcBorders>
            <w:shd w:val="clear" w:color="auto" w:fill="auto"/>
            <w:noWrap/>
            <w:vAlign w:val="center"/>
          </w:tcPr>
          <w:p w14:paraId="763A17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10</w:t>
            </w:r>
          </w:p>
        </w:tc>
        <w:tc>
          <w:tcPr>
            <w:tcW w:w="873" w:type="dxa"/>
            <w:tcBorders>
              <w:tl2br w:val="nil"/>
              <w:tr2bl w:val="nil"/>
            </w:tcBorders>
            <w:shd w:val="clear" w:color="auto" w:fill="auto"/>
            <w:noWrap/>
            <w:vAlign w:val="center"/>
          </w:tcPr>
          <w:p w14:paraId="11E707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 xml:space="preserve">53.4 </w:t>
            </w:r>
          </w:p>
        </w:tc>
        <w:tc>
          <w:tcPr>
            <w:tcW w:w="1080" w:type="dxa"/>
            <w:tcBorders>
              <w:tl2br w:val="nil"/>
              <w:tr2bl w:val="nil"/>
            </w:tcBorders>
            <w:shd w:val="clear" w:color="auto" w:fill="auto"/>
            <w:noWrap/>
            <w:vAlign w:val="center"/>
          </w:tcPr>
          <w:p w14:paraId="59DA68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w:t>
            </w:r>
          </w:p>
        </w:tc>
      </w:tr>
      <w:tr w14:paraId="4A35D3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1010" w:type="dxa"/>
            <w:tcBorders>
              <w:tl2br w:val="nil"/>
              <w:tr2bl w:val="nil"/>
            </w:tcBorders>
            <w:shd w:val="clear" w:color="auto" w:fill="auto"/>
            <w:noWrap/>
            <w:vAlign w:val="center"/>
          </w:tcPr>
          <w:p w14:paraId="12EE0C9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3</w:t>
            </w:r>
          </w:p>
        </w:tc>
        <w:tc>
          <w:tcPr>
            <w:tcW w:w="757" w:type="dxa"/>
            <w:vMerge w:val="continue"/>
            <w:tcBorders>
              <w:tl2br w:val="nil"/>
              <w:tr2bl w:val="nil"/>
            </w:tcBorders>
            <w:shd w:val="clear" w:color="auto" w:fill="auto"/>
            <w:noWrap/>
            <w:vAlign w:val="center"/>
          </w:tcPr>
          <w:p w14:paraId="50DAF1F3">
            <w:pPr>
              <w:jc w:val="center"/>
              <w:rPr>
                <w:rFonts w:hint="eastAsia" w:ascii="宋体" w:hAnsi="宋体" w:eastAsia="宋体" w:cs="宋体"/>
                <w:i w:val="0"/>
                <w:iCs w:val="0"/>
                <w:color w:val="auto"/>
                <w:sz w:val="21"/>
                <w:szCs w:val="21"/>
                <w:u w:val="none"/>
              </w:rPr>
            </w:pPr>
          </w:p>
        </w:tc>
        <w:tc>
          <w:tcPr>
            <w:tcW w:w="1255" w:type="dxa"/>
            <w:tcBorders>
              <w:tl2br w:val="nil"/>
              <w:tr2bl w:val="nil"/>
            </w:tcBorders>
            <w:shd w:val="clear" w:color="auto" w:fill="auto"/>
            <w:noWrap/>
            <w:vAlign w:val="center"/>
          </w:tcPr>
          <w:p w14:paraId="22A8632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开炼机</w:t>
            </w:r>
          </w:p>
        </w:tc>
        <w:tc>
          <w:tcPr>
            <w:tcW w:w="841" w:type="dxa"/>
            <w:tcBorders>
              <w:tl2br w:val="nil"/>
              <w:tr2bl w:val="nil"/>
            </w:tcBorders>
            <w:shd w:val="clear" w:color="auto" w:fill="auto"/>
            <w:noWrap/>
            <w:vAlign w:val="center"/>
          </w:tcPr>
          <w:p w14:paraId="3830DA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048" w:type="dxa"/>
            <w:vMerge w:val="continue"/>
            <w:tcBorders>
              <w:tl2br w:val="nil"/>
              <w:tr2bl w:val="nil"/>
            </w:tcBorders>
            <w:shd w:val="clear" w:color="auto" w:fill="auto"/>
            <w:vAlign w:val="center"/>
          </w:tcPr>
          <w:p w14:paraId="283B6759">
            <w:pPr>
              <w:jc w:val="center"/>
              <w:rPr>
                <w:rFonts w:hint="eastAsia" w:ascii="宋体" w:hAnsi="宋体" w:eastAsia="宋体" w:cs="宋体"/>
                <w:i w:val="0"/>
                <w:iCs w:val="0"/>
                <w:color w:val="auto"/>
                <w:sz w:val="21"/>
                <w:szCs w:val="21"/>
                <w:u w:val="none"/>
              </w:rPr>
            </w:pPr>
          </w:p>
        </w:tc>
        <w:tc>
          <w:tcPr>
            <w:tcW w:w="1102" w:type="dxa"/>
            <w:tcBorders>
              <w:tl2br w:val="nil"/>
              <w:tr2bl w:val="nil"/>
            </w:tcBorders>
            <w:shd w:val="clear" w:color="auto" w:fill="auto"/>
            <w:noWrap/>
            <w:vAlign w:val="center"/>
          </w:tcPr>
          <w:p w14:paraId="6F935E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-57.56</w:t>
            </w:r>
          </w:p>
        </w:tc>
        <w:tc>
          <w:tcPr>
            <w:tcW w:w="1054" w:type="dxa"/>
            <w:tcBorders>
              <w:tl2br w:val="nil"/>
              <w:tr2bl w:val="nil"/>
            </w:tcBorders>
            <w:shd w:val="clear" w:color="auto" w:fill="auto"/>
            <w:noWrap/>
            <w:vAlign w:val="center"/>
          </w:tcPr>
          <w:p w14:paraId="7764AD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23.5</w:t>
            </w:r>
          </w:p>
        </w:tc>
        <w:tc>
          <w:tcPr>
            <w:tcW w:w="891" w:type="dxa"/>
            <w:tcBorders>
              <w:tl2br w:val="nil"/>
              <w:tr2bl w:val="nil"/>
            </w:tcBorders>
            <w:shd w:val="clear" w:color="auto" w:fill="auto"/>
            <w:noWrap/>
            <w:vAlign w:val="center"/>
          </w:tcPr>
          <w:p w14:paraId="32D6A6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5" w:type="dxa"/>
            <w:tcBorders>
              <w:tl2br w:val="nil"/>
              <w:tr2bl w:val="nil"/>
            </w:tcBorders>
            <w:shd w:val="clear" w:color="auto" w:fill="auto"/>
            <w:noWrap/>
            <w:vAlign w:val="center"/>
          </w:tcPr>
          <w:p w14:paraId="5798F2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8.45</w:t>
            </w:r>
          </w:p>
        </w:tc>
        <w:tc>
          <w:tcPr>
            <w:tcW w:w="1223" w:type="dxa"/>
            <w:tcBorders>
              <w:tl2br w:val="nil"/>
              <w:tr2bl w:val="nil"/>
            </w:tcBorders>
            <w:shd w:val="clear" w:color="auto" w:fill="auto"/>
            <w:noWrap/>
            <w:vAlign w:val="center"/>
          </w:tcPr>
          <w:p w14:paraId="25599E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66.5 </w:t>
            </w:r>
          </w:p>
        </w:tc>
        <w:tc>
          <w:tcPr>
            <w:tcW w:w="1179" w:type="dxa"/>
            <w:vMerge w:val="continue"/>
            <w:tcBorders>
              <w:tl2br w:val="nil"/>
              <w:tr2bl w:val="nil"/>
            </w:tcBorders>
            <w:shd w:val="clear" w:color="auto" w:fill="auto"/>
            <w:vAlign w:val="center"/>
          </w:tcPr>
          <w:p w14:paraId="7849346B">
            <w:pPr>
              <w:jc w:val="center"/>
              <w:rPr>
                <w:rFonts w:hint="eastAsia" w:ascii="宋体" w:hAnsi="宋体" w:eastAsia="宋体" w:cs="宋体"/>
                <w:i w:val="0"/>
                <w:iCs w:val="0"/>
                <w:color w:val="auto"/>
                <w:sz w:val="21"/>
                <w:szCs w:val="21"/>
                <w:u w:val="none"/>
              </w:rPr>
            </w:pPr>
          </w:p>
        </w:tc>
        <w:tc>
          <w:tcPr>
            <w:tcW w:w="888" w:type="dxa"/>
            <w:tcBorders>
              <w:tl2br w:val="nil"/>
              <w:tr2bl w:val="nil"/>
            </w:tcBorders>
            <w:shd w:val="clear" w:color="auto" w:fill="auto"/>
            <w:noWrap/>
            <w:vAlign w:val="center"/>
          </w:tcPr>
          <w:p w14:paraId="58C38A9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873" w:type="dxa"/>
            <w:tcBorders>
              <w:tl2br w:val="nil"/>
              <w:tr2bl w:val="nil"/>
            </w:tcBorders>
            <w:shd w:val="clear" w:color="auto" w:fill="auto"/>
            <w:noWrap/>
            <w:vAlign w:val="center"/>
          </w:tcPr>
          <w:p w14:paraId="22232DE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50.5 </w:t>
            </w:r>
          </w:p>
        </w:tc>
        <w:tc>
          <w:tcPr>
            <w:tcW w:w="1080" w:type="dxa"/>
            <w:tcBorders>
              <w:tl2br w:val="nil"/>
              <w:tr2bl w:val="nil"/>
            </w:tcBorders>
            <w:shd w:val="clear" w:color="auto" w:fill="auto"/>
            <w:noWrap/>
            <w:vAlign w:val="center"/>
          </w:tcPr>
          <w:p w14:paraId="0603743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7C73DD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1010" w:type="dxa"/>
            <w:tcBorders>
              <w:tl2br w:val="nil"/>
              <w:tr2bl w:val="nil"/>
            </w:tcBorders>
            <w:shd w:val="clear" w:color="auto" w:fill="auto"/>
            <w:noWrap/>
            <w:vAlign w:val="center"/>
          </w:tcPr>
          <w:p w14:paraId="08A41BE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4</w:t>
            </w:r>
          </w:p>
        </w:tc>
        <w:tc>
          <w:tcPr>
            <w:tcW w:w="757" w:type="dxa"/>
            <w:vMerge w:val="continue"/>
            <w:tcBorders>
              <w:tl2br w:val="nil"/>
              <w:tr2bl w:val="nil"/>
            </w:tcBorders>
            <w:shd w:val="clear" w:color="auto" w:fill="auto"/>
            <w:noWrap/>
            <w:vAlign w:val="center"/>
          </w:tcPr>
          <w:p w14:paraId="68EE61E8">
            <w:pPr>
              <w:jc w:val="center"/>
              <w:rPr>
                <w:rFonts w:hint="eastAsia" w:ascii="宋体" w:hAnsi="宋体" w:eastAsia="宋体" w:cs="宋体"/>
                <w:i w:val="0"/>
                <w:iCs w:val="0"/>
                <w:color w:val="auto"/>
                <w:sz w:val="21"/>
                <w:szCs w:val="21"/>
                <w:u w:val="none"/>
              </w:rPr>
            </w:pPr>
          </w:p>
        </w:tc>
        <w:tc>
          <w:tcPr>
            <w:tcW w:w="1255" w:type="dxa"/>
            <w:tcBorders>
              <w:tl2br w:val="nil"/>
              <w:tr2bl w:val="nil"/>
            </w:tcBorders>
            <w:shd w:val="clear" w:color="auto" w:fill="auto"/>
            <w:noWrap/>
            <w:vAlign w:val="center"/>
          </w:tcPr>
          <w:p w14:paraId="28BE89A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开炼机</w:t>
            </w:r>
          </w:p>
        </w:tc>
        <w:tc>
          <w:tcPr>
            <w:tcW w:w="841" w:type="dxa"/>
            <w:tcBorders>
              <w:tl2br w:val="nil"/>
              <w:tr2bl w:val="nil"/>
            </w:tcBorders>
            <w:shd w:val="clear" w:color="auto" w:fill="auto"/>
            <w:noWrap/>
            <w:vAlign w:val="center"/>
          </w:tcPr>
          <w:p w14:paraId="273B2D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048" w:type="dxa"/>
            <w:vMerge w:val="continue"/>
            <w:tcBorders>
              <w:tl2br w:val="nil"/>
              <w:tr2bl w:val="nil"/>
            </w:tcBorders>
            <w:shd w:val="clear" w:color="auto" w:fill="auto"/>
            <w:vAlign w:val="center"/>
          </w:tcPr>
          <w:p w14:paraId="03DABFC8">
            <w:pPr>
              <w:jc w:val="center"/>
              <w:rPr>
                <w:rFonts w:hint="eastAsia" w:ascii="宋体" w:hAnsi="宋体" w:eastAsia="宋体" w:cs="宋体"/>
                <w:i w:val="0"/>
                <w:iCs w:val="0"/>
                <w:color w:val="auto"/>
                <w:sz w:val="21"/>
                <w:szCs w:val="21"/>
                <w:u w:val="none"/>
              </w:rPr>
            </w:pPr>
          </w:p>
        </w:tc>
        <w:tc>
          <w:tcPr>
            <w:tcW w:w="1102" w:type="dxa"/>
            <w:tcBorders>
              <w:tl2br w:val="nil"/>
              <w:tr2bl w:val="nil"/>
            </w:tcBorders>
            <w:shd w:val="clear" w:color="auto" w:fill="auto"/>
            <w:noWrap/>
            <w:vAlign w:val="center"/>
          </w:tcPr>
          <w:p w14:paraId="745B6C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-55.53</w:t>
            </w:r>
          </w:p>
        </w:tc>
        <w:tc>
          <w:tcPr>
            <w:tcW w:w="1054" w:type="dxa"/>
            <w:tcBorders>
              <w:tl2br w:val="nil"/>
              <w:tr2bl w:val="nil"/>
            </w:tcBorders>
            <w:shd w:val="clear" w:color="auto" w:fill="auto"/>
            <w:noWrap/>
            <w:vAlign w:val="center"/>
          </w:tcPr>
          <w:p w14:paraId="47A8E8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25.17</w:t>
            </w:r>
          </w:p>
        </w:tc>
        <w:tc>
          <w:tcPr>
            <w:tcW w:w="891" w:type="dxa"/>
            <w:tcBorders>
              <w:tl2br w:val="nil"/>
              <w:tr2bl w:val="nil"/>
            </w:tcBorders>
            <w:shd w:val="clear" w:color="auto" w:fill="auto"/>
            <w:noWrap/>
            <w:vAlign w:val="center"/>
          </w:tcPr>
          <w:p w14:paraId="27F09E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5" w:type="dxa"/>
            <w:tcBorders>
              <w:tl2br w:val="nil"/>
              <w:tr2bl w:val="nil"/>
            </w:tcBorders>
            <w:shd w:val="clear" w:color="auto" w:fill="auto"/>
            <w:noWrap/>
            <w:vAlign w:val="center"/>
          </w:tcPr>
          <w:p w14:paraId="4F417F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8.45</w:t>
            </w:r>
          </w:p>
        </w:tc>
        <w:tc>
          <w:tcPr>
            <w:tcW w:w="1223" w:type="dxa"/>
            <w:tcBorders>
              <w:tl2br w:val="nil"/>
              <w:tr2bl w:val="nil"/>
            </w:tcBorders>
            <w:shd w:val="clear" w:color="auto" w:fill="auto"/>
            <w:noWrap/>
            <w:vAlign w:val="center"/>
          </w:tcPr>
          <w:p w14:paraId="0B587A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66.5 </w:t>
            </w:r>
          </w:p>
        </w:tc>
        <w:tc>
          <w:tcPr>
            <w:tcW w:w="1179" w:type="dxa"/>
            <w:vMerge w:val="continue"/>
            <w:tcBorders>
              <w:tl2br w:val="nil"/>
              <w:tr2bl w:val="nil"/>
            </w:tcBorders>
            <w:shd w:val="clear" w:color="auto" w:fill="auto"/>
            <w:vAlign w:val="center"/>
          </w:tcPr>
          <w:p w14:paraId="331BB61C">
            <w:pPr>
              <w:jc w:val="center"/>
              <w:rPr>
                <w:rFonts w:hint="eastAsia" w:ascii="宋体" w:hAnsi="宋体" w:eastAsia="宋体" w:cs="宋体"/>
                <w:i w:val="0"/>
                <w:iCs w:val="0"/>
                <w:color w:val="auto"/>
                <w:sz w:val="21"/>
                <w:szCs w:val="21"/>
                <w:u w:val="none"/>
              </w:rPr>
            </w:pPr>
          </w:p>
        </w:tc>
        <w:tc>
          <w:tcPr>
            <w:tcW w:w="888" w:type="dxa"/>
            <w:tcBorders>
              <w:tl2br w:val="nil"/>
              <w:tr2bl w:val="nil"/>
            </w:tcBorders>
            <w:shd w:val="clear" w:color="auto" w:fill="auto"/>
            <w:noWrap/>
            <w:vAlign w:val="center"/>
          </w:tcPr>
          <w:p w14:paraId="30180BD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873" w:type="dxa"/>
            <w:tcBorders>
              <w:tl2br w:val="nil"/>
              <w:tr2bl w:val="nil"/>
            </w:tcBorders>
            <w:shd w:val="clear" w:color="auto" w:fill="auto"/>
            <w:noWrap/>
            <w:vAlign w:val="center"/>
          </w:tcPr>
          <w:p w14:paraId="3814081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50.5 </w:t>
            </w:r>
          </w:p>
        </w:tc>
        <w:tc>
          <w:tcPr>
            <w:tcW w:w="1080" w:type="dxa"/>
            <w:tcBorders>
              <w:tl2br w:val="nil"/>
              <w:tr2bl w:val="nil"/>
            </w:tcBorders>
            <w:shd w:val="clear" w:color="auto" w:fill="auto"/>
            <w:noWrap/>
            <w:vAlign w:val="center"/>
          </w:tcPr>
          <w:p w14:paraId="6915F86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057D45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1010" w:type="dxa"/>
            <w:tcBorders>
              <w:tl2br w:val="nil"/>
              <w:tr2bl w:val="nil"/>
            </w:tcBorders>
            <w:shd w:val="clear" w:color="auto" w:fill="auto"/>
            <w:noWrap/>
            <w:vAlign w:val="center"/>
          </w:tcPr>
          <w:p w14:paraId="477CE60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5</w:t>
            </w:r>
          </w:p>
        </w:tc>
        <w:tc>
          <w:tcPr>
            <w:tcW w:w="757" w:type="dxa"/>
            <w:vMerge w:val="continue"/>
            <w:tcBorders>
              <w:tl2br w:val="nil"/>
              <w:tr2bl w:val="nil"/>
            </w:tcBorders>
            <w:shd w:val="clear" w:color="auto" w:fill="auto"/>
            <w:noWrap/>
            <w:vAlign w:val="center"/>
          </w:tcPr>
          <w:p w14:paraId="2FD3C697">
            <w:pPr>
              <w:jc w:val="center"/>
              <w:rPr>
                <w:rFonts w:hint="eastAsia" w:ascii="宋体" w:hAnsi="宋体" w:eastAsia="宋体" w:cs="宋体"/>
                <w:i w:val="0"/>
                <w:iCs w:val="0"/>
                <w:color w:val="auto"/>
                <w:sz w:val="21"/>
                <w:szCs w:val="21"/>
                <w:u w:val="none"/>
              </w:rPr>
            </w:pPr>
          </w:p>
        </w:tc>
        <w:tc>
          <w:tcPr>
            <w:tcW w:w="1255" w:type="dxa"/>
            <w:tcBorders>
              <w:tl2br w:val="nil"/>
              <w:tr2bl w:val="nil"/>
            </w:tcBorders>
            <w:shd w:val="clear" w:color="auto" w:fill="auto"/>
            <w:noWrap/>
            <w:vAlign w:val="center"/>
          </w:tcPr>
          <w:p w14:paraId="17C26EF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开炼机</w:t>
            </w:r>
          </w:p>
        </w:tc>
        <w:tc>
          <w:tcPr>
            <w:tcW w:w="841" w:type="dxa"/>
            <w:tcBorders>
              <w:tl2br w:val="nil"/>
              <w:tr2bl w:val="nil"/>
            </w:tcBorders>
            <w:shd w:val="clear" w:color="auto" w:fill="auto"/>
            <w:noWrap/>
            <w:vAlign w:val="center"/>
          </w:tcPr>
          <w:p w14:paraId="6FFDBA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048" w:type="dxa"/>
            <w:vMerge w:val="continue"/>
            <w:tcBorders>
              <w:tl2br w:val="nil"/>
              <w:tr2bl w:val="nil"/>
            </w:tcBorders>
            <w:shd w:val="clear" w:color="auto" w:fill="auto"/>
            <w:vAlign w:val="center"/>
          </w:tcPr>
          <w:p w14:paraId="6D39925B">
            <w:pPr>
              <w:jc w:val="center"/>
              <w:rPr>
                <w:rFonts w:hint="eastAsia" w:ascii="宋体" w:hAnsi="宋体" w:eastAsia="宋体" w:cs="宋体"/>
                <w:i w:val="0"/>
                <w:iCs w:val="0"/>
                <w:color w:val="auto"/>
                <w:sz w:val="21"/>
                <w:szCs w:val="21"/>
                <w:u w:val="none"/>
              </w:rPr>
            </w:pPr>
          </w:p>
        </w:tc>
        <w:tc>
          <w:tcPr>
            <w:tcW w:w="1102" w:type="dxa"/>
            <w:tcBorders>
              <w:tl2br w:val="nil"/>
              <w:tr2bl w:val="nil"/>
            </w:tcBorders>
            <w:shd w:val="clear" w:color="auto" w:fill="auto"/>
            <w:noWrap/>
            <w:vAlign w:val="center"/>
          </w:tcPr>
          <w:p w14:paraId="692883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-55.54</w:t>
            </w:r>
          </w:p>
        </w:tc>
        <w:tc>
          <w:tcPr>
            <w:tcW w:w="1054" w:type="dxa"/>
            <w:tcBorders>
              <w:tl2br w:val="nil"/>
              <w:tr2bl w:val="nil"/>
            </w:tcBorders>
            <w:shd w:val="clear" w:color="auto" w:fill="auto"/>
            <w:noWrap/>
            <w:vAlign w:val="center"/>
          </w:tcPr>
          <w:p w14:paraId="5D0598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21.52</w:t>
            </w:r>
          </w:p>
        </w:tc>
        <w:tc>
          <w:tcPr>
            <w:tcW w:w="891" w:type="dxa"/>
            <w:tcBorders>
              <w:tl2br w:val="nil"/>
              <w:tr2bl w:val="nil"/>
            </w:tcBorders>
            <w:shd w:val="clear" w:color="auto" w:fill="auto"/>
            <w:noWrap/>
            <w:vAlign w:val="center"/>
          </w:tcPr>
          <w:p w14:paraId="429911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5" w:type="dxa"/>
            <w:tcBorders>
              <w:tl2br w:val="nil"/>
              <w:tr2bl w:val="nil"/>
            </w:tcBorders>
            <w:shd w:val="clear" w:color="auto" w:fill="auto"/>
            <w:noWrap/>
            <w:vAlign w:val="center"/>
          </w:tcPr>
          <w:p w14:paraId="35969E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8.45</w:t>
            </w:r>
          </w:p>
        </w:tc>
        <w:tc>
          <w:tcPr>
            <w:tcW w:w="1223" w:type="dxa"/>
            <w:tcBorders>
              <w:tl2br w:val="nil"/>
              <w:tr2bl w:val="nil"/>
            </w:tcBorders>
            <w:shd w:val="clear" w:color="auto" w:fill="auto"/>
            <w:noWrap/>
            <w:vAlign w:val="center"/>
          </w:tcPr>
          <w:p w14:paraId="597C60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66.5 </w:t>
            </w:r>
          </w:p>
        </w:tc>
        <w:tc>
          <w:tcPr>
            <w:tcW w:w="1179" w:type="dxa"/>
            <w:vMerge w:val="continue"/>
            <w:tcBorders>
              <w:tl2br w:val="nil"/>
              <w:tr2bl w:val="nil"/>
            </w:tcBorders>
            <w:shd w:val="clear" w:color="auto" w:fill="auto"/>
            <w:vAlign w:val="center"/>
          </w:tcPr>
          <w:p w14:paraId="0F32CDCA">
            <w:pPr>
              <w:jc w:val="center"/>
              <w:rPr>
                <w:rFonts w:hint="eastAsia" w:ascii="宋体" w:hAnsi="宋体" w:eastAsia="宋体" w:cs="宋体"/>
                <w:i w:val="0"/>
                <w:iCs w:val="0"/>
                <w:color w:val="auto"/>
                <w:sz w:val="21"/>
                <w:szCs w:val="21"/>
                <w:u w:val="none"/>
              </w:rPr>
            </w:pPr>
          </w:p>
        </w:tc>
        <w:tc>
          <w:tcPr>
            <w:tcW w:w="888" w:type="dxa"/>
            <w:tcBorders>
              <w:tl2br w:val="nil"/>
              <w:tr2bl w:val="nil"/>
            </w:tcBorders>
            <w:shd w:val="clear" w:color="auto" w:fill="auto"/>
            <w:noWrap/>
            <w:vAlign w:val="center"/>
          </w:tcPr>
          <w:p w14:paraId="6C745AB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873" w:type="dxa"/>
            <w:tcBorders>
              <w:tl2br w:val="nil"/>
              <w:tr2bl w:val="nil"/>
            </w:tcBorders>
            <w:shd w:val="clear" w:color="auto" w:fill="auto"/>
            <w:noWrap/>
            <w:vAlign w:val="center"/>
          </w:tcPr>
          <w:p w14:paraId="1CD151E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50.5 </w:t>
            </w:r>
          </w:p>
        </w:tc>
        <w:tc>
          <w:tcPr>
            <w:tcW w:w="1080" w:type="dxa"/>
            <w:tcBorders>
              <w:tl2br w:val="nil"/>
              <w:tr2bl w:val="nil"/>
            </w:tcBorders>
            <w:shd w:val="clear" w:color="auto" w:fill="auto"/>
            <w:noWrap/>
            <w:vAlign w:val="center"/>
          </w:tcPr>
          <w:p w14:paraId="01B0C86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5B4210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1010" w:type="dxa"/>
            <w:tcBorders>
              <w:tl2br w:val="nil"/>
              <w:tr2bl w:val="nil"/>
            </w:tcBorders>
            <w:shd w:val="clear" w:color="auto" w:fill="auto"/>
            <w:noWrap/>
            <w:vAlign w:val="center"/>
          </w:tcPr>
          <w:p w14:paraId="47FB68A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6</w:t>
            </w:r>
          </w:p>
        </w:tc>
        <w:tc>
          <w:tcPr>
            <w:tcW w:w="757" w:type="dxa"/>
            <w:vMerge w:val="continue"/>
            <w:tcBorders>
              <w:tl2br w:val="nil"/>
              <w:tr2bl w:val="nil"/>
            </w:tcBorders>
            <w:shd w:val="clear" w:color="auto" w:fill="auto"/>
            <w:noWrap/>
            <w:vAlign w:val="center"/>
          </w:tcPr>
          <w:p w14:paraId="72CF4D2A">
            <w:pPr>
              <w:jc w:val="center"/>
              <w:rPr>
                <w:rFonts w:hint="eastAsia" w:ascii="宋体" w:hAnsi="宋体" w:eastAsia="宋体" w:cs="宋体"/>
                <w:i w:val="0"/>
                <w:iCs w:val="0"/>
                <w:color w:val="auto"/>
                <w:sz w:val="21"/>
                <w:szCs w:val="21"/>
                <w:u w:val="none"/>
              </w:rPr>
            </w:pPr>
          </w:p>
        </w:tc>
        <w:tc>
          <w:tcPr>
            <w:tcW w:w="1255" w:type="dxa"/>
            <w:tcBorders>
              <w:tl2br w:val="nil"/>
              <w:tr2bl w:val="nil"/>
            </w:tcBorders>
            <w:shd w:val="clear" w:color="auto" w:fill="auto"/>
            <w:noWrap/>
            <w:vAlign w:val="center"/>
          </w:tcPr>
          <w:p w14:paraId="4ABF182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开炼机</w:t>
            </w:r>
          </w:p>
        </w:tc>
        <w:tc>
          <w:tcPr>
            <w:tcW w:w="841" w:type="dxa"/>
            <w:tcBorders>
              <w:tl2br w:val="nil"/>
              <w:tr2bl w:val="nil"/>
            </w:tcBorders>
            <w:shd w:val="clear" w:color="auto" w:fill="auto"/>
            <w:noWrap/>
            <w:vAlign w:val="center"/>
          </w:tcPr>
          <w:p w14:paraId="4385CF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048" w:type="dxa"/>
            <w:vMerge w:val="continue"/>
            <w:tcBorders>
              <w:tl2br w:val="nil"/>
              <w:tr2bl w:val="nil"/>
            </w:tcBorders>
            <w:shd w:val="clear" w:color="auto" w:fill="auto"/>
            <w:vAlign w:val="center"/>
          </w:tcPr>
          <w:p w14:paraId="7C3A471C">
            <w:pPr>
              <w:jc w:val="center"/>
              <w:rPr>
                <w:rFonts w:hint="eastAsia" w:ascii="宋体" w:hAnsi="宋体" w:eastAsia="宋体" w:cs="宋体"/>
                <w:i w:val="0"/>
                <w:iCs w:val="0"/>
                <w:color w:val="auto"/>
                <w:sz w:val="21"/>
                <w:szCs w:val="21"/>
                <w:u w:val="none"/>
              </w:rPr>
            </w:pPr>
          </w:p>
        </w:tc>
        <w:tc>
          <w:tcPr>
            <w:tcW w:w="1102" w:type="dxa"/>
            <w:tcBorders>
              <w:tl2br w:val="nil"/>
              <w:tr2bl w:val="nil"/>
            </w:tcBorders>
            <w:shd w:val="clear" w:color="auto" w:fill="auto"/>
            <w:noWrap/>
            <w:vAlign w:val="center"/>
          </w:tcPr>
          <w:p w14:paraId="4FC485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-54.25</w:t>
            </w:r>
          </w:p>
        </w:tc>
        <w:tc>
          <w:tcPr>
            <w:tcW w:w="1054" w:type="dxa"/>
            <w:tcBorders>
              <w:tl2br w:val="nil"/>
              <w:tr2bl w:val="nil"/>
            </w:tcBorders>
            <w:shd w:val="clear" w:color="auto" w:fill="auto"/>
            <w:noWrap/>
            <w:vAlign w:val="center"/>
          </w:tcPr>
          <w:p w14:paraId="144193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23.14</w:t>
            </w:r>
          </w:p>
        </w:tc>
        <w:tc>
          <w:tcPr>
            <w:tcW w:w="891" w:type="dxa"/>
            <w:tcBorders>
              <w:tl2br w:val="nil"/>
              <w:tr2bl w:val="nil"/>
            </w:tcBorders>
            <w:shd w:val="clear" w:color="auto" w:fill="auto"/>
            <w:noWrap/>
            <w:vAlign w:val="center"/>
          </w:tcPr>
          <w:p w14:paraId="083208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5" w:type="dxa"/>
            <w:tcBorders>
              <w:tl2br w:val="nil"/>
              <w:tr2bl w:val="nil"/>
            </w:tcBorders>
            <w:shd w:val="clear" w:color="auto" w:fill="auto"/>
            <w:noWrap/>
            <w:vAlign w:val="center"/>
          </w:tcPr>
          <w:p w14:paraId="670EDF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1223" w:type="dxa"/>
            <w:tcBorders>
              <w:tl2br w:val="nil"/>
              <w:tr2bl w:val="nil"/>
            </w:tcBorders>
            <w:shd w:val="clear" w:color="auto" w:fill="auto"/>
            <w:noWrap/>
            <w:vAlign w:val="center"/>
          </w:tcPr>
          <w:p w14:paraId="6DB468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64.0 </w:t>
            </w:r>
          </w:p>
        </w:tc>
        <w:tc>
          <w:tcPr>
            <w:tcW w:w="1179" w:type="dxa"/>
            <w:vMerge w:val="continue"/>
            <w:tcBorders>
              <w:tl2br w:val="nil"/>
              <w:tr2bl w:val="nil"/>
            </w:tcBorders>
            <w:shd w:val="clear" w:color="auto" w:fill="auto"/>
            <w:vAlign w:val="center"/>
          </w:tcPr>
          <w:p w14:paraId="57C835EE">
            <w:pPr>
              <w:jc w:val="center"/>
              <w:rPr>
                <w:rFonts w:hint="eastAsia" w:ascii="宋体" w:hAnsi="宋体" w:eastAsia="宋体" w:cs="宋体"/>
                <w:i w:val="0"/>
                <w:iCs w:val="0"/>
                <w:color w:val="auto"/>
                <w:sz w:val="21"/>
                <w:szCs w:val="21"/>
                <w:u w:val="none"/>
              </w:rPr>
            </w:pPr>
          </w:p>
        </w:tc>
        <w:tc>
          <w:tcPr>
            <w:tcW w:w="888" w:type="dxa"/>
            <w:tcBorders>
              <w:tl2br w:val="nil"/>
              <w:tr2bl w:val="nil"/>
            </w:tcBorders>
            <w:shd w:val="clear" w:color="auto" w:fill="auto"/>
            <w:noWrap/>
            <w:vAlign w:val="center"/>
          </w:tcPr>
          <w:p w14:paraId="7AF5651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873" w:type="dxa"/>
            <w:tcBorders>
              <w:tl2br w:val="nil"/>
              <w:tr2bl w:val="nil"/>
            </w:tcBorders>
            <w:shd w:val="clear" w:color="auto" w:fill="auto"/>
            <w:noWrap/>
            <w:vAlign w:val="center"/>
          </w:tcPr>
          <w:p w14:paraId="506D251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48.0 </w:t>
            </w:r>
          </w:p>
        </w:tc>
        <w:tc>
          <w:tcPr>
            <w:tcW w:w="1080" w:type="dxa"/>
            <w:tcBorders>
              <w:tl2br w:val="nil"/>
              <w:tr2bl w:val="nil"/>
            </w:tcBorders>
            <w:shd w:val="clear" w:color="auto" w:fill="auto"/>
            <w:noWrap/>
            <w:vAlign w:val="center"/>
          </w:tcPr>
          <w:p w14:paraId="750B780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30B2BA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1010" w:type="dxa"/>
            <w:tcBorders>
              <w:tl2br w:val="nil"/>
              <w:tr2bl w:val="nil"/>
            </w:tcBorders>
            <w:shd w:val="clear" w:color="auto" w:fill="auto"/>
            <w:noWrap/>
            <w:vAlign w:val="center"/>
          </w:tcPr>
          <w:p w14:paraId="2C20626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7</w:t>
            </w:r>
          </w:p>
        </w:tc>
        <w:tc>
          <w:tcPr>
            <w:tcW w:w="757" w:type="dxa"/>
            <w:vMerge w:val="continue"/>
            <w:tcBorders>
              <w:tl2br w:val="nil"/>
              <w:tr2bl w:val="nil"/>
            </w:tcBorders>
            <w:shd w:val="clear" w:color="auto" w:fill="auto"/>
            <w:noWrap/>
            <w:vAlign w:val="center"/>
          </w:tcPr>
          <w:p w14:paraId="7C0CD990">
            <w:pPr>
              <w:jc w:val="center"/>
              <w:rPr>
                <w:rFonts w:hint="eastAsia" w:ascii="宋体" w:hAnsi="宋体" w:eastAsia="宋体" w:cs="宋体"/>
                <w:i w:val="0"/>
                <w:iCs w:val="0"/>
                <w:color w:val="auto"/>
                <w:sz w:val="21"/>
                <w:szCs w:val="21"/>
                <w:u w:val="none"/>
              </w:rPr>
            </w:pPr>
          </w:p>
        </w:tc>
        <w:tc>
          <w:tcPr>
            <w:tcW w:w="1255" w:type="dxa"/>
            <w:tcBorders>
              <w:tl2br w:val="nil"/>
              <w:tr2bl w:val="nil"/>
            </w:tcBorders>
            <w:shd w:val="clear" w:color="auto" w:fill="auto"/>
            <w:noWrap/>
            <w:vAlign w:val="center"/>
          </w:tcPr>
          <w:p w14:paraId="42CC8D6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开炼机</w:t>
            </w:r>
          </w:p>
        </w:tc>
        <w:tc>
          <w:tcPr>
            <w:tcW w:w="841" w:type="dxa"/>
            <w:tcBorders>
              <w:tl2br w:val="nil"/>
              <w:tr2bl w:val="nil"/>
            </w:tcBorders>
            <w:shd w:val="clear" w:color="auto" w:fill="auto"/>
            <w:noWrap/>
            <w:vAlign w:val="center"/>
          </w:tcPr>
          <w:p w14:paraId="50F2A9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048" w:type="dxa"/>
            <w:vMerge w:val="continue"/>
            <w:tcBorders>
              <w:tl2br w:val="nil"/>
              <w:tr2bl w:val="nil"/>
            </w:tcBorders>
            <w:shd w:val="clear" w:color="auto" w:fill="auto"/>
            <w:vAlign w:val="center"/>
          </w:tcPr>
          <w:p w14:paraId="6DB3DAC9">
            <w:pPr>
              <w:jc w:val="center"/>
              <w:rPr>
                <w:rFonts w:hint="eastAsia" w:ascii="宋体" w:hAnsi="宋体" w:eastAsia="宋体" w:cs="宋体"/>
                <w:i w:val="0"/>
                <w:iCs w:val="0"/>
                <w:color w:val="auto"/>
                <w:sz w:val="21"/>
                <w:szCs w:val="21"/>
                <w:u w:val="none"/>
              </w:rPr>
            </w:pPr>
          </w:p>
        </w:tc>
        <w:tc>
          <w:tcPr>
            <w:tcW w:w="1102" w:type="dxa"/>
            <w:tcBorders>
              <w:tl2br w:val="nil"/>
              <w:tr2bl w:val="nil"/>
            </w:tcBorders>
            <w:shd w:val="clear" w:color="auto" w:fill="auto"/>
            <w:noWrap/>
            <w:vAlign w:val="center"/>
          </w:tcPr>
          <w:p w14:paraId="0EAFC7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-55.19</w:t>
            </w:r>
          </w:p>
        </w:tc>
        <w:tc>
          <w:tcPr>
            <w:tcW w:w="1054" w:type="dxa"/>
            <w:tcBorders>
              <w:tl2br w:val="nil"/>
              <w:tr2bl w:val="nil"/>
            </w:tcBorders>
            <w:shd w:val="clear" w:color="auto" w:fill="auto"/>
            <w:noWrap/>
            <w:vAlign w:val="center"/>
          </w:tcPr>
          <w:p w14:paraId="591B33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19.09</w:t>
            </w:r>
          </w:p>
        </w:tc>
        <w:tc>
          <w:tcPr>
            <w:tcW w:w="891" w:type="dxa"/>
            <w:tcBorders>
              <w:tl2br w:val="nil"/>
              <w:tr2bl w:val="nil"/>
            </w:tcBorders>
            <w:shd w:val="clear" w:color="auto" w:fill="auto"/>
            <w:noWrap/>
            <w:vAlign w:val="center"/>
          </w:tcPr>
          <w:p w14:paraId="74116F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5" w:type="dxa"/>
            <w:tcBorders>
              <w:tl2br w:val="nil"/>
              <w:tr2bl w:val="nil"/>
            </w:tcBorders>
            <w:shd w:val="clear" w:color="auto" w:fill="auto"/>
            <w:noWrap/>
            <w:vAlign w:val="center"/>
          </w:tcPr>
          <w:p w14:paraId="708690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1223" w:type="dxa"/>
            <w:tcBorders>
              <w:tl2br w:val="nil"/>
              <w:tr2bl w:val="nil"/>
            </w:tcBorders>
            <w:shd w:val="clear" w:color="auto" w:fill="auto"/>
            <w:noWrap/>
            <w:vAlign w:val="center"/>
          </w:tcPr>
          <w:p w14:paraId="3B3787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64.0 </w:t>
            </w:r>
          </w:p>
        </w:tc>
        <w:tc>
          <w:tcPr>
            <w:tcW w:w="1179" w:type="dxa"/>
            <w:vMerge w:val="continue"/>
            <w:tcBorders>
              <w:tl2br w:val="nil"/>
              <w:tr2bl w:val="nil"/>
            </w:tcBorders>
            <w:shd w:val="clear" w:color="auto" w:fill="auto"/>
            <w:vAlign w:val="center"/>
          </w:tcPr>
          <w:p w14:paraId="6EAEABEF">
            <w:pPr>
              <w:jc w:val="center"/>
              <w:rPr>
                <w:rFonts w:hint="eastAsia" w:ascii="宋体" w:hAnsi="宋体" w:eastAsia="宋体" w:cs="宋体"/>
                <w:i w:val="0"/>
                <w:iCs w:val="0"/>
                <w:color w:val="auto"/>
                <w:sz w:val="21"/>
                <w:szCs w:val="21"/>
                <w:u w:val="none"/>
              </w:rPr>
            </w:pPr>
          </w:p>
        </w:tc>
        <w:tc>
          <w:tcPr>
            <w:tcW w:w="888" w:type="dxa"/>
            <w:tcBorders>
              <w:tl2br w:val="nil"/>
              <w:tr2bl w:val="nil"/>
            </w:tcBorders>
            <w:shd w:val="clear" w:color="auto" w:fill="auto"/>
            <w:noWrap/>
            <w:vAlign w:val="center"/>
          </w:tcPr>
          <w:p w14:paraId="361E85A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873" w:type="dxa"/>
            <w:tcBorders>
              <w:tl2br w:val="nil"/>
              <w:tr2bl w:val="nil"/>
            </w:tcBorders>
            <w:shd w:val="clear" w:color="auto" w:fill="auto"/>
            <w:noWrap/>
            <w:vAlign w:val="center"/>
          </w:tcPr>
          <w:p w14:paraId="31A49C3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48.0 </w:t>
            </w:r>
          </w:p>
        </w:tc>
        <w:tc>
          <w:tcPr>
            <w:tcW w:w="1080" w:type="dxa"/>
            <w:tcBorders>
              <w:tl2br w:val="nil"/>
              <w:tr2bl w:val="nil"/>
            </w:tcBorders>
            <w:shd w:val="clear" w:color="auto" w:fill="auto"/>
            <w:noWrap/>
            <w:vAlign w:val="center"/>
          </w:tcPr>
          <w:p w14:paraId="587D4DC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6212B2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6" w:hRule="atLeast"/>
          <w:jc w:val="center"/>
        </w:trPr>
        <w:tc>
          <w:tcPr>
            <w:tcW w:w="1010" w:type="dxa"/>
            <w:tcBorders>
              <w:tl2br w:val="nil"/>
              <w:tr2bl w:val="nil"/>
            </w:tcBorders>
            <w:shd w:val="clear" w:color="auto" w:fill="auto"/>
            <w:noWrap/>
            <w:vAlign w:val="center"/>
          </w:tcPr>
          <w:p w14:paraId="204D4E5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8</w:t>
            </w:r>
          </w:p>
        </w:tc>
        <w:tc>
          <w:tcPr>
            <w:tcW w:w="757" w:type="dxa"/>
            <w:vMerge w:val="continue"/>
            <w:tcBorders>
              <w:tl2br w:val="nil"/>
              <w:tr2bl w:val="nil"/>
            </w:tcBorders>
            <w:shd w:val="clear" w:color="auto" w:fill="auto"/>
            <w:noWrap/>
            <w:vAlign w:val="center"/>
          </w:tcPr>
          <w:p w14:paraId="1422A8B3">
            <w:pPr>
              <w:jc w:val="center"/>
              <w:rPr>
                <w:rFonts w:hint="eastAsia" w:ascii="宋体" w:hAnsi="宋体" w:eastAsia="宋体" w:cs="宋体"/>
                <w:i w:val="0"/>
                <w:iCs w:val="0"/>
                <w:color w:val="auto"/>
                <w:sz w:val="21"/>
                <w:szCs w:val="21"/>
                <w:u w:val="none"/>
              </w:rPr>
            </w:pPr>
          </w:p>
        </w:tc>
        <w:tc>
          <w:tcPr>
            <w:tcW w:w="1255" w:type="dxa"/>
            <w:tcBorders>
              <w:tl2br w:val="nil"/>
              <w:tr2bl w:val="nil"/>
            </w:tcBorders>
            <w:shd w:val="clear" w:color="auto" w:fill="auto"/>
            <w:noWrap/>
            <w:vAlign w:val="center"/>
          </w:tcPr>
          <w:p w14:paraId="6AA0F62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空压机</w:t>
            </w:r>
          </w:p>
        </w:tc>
        <w:tc>
          <w:tcPr>
            <w:tcW w:w="841" w:type="dxa"/>
            <w:tcBorders>
              <w:tl2br w:val="nil"/>
              <w:tr2bl w:val="nil"/>
            </w:tcBorders>
            <w:shd w:val="clear" w:color="auto" w:fill="auto"/>
            <w:noWrap/>
            <w:vAlign w:val="center"/>
          </w:tcPr>
          <w:p w14:paraId="7E85F4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048" w:type="dxa"/>
            <w:vMerge w:val="continue"/>
            <w:tcBorders>
              <w:tl2br w:val="nil"/>
              <w:tr2bl w:val="nil"/>
            </w:tcBorders>
            <w:shd w:val="clear" w:color="auto" w:fill="auto"/>
            <w:vAlign w:val="center"/>
          </w:tcPr>
          <w:p w14:paraId="29155C68">
            <w:pPr>
              <w:jc w:val="center"/>
              <w:rPr>
                <w:rFonts w:hint="eastAsia" w:ascii="宋体" w:hAnsi="宋体" w:eastAsia="宋体" w:cs="宋体"/>
                <w:i w:val="0"/>
                <w:iCs w:val="0"/>
                <w:color w:val="auto"/>
                <w:sz w:val="21"/>
                <w:szCs w:val="21"/>
                <w:u w:val="none"/>
              </w:rPr>
            </w:pPr>
          </w:p>
        </w:tc>
        <w:tc>
          <w:tcPr>
            <w:tcW w:w="1102" w:type="dxa"/>
            <w:tcBorders>
              <w:tl2br w:val="nil"/>
              <w:tr2bl w:val="nil"/>
            </w:tcBorders>
            <w:shd w:val="clear" w:color="auto" w:fill="auto"/>
            <w:noWrap/>
            <w:vAlign w:val="center"/>
          </w:tcPr>
          <w:p w14:paraId="63AEE5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-49.79</w:t>
            </w:r>
          </w:p>
        </w:tc>
        <w:tc>
          <w:tcPr>
            <w:tcW w:w="1054" w:type="dxa"/>
            <w:tcBorders>
              <w:tl2br w:val="nil"/>
              <w:tr2bl w:val="nil"/>
            </w:tcBorders>
            <w:shd w:val="clear" w:color="auto" w:fill="auto"/>
            <w:noWrap/>
            <w:vAlign w:val="center"/>
          </w:tcPr>
          <w:p w14:paraId="48F152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29.62</w:t>
            </w:r>
          </w:p>
        </w:tc>
        <w:tc>
          <w:tcPr>
            <w:tcW w:w="891" w:type="dxa"/>
            <w:tcBorders>
              <w:tl2br w:val="nil"/>
              <w:tr2bl w:val="nil"/>
            </w:tcBorders>
            <w:shd w:val="clear" w:color="auto" w:fill="auto"/>
            <w:noWrap/>
            <w:vAlign w:val="center"/>
          </w:tcPr>
          <w:p w14:paraId="16B447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5" w:type="dxa"/>
            <w:tcBorders>
              <w:tl2br w:val="nil"/>
              <w:tr2bl w:val="nil"/>
            </w:tcBorders>
            <w:shd w:val="clear" w:color="auto" w:fill="auto"/>
            <w:noWrap/>
            <w:vAlign w:val="center"/>
          </w:tcPr>
          <w:p w14:paraId="17DED3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13.3</w:t>
            </w:r>
          </w:p>
        </w:tc>
        <w:tc>
          <w:tcPr>
            <w:tcW w:w="1223" w:type="dxa"/>
            <w:tcBorders>
              <w:tl2br w:val="nil"/>
              <w:tr2bl w:val="nil"/>
            </w:tcBorders>
            <w:shd w:val="clear" w:color="auto" w:fill="auto"/>
            <w:noWrap/>
            <w:vAlign w:val="center"/>
          </w:tcPr>
          <w:p w14:paraId="51C777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67.5 </w:t>
            </w:r>
          </w:p>
        </w:tc>
        <w:tc>
          <w:tcPr>
            <w:tcW w:w="1179" w:type="dxa"/>
            <w:vMerge w:val="continue"/>
            <w:tcBorders>
              <w:tl2br w:val="nil"/>
              <w:tr2bl w:val="nil"/>
            </w:tcBorders>
            <w:shd w:val="clear" w:color="auto" w:fill="auto"/>
            <w:vAlign w:val="center"/>
          </w:tcPr>
          <w:p w14:paraId="3932A432">
            <w:pPr>
              <w:jc w:val="center"/>
              <w:rPr>
                <w:rFonts w:hint="eastAsia" w:ascii="宋体" w:hAnsi="宋体" w:eastAsia="宋体" w:cs="宋体"/>
                <w:i w:val="0"/>
                <w:iCs w:val="0"/>
                <w:color w:val="auto"/>
                <w:sz w:val="21"/>
                <w:szCs w:val="21"/>
                <w:u w:val="none"/>
              </w:rPr>
            </w:pPr>
          </w:p>
        </w:tc>
        <w:tc>
          <w:tcPr>
            <w:tcW w:w="888" w:type="dxa"/>
            <w:tcBorders>
              <w:tl2br w:val="nil"/>
              <w:tr2bl w:val="nil"/>
            </w:tcBorders>
            <w:shd w:val="clear" w:color="auto" w:fill="auto"/>
            <w:noWrap/>
            <w:vAlign w:val="center"/>
          </w:tcPr>
          <w:p w14:paraId="16A0B3C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873" w:type="dxa"/>
            <w:tcBorders>
              <w:tl2br w:val="nil"/>
              <w:tr2bl w:val="nil"/>
            </w:tcBorders>
            <w:shd w:val="clear" w:color="auto" w:fill="auto"/>
            <w:noWrap/>
            <w:vAlign w:val="center"/>
          </w:tcPr>
          <w:p w14:paraId="49EE77C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51.5 </w:t>
            </w:r>
          </w:p>
        </w:tc>
        <w:tc>
          <w:tcPr>
            <w:tcW w:w="1080" w:type="dxa"/>
            <w:tcBorders>
              <w:tl2br w:val="nil"/>
              <w:tr2bl w:val="nil"/>
            </w:tcBorders>
            <w:shd w:val="clear" w:color="auto" w:fill="auto"/>
            <w:noWrap/>
            <w:vAlign w:val="center"/>
          </w:tcPr>
          <w:p w14:paraId="079028B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0AE15F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1010" w:type="dxa"/>
            <w:tcBorders>
              <w:tl2br w:val="nil"/>
              <w:tr2bl w:val="nil"/>
            </w:tcBorders>
            <w:shd w:val="clear" w:color="auto" w:fill="auto"/>
            <w:noWrap/>
            <w:vAlign w:val="center"/>
          </w:tcPr>
          <w:p w14:paraId="4F85438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9</w:t>
            </w:r>
          </w:p>
        </w:tc>
        <w:tc>
          <w:tcPr>
            <w:tcW w:w="757" w:type="dxa"/>
            <w:vMerge w:val="restart"/>
            <w:tcBorders>
              <w:tl2br w:val="nil"/>
              <w:tr2bl w:val="nil"/>
            </w:tcBorders>
            <w:shd w:val="clear" w:color="auto" w:fill="auto"/>
            <w:noWrap/>
            <w:vAlign w:val="center"/>
          </w:tcPr>
          <w:p w14:paraId="15E7F23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硫化生产线</w:t>
            </w:r>
          </w:p>
        </w:tc>
        <w:tc>
          <w:tcPr>
            <w:tcW w:w="1255" w:type="dxa"/>
            <w:tcBorders>
              <w:tl2br w:val="nil"/>
              <w:tr2bl w:val="nil"/>
            </w:tcBorders>
            <w:shd w:val="clear" w:color="auto" w:fill="auto"/>
            <w:noWrap/>
            <w:vAlign w:val="center"/>
          </w:tcPr>
          <w:p w14:paraId="7C4410D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空压机</w:t>
            </w:r>
          </w:p>
        </w:tc>
        <w:tc>
          <w:tcPr>
            <w:tcW w:w="841" w:type="dxa"/>
            <w:tcBorders>
              <w:tl2br w:val="nil"/>
              <w:tr2bl w:val="nil"/>
            </w:tcBorders>
            <w:shd w:val="clear" w:color="auto" w:fill="auto"/>
            <w:noWrap/>
            <w:vAlign w:val="center"/>
          </w:tcPr>
          <w:p w14:paraId="33B9A2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048" w:type="dxa"/>
            <w:vMerge w:val="continue"/>
            <w:tcBorders>
              <w:tl2br w:val="nil"/>
              <w:tr2bl w:val="nil"/>
            </w:tcBorders>
            <w:shd w:val="clear" w:color="auto" w:fill="auto"/>
            <w:vAlign w:val="center"/>
          </w:tcPr>
          <w:p w14:paraId="47DB9543">
            <w:pPr>
              <w:jc w:val="center"/>
              <w:rPr>
                <w:rFonts w:hint="eastAsia" w:ascii="宋体" w:hAnsi="宋体" w:eastAsia="宋体" w:cs="宋体"/>
                <w:i w:val="0"/>
                <w:iCs w:val="0"/>
                <w:color w:val="auto"/>
                <w:sz w:val="21"/>
                <w:szCs w:val="21"/>
                <w:u w:val="none"/>
              </w:rPr>
            </w:pPr>
          </w:p>
        </w:tc>
        <w:tc>
          <w:tcPr>
            <w:tcW w:w="1102" w:type="dxa"/>
            <w:tcBorders>
              <w:tl2br w:val="nil"/>
              <w:tr2bl w:val="nil"/>
            </w:tcBorders>
            <w:shd w:val="clear" w:color="auto" w:fill="auto"/>
            <w:noWrap/>
            <w:vAlign w:val="center"/>
          </w:tcPr>
          <w:p w14:paraId="070979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43.88</w:t>
            </w:r>
          </w:p>
        </w:tc>
        <w:tc>
          <w:tcPr>
            <w:tcW w:w="1054" w:type="dxa"/>
            <w:tcBorders>
              <w:tl2br w:val="nil"/>
              <w:tr2bl w:val="nil"/>
            </w:tcBorders>
            <w:shd w:val="clear" w:color="auto" w:fill="auto"/>
            <w:noWrap/>
            <w:vAlign w:val="center"/>
          </w:tcPr>
          <w:p w14:paraId="7B4C18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-39.17</w:t>
            </w:r>
          </w:p>
        </w:tc>
        <w:tc>
          <w:tcPr>
            <w:tcW w:w="891" w:type="dxa"/>
            <w:tcBorders>
              <w:tl2br w:val="nil"/>
              <w:tr2bl w:val="nil"/>
            </w:tcBorders>
            <w:shd w:val="clear" w:color="auto" w:fill="auto"/>
            <w:noWrap/>
            <w:vAlign w:val="center"/>
          </w:tcPr>
          <w:p w14:paraId="454072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5" w:type="dxa"/>
            <w:tcBorders>
              <w:tl2br w:val="nil"/>
              <w:tr2bl w:val="nil"/>
            </w:tcBorders>
            <w:shd w:val="clear" w:color="auto" w:fill="auto"/>
            <w:noWrap/>
            <w:vAlign w:val="center"/>
          </w:tcPr>
          <w:p w14:paraId="19F9B6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223" w:type="dxa"/>
            <w:tcBorders>
              <w:tl2br w:val="nil"/>
              <w:tr2bl w:val="nil"/>
            </w:tcBorders>
            <w:shd w:val="clear" w:color="auto" w:fill="auto"/>
            <w:noWrap/>
            <w:vAlign w:val="center"/>
          </w:tcPr>
          <w:p w14:paraId="46DBB1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70.4 </w:t>
            </w:r>
          </w:p>
        </w:tc>
        <w:tc>
          <w:tcPr>
            <w:tcW w:w="1179" w:type="dxa"/>
            <w:vMerge w:val="continue"/>
            <w:tcBorders>
              <w:tl2br w:val="nil"/>
              <w:tr2bl w:val="nil"/>
            </w:tcBorders>
            <w:shd w:val="clear" w:color="auto" w:fill="auto"/>
            <w:vAlign w:val="center"/>
          </w:tcPr>
          <w:p w14:paraId="2A401A18">
            <w:pPr>
              <w:jc w:val="center"/>
              <w:rPr>
                <w:rFonts w:hint="eastAsia" w:ascii="宋体" w:hAnsi="宋体" w:eastAsia="宋体" w:cs="宋体"/>
                <w:i w:val="0"/>
                <w:iCs w:val="0"/>
                <w:color w:val="auto"/>
                <w:sz w:val="21"/>
                <w:szCs w:val="21"/>
                <w:u w:val="none"/>
              </w:rPr>
            </w:pPr>
          </w:p>
        </w:tc>
        <w:tc>
          <w:tcPr>
            <w:tcW w:w="888" w:type="dxa"/>
            <w:tcBorders>
              <w:tl2br w:val="nil"/>
              <w:tr2bl w:val="nil"/>
            </w:tcBorders>
            <w:shd w:val="clear" w:color="auto" w:fill="auto"/>
            <w:noWrap/>
            <w:vAlign w:val="center"/>
          </w:tcPr>
          <w:p w14:paraId="475A918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873" w:type="dxa"/>
            <w:tcBorders>
              <w:tl2br w:val="nil"/>
              <w:tr2bl w:val="nil"/>
            </w:tcBorders>
            <w:shd w:val="clear" w:color="auto" w:fill="auto"/>
            <w:noWrap/>
            <w:vAlign w:val="center"/>
          </w:tcPr>
          <w:p w14:paraId="1019C66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54.4 </w:t>
            </w:r>
          </w:p>
        </w:tc>
        <w:tc>
          <w:tcPr>
            <w:tcW w:w="1080" w:type="dxa"/>
            <w:tcBorders>
              <w:tl2br w:val="nil"/>
              <w:tr2bl w:val="nil"/>
            </w:tcBorders>
            <w:shd w:val="clear" w:color="auto" w:fill="auto"/>
            <w:noWrap/>
            <w:vAlign w:val="center"/>
          </w:tcPr>
          <w:p w14:paraId="7704FF3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238FE4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1010" w:type="dxa"/>
            <w:tcBorders>
              <w:tl2br w:val="nil"/>
              <w:tr2bl w:val="nil"/>
            </w:tcBorders>
            <w:shd w:val="clear" w:color="auto" w:fill="auto"/>
            <w:noWrap/>
            <w:vAlign w:val="center"/>
          </w:tcPr>
          <w:p w14:paraId="1580390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r>
              <w:rPr>
                <w:rFonts w:hint="eastAsia" w:cs="Times New Roman"/>
                <w:i w:val="0"/>
                <w:iCs w:val="0"/>
                <w:color w:val="auto"/>
                <w:kern w:val="0"/>
                <w:sz w:val="22"/>
                <w:szCs w:val="22"/>
                <w:u w:val="none"/>
                <w:lang w:val="en-US" w:eastAsia="zh-CN" w:bidi="ar"/>
              </w:rPr>
              <w:t>0</w:t>
            </w:r>
          </w:p>
        </w:tc>
        <w:tc>
          <w:tcPr>
            <w:tcW w:w="757" w:type="dxa"/>
            <w:vMerge w:val="continue"/>
            <w:tcBorders>
              <w:tl2br w:val="nil"/>
              <w:tr2bl w:val="nil"/>
            </w:tcBorders>
            <w:shd w:val="clear" w:color="auto" w:fill="auto"/>
            <w:noWrap/>
            <w:vAlign w:val="center"/>
          </w:tcPr>
          <w:p w14:paraId="63B36AE8">
            <w:pPr>
              <w:jc w:val="center"/>
              <w:rPr>
                <w:rFonts w:hint="eastAsia" w:ascii="宋体" w:hAnsi="宋体" w:eastAsia="宋体" w:cs="宋体"/>
                <w:i w:val="0"/>
                <w:iCs w:val="0"/>
                <w:color w:val="auto"/>
                <w:sz w:val="21"/>
                <w:szCs w:val="21"/>
                <w:u w:val="none"/>
              </w:rPr>
            </w:pPr>
          </w:p>
        </w:tc>
        <w:tc>
          <w:tcPr>
            <w:tcW w:w="1255" w:type="dxa"/>
            <w:tcBorders>
              <w:tl2br w:val="nil"/>
              <w:tr2bl w:val="nil"/>
            </w:tcBorders>
            <w:shd w:val="clear" w:color="auto" w:fill="auto"/>
            <w:noWrap/>
            <w:vAlign w:val="center"/>
          </w:tcPr>
          <w:p w14:paraId="00436A1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工业洗脱机</w:t>
            </w:r>
          </w:p>
        </w:tc>
        <w:tc>
          <w:tcPr>
            <w:tcW w:w="841" w:type="dxa"/>
            <w:tcBorders>
              <w:tl2br w:val="nil"/>
              <w:tr2bl w:val="nil"/>
            </w:tcBorders>
            <w:shd w:val="clear" w:color="auto" w:fill="auto"/>
            <w:noWrap/>
            <w:vAlign w:val="center"/>
          </w:tcPr>
          <w:p w14:paraId="123E2D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048" w:type="dxa"/>
            <w:vMerge w:val="continue"/>
            <w:tcBorders>
              <w:tl2br w:val="nil"/>
              <w:tr2bl w:val="nil"/>
            </w:tcBorders>
            <w:shd w:val="clear" w:color="auto" w:fill="auto"/>
            <w:vAlign w:val="center"/>
          </w:tcPr>
          <w:p w14:paraId="0E5F7DE3">
            <w:pPr>
              <w:jc w:val="center"/>
              <w:rPr>
                <w:rFonts w:hint="eastAsia" w:ascii="宋体" w:hAnsi="宋体" w:eastAsia="宋体" w:cs="宋体"/>
                <w:i w:val="0"/>
                <w:iCs w:val="0"/>
                <w:color w:val="auto"/>
                <w:sz w:val="21"/>
                <w:szCs w:val="21"/>
                <w:u w:val="none"/>
              </w:rPr>
            </w:pPr>
          </w:p>
        </w:tc>
        <w:tc>
          <w:tcPr>
            <w:tcW w:w="1102" w:type="dxa"/>
            <w:tcBorders>
              <w:tl2br w:val="nil"/>
              <w:tr2bl w:val="nil"/>
            </w:tcBorders>
            <w:shd w:val="clear" w:color="auto" w:fill="auto"/>
            <w:noWrap/>
            <w:vAlign w:val="center"/>
          </w:tcPr>
          <w:p w14:paraId="5AD1CF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48.52</w:t>
            </w:r>
          </w:p>
        </w:tc>
        <w:tc>
          <w:tcPr>
            <w:tcW w:w="1054" w:type="dxa"/>
            <w:tcBorders>
              <w:tl2br w:val="nil"/>
              <w:tr2bl w:val="nil"/>
            </w:tcBorders>
            <w:shd w:val="clear" w:color="auto" w:fill="auto"/>
            <w:noWrap/>
            <w:vAlign w:val="center"/>
          </w:tcPr>
          <w:p w14:paraId="6885A6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-31.52</w:t>
            </w:r>
          </w:p>
        </w:tc>
        <w:tc>
          <w:tcPr>
            <w:tcW w:w="891" w:type="dxa"/>
            <w:tcBorders>
              <w:tl2br w:val="nil"/>
              <w:tr2bl w:val="nil"/>
            </w:tcBorders>
            <w:shd w:val="clear" w:color="auto" w:fill="auto"/>
            <w:noWrap/>
            <w:vAlign w:val="center"/>
          </w:tcPr>
          <w:p w14:paraId="70B11B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5" w:type="dxa"/>
            <w:tcBorders>
              <w:tl2br w:val="nil"/>
              <w:tr2bl w:val="nil"/>
            </w:tcBorders>
            <w:shd w:val="clear" w:color="auto" w:fill="auto"/>
            <w:noWrap/>
            <w:vAlign w:val="center"/>
          </w:tcPr>
          <w:p w14:paraId="1859DE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16.1</w:t>
            </w:r>
          </w:p>
        </w:tc>
        <w:tc>
          <w:tcPr>
            <w:tcW w:w="1223" w:type="dxa"/>
            <w:tcBorders>
              <w:tl2br w:val="nil"/>
              <w:tr2bl w:val="nil"/>
            </w:tcBorders>
            <w:shd w:val="clear" w:color="auto" w:fill="auto"/>
            <w:noWrap/>
            <w:vAlign w:val="center"/>
          </w:tcPr>
          <w:p w14:paraId="1FE769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60.9 </w:t>
            </w:r>
          </w:p>
        </w:tc>
        <w:tc>
          <w:tcPr>
            <w:tcW w:w="1179" w:type="dxa"/>
            <w:vMerge w:val="continue"/>
            <w:tcBorders>
              <w:tl2br w:val="nil"/>
              <w:tr2bl w:val="nil"/>
            </w:tcBorders>
            <w:shd w:val="clear" w:color="auto" w:fill="auto"/>
            <w:vAlign w:val="center"/>
          </w:tcPr>
          <w:p w14:paraId="5FC2F29E">
            <w:pPr>
              <w:jc w:val="center"/>
              <w:rPr>
                <w:rFonts w:hint="eastAsia" w:ascii="宋体" w:hAnsi="宋体" w:eastAsia="宋体" w:cs="宋体"/>
                <w:i w:val="0"/>
                <w:iCs w:val="0"/>
                <w:color w:val="auto"/>
                <w:sz w:val="21"/>
                <w:szCs w:val="21"/>
                <w:u w:val="none"/>
              </w:rPr>
            </w:pPr>
          </w:p>
        </w:tc>
        <w:tc>
          <w:tcPr>
            <w:tcW w:w="888" w:type="dxa"/>
            <w:tcBorders>
              <w:tl2br w:val="nil"/>
              <w:tr2bl w:val="nil"/>
            </w:tcBorders>
            <w:shd w:val="clear" w:color="auto" w:fill="auto"/>
            <w:noWrap/>
            <w:vAlign w:val="center"/>
          </w:tcPr>
          <w:p w14:paraId="23BCCDD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873" w:type="dxa"/>
            <w:tcBorders>
              <w:tl2br w:val="nil"/>
              <w:tr2bl w:val="nil"/>
            </w:tcBorders>
            <w:shd w:val="clear" w:color="auto" w:fill="auto"/>
            <w:noWrap/>
            <w:vAlign w:val="center"/>
          </w:tcPr>
          <w:p w14:paraId="562BAB7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44.9 </w:t>
            </w:r>
          </w:p>
        </w:tc>
        <w:tc>
          <w:tcPr>
            <w:tcW w:w="1080" w:type="dxa"/>
            <w:tcBorders>
              <w:tl2br w:val="nil"/>
              <w:tr2bl w:val="nil"/>
            </w:tcBorders>
            <w:shd w:val="clear" w:color="auto" w:fill="auto"/>
            <w:noWrap/>
            <w:vAlign w:val="center"/>
          </w:tcPr>
          <w:p w14:paraId="35ACDCD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6B49B2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1010" w:type="dxa"/>
            <w:tcBorders>
              <w:tl2br w:val="nil"/>
              <w:tr2bl w:val="nil"/>
            </w:tcBorders>
            <w:shd w:val="clear" w:color="auto" w:fill="auto"/>
            <w:noWrap/>
            <w:vAlign w:val="center"/>
          </w:tcPr>
          <w:p w14:paraId="57CFEE6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default" w:ascii="Times New Roman" w:hAnsi="Times New Roman" w:eastAsia="宋体" w:cs="Times New Roman"/>
                <w:i w:val="0"/>
                <w:iCs w:val="0"/>
                <w:color w:val="auto"/>
                <w:kern w:val="0"/>
                <w:sz w:val="22"/>
                <w:szCs w:val="22"/>
                <w:u w:val="none"/>
                <w:lang w:val="en-US" w:eastAsia="zh-CN" w:bidi="ar"/>
              </w:rPr>
              <w:t>1</w:t>
            </w:r>
            <w:r>
              <w:rPr>
                <w:rFonts w:hint="eastAsia" w:cs="Times New Roman"/>
                <w:i w:val="0"/>
                <w:iCs w:val="0"/>
                <w:color w:val="auto"/>
                <w:kern w:val="0"/>
                <w:sz w:val="22"/>
                <w:szCs w:val="22"/>
                <w:u w:val="none"/>
                <w:lang w:val="en-US" w:eastAsia="zh-CN" w:bidi="ar"/>
              </w:rPr>
              <w:t>1</w:t>
            </w:r>
          </w:p>
        </w:tc>
        <w:tc>
          <w:tcPr>
            <w:tcW w:w="757" w:type="dxa"/>
            <w:vMerge w:val="continue"/>
            <w:tcBorders>
              <w:tl2br w:val="nil"/>
              <w:tr2bl w:val="nil"/>
            </w:tcBorders>
            <w:shd w:val="clear" w:color="auto" w:fill="auto"/>
            <w:noWrap/>
            <w:vAlign w:val="center"/>
          </w:tcPr>
          <w:p w14:paraId="796C29EB">
            <w:pPr>
              <w:jc w:val="center"/>
              <w:rPr>
                <w:rFonts w:hint="eastAsia" w:ascii="宋体" w:hAnsi="宋体" w:eastAsia="宋体" w:cs="宋体"/>
                <w:i w:val="0"/>
                <w:iCs w:val="0"/>
                <w:color w:val="auto"/>
                <w:sz w:val="21"/>
                <w:szCs w:val="21"/>
                <w:u w:val="none"/>
              </w:rPr>
            </w:pPr>
          </w:p>
        </w:tc>
        <w:tc>
          <w:tcPr>
            <w:tcW w:w="1255" w:type="dxa"/>
            <w:tcBorders>
              <w:tl2br w:val="nil"/>
              <w:tr2bl w:val="nil"/>
            </w:tcBorders>
            <w:shd w:val="clear" w:color="auto" w:fill="auto"/>
            <w:noWrap/>
            <w:vAlign w:val="center"/>
          </w:tcPr>
          <w:p w14:paraId="1D31844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工业洗脱机</w:t>
            </w:r>
          </w:p>
        </w:tc>
        <w:tc>
          <w:tcPr>
            <w:tcW w:w="841" w:type="dxa"/>
            <w:tcBorders>
              <w:tl2br w:val="nil"/>
              <w:tr2bl w:val="nil"/>
            </w:tcBorders>
            <w:shd w:val="clear" w:color="auto" w:fill="auto"/>
            <w:noWrap/>
            <w:vAlign w:val="center"/>
          </w:tcPr>
          <w:p w14:paraId="402D9D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048" w:type="dxa"/>
            <w:vMerge w:val="continue"/>
            <w:tcBorders>
              <w:tl2br w:val="nil"/>
              <w:tr2bl w:val="nil"/>
            </w:tcBorders>
            <w:shd w:val="clear" w:color="auto" w:fill="auto"/>
            <w:vAlign w:val="center"/>
          </w:tcPr>
          <w:p w14:paraId="1E0ABC33">
            <w:pPr>
              <w:jc w:val="center"/>
              <w:rPr>
                <w:rFonts w:hint="eastAsia" w:ascii="宋体" w:hAnsi="宋体" w:eastAsia="宋体" w:cs="宋体"/>
                <w:i w:val="0"/>
                <w:iCs w:val="0"/>
                <w:color w:val="auto"/>
                <w:sz w:val="21"/>
                <w:szCs w:val="21"/>
                <w:u w:val="none"/>
              </w:rPr>
            </w:pPr>
          </w:p>
        </w:tc>
        <w:tc>
          <w:tcPr>
            <w:tcW w:w="1102" w:type="dxa"/>
            <w:tcBorders>
              <w:tl2br w:val="nil"/>
              <w:tr2bl w:val="nil"/>
            </w:tcBorders>
            <w:shd w:val="clear" w:color="auto" w:fill="auto"/>
            <w:noWrap/>
            <w:vAlign w:val="center"/>
          </w:tcPr>
          <w:p w14:paraId="661FDE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56.74</w:t>
            </w:r>
          </w:p>
        </w:tc>
        <w:tc>
          <w:tcPr>
            <w:tcW w:w="1054" w:type="dxa"/>
            <w:tcBorders>
              <w:tl2br w:val="nil"/>
              <w:tr2bl w:val="nil"/>
            </w:tcBorders>
            <w:shd w:val="clear" w:color="auto" w:fill="auto"/>
            <w:noWrap/>
            <w:vAlign w:val="center"/>
          </w:tcPr>
          <w:p w14:paraId="302337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-35.2</w:t>
            </w:r>
          </w:p>
        </w:tc>
        <w:tc>
          <w:tcPr>
            <w:tcW w:w="891" w:type="dxa"/>
            <w:tcBorders>
              <w:tl2br w:val="nil"/>
              <w:tr2bl w:val="nil"/>
            </w:tcBorders>
            <w:shd w:val="clear" w:color="auto" w:fill="auto"/>
            <w:noWrap/>
            <w:vAlign w:val="center"/>
          </w:tcPr>
          <w:p w14:paraId="1A8C63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5" w:type="dxa"/>
            <w:tcBorders>
              <w:tl2br w:val="nil"/>
              <w:tr2bl w:val="nil"/>
            </w:tcBorders>
            <w:shd w:val="clear" w:color="auto" w:fill="auto"/>
            <w:noWrap/>
            <w:vAlign w:val="center"/>
          </w:tcPr>
          <w:p w14:paraId="179DDF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16.1</w:t>
            </w:r>
          </w:p>
        </w:tc>
        <w:tc>
          <w:tcPr>
            <w:tcW w:w="1223" w:type="dxa"/>
            <w:tcBorders>
              <w:tl2br w:val="nil"/>
              <w:tr2bl w:val="nil"/>
            </w:tcBorders>
            <w:shd w:val="clear" w:color="auto" w:fill="auto"/>
            <w:noWrap/>
            <w:vAlign w:val="center"/>
          </w:tcPr>
          <w:p w14:paraId="633069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60.9 </w:t>
            </w:r>
          </w:p>
        </w:tc>
        <w:tc>
          <w:tcPr>
            <w:tcW w:w="1179" w:type="dxa"/>
            <w:vMerge w:val="continue"/>
            <w:tcBorders>
              <w:tl2br w:val="nil"/>
              <w:tr2bl w:val="nil"/>
            </w:tcBorders>
            <w:shd w:val="clear" w:color="auto" w:fill="auto"/>
            <w:vAlign w:val="center"/>
          </w:tcPr>
          <w:p w14:paraId="7C93D36A">
            <w:pPr>
              <w:jc w:val="center"/>
              <w:rPr>
                <w:rFonts w:hint="eastAsia" w:ascii="宋体" w:hAnsi="宋体" w:eastAsia="宋体" w:cs="宋体"/>
                <w:i w:val="0"/>
                <w:iCs w:val="0"/>
                <w:color w:val="auto"/>
                <w:sz w:val="21"/>
                <w:szCs w:val="21"/>
                <w:u w:val="none"/>
              </w:rPr>
            </w:pPr>
          </w:p>
        </w:tc>
        <w:tc>
          <w:tcPr>
            <w:tcW w:w="888" w:type="dxa"/>
            <w:tcBorders>
              <w:tl2br w:val="nil"/>
              <w:tr2bl w:val="nil"/>
            </w:tcBorders>
            <w:shd w:val="clear" w:color="auto" w:fill="auto"/>
            <w:noWrap/>
            <w:vAlign w:val="center"/>
          </w:tcPr>
          <w:p w14:paraId="4687A14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873" w:type="dxa"/>
            <w:tcBorders>
              <w:tl2br w:val="nil"/>
              <w:tr2bl w:val="nil"/>
            </w:tcBorders>
            <w:shd w:val="clear" w:color="auto" w:fill="auto"/>
            <w:noWrap/>
            <w:vAlign w:val="center"/>
          </w:tcPr>
          <w:p w14:paraId="799F2D4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44.9 </w:t>
            </w:r>
          </w:p>
        </w:tc>
        <w:tc>
          <w:tcPr>
            <w:tcW w:w="1080" w:type="dxa"/>
            <w:tcBorders>
              <w:tl2br w:val="nil"/>
              <w:tr2bl w:val="nil"/>
            </w:tcBorders>
            <w:shd w:val="clear" w:color="auto" w:fill="auto"/>
            <w:noWrap/>
            <w:vAlign w:val="center"/>
          </w:tcPr>
          <w:p w14:paraId="46ADD50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5388E4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1010" w:type="dxa"/>
            <w:tcBorders>
              <w:tl2br w:val="nil"/>
              <w:tr2bl w:val="nil"/>
            </w:tcBorders>
            <w:shd w:val="clear" w:color="auto" w:fill="auto"/>
            <w:noWrap/>
            <w:vAlign w:val="center"/>
          </w:tcPr>
          <w:p w14:paraId="7C2CF7B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12</w:t>
            </w:r>
          </w:p>
        </w:tc>
        <w:tc>
          <w:tcPr>
            <w:tcW w:w="757" w:type="dxa"/>
            <w:vMerge w:val="continue"/>
            <w:tcBorders>
              <w:tl2br w:val="nil"/>
              <w:tr2bl w:val="nil"/>
            </w:tcBorders>
            <w:shd w:val="clear" w:color="auto" w:fill="auto"/>
            <w:noWrap/>
            <w:vAlign w:val="center"/>
          </w:tcPr>
          <w:p w14:paraId="37AB74BD">
            <w:pPr>
              <w:jc w:val="center"/>
              <w:rPr>
                <w:rFonts w:hint="eastAsia" w:ascii="宋体" w:hAnsi="宋体" w:eastAsia="宋体" w:cs="宋体"/>
                <w:i w:val="0"/>
                <w:iCs w:val="0"/>
                <w:color w:val="auto"/>
                <w:sz w:val="21"/>
                <w:szCs w:val="21"/>
                <w:u w:val="none"/>
              </w:rPr>
            </w:pPr>
          </w:p>
        </w:tc>
        <w:tc>
          <w:tcPr>
            <w:tcW w:w="1255" w:type="dxa"/>
            <w:tcBorders>
              <w:tl2br w:val="nil"/>
              <w:tr2bl w:val="nil"/>
            </w:tcBorders>
            <w:shd w:val="clear" w:color="auto" w:fill="auto"/>
            <w:noWrap/>
            <w:vAlign w:val="center"/>
          </w:tcPr>
          <w:p w14:paraId="7C93AF3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工业洗脱机</w:t>
            </w:r>
          </w:p>
        </w:tc>
        <w:tc>
          <w:tcPr>
            <w:tcW w:w="841" w:type="dxa"/>
            <w:tcBorders>
              <w:tl2br w:val="nil"/>
              <w:tr2bl w:val="nil"/>
            </w:tcBorders>
            <w:shd w:val="clear" w:color="auto" w:fill="auto"/>
            <w:noWrap/>
            <w:vAlign w:val="center"/>
          </w:tcPr>
          <w:p w14:paraId="5631B1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048" w:type="dxa"/>
            <w:vMerge w:val="continue"/>
            <w:tcBorders>
              <w:tl2br w:val="nil"/>
              <w:tr2bl w:val="nil"/>
            </w:tcBorders>
            <w:shd w:val="clear" w:color="auto" w:fill="auto"/>
            <w:vAlign w:val="center"/>
          </w:tcPr>
          <w:p w14:paraId="5E70FC0E">
            <w:pPr>
              <w:jc w:val="center"/>
              <w:rPr>
                <w:rFonts w:hint="eastAsia" w:ascii="宋体" w:hAnsi="宋体" w:eastAsia="宋体" w:cs="宋体"/>
                <w:i w:val="0"/>
                <w:iCs w:val="0"/>
                <w:color w:val="auto"/>
                <w:sz w:val="21"/>
                <w:szCs w:val="21"/>
                <w:u w:val="none"/>
              </w:rPr>
            </w:pPr>
          </w:p>
        </w:tc>
        <w:tc>
          <w:tcPr>
            <w:tcW w:w="1102" w:type="dxa"/>
            <w:tcBorders>
              <w:tl2br w:val="nil"/>
              <w:tr2bl w:val="nil"/>
            </w:tcBorders>
            <w:shd w:val="clear" w:color="auto" w:fill="auto"/>
            <w:noWrap/>
            <w:vAlign w:val="center"/>
          </w:tcPr>
          <w:p w14:paraId="43AF7F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59.11</w:t>
            </w:r>
          </w:p>
        </w:tc>
        <w:tc>
          <w:tcPr>
            <w:tcW w:w="1054" w:type="dxa"/>
            <w:tcBorders>
              <w:tl2br w:val="nil"/>
              <w:tr2bl w:val="nil"/>
            </w:tcBorders>
            <w:shd w:val="clear" w:color="auto" w:fill="auto"/>
            <w:noWrap/>
            <w:vAlign w:val="center"/>
          </w:tcPr>
          <w:p w14:paraId="623B9A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-38.33</w:t>
            </w:r>
          </w:p>
        </w:tc>
        <w:tc>
          <w:tcPr>
            <w:tcW w:w="891" w:type="dxa"/>
            <w:tcBorders>
              <w:tl2br w:val="nil"/>
              <w:tr2bl w:val="nil"/>
            </w:tcBorders>
            <w:shd w:val="clear" w:color="auto" w:fill="auto"/>
            <w:noWrap/>
            <w:vAlign w:val="center"/>
          </w:tcPr>
          <w:p w14:paraId="56062B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5" w:type="dxa"/>
            <w:tcBorders>
              <w:tl2br w:val="nil"/>
              <w:tr2bl w:val="nil"/>
            </w:tcBorders>
            <w:shd w:val="clear" w:color="auto" w:fill="auto"/>
            <w:noWrap/>
            <w:vAlign w:val="center"/>
          </w:tcPr>
          <w:p w14:paraId="1A75FE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16.1</w:t>
            </w:r>
          </w:p>
        </w:tc>
        <w:tc>
          <w:tcPr>
            <w:tcW w:w="1223" w:type="dxa"/>
            <w:tcBorders>
              <w:tl2br w:val="nil"/>
              <w:tr2bl w:val="nil"/>
            </w:tcBorders>
            <w:shd w:val="clear" w:color="auto" w:fill="auto"/>
            <w:noWrap/>
            <w:vAlign w:val="center"/>
          </w:tcPr>
          <w:p w14:paraId="087355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60.9 </w:t>
            </w:r>
          </w:p>
        </w:tc>
        <w:tc>
          <w:tcPr>
            <w:tcW w:w="1179" w:type="dxa"/>
            <w:vMerge w:val="continue"/>
            <w:tcBorders>
              <w:tl2br w:val="nil"/>
              <w:tr2bl w:val="nil"/>
            </w:tcBorders>
            <w:shd w:val="clear" w:color="auto" w:fill="auto"/>
            <w:vAlign w:val="center"/>
          </w:tcPr>
          <w:p w14:paraId="19DFF661">
            <w:pPr>
              <w:jc w:val="center"/>
              <w:rPr>
                <w:rFonts w:hint="eastAsia" w:ascii="宋体" w:hAnsi="宋体" w:eastAsia="宋体" w:cs="宋体"/>
                <w:i w:val="0"/>
                <w:iCs w:val="0"/>
                <w:color w:val="auto"/>
                <w:sz w:val="21"/>
                <w:szCs w:val="21"/>
                <w:u w:val="none"/>
              </w:rPr>
            </w:pPr>
          </w:p>
        </w:tc>
        <w:tc>
          <w:tcPr>
            <w:tcW w:w="888" w:type="dxa"/>
            <w:tcBorders>
              <w:tl2br w:val="nil"/>
              <w:tr2bl w:val="nil"/>
            </w:tcBorders>
            <w:shd w:val="clear" w:color="auto" w:fill="auto"/>
            <w:noWrap/>
            <w:vAlign w:val="center"/>
          </w:tcPr>
          <w:p w14:paraId="1481FE4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873" w:type="dxa"/>
            <w:tcBorders>
              <w:tl2br w:val="nil"/>
              <w:tr2bl w:val="nil"/>
            </w:tcBorders>
            <w:shd w:val="clear" w:color="auto" w:fill="auto"/>
            <w:noWrap/>
            <w:vAlign w:val="center"/>
          </w:tcPr>
          <w:p w14:paraId="24C1057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44.9 </w:t>
            </w:r>
          </w:p>
        </w:tc>
        <w:tc>
          <w:tcPr>
            <w:tcW w:w="1080" w:type="dxa"/>
            <w:tcBorders>
              <w:tl2br w:val="nil"/>
              <w:tr2bl w:val="nil"/>
            </w:tcBorders>
            <w:shd w:val="clear" w:color="auto" w:fill="auto"/>
            <w:noWrap/>
            <w:vAlign w:val="center"/>
          </w:tcPr>
          <w:p w14:paraId="527FE76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13B262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1010" w:type="dxa"/>
            <w:tcBorders>
              <w:tl2br w:val="nil"/>
              <w:tr2bl w:val="nil"/>
            </w:tcBorders>
            <w:shd w:val="clear" w:color="auto" w:fill="auto"/>
            <w:noWrap/>
            <w:vAlign w:val="center"/>
          </w:tcPr>
          <w:p w14:paraId="4DB2F8D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r>
              <w:rPr>
                <w:rFonts w:hint="eastAsia" w:cs="Times New Roman"/>
                <w:i w:val="0"/>
                <w:iCs w:val="0"/>
                <w:color w:val="auto"/>
                <w:kern w:val="0"/>
                <w:sz w:val="22"/>
                <w:szCs w:val="22"/>
                <w:u w:val="none"/>
                <w:lang w:val="en-US" w:eastAsia="zh-CN" w:bidi="ar"/>
              </w:rPr>
              <w:t>3</w:t>
            </w:r>
          </w:p>
        </w:tc>
        <w:tc>
          <w:tcPr>
            <w:tcW w:w="757" w:type="dxa"/>
            <w:vMerge w:val="continue"/>
            <w:tcBorders>
              <w:tl2br w:val="nil"/>
              <w:tr2bl w:val="nil"/>
            </w:tcBorders>
            <w:shd w:val="clear" w:color="auto" w:fill="auto"/>
            <w:noWrap/>
            <w:vAlign w:val="center"/>
          </w:tcPr>
          <w:p w14:paraId="154DA36A">
            <w:pPr>
              <w:jc w:val="center"/>
              <w:rPr>
                <w:rFonts w:hint="eastAsia" w:ascii="宋体" w:hAnsi="宋体" w:eastAsia="宋体" w:cs="宋体"/>
                <w:i w:val="0"/>
                <w:iCs w:val="0"/>
                <w:color w:val="auto"/>
                <w:sz w:val="21"/>
                <w:szCs w:val="21"/>
                <w:u w:val="none"/>
              </w:rPr>
            </w:pPr>
          </w:p>
        </w:tc>
        <w:tc>
          <w:tcPr>
            <w:tcW w:w="1255" w:type="dxa"/>
            <w:tcBorders>
              <w:tl2br w:val="nil"/>
              <w:tr2bl w:val="nil"/>
            </w:tcBorders>
            <w:shd w:val="clear" w:color="auto" w:fill="auto"/>
            <w:noWrap/>
            <w:vAlign w:val="center"/>
          </w:tcPr>
          <w:p w14:paraId="30EE143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工业洗脱机</w:t>
            </w:r>
          </w:p>
        </w:tc>
        <w:tc>
          <w:tcPr>
            <w:tcW w:w="841" w:type="dxa"/>
            <w:tcBorders>
              <w:tl2br w:val="nil"/>
              <w:tr2bl w:val="nil"/>
            </w:tcBorders>
            <w:shd w:val="clear" w:color="auto" w:fill="auto"/>
            <w:noWrap/>
            <w:vAlign w:val="center"/>
          </w:tcPr>
          <w:p w14:paraId="3840C1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048" w:type="dxa"/>
            <w:vMerge w:val="continue"/>
            <w:tcBorders>
              <w:tl2br w:val="nil"/>
              <w:tr2bl w:val="nil"/>
            </w:tcBorders>
            <w:shd w:val="clear" w:color="auto" w:fill="auto"/>
            <w:vAlign w:val="center"/>
          </w:tcPr>
          <w:p w14:paraId="4FD2CEAE">
            <w:pPr>
              <w:jc w:val="center"/>
              <w:rPr>
                <w:rFonts w:hint="eastAsia" w:ascii="宋体" w:hAnsi="宋体" w:eastAsia="宋体" w:cs="宋体"/>
                <w:i w:val="0"/>
                <w:iCs w:val="0"/>
                <w:color w:val="auto"/>
                <w:sz w:val="21"/>
                <w:szCs w:val="21"/>
                <w:u w:val="none"/>
              </w:rPr>
            </w:pPr>
          </w:p>
        </w:tc>
        <w:tc>
          <w:tcPr>
            <w:tcW w:w="1102" w:type="dxa"/>
            <w:tcBorders>
              <w:tl2br w:val="nil"/>
              <w:tr2bl w:val="nil"/>
            </w:tcBorders>
            <w:shd w:val="clear" w:color="auto" w:fill="auto"/>
            <w:noWrap/>
            <w:vAlign w:val="center"/>
          </w:tcPr>
          <w:p w14:paraId="6CBE29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62.14</w:t>
            </w:r>
          </w:p>
        </w:tc>
        <w:tc>
          <w:tcPr>
            <w:tcW w:w="1054" w:type="dxa"/>
            <w:tcBorders>
              <w:tl2br w:val="nil"/>
              <w:tr2bl w:val="nil"/>
            </w:tcBorders>
            <w:shd w:val="clear" w:color="auto" w:fill="auto"/>
            <w:noWrap/>
            <w:vAlign w:val="center"/>
          </w:tcPr>
          <w:p w14:paraId="4B2528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-41.89</w:t>
            </w:r>
          </w:p>
        </w:tc>
        <w:tc>
          <w:tcPr>
            <w:tcW w:w="891" w:type="dxa"/>
            <w:tcBorders>
              <w:tl2br w:val="nil"/>
              <w:tr2bl w:val="nil"/>
            </w:tcBorders>
            <w:shd w:val="clear" w:color="auto" w:fill="auto"/>
            <w:noWrap/>
            <w:vAlign w:val="center"/>
          </w:tcPr>
          <w:p w14:paraId="58FAFD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5" w:type="dxa"/>
            <w:tcBorders>
              <w:tl2br w:val="nil"/>
              <w:tr2bl w:val="nil"/>
            </w:tcBorders>
            <w:shd w:val="clear" w:color="auto" w:fill="auto"/>
            <w:noWrap/>
            <w:vAlign w:val="center"/>
          </w:tcPr>
          <w:p w14:paraId="0F509D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16.1</w:t>
            </w:r>
          </w:p>
        </w:tc>
        <w:tc>
          <w:tcPr>
            <w:tcW w:w="1223" w:type="dxa"/>
            <w:tcBorders>
              <w:tl2br w:val="nil"/>
              <w:tr2bl w:val="nil"/>
            </w:tcBorders>
            <w:shd w:val="clear" w:color="auto" w:fill="auto"/>
            <w:noWrap/>
            <w:vAlign w:val="center"/>
          </w:tcPr>
          <w:p w14:paraId="73DC6E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60.9 </w:t>
            </w:r>
          </w:p>
        </w:tc>
        <w:tc>
          <w:tcPr>
            <w:tcW w:w="1179" w:type="dxa"/>
            <w:vMerge w:val="continue"/>
            <w:tcBorders>
              <w:tl2br w:val="nil"/>
              <w:tr2bl w:val="nil"/>
            </w:tcBorders>
            <w:shd w:val="clear" w:color="auto" w:fill="auto"/>
            <w:vAlign w:val="center"/>
          </w:tcPr>
          <w:p w14:paraId="437DFB50">
            <w:pPr>
              <w:jc w:val="center"/>
              <w:rPr>
                <w:rFonts w:hint="eastAsia" w:ascii="宋体" w:hAnsi="宋体" w:eastAsia="宋体" w:cs="宋体"/>
                <w:i w:val="0"/>
                <w:iCs w:val="0"/>
                <w:color w:val="auto"/>
                <w:sz w:val="21"/>
                <w:szCs w:val="21"/>
                <w:u w:val="none"/>
              </w:rPr>
            </w:pPr>
          </w:p>
        </w:tc>
        <w:tc>
          <w:tcPr>
            <w:tcW w:w="888" w:type="dxa"/>
            <w:tcBorders>
              <w:tl2br w:val="nil"/>
              <w:tr2bl w:val="nil"/>
            </w:tcBorders>
            <w:shd w:val="clear" w:color="auto" w:fill="auto"/>
            <w:noWrap/>
            <w:vAlign w:val="center"/>
          </w:tcPr>
          <w:p w14:paraId="17006BF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873" w:type="dxa"/>
            <w:tcBorders>
              <w:tl2br w:val="nil"/>
              <w:tr2bl w:val="nil"/>
            </w:tcBorders>
            <w:shd w:val="clear" w:color="auto" w:fill="auto"/>
            <w:noWrap/>
            <w:vAlign w:val="center"/>
          </w:tcPr>
          <w:p w14:paraId="2C61055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44.9 </w:t>
            </w:r>
          </w:p>
        </w:tc>
        <w:tc>
          <w:tcPr>
            <w:tcW w:w="1080" w:type="dxa"/>
            <w:tcBorders>
              <w:tl2br w:val="nil"/>
              <w:tr2bl w:val="nil"/>
            </w:tcBorders>
            <w:shd w:val="clear" w:color="auto" w:fill="auto"/>
            <w:noWrap/>
            <w:vAlign w:val="center"/>
          </w:tcPr>
          <w:p w14:paraId="1B81F67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7D2E50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0" w:type="dxa"/>
            <w:tcBorders>
              <w:tl2br w:val="nil"/>
              <w:tr2bl w:val="nil"/>
            </w:tcBorders>
            <w:shd w:val="clear" w:color="auto" w:fill="auto"/>
            <w:noWrap/>
            <w:vAlign w:val="center"/>
          </w:tcPr>
          <w:p w14:paraId="5049A3E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r>
              <w:rPr>
                <w:rFonts w:hint="eastAsia" w:cs="Times New Roman"/>
                <w:i w:val="0"/>
                <w:iCs w:val="0"/>
                <w:color w:val="auto"/>
                <w:kern w:val="0"/>
                <w:sz w:val="22"/>
                <w:szCs w:val="22"/>
                <w:u w:val="none"/>
                <w:lang w:val="en-US" w:eastAsia="zh-CN" w:bidi="ar"/>
              </w:rPr>
              <w:t>4</w:t>
            </w:r>
          </w:p>
        </w:tc>
        <w:tc>
          <w:tcPr>
            <w:tcW w:w="757" w:type="dxa"/>
            <w:vMerge w:val="restart"/>
            <w:tcBorders>
              <w:tl2br w:val="nil"/>
              <w:tr2bl w:val="nil"/>
            </w:tcBorders>
            <w:shd w:val="clear" w:color="auto" w:fill="auto"/>
            <w:noWrap/>
            <w:vAlign w:val="center"/>
          </w:tcPr>
          <w:p w14:paraId="434611A6">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1"/>
                <w:szCs w:val="21"/>
                <w:u w:val="none"/>
                <w:lang w:val="en-US" w:eastAsia="zh-CN" w:bidi="ar"/>
              </w:rPr>
              <w:t>锅炉房</w:t>
            </w:r>
          </w:p>
        </w:tc>
        <w:tc>
          <w:tcPr>
            <w:tcW w:w="1255" w:type="dxa"/>
            <w:tcBorders>
              <w:tl2br w:val="nil"/>
              <w:tr2bl w:val="nil"/>
            </w:tcBorders>
            <w:shd w:val="clear" w:color="auto" w:fill="auto"/>
            <w:noWrap/>
            <w:vAlign w:val="center"/>
          </w:tcPr>
          <w:p w14:paraId="08C0C7B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蒸汽锅炉</w:t>
            </w:r>
          </w:p>
        </w:tc>
        <w:tc>
          <w:tcPr>
            <w:tcW w:w="841" w:type="dxa"/>
            <w:tcBorders>
              <w:tl2br w:val="nil"/>
              <w:tr2bl w:val="nil"/>
            </w:tcBorders>
            <w:shd w:val="clear" w:color="auto" w:fill="auto"/>
            <w:noWrap/>
            <w:vAlign w:val="center"/>
          </w:tcPr>
          <w:p w14:paraId="2343C7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048" w:type="dxa"/>
            <w:vMerge w:val="continue"/>
            <w:tcBorders>
              <w:tl2br w:val="nil"/>
              <w:tr2bl w:val="nil"/>
            </w:tcBorders>
            <w:shd w:val="clear" w:color="auto" w:fill="auto"/>
            <w:vAlign w:val="center"/>
          </w:tcPr>
          <w:p w14:paraId="75374E0F">
            <w:pPr>
              <w:jc w:val="center"/>
              <w:rPr>
                <w:rFonts w:hint="eastAsia" w:ascii="宋体" w:hAnsi="宋体" w:eastAsia="宋体" w:cs="宋体"/>
                <w:i w:val="0"/>
                <w:iCs w:val="0"/>
                <w:color w:val="auto"/>
                <w:sz w:val="21"/>
                <w:szCs w:val="21"/>
                <w:u w:val="none"/>
              </w:rPr>
            </w:pPr>
          </w:p>
        </w:tc>
        <w:tc>
          <w:tcPr>
            <w:tcW w:w="1102" w:type="dxa"/>
            <w:tcBorders>
              <w:tl2br w:val="nil"/>
              <w:tr2bl w:val="nil"/>
            </w:tcBorders>
            <w:shd w:val="clear" w:color="auto" w:fill="auto"/>
            <w:noWrap/>
            <w:vAlign w:val="center"/>
          </w:tcPr>
          <w:p w14:paraId="68E63C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28.65</w:t>
            </w:r>
          </w:p>
        </w:tc>
        <w:tc>
          <w:tcPr>
            <w:tcW w:w="1054" w:type="dxa"/>
            <w:tcBorders>
              <w:tl2br w:val="nil"/>
              <w:tr2bl w:val="nil"/>
            </w:tcBorders>
            <w:shd w:val="clear" w:color="auto" w:fill="auto"/>
            <w:noWrap/>
            <w:vAlign w:val="center"/>
          </w:tcPr>
          <w:p w14:paraId="65C373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-44.9</w:t>
            </w:r>
          </w:p>
        </w:tc>
        <w:tc>
          <w:tcPr>
            <w:tcW w:w="891" w:type="dxa"/>
            <w:tcBorders>
              <w:tl2br w:val="nil"/>
              <w:tr2bl w:val="nil"/>
            </w:tcBorders>
            <w:shd w:val="clear" w:color="auto" w:fill="auto"/>
            <w:noWrap/>
            <w:vAlign w:val="center"/>
          </w:tcPr>
          <w:p w14:paraId="4241D1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5" w:type="dxa"/>
            <w:tcBorders>
              <w:tl2br w:val="nil"/>
              <w:tr2bl w:val="nil"/>
            </w:tcBorders>
            <w:shd w:val="clear" w:color="auto" w:fill="auto"/>
            <w:noWrap/>
            <w:vAlign w:val="center"/>
          </w:tcPr>
          <w:p w14:paraId="794807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223" w:type="dxa"/>
            <w:tcBorders>
              <w:tl2br w:val="nil"/>
              <w:tr2bl w:val="nil"/>
            </w:tcBorders>
            <w:shd w:val="clear" w:color="auto" w:fill="auto"/>
            <w:noWrap/>
            <w:vAlign w:val="center"/>
          </w:tcPr>
          <w:p w14:paraId="140649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60.4 </w:t>
            </w:r>
          </w:p>
        </w:tc>
        <w:tc>
          <w:tcPr>
            <w:tcW w:w="1179" w:type="dxa"/>
            <w:vMerge w:val="continue"/>
            <w:tcBorders>
              <w:tl2br w:val="nil"/>
              <w:tr2bl w:val="nil"/>
            </w:tcBorders>
            <w:shd w:val="clear" w:color="auto" w:fill="auto"/>
            <w:noWrap/>
            <w:vAlign w:val="center"/>
          </w:tcPr>
          <w:p w14:paraId="2C370F37">
            <w:pPr>
              <w:rPr>
                <w:rFonts w:hint="eastAsia" w:ascii="宋体" w:hAnsi="宋体" w:eastAsia="宋体" w:cs="宋体"/>
                <w:i w:val="0"/>
                <w:iCs w:val="0"/>
                <w:color w:val="auto"/>
                <w:sz w:val="24"/>
                <w:szCs w:val="24"/>
                <w:u w:val="none"/>
              </w:rPr>
            </w:pPr>
          </w:p>
        </w:tc>
        <w:tc>
          <w:tcPr>
            <w:tcW w:w="888" w:type="dxa"/>
            <w:tcBorders>
              <w:tl2br w:val="nil"/>
              <w:tr2bl w:val="nil"/>
            </w:tcBorders>
            <w:shd w:val="clear" w:color="auto" w:fill="auto"/>
            <w:noWrap/>
            <w:vAlign w:val="center"/>
          </w:tcPr>
          <w:p w14:paraId="700271B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873" w:type="dxa"/>
            <w:tcBorders>
              <w:tl2br w:val="nil"/>
              <w:tr2bl w:val="nil"/>
            </w:tcBorders>
            <w:shd w:val="clear" w:color="auto" w:fill="auto"/>
            <w:noWrap/>
            <w:vAlign w:val="center"/>
          </w:tcPr>
          <w:p w14:paraId="6EABFAF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44.4 </w:t>
            </w:r>
          </w:p>
        </w:tc>
        <w:tc>
          <w:tcPr>
            <w:tcW w:w="1080" w:type="dxa"/>
            <w:tcBorders>
              <w:tl2br w:val="nil"/>
              <w:tr2bl w:val="nil"/>
            </w:tcBorders>
            <w:shd w:val="clear" w:color="auto" w:fill="auto"/>
            <w:noWrap/>
            <w:vAlign w:val="center"/>
          </w:tcPr>
          <w:p w14:paraId="3C6473F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203321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1010" w:type="dxa"/>
            <w:tcBorders>
              <w:tl2br w:val="nil"/>
              <w:tr2bl w:val="nil"/>
            </w:tcBorders>
            <w:shd w:val="clear" w:color="auto" w:fill="auto"/>
            <w:noWrap/>
            <w:vAlign w:val="center"/>
          </w:tcPr>
          <w:p w14:paraId="1C0B301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ascii="Times New Roman" w:hAnsi="Times New Roman" w:eastAsia="宋体" w:cs="Times New Roman"/>
                <w:i w:val="0"/>
                <w:iCs w:val="0"/>
                <w:color w:val="auto"/>
                <w:sz w:val="22"/>
                <w:szCs w:val="22"/>
                <w:u w:val="none"/>
                <w:lang w:val="en-US" w:eastAsia="zh-CN"/>
              </w:rPr>
              <w:t>1</w:t>
            </w:r>
            <w:r>
              <w:rPr>
                <w:rFonts w:hint="eastAsia" w:cs="Times New Roman"/>
                <w:i w:val="0"/>
                <w:iCs w:val="0"/>
                <w:color w:val="auto"/>
                <w:sz w:val="22"/>
                <w:szCs w:val="22"/>
                <w:u w:val="none"/>
                <w:lang w:val="en-US" w:eastAsia="zh-CN"/>
              </w:rPr>
              <w:t>5</w:t>
            </w:r>
          </w:p>
        </w:tc>
        <w:tc>
          <w:tcPr>
            <w:tcW w:w="757" w:type="dxa"/>
            <w:vMerge w:val="continue"/>
            <w:tcBorders>
              <w:tl2br w:val="nil"/>
              <w:tr2bl w:val="nil"/>
            </w:tcBorders>
            <w:shd w:val="clear" w:color="auto" w:fill="auto"/>
            <w:noWrap/>
            <w:vAlign w:val="center"/>
          </w:tcPr>
          <w:p w14:paraId="7033FA8C">
            <w:pPr>
              <w:jc w:val="center"/>
              <w:rPr>
                <w:rFonts w:hint="eastAsia" w:ascii="宋体" w:hAnsi="宋体" w:eastAsia="宋体" w:cs="宋体"/>
                <w:i w:val="0"/>
                <w:iCs w:val="0"/>
                <w:color w:val="auto"/>
                <w:sz w:val="24"/>
                <w:szCs w:val="24"/>
                <w:u w:val="none"/>
              </w:rPr>
            </w:pPr>
          </w:p>
        </w:tc>
        <w:tc>
          <w:tcPr>
            <w:tcW w:w="1255" w:type="dxa"/>
            <w:tcBorders>
              <w:tl2br w:val="nil"/>
              <w:tr2bl w:val="nil"/>
            </w:tcBorders>
            <w:shd w:val="clear" w:color="auto" w:fill="auto"/>
            <w:noWrap/>
            <w:vAlign w:val="center"/>
          </w:tcPr>
          <w:p w14:paraId="0BBD04A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蒸汽锅炉</w:t>
            </w:r>
          </w:p>
        </w:tc>
        <w:tc>
          <w:tcPr>
            <w:tcW w:w="841" w:type="dxa"/>
            <w:tcBorders>
              <w:tl2br w:val="nil"/>
              <w:tr2bl w:val="nil"/>
            </w:tcBorders>
            <w:shd w:val="clear" w:color="auto" w:fill="auto"/>
            <w:noWrap/>
            <w:vAlign w:val="center"/>
          </w:tcPr>
          <w:p w14:paraId="7DB6C6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048" w:type="dxa"/>
            <w:vMerge w:val="continue"/>
            <w:tcBorders>
              <w:tl2br w:val="nil"/>
              <w:tr2bl w:val="nil"/>
            </w:tcBorders>
            <w:shd w:val="clear" w:color="auto" w:fill="auto"/>
            <w:vAlign w:val="center"/>
          </w:tcPr>
          <w:p w14:paraId="4EDFBE6A">
            <w:pPr>
              <w:jc w:val="center"/>
              <w:rPr>
                <w:rFonts w:hint="eastAsia" w:ascii="宋体" w:hAnsi="宋体" w:eastAsia="宋体" w:cs="宋体"/>
                <w:i w:val="0"/>
                <w:iCs w:val="0"/>
                <w:color w:val="auto"/>
                <w:sz w:val="21"/>
                <w:szCs w:val="21"/>
                <w:u w:val="none"/>
              </w:rPr>
            </w:pPr>
          </w:p>
        </w:tc>
        <w:tc>
          <w:tcPr>
            <w:tcW w:w="1102" w:type="dxa"/>
            <w:tcBorders>
              <w:tl2br w:val="nil"/>
              <w:tr2bl w:val="nil"/>
            </w:tcBorders>
            <w:shd w:val="clear" w:color="auto" w:fill="auto"/>
            <w:noWrap/>
            <w:vAlign w:val="center"/>
          </w:tcPr>
          <w:p w14:paraId="524F93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30.45</w:t>
            </w:r>
          </w:p>
        </w:tc>
        <w:tc>
          <w:tcPr>
            <w:tcW w:w="1054" w:type="dxa"/>
            <w:tcBorders>
              <w:tl2br w:val="nil"/>
              <w:tr2bl w:val="nil"/>
            </w:tcBorders>
            <w:shd w:val="clear" w:color="auto" w:fill="auto"/>
            <w:noWrap/>
            <w:vAlign w:val="center"/>
          </w:tcPr>
          <w:p w14:paraId="566AB3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-44.77</w:t>
            </w:r>
          </w:p>
        </w:tc>
        <w:tc>
          <w:tcPr>
            <w:tcW w:w="891" w:type="dxa"/>
            <w:tcBorders>
              <w:tl2br w:val="nil"/>
              <w:tr2bl w:val="nil"/>
            </w:tcBorders>
            <w:shd w:val="clear" w:color="auto" w:fill="auto"/>
            <w:noWrap/>
            <w:vAlign w:val="center"/>
          </w:tcPr>
          <w:p w14:paraId="371026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5" w:type="dxa"/>
            <w:tcBorders>
              <w:tl2br w:val="nil"/>
              <w:tr2bl w:val="nil"/>
            </w:tcBorders>
            <w:shd w:val="clear" w:color="auto" w:fill="auto"/>
            <w:noWrap/>
            <w:vAlign w:val="center"/>
          </w:tcPr>
          <w:p w14:paraId="03890A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223" w:type="dxa"/>
            <w:tcBorders>
              <w:tl2br w:val="nil"/>
              <w:tr2bl w:val="nil"/>
            </w:tcBorders>
            <w:shd w:val="clear" w:color="auto" w:fill="auto"/>
            <w:noWrap/>
            <w:vAlign w:val="center"/>
          </w:tcPr>
          <w:p w14:paraId="6DE82D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60.4 </w:t>
            </w:r>
          </w:p>
        </w:tc>
        <w:tc>
          <w:tcPr>
            <w:tcW w:w="1179" w:type="dxa"/>
            <w:vMerge w:val="continue"/>
            <w:tcBorders>
              <w:tl2br w:val="nil"/>
              <w:tr2bl w:val="nil"/>
            </w:tcBorders>
            <w:shd w:val="clear" w:color="auto" w:fill="auto"/>
            <w:noWrap/>
            <w:vAlign w:val="center"/>
          </w:tcPr>
          <w:p w14:paraId="5F0E5FA0">
            <w:pPr>
              <w:rPr>
                <w:rFonts w:hint="eastAsia" w:ascii="宋体" w:hAnsi="宋体" w:eastAsia="宋体" w:cs="宋体"/>
                <w:i w:val="0"/>
                <w:iCs w:val="0"/>
                <w:color w:val="auto"/>
                <w:sz w:val="24"/>
                <w:szCs w:val="24"/>
                <w:u w:val="none"/>
              </w:rPr>
            </w:pPr>
          </w:p>
        </w:tc>
        <w:tc>
          <w:tcPr>
            <w:tcW w:w="888" w:type="dxa"/>
            <w:tcBorders>
              <w:tl2br w:val="nil"/>
              <w:tr2bl w:val="nil"/>
            </w:tcBorders>
            <w:shd w:val="clear" w:color="auto" w:fill="auto"/>
            <w:noWrap/>
            <w:vAlign w:val="center"/>
          </w:tcPr>
          <w:p w14:paraId="715AA1A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873" w:type="dxa"/>
            <w:tcBorders>
              <w:tl2br w:val="nil"/>
              <w:tr2bl w:val="nil"/>
            </w:tcBorders>
            <w:shd w:val="clear" w:color="auto" w:fill="auto"/>
            <w:noWrap/>
            <w:vAlign w:val="center"/>
          </w:tcPr>
          <w:p w14:paraId="17A18F5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44.4 </w:t>
            </w:r>
          </w:p>
        </w:tc>
        <w:tc>
          <w:tcPr>
            <w:tcW w:w="1080" w:type="dxa"/>
            <w:tcBorders>
              <w:tl2br w:val="nil"/>
              <w:tr2bl w:val="nil"/>
            </w:tcBorders>
            <w:shd w:val="clear" w:color="auto" w:fill="auto"/>
            <w:noWrap/>
            <w:vAlign w:val="center"/>
          </w:tcPr>
          <w:p w14:paraId="2EB0A58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bl>
    <w:p w14:paraId="018004C1">
      <w:pPr>
        <w:rPr>
          <w:rFonts w:hint="eastAsia"/>
          <w:lang w:val="en-US" w:eastAsia="zh-CN"/>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3AE9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61" w:type="dxa"/>
          </w:tcPr>
          <w:p w14:paraId="01FEC131">
            <w:pPr>
              <w:pStyle w:val="11"/>
              <w:spacing w:after="0" w:line="420" w:lineRule="auto"/>
              <w:jc w:val="center"/>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表4-</w:t>
            </w:r>
            <w:r>
              <w:rPr>
                <w:rFonts w:hint="eastAsia" w:ascii="Times New Roman" w:hAnsi="Times New Roman" w:cs="Times New Roman"/>
                <w:b/>
                <w:color w:val="auto"/>
                <w:sz w:val="24"/>
                <w:highlight w:val="none"/>
                <w:lang w:val="en-US" w:eastAsia="zh-CN"/>
              </w:rPr>
              <w:t>1</w:t>
            </w:r>
            <w:r>
              <w:rPr>
                <w:rFonts w:hint="eastAsia" w:cs="Times New Roman"/>
                <w:b/>
                <w:color w:val="auto"/>
                <w:sz w:val="24"/>
                <w:highlight w:val="none"/>
                <w:lang w:val="en-US" w:eastAsia="zh-CN"/>
              </w:rPr>
              <w:t>5</w:t>
            </w:r>
            <w:r>
              <w:rPr>
                <w:rFonts w:hint="default" w:ascii="Times New Roman" w:hAnsi="Times New Roman" w:cs="Times New Roman"/>
                <w:b/>
                <w:color w:val="auto"/>
                <w:sz w:val="24"/>
                <w:highlight w:val="none"/>
              </w:rPr>
              <w:tab/>
            </w:r>
            <w:r>
              <w:rPr>
                <w:rFonts w:hint="default" w:ascii="Times New Roman" w:hAnsi="Times New Roman" w:cs="Times New Roman"/>
                <w:b/>
                <w:color w:val="auto"/>
                <w:sz w:val="24"/>
                <w:highlight w:val="none"/>
              </w:rPr>
              <w:t>项目主要噪声源调查表（室</w:t>
            </w:r>
            <w:r>
              <w:rPr>
                <w:rFonts w:hint="default" w:ascii="Times New Roman" w:hAnsi="Times New Roman" w:cs="Times New Roman"/>
                <w:b/>
                <w:color w:val="auto"/>
                <w:sz w:val="24"/>
                <w:highlight w:val="none"/>
                <w:lang w:val="en-US" w:eastAsia="zh-CN"/>
              </w:rPr>
              <w:t>外</w:t>
            </w:r>
            <w:r>
              <w:rPr>
                <w:rFonts w:hint="default" w:ascii="Times New Roman" w:hAnsi="Times New Roman" w:cs="Times New Roman"/>
                <w:b/>
                <w:color w:val="auto"/>
                <w:sz w:val="24"/>
                <w:highlight w:val="none"/>
              </w:rPr>
              <w:t>）</w:t>
            </w:r>
          </w:p>
          <w:tbl>
            <w:tblPr>
              <w:tblStyle w:val="23"/>
              <w:tblW w:w="874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462"/>
              <w:gridCol w:w="1105"/>
              <w:gridCol w:w="1309"/>
              <w:gridCol w:w="1241"/>
              <w:gridCol w:w="1050"/>
              <w:gridCol w:w="1140"/>
              <w:gridCol w:w="1440"/>
            </w:tblGrid>
            <w:tr w14:paraId="578B3B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1462" w:type="dxa"/>
                  <w:vMerge w:val="restart"/>
                  <w:tcBorders>
                    <w:tl2br w:val="nil"/>
                    <w:tr2bl w:val="nil"/>
                  </w:tcBorders>
                  <w:shd w:val="clear" w:color="auto" w:fill="auto"/>
                  <w:vAlign w:val="center"/>
                </w:tcPr>
                <w:p w14:paraId="02723D3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型号</w:t>
                  </w:r>
                </w:p>
              </w:tc>
              <w:tc>
                <w:tcPr>
                  <w:tcW w:w="1105" w:type="dxa"/>
                  <w:vMerge w:val="restart"/>
                  <w:tcBorders>
                    <w:tl2br w:val="nil"/>
                    <w:tr2bl w:val="nil"/>
                  </w:tcBorders>
                  <w:shd w:val="clear" w:color="auto" w:fill="auto"/>
                  <w:vAlign w:val="center"/>
                </w:tcPr>
                <w:p w14:paraId="0DB3E35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声源源强</w:t>
                  </w:r>
                  <w:r>
                    <w:rPr>
                      <w:rFonts w:hint="default" w:ascii="Times New Roman" w:hAnsi="Times New Roman" w:eastAsia="宋体" w:cs="Times New Roman"/>
                      <w:b w:val="0"/>
                      <w:bCs w:val="0"/>
                      <w:i w:val="0"/>
                      <w:iCs w:val="0"/>
                      <w:color w:val="000000"/>
                      <w:kern w:val="0"/>
                      <w:sz w:val="21"/>
                      <w:szCs w:val="21"/>
                      <w:u w:val="none"/>
                      <w:lang w:val="en-US" w:eastAsia="zh-CN" w:bidi="ar"/>
                    </w:rPr>
                    <w:t>dB(A)</w:t>
                  </w:r>
                </w:p>
              </w:tc>
              <w:tc>
                <w:tcPr>
                  <w:tcW w:w="1309" w:type="dxa"/>
                  <w:vMerge w:val="restart"/>
                  <w:tcBorders>
                    <w:tl2br w:val="nil"/>
                    <w:tr2bl w:val="nil"/>
                  </w:tcBorders>
                  <w:shd w:val="clear" w:color="auto" w:fill="auto"/>
                  <w:vAlign w:val="center"/>
                </w:tcPr>
                <w:p w14:paraId="3778AA2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声源控制措施</w:t>
                  </w:r>
                </w:p>
              </w:tc>
              <w:tc>
                <w:tcPr>
                  <w:tcW w:w="3431" w:type="dxa"/>
                  <w:gridSpan w:val="3"/>
                  <w:tcBorders>
                    <w:tl2br w:val="nil"/>
                    <w:tr2bl w:val="nil"/>
                  </w:tcBorders>
                  <w:shd w:val="clear" w:color="auto" w:fill="auto"/>
                  <w:noWrap/>
                  <w:vAlign w:val="center"/>
                </w:tcPr>
                <w:p w14:paraId="56D6198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空间位置/m</w:t>
                  </w:r>
                </w:p>
              </w:tc>
              <w:tc>
                <w:tcPr>
                  <w:tcW w:w="1440" w:type="dxa"/>
                  <w:vMerge w:val="restart"/>
                  <w:tcBorders>
                    <w:tl2br w:val="nil"/>
                    <w:tr2bl w:val="nil"/>
                  </w:tcBorders>
                  <w:shd w:val="clear" w:color="auto" w:fill="auto"/>
                  <w:vAlign w:val="center"/>
                </w:tcPr>
                <w:p w14:paraId="21ACE52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运行时段</w:t>
                  </w:r>
                </w:p>
              </w:tc>
            </w:tr>
            <w:tr w14:paraId="48759F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1462" w:type="dxa"/>
                  <w:vMerge w:val="continue"/>
                  <w:tcBorders>
                    <w:tl2br w:val="nil"/>
                    <w:tr2bl w:val="nil"/>
                  </w:tcBorders>
                  <w:shd w:val="clear" w:color="auto" w:fill="auto"/>
                  <w:vAlign w:val="center"/>
                </w:tcPr>
                <w:p w14:paraId="188DA6F5">
                  <w:pPr>
                    <w:jc w:val="center"/>
                    <w:rPr>
                      <w:rFonts w:hint="default" w:ascii="Times New Roman" w:hAnsi="Times New Roman" w:eastAsia="宋体" w:cs="Times New Roman"/>
                      <w:i w:val="0"/>
                      <w:iCs w:val="0"/>
                      <w:color w:val="000000"/>
                      <w:sz w:val="21"/>
                      <w:szCs w:val="21"/>
                      <w:u w:val="none"/>
                    </w:rPr>
                  </w:pPr>
                </w:p>
              </w:tc>
              <w:tc>
                <w:tcPr>
                  <w:tcW w:w="1105" w:type="dxa"/>
                  <w:vMerge w:val="continue"/>
                  <w:tcBorders>
                    <w:tl2br w:val="nil"/>
                    <w:tr2bl w:val="nil"/>
                  </w:tcBorders>
                  <w:shd w:val="clear" w:color="auto" w:fill="auto"/>
                  <w:vAlign w:val="center"/>
                </w:tcPr>
                <w:p w14:paraId="4D0436AE">
                  <w:pPr>
                    <w:jc w:val="center"/>
                    <w:rPr>
                      <w:rFonts w:hint="default" w:ascii="Times New Roman" w:hAnsi="Times New Roman" w:eastAsia="宋体" w:cs="Times New Roman"/>
                      <w:i w:val="0"/>
                      <w:iCs w:val="0"/>
                      <w:color w:val="000000"/>
                      <w:sz w:val="21"/>
                      <w:szCs w:val="21"/>
                      <w:u w:val="none"/>
                    </w:rPr>
                  </w:pPr>
                </w:p>
              </w:tc>
              <w:tc>
                <w:tcPr>
                  <w:tcW w:w="1309" w:type="dxa"/>
                  <w:vMerge w:val="continue"/>
                  <w:tcBorders>
                    <w:tl2br w:val="nil"/>
                    <w:tr2bl w:val="nil"/>
                  </w:tcBorders>
                  <w:shd w:val="clear" w:color="auto" w:fill="auto"/>
                  <w:vAlign w:val="center"/>
                </w:tcPr>
                <w:p w14:paraId="620365C6">
                  <w:pPr>
                    <w:jc w:val="center"/>
                    <w:rPr>
                      <w:rFonts w:hint="default" w:ascii="Times New Roman" w:hAnsi="Times New Roman" w:eastAsia="宋体" w:cs="Times New Roman"/>
                      <w:i w:val="0"/>
                      <w:iCs w:val="0"/>
                      <w:color w:val="000000"/>
                      <w:sz w:val="21"/>
                      <w:szCs w:val="21"/>
                      <w:u w:val="none"/>
                    </w:rPr>
                  </w:pPr>
                </w:p>
              </w:tc>
              <w:tc>
                <w:tcPr>
                  <w:tcW w:w="1241" w:type="dxa"/>
                  <w:tcBorders>
                    <w:tl2br w:val="nil"/>
                    <w:tr2bl w:val="nil"/>
                  </w:tcBorders>
                  <w:shd w:val="clear" w:color="auto" w:fill="auto"/>
                  <w:noWrap/>
                  <w:vAlign w:val="center"/>
                </w:tcPr>
                <w:p w14:paraId="3FCFA35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X</w:t>
                  </w:r>
                </w:p>
              </w:tc>
              <w:tc>
                <w:tcPr>
                  <w:tcW w:w="1050" w:type="dxa"/>
                  <w:tcBorders>
                    <w:tl2br w:val="nil"/>
                    <w:tr2bl w:val="nil"/>
                  </w:tcBorders>
                  <w:shd w:val="clear" w:color="auto" w:fill="auto"/>
                  <w:noWrap/>
                  <w:vAlign w:val="center"/>
                </w:tcPr>
                <w:p w14:paraId="14341DB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w:t>
                  </w:r>
                </w:p>
              </w:tc>
              <w:tc>
                <w:tcPr>
                  <w:tcW w:w="1140" w:type="dxa"/>
                  <w:tcBorders>
                    <w:tl2br w:val="nil"/>
                    <w:tr2bl w:val="nil"/>
                  </w:tcBorders>
                  <w:shd w:val="clear" w:color="auto" w:fill="auto"/>
                  <w:noWrap/>
                  <w:vAlign w:val="center"/>
                </w:tcPr>
                <w:p w14:paraId="36132F2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Z</w:t>
                  </w:r>
                </w:p>
              </w:tc>
              <w:tc>
                <w:tcPr>
                  <w:tcW w:w="1440" w:type="dxa"/>
                  <w:vMerge w:val="continue"/>
                  <w:tcBorders>
                    <w:tl2br w:val="nil"/>
                    <w:tr2bl w:val="nil"/>
                  </w:tcBorders>
                  <w:shd w:val="clear" w:color="auto" w:fill="auto"/>
                  <w:vAlign w:val="center"/>
                </w:tcPr>
                <w:p w14:paraId="2E45DC93">
                  <w:pPr>
                    <w:jc w:val="center"/>
                    <w:rPr>
                      <w:rFonts w:hint="default" w:ascii="Times New Roman" w:hAnsi="Times New Roman" w:eastAsia="宋体" w:cs="Times New Roman"/>
                      <w:i w:val="0"/>
                      <w:iCs w:val="0"/>
                      <w:color w:val="000000"/>
                      <w:sz w:val="21"/>
                      <w:szCs w:val="21"/>
                      <w:u w:val="none"/>
                    </w:rPr>
                  </w:pPr>
                </w:p>
              </w:tc>
            </w:tr>
            <w:tr w14:paraId="78C984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62" w:type="dxa"/>
                  <w:tcBorders>
                    <w:tl2br w:val="nil"/>
                    <w:tr2bl w:val="nil"/>
                  </w:tcBorders>
                  <w:shd w:val="clear" w:color="auto" w:fill="auto"/>
                  <w:noWrap/>
                  <w:vAlign w:val="center"/>
                </w:tcPr>
                <w:p w14:paraId="6DA5334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混炼生产线环保风机</w:t>
                  </w:r>
                </w:p>
              </w:tc>
              <w:tc>
                <w:tcPr>
                  <w:tcW w:w="1105" w:type="dxa"/>
                  <w:tcBorders>
                    <w:tl2br w:val="nil"/>
                    <w:tr2bl w:val="nil"/>
                  </w:tcBorders>
                  <w:shd w:val="clear" w:color="auto" w:fill="auto"/>
                  <w:noWrap/>
                  <w:vAlign w:val="center"/>
                </w:tcPr>
                <w:p w14:paraId="6DFDD67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309" w:type="dxa"/>
                  <w:vMerge w:val="restart"/>
                  <w:tcBorders>
                    <w:tl2br w:val="nil"/>
                    <w:tr2bl w:val="nil"/>
                  </w:tcBorders>
                  <w:shd w:val="clear" w:color="auto" w:fill="auto"/>
                  <w:vAlign w:val="center"/>
                </w:tcPr>
                <w:p w14:paraId="3403ADA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设置减震设施、软接管道</w:t>
                  </w:r>
                </w:p>
              </w:tc>
              <w:tc>
                <w:tcPr>
                  <w:tcW w:w="1241" w:type="dxa"/>
                  <w:tcBorders>
                    <w:tl2br w:val="nil"/>
                    <w:tr2bl w:val="nil"/>
                  </w:tcBorders>
                  <w:shd w:val="clear" w:color="auto" w:fill="auto"/>
                  <w:noWrap/>
                  <w:vAlign w:val="center"/>
                </w:tcPr>
                <w:p w14:paraId="142EE4D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-53.99</w:t>
                  </w:r>
                </w:p>
              </w:tc>
              <w:tc>
                <w:tcPr>
                  <w:tcW w:w="1050" w:type="dxa"/>
                  <w:tcBorders>
                    <w:tl2br w:val="nil"/>
                    <w:tr2bl w:val="nil"/>
                  </w:tcBorders>
                  <w:shd w:val="clear" w:color="auto" w:fill="auto"/>
                  <w:noWrap/>
                  <w:vAlign w:val="center"/>
                </w:tcPr>
                <w:p w14:paraId="3B0EDAC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43.84</w:t>
                  </w:r>
                </w:p>
              </w:tc>
              <w:tc>
                <w:tcPr>
                  <w:tcW w:w="1140" w:type="dxa"/>
                  <w:tcBorders>
                    <w:tl2br w:val="nil"/>
                    <w:tr2bl w:val="nil"/>
                  </w:tcBorders>
                  <w:shd w:val="clear" w:color="auto" w:fill="auto"/>
                  <w:noWrap/>
                  <w:vAlign w:val="center"/>
                </w:tcPr>
                <w:p w14:paraId="4D638D8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440" w:type="dxa"/>
                  <w:vMerge w:val="restart"/>
                  <w:tcBorders>
                    <w:tl2br w:val="nil"/>
                    <w:tr2bl w:val="nil"/>
                  </w:tcBorders>
                  <w:shd w:val="clear" w:color="auto" w:fill="auto"/>
                  <w:noWrap/>
                  <w:vAlign w:val="center"/>
                </w:tcPr>
                <w:p w14:paraId="57BFCA5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8:00-18:00/20:00-6:00</w:t>
                  </w:r>
                </w:p>
              </w:tc>
            </w:tr>
            <w:tr w14:paraId="67EB1D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462" w:type="dxa"/>
                  <w:tcBorders>
                    <w:tl2br w:val="nil"/>
                    <w:tr2bl w:val="nil"/>
                  </w:tcBorders>
                  <w:shd w:val="clear" w:color="auto" w:fill="auto"/>
                  <w:noWrap/>
                  <w:vAlign w:val="center"/>
                </w:tcPr>
                <w:p w14:paraId="0747B4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硫化生产线环保风机</w:t>
                  </w:r>
                </w:p>
              </w:tc>
              <w:tc>
                <w:tcPr>
                  <w:tcW w:w="1105" w:type="dxa"/>
                  <w:tcBorders>
                    <w:tl2br w:val="nil"/>
                    <w:tr2bl w:val="nil"/>
                  </w:tcBorders>
                  <w:shd w:val="clear" w:color="auto" w:fill="auto"/>
                  <w:noWrap/>
                  <w:vAlign w:val="center"/>
                </w:tcPr>
                <w:p w14:paraId="755DE7C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309" w:type="dxa"/>
                  <w:vMerge w:val="continue"/>
                  <w:tcBorders>
                    <w:tl2br w:val="nil"/>
                    <w:tr2bl w:val="nil"/>
                  </w:tcBorders>
                  <w:shd w:val="clear" w:color="auto" w:fill="auto"/>
                  <w:vAlign w:val="center"/>
                </w:tcPr>
                <w:p w14:paraId="69D4983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1241" w:type="dxa"/>
                  <w:tcBorders>
                    <w:tl2br w:val="nil"/>
                    <w:tr2bl w:val="nil"/>
                  </w:tcBorders>
                  <w:shd w:val="clear" w:color="auto" w:fill="auto"/>
                  <w:noWrap/>
                  <w:vAlign w:val="center"/>
                </w:tcPr>
                <w:p w14:paraId="6BE5301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22.98</w:t>
                  </w:r>
                </w:p>
              </w:tc>
              <w:tc>
                <w:tcPr>
                  <w:tcW w:w="1050" w:type="dxa"/>
                  <w:tcBorders>
                    <w:tl2br w:val="nil"/>
                    <w:tr2bl w:val="nil"/>
                  </w:tcBorders>
                  <w:shd w:val="clear" w:color="auto" w:fill="auto"/>
                  <w:noWrap/>
                  <w:vAlign w:val="center"/>
                </w:tcPr>
                <w:p w14:paraId="65D0C37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31.36</w:t>
                  </w:r>
                </w:p>
              </w:tc>
              <w:tc>
                <w:tcPr>
                  <w:tcW w:w="1140" w:type="dxa"/>
                  <w:tcBorders>
                    <w:tl2br w:val="nil"/>
                    <w:tr2bl w:val="nil"/>
                  </w:tcBorders>
                  <w:shd w:val="clear" w:color="auto" w:fill="auto"/>
                  <w:noWrap/>
                  <w:vAlign w:val="center"/>
                </w:tcPr>
                <w:p w14:paraId="2BA13C8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w:t>
                  </w:r>
                </w:p>
              </w:tc>
              <w:tc>
                <w:tcPr>
                  <w:tcW w:w="1440" w:type="dxa"/>
                  <w:vMerge w:val="continue"/>
                  <w:tcBorders>
                    <w:tl2br w:val="nil"/>
                    <w:tr2bl w:val="nil"/>
                  </w:tcBorders>
                  <w:shd w:val="clear" w:color="auto" w:fill="auto"/>
                  <w:noWrap/>
                  <w:vAlign w:val="center"/>
                </w:tcPr>
                <w:p w14:paraId="746A6E82">
                  <w:pPr>
                    <w:rPr>
                      <w:rFonts w:hint="default" w:ascii="Times New Roman" w:hAnsi="Times New Roman" w:eastAsia="宋体" w:cs="Times New Roman"/>
                      <w:i w:val="0"/>
                      <w:iCs w:val="0"/>
                      <w:color w:val="000000"/>
                      <w:sz w:val="24"/>
                      <w:szCs w:val="24"/>
                      <w:u w:val="none"/>
                    </w:rPr>
                  </w:pPr>
                </w:p>
              </w:tc>
            </w:tr>
          </w:tbl>
          <w:p w14:paraId="7613A99B">
            <w:pPr>
              <w:pStyle w:val="11"/>
              <w:spacing w:after="0" w:line="42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本环评要求采取如下噪声控制措施：</w:t>
            </w:r>
          </w:p>
          <w:p w14:paraId="06683EA1">
            <w:pPr>
              <w:spacing w:line="42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①合理布局，设置减震设施，利用车间建筑结构进行隔声，减轻噪声对厂界的影响。</w:t>
            </w:r>
          </w:p>
          <w:p w14:paraId="688DFB89">
            <w:pPr>
              <w:spacing w:line="42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②选用低噪声设备：充分选用先进的低噪设备，以从声源上降低设备本身噪声；</w:t>
            </w:r>
          </w:p>
          <w:p w14:paraId="20581004">
            <w:pPr>
              <w:spacing w:line="42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③加</w:t>
            </w:r>
            <w:r>
              <w:rPr>
                <w:rFonts w:hint="default" w:ascii="Times New Roman" w:hAnsi="Times New Roman" w:eastAsia="宋体" w:cs="Times New Roman"/>
                <w:color w:val="auto"/>
                <w:sz w:val="24"/>
                <w:highlight w:val="none"/>
              </w:rPr>
              <w:t>强设备的维护，确保设备处于良好的运转状态，杜绝因设备不正常运转时产生的高噪声现象；</w:t>
            </w:r>
          </w:p>
          <w:p w14:paraId="5B475D55">
            <w:pPr>
              <w:spacing w:line="42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④废气处理系统风机与排气管道采用软接方式减振，风机基础设置减振措施。</w:t>
            </w:r>
          </w:p>
          <w:p w14:paraId="4352E9D6">
            <w:pPr>
              <w:adjustRightInd w:val="0"/>
              <w:snapToGrid w:val="0"/>
              <w:spacing w:line="42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（2）噪声达标分析</w:t>
            </w:r>
          </w:p>
          <w:p w14:paraId="38104A60">
            <w:pPr>
              <w:adjustRightInd w:val="0"/>
              <w:snapToGrid w:val="0"/>
              <w:spacing w:line="420" w:lineRule="auto"/>
              <w:ind w:firstLine="480" w:firstLineChars="200"/>
              <w:jc w:val="both"/>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本项目周边50m范围内无声环境敏感目标，厂界噪声采用环安科技噪声软件进行预测，预测结果如下：</w:t>
            </w:r>
          </w:p>
          <w:p w14:paraId="20CCF561">
            <w:pPr>
              <w:pStyle w:val="11"/>
              <w:jc w:val="center"/>
              <w:rPr>
                <w:rFonts w:hint="default" w:ascii="Times New Roman" w:hAnsi="Times New Roman" w:cs="Times New Roman"/>
                <w:color w:val="auto"/>
                <w:highlight w:val="none"/>
              </w:rPr>
            </w:pPr>
            <w:r>
              <w:drawing>
                <wp:inline distT="0" distB="0" distL="114300" distR="114300">
                  <wp:extent cx="3683000" cy="2577465"/>
                  <wp:effectExtent l="0" t="0" r="12700" b="133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6"/>
                          <a:stretch>
                            <a:fillRect/>
                          </a:stretch>
                        </pic:blipFill>
                        <pic:spPr>
                          <a:xfrm>
                            <a:off x="0" y="0"/>
                            <a:ext cx="3683000" cy="2577465"/>
                          </a:xfrm>
                          <a:prstGeom prst="rect">
                            <a:avLst/>
                          </a:prstGeom>
                          <a:noFill/>
                          <a:ln>
                            <a:noFill/>
                          </a:ln>
                        </pic:spPr>
                      </pic:pic>
                    </a:graphicData>
                  </a:graphic>
                </wp:inline>
              </w:drawing>
            </w:r>
          </w:p>
          <w:p w14:paraId="45C59E6B">
            <w:pPr>
              <w:adjustRightInd w:val="0"/>
              <w:snapToGrid w:val="0"/>
              <w:spacing w:line="420" w:lineRule="auto"/>
              <w:ind w:firstLine="482" w:firstLineChars="20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图4-1</w:t>
            </w:r>
            <w:r>
              <w:rPr>
                <w:rFonts w:hint="default" w:ascii="Times New Roman" w:hAnsi="Times New Roman" w:eastAsia="宋体" w:cs="Times New Roman"/>
                <w:b/>
                <w:bCs/>
                <w:color w:val="auto"/>
                <w:kern w:val="2"/>
                <w:sz w:val="24"/>
                <w:szCs w:val="24"/>
                <w:highlight w:val="none"/>
                <w:lang w:val="en-US" w:eastAsia="zh-CN" w:bidi="ar-SA"/>
              </w:rPr>
              <w:tab/>
            </w:r>
            <w:r>
              <w:rPr>
                <w:rFonts w:hint="default" w:ascii="Times New Roman" w:hAnsi="Times New Roman" w:eastAsia="宋体" w:cs="Times New Roman"/>
                <w:b/>
                <w:bCs/>
                <w:color w:val="auto"/>
                <w:kern w:val="2"/>
                <w:sz w:val="24"/>
                <w:szCs w:val="24"/>
                <w:highlight w:val="none"/>
                <w:lang w:val="en-US" w:eastAsia="zh-CN" w:bidi="ar-SA"/>
              </w:rPr>
              <w:t>厂界噪声贡献值预测图</w:t>
            </w:r>
          </w:p>
          <w:p w14:paraId="26F0DC86">
            <w:pPr>
              <w:adjustRightInd w:val="0"/>
              <w:snapToGrid w:val="0"/>
              <w:spacing w:line="42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根据软件计算结果，本项目运营期厂界噪声预测值如下：</w:t>
            </w:r>
          </w:p>
          <w:p w14:paraId="117468E4">
            <w:pPr>
              <w:adjustRightInd w:val="0"/>
              <w:snapToGrid w:val="0"/>
              <w:spacing w:line="240" w:lineRule="auto"/>
              <w:ind w:firstLine="482" w:firstLineChars="200"/>
              <w:jc w:val="center"/>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表4-</w:t>
            </w:r>
            <w:r>
              <w:rPr>
                <w:rFonts w:hint="eastAsia" w:cs="Times New Roman"/>
                <w:b/>
                <w:color w:val="auto"/>
                <w:sz w:val="24"/>
                <w:highlight w:val="none"/>
                <w:lang w:val="en-US" w:eastAsia="zh-CN"/>
              </w:rPr>
              <w:t>16</w:t>
            </w:r>
            <w:r>
              <w:rPr>
                <w:rFonts w:hint="default" w:ascii="Times New Roman" w:hAnsi="Times New Roman" w:cs="Times New Roman"/>
                <w:b/>
                <w:color w:val="auto"/>
                <w:sz w:val="24"/>
                <w:highlight w:val="none"/>
              </w:rPr>
              <w:tab/>
            </w:r>
            <w:r>
              <w:rPr>
                <w:rFonts w:hint="default" w:ascii="Times New Roman" w:hAnsi="Times New Roman" w:cs="Times New Roman"/>
                <w:b/>
                <w:color w:val="auto"/>
                <w:sz w:val="24"/>
                <w:highlight w:val="none"/>
                <w:lang w:val="en-US" w:eastAsia="zh-CN"/>
              </w:rPr>
              <w:t>厂界</w:t>
            </w:r>
            <w:r>
              <w:rPr>
                <w:rFonts w:hint="default" w:ascii="Times New Roman" w:hAnsi="Times New Roman" w:cs="Times New Roman"/>
                <w:b/>
                <w:color w:val="auto"/>
                <w:sz w:val="24"/>
                <w:highlight w:val="none"/>
              </w:rPr>
              <w:t>噪声</w:t>
            </w:r>
            <w:r>
              <w:rPr>
                <w:rFonts w:hint="default" w:ascii="Times New Roman" w:hAnsi="Times New Roman" w:cs="Times New Roman"/>
                <w:b/>
                <w:color w:val="auto"/>
                <w:sz w:val="24"/>
                <w:highlight w:val="none"/>
                <w:lang w:val="en-US" w:eastAsia="zh-CN"/>
              </w:rPr>
              <w:t>贡献</w:t>
            </w:r>
            <w:r>
              <w:rPr>
                <w:rFonts w:hint="default" w:ascii="Times New Roman" w:hAnsi="Times New Roman" w:cs="Times New Roman"/>
                <w:b/>
                <w:color w:val="auto"/>
                <w:sz w:val="24"/>
                <w:highlight w:val="none"/>
              </w:rPr>
              <w:t>值</w:t>
            </w:r>
          </w:p>
          <w:tbl>
            <w:tblPr>
              <w:tblStyle w:val="23"/>
              <w:tblW w:w="878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47"/>
              <w:gridCol w:w="1141"/>
              <w:gridCol w:w="1118"/>
              <w:gridCol w:w="1038"/>
              <w:gridCol w:w="1088"/>
              <w:gridCol w:w="1124"/>
              <w:gridCol w:w="1291"/>
              <w:gridCol w:w="1140"/>
            </w:tblGrid>
            <w:tr w14:paraId="2C3C8B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847" w:type="dxa"/>
                  <w:tcBorders>
                    <w:tl2br w:val="nil"/>
                    <w:tr2bl w:val="nil"/>
                  </w:tcBorders>
                  <w:noWrap w:val="0"/>
                  <w:vAlign w:val="center"/>
                </w:tcPr>
                <w:p w14:paraId="650CD7A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时段</w:t>
                  </w:r>
                </w:p>
              </w:tc>
              <w:tc>
                <w:tcPr>
                  <w:tcW w:w="1141" w:type="dxa"/>
                  <w:tcBorders>
                    <w:tl2br w:val="nil"/>
                    <w:tr2bl w:val="nil"/>
                  </w:tcBorders>
                  <w:noWrap w:val="0"/>
                  <w:vAlign w:val="center"/>
                </w:tcPr>
                <w:p w14:paraId="6374C29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点位</w:t>
                  </w:r>
                </w:p>
              </w:tc>
              <w:tc>
                <w:tcPr>
                  <w:tcW w:w="1118" w:type="dxa"/>
                  <w:tcBorders>
                    <w:tl2br w:val="nil"/>
                    <w:tr2bl w:val="nil"/>
                  </w:tcBorders>
                  <w:noWrap w:val="0"/>
                  <w:vAlign w:val="center"/>
                </w:tcPr>
                <w:p w14:paraId="12B0DD5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X坐标（m）</w:t>
                  </w:r>
                </w:p>
              </w:tc>
              <w:tc>
                <w:tcPr>
                  <w:tcW w:w="1038" w:type="dxa"/>
                  <w:tcBorders>
                    <w:tl2br w:val="nil"/>
                    <w:tr2bl w:val="nil"/>
                  </w:tcBorders>
                  <w:noWrap w:val="0"/>
                  <w:vAlign w:val="center"/>
                </w:tcPr>
                <w:p w14:paraId="25FC80E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Y坐标（m）</w:t>
                  </w:r>
                </w:p>
              </w:tc>
              <w:tc>
                <w:tcPr>
                  <w:tcW w:w="1088" w:type="dxa"/>
                  <w:tcBorders>
                    <w:tl2br w:val="nil"/>
                    <w:tr2bl w:val="nil"/>
                  </w:tcBorders>
                  <w:noWrap w:val="0"/>
                  <w:vAlign w:val="center"/>
                </w:tcPr>
                <w:p w14:paraId="504AB380">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贡献值</w:t>
                  </w:r>
                </w:p>
                <w:p w14:paraId="0C9E983D">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dB</w:t>
                  </w:r>
                  <w:r>
                    <w:rPr>
                      <w:rFonts w:hint="eastAsia"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A)</w:t>
                  </w:r>
                </w:p>
              </w:tc>
              <w:tc>
                <w:tcPr>
                  <w:tcW w:w="1124" w:type="dxa"/>
                  <w:tcBorders>
                    <w:tl2br w:val="nil"/>
                    <w:tr2bl w:val="nil"/>
                  </w:tcBorders>
                  <w:noWrap w:val="0"/>
                  <w:vAlign w:val="center"/>
                </w:tcPr>
                <w:p w14:paraId="6175A4E0">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现状值</w:t>
                  </w:r>
                </w:p>
                <w:p w14:paraId="5830270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dB</w:t>
                  </w:r>
                  <w:r>
                    <w:rPr>
                      <w:rFonts w:hint="eastAsia"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A)</w:t>
                  </w:r>
                </w:p>
              </w:tc>
              <w:tc>
                <w:tcPr>
                  <w:tcW w:w="1291" w:type="dxa"/>
                  <w:tcBorders>
                    <w:tl2br w:val="nil"/>
                    <w:tr2bl w:val="nil"/>
                  </w:tcBorders>
                  <w:noWrap w:val="0"/>
                  <w:vAlign w:val="center"/>
                </w:tcPr>
                <w:p w14:paraId="49719AEE">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预测值</w:t>
                  </w:r>
                </w:p>
                <w:p w14:paraId="3346D392">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dB</w:t>
                  </w:r>
                  <w:r>
                    <w:rPr>
                      <w:rFonts w:hint="eastAsia"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A)</w:t>
                  </w:r>
                </w:p>
              </w:tc>
              <w:tc>
                <w:tcPr>
                  <w:tcW w:w="1140" w:type="dxa"/>
                  <w:tcBorders>
                    <w:tl2br w:val="nil"/>
                    <w:tr2bl w:val="nil"/>
                  </w:tcBorders>
                  <w:noWrap w:val="0"/>
                  <w:vAlign w:val="center"/>
                </w:tcPr>
                <w:p w14:paraId="2188A69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标准值</w:t>
                  </w:r>
                </w:p>
                <w:p w14:paraId="61635EEA">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dB</w:t>
                  </w:r>
                  <w:r>
                    <w:rPr>
                      <w:rFonts w:hint="eastAsia"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A)</w:t>
                  </w:r>
                </w:p>
              </w:tc>
            </w:tr>
            <w:tr w14:paraId="7F76B2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847" w:type="dxa"/>
                  <w:vMerge w:val="restart"/>
                  <w:tcBorders>
                    <w:tl2br w:val="nil"/>
                    <w:tr2bl w:val="nil"/>
                  </w:tcBorders>
                  <w:noWrap w:val="0"/>
                  <w:vAlign w:val="center"/>
                </w:tcPr>
                <w:p w14:paraId="59919B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1141" w:type="dxa"/>
                  <w:tcBorders>
                    <w:tl2br w:val="nil"/>
                    <w:tr2bl w:val="nil"/>
                  </w:tcBorders>
                  <w:noWrap w:val="0"/>
                  <w:vAlign w:val="center"/>
                </w:tcPr>
                <w:p w14:paraId="183B6E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highlight w:val="none"/>
                    </w:rPr>
                    <w:t>北侧厂界</w:t>
                  </w:r>
                </w:p>
              </w:tc>
              <w:tc>
                <w:tcPr>
                  <w:tcW w:w="1118" w:type="dxa"/>
                  <w:tcBorders>
                    <w:tl2br w:val="nil"/>
                    <w:tr2bl w:val="nil"/>
                  </w:tcBorders>
                  <w:noWrap w:val="0"/>
                  <w:vAlign w:val="center"/>
                </w:tcPr>
                <w:p w14:paraId="350EBB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rPr>
                    <w:t>21.96</w:t>
                  </w:r>
                </w:p>
              </w:tc>
              <w:tc>
                <w:tcPr>
                  <w:tcW w:w="1038" w:type="dxa"/>
                  <w:tcBorders>
                    <w:tl2br w:val="nil"/>
                    <w:tr2bl w:val="nil"/>
                  </w:tcBorders>
                  <w:noWrap w:val="0"/>
                  <w:vAlign w:val="center"/>
                </w:tcPr>
                <w:p w14:paraId="283B95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rPr>
                    <w:t>14.94</w:t>
                  </w:r>
                </w:p>
              </w:tc>
              <w:tc>
                <w:tcPr>
                  <w:tcW w:w="1088" w:type="dxa"/>
                  <w:tcBorders>
                    <w:tl2br w:val="nil"/>
                    <w:tr2bl w:val="nil"/>
                  </w:tcBorders>
                  <w:noWrap w:val="0"/>
                  <w:vAlign w:val="center"/>
                </w:tcPr>
                <w:p w14:paraId="547C120E">
                  <w:pPr>
                    <w:keepNext w:val="0"/>
                    <w:keepLines w:val="0"/>
                    <w:widowControl/>
                    <w:suppressLineNumbers w:val="0"/>
                    <w:jc w:val="center"/>
                    <w:textAlignment w:val="center"/>
                    <w:rPr>
                      <w:rFonts w:hint="eastAsia" w:eastAsia="宋体"/>
                      <w:highlight w:val="none"/>
                      <w:lang w:eastAsia="zh-CN"/>
                    </w:rPr>
                  </w:pPr>
                  <w:r>
                    <w:rPr>
                      <w:rFonts w:hint="eastAsia"/>
                    </w:rPr>
                    <w:t>49.1</w:t>
                  </w:r>
                </w:p>
              </w:tc>
              <w:tc>
                <w:tcPr>
                  <w:tcW w:w="1124" w:type="dxa"/>
                  <w:tcBorders>
                    <w:tl2br w:val="nil"/>
                    <w:tr2bl w:val="nil"/>
                  </w:tcBorders>
                  <w:noWrap w:val="0"/>
                  <w:vAlign w:val="center"/>
                </w:tcPr>
                <w:p w14:paraId="3E23ACC6">
                  <w:pPr>
                    <w:keepNext w:val="0"/>
                    <w:keepLines w:val="0"/>
                    <w:widowControl/>
                    <w:suppressLineNumbers w:val="0"/>
                    <w:jc w:val="center"/>
                    <w:textAlignment w:val="center"/>
                    <w:rPr>
                      <w:rFonts w:hint="default" w:eastAsia="宋体"/>
                      <w:color w:val="auto"/>
                      <w:highlight w:val="none"/>
                      <w:lang w:val="en-US" w:eastAsia="zh-CN"/>
                    </w:rPr>
                  </w:pPr>
                  <w:r>
                    <w:rPr>
                      <w:rFonts w:hint="eastAsia"/>
                      <w:color w:val="auto"/>
                      <w:highlight w:val="none"/>
                      <w:lang w:val="en-US" w:eastAsia="zh-CN"/>
                    </w:rPr>
                    <w:t>57.7</w:t>
                  </w:r>
                </w:p>
              </w:tc>
              <w:tc>
                <w:tcPr>
                  <w:tcW w:w="1291" w:type="dxa"/>
                  <w:tcBorders>
                    <w:tl2br w:val="nil"/>
                    <w:tr2bl w:val="nil"/>
                  </w:tcBorders>
                  <w:noWrap w:val="0"/>
                  <w:vAlign w:val="center"/>
                </w:tcPr>
                <w:p w14:paraId="0CA2D2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58.3</w:t>
                  </w:r>
                </w:p>
              </w:tc>
              <w:tc>
                <w:tcPr>
                  <w:tcW w:w="1140" w:type="dxa"/>
                  <w:vMerge w:val="restart"/>
                  <w:tcBorders>
                    <w:tl2br w:val="nil"/>
                    <w:tr2bl w:val="nil"/>
                  </w:tcBorders>
                  <w:noWrap w:val="0"/>
                  <w:vAlign w:val="center"/>
                </w:tcPr>
                <w:p w14:paraId="2E8C3E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65dB</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A</w:t>
                  </w:r>
                  <w:r>
                    <w:rPr>
                      <w:rFonts w:hint="eastAsia" w:cs="Times New Roman"/>
                      <w:i w:val="0"/>
                      <w:iCs w:val="0"/>
                      <w:color w:val="auto"/>
                      <w:kern w:val="0"/>
                      <w:sz w:val="21"/>
                      <w:szCs w:val="21"/>
                      <w:highlight w:val="none"/>
                      <w:u w:val="none"/>
                      <w:lang w:val="en-US" w:eastAsia="zh-CN" w:bidi="ar"/>
                    </w:rPr>
                    <w:t>)</w:t>
                  </w:r>
                </w:p>
              </w:tc>
            </w:tr>
            <w:tr w14:paraId="0A01F8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847" w:type="dxa"/>
                  <w:vMerge w:val="continue"/>
                  <w:tcBorders>
                    <w:tl2br w:val="nil"/>
                    <w:tr2bl w:val="nil"/>
                  </w:tcBorders>
                  <w:noWrap w:val="0"/>
                  <w:vAlign w:val="center"/>
                </w:tcPr>
                <w:p w14:paraId="0187059F">
                  <w:pPr>
                    <w:jc w:val="center"/>
                    <w:rPr>
                      <w:rFonts w:hint="default" w:ascii="Times New Roman" w:hAnsi="Times New Roman" w:eastAsia="宋体" w:cs="Times New Roman"/>
                      <w:i w:val="0"/>
                      <w:iCs w:val="0"/>
                      <w:color w:val="auto"/>
                      <w:sz w:val="21"/>
                      <w:szCs w:val="21"/>
                      <w:highlight w:val="none"/>
                      <w:u w:val="none"/>
                    </w:rPr>
                  </w:pPr>
                </w:p>
              </w:tc>
              <w:tc>
                <w:tcPr>
                  <w:tcW w:w="1141" w:type="dxa"/>
                  <w:tcBorders>
                    <w:tl2br w:val="nil"/>
                    <w:tr2bl w:val="nil"/>
                  </w:tcBorders>
                  <w:noWrap w:val="0"/>
                  <w:vAlign w:val="center"/>
                </w:tcPr>
                <w:p w14:paraId="2B722D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highlight w:val="none"/>
                    </w:rPr>
                    <w:t>东侧厂界</w:t>
                  </w:r>
                </w:p>
              </w:tc>
              <w:tc>
                <w:tcPr>
                  <w:tcW w:w="1118" w:type="dxa"/>
                  <w:tcBorders>
                    <w:tl2br w:val="nil"/>
                    <w:tr2bl w:val="nil"/>
                  </w:tcBorders>
                  <w:noWrap w:val="0"/>
                  <w:vAlign w:val="center"/>
                </w:tcPr>
                <w:p w14:paraId="64B777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rPr>
                    <w:t>96.71</w:t>
                  </w:r>
                </w:p>
              </w:tc>
              <w:tc>
                <w:tcPr>
                  <w:tcW w:w="1038" w:type="dxa"/>
                  <w:tcBorders>
                    <w:tl2br w:val="nil"/>
                    <w:tr2bl w:val="nil"/>
                  </w:tcBorders>
                  <w:noWrap w:val="0"/>
                  <w:vAlign w:val="center"/>
                </w:tcPr>
                <w:p w14:paraId="5256BB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rPr>
                    <w:t>-71.32</w:t>
                  </w:r>
                </w:p>
              </w:tc>
              <w:tc>
                <w:tcPr>
                  <w:tcW w:w="1088" w:type="dxa"/>
                  <w:tcBorders>
                    <w:tl2br w:val="nil"/>
                    <w:tr2bl w:val="nil"/>
                  </w:tcBorders>
                  <w:noWrap w:val="0"/>
                  <w:vAlign w:val="center"/>
                </w:tcPr>
                <w:p w14:paraId="3DC49CE6">
                  <w:pPr>
                    <w:keepNext w:val="0"/>
                    <w:keepLines w:val="0"/>
                    <w:widowControl/>
                    <w:suppressLineNumbers w:val="0"/>
                    <w:jc w:val="center"/>
                    <w:textAlignment w:val="center"/>
                    <w:rPr>
                      <w:rFonts w:hint="eastAsia"/>
                      <w:highlight w:val="none"/>
                    </w:rPr>
                  </w:pPr>
                  <w:r>
                    <w:rPr>
                      <w:rFonts w:hint="eastAsia"/>
                    </w:rPr>
                    <w:t>46.2</w:t>
                  </w:r>
                </w:p>
              </w:tc>
              <w:tc>
                <w:tcPr>
                  <w:tcW w:w="1124" w:type="dxa"/>
                  <w:tcBorders>
                    <w:tl2br w:val="nil"/>
                    <w:tr2bl w:val="nil"/>
                  </w:tcBorders>
                  <w:noWrap w:val="0"/>
                  <w:vAlign w:val="center"/>
                </w:tcPr>
                <w:p w14:paraId="6B1D278C">
                  <w:pPr>
                    <w:keepNext w:val="0"/>
                    <w:keepLines w:val="0"/>
                    <w:widowControl/>
                    <w:suppressLineNumbers w:val="0"/>
                    <w:jc w:val="center"/>
                    <w:textAlignment w:val="center"/>
                    <w:rPr>
                      <w:rFonts w:hint="default" w:eastAsia="宋体"/>
                      <w:color w:val="auto"/>
                      <w:highlight w:val="none"/>
                      <w:lang w:val="en-US" w:eastAsia="zh-CN"/>
                    </w:rPr>
                  </w:pPr>
                  <w:r>
                    <w:rPr>
                      <w:rFonts w:hint="eastAsia"/>
                      <w:color w:val="auto"/>
                      <w:highlight w:val="none"/>
                      <w:lang w:val="en-US" w:eastAsia="zh-CN"/>
                    </w:rPr>
                    <w:t>51.1</w:t>
                  </w:r>
                </w:p>
              </w:tc>
              <w:tc>
                <w:tcPr>
                  <w:tcW w:w="1291" w:type="dxa"/>
                  <w:tcBorders>
                    <w:tl2br w:val="nil"/>
                    <w:tr2bl w:val="nil"/>
                  </w:tcBorders>
                  <w:noWrap w:val="0"/>
                  <w:vAlign w:val="center"/>
                </w:tcPr>
                <w:p w14:paraId="3925AF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52.3</w:t>
                  </w:r>
                </w:p>
              </w:tc>
              <w:tc>
                <w:tcPr>
                  <w:tcW w:w="1140" w:type="dxa"/>
                  <w:vMerge w:val="continue"/>
                  <w:tcBorders>
                    <w:tl2br w:val="nil"/>
                    <w:tr2bl w:val="nil"/>
                  </w:tcBorders>
                  <w:noWrap w:val="0"/>
                  <w:vAlign w:val="center"/>
                </w:tcPr>
                <w:p w14:paraId="0D396691">
                  <w:pPr>
                    <w:jc w:val="center"/>
                    <w:rPr>
                      <w:rFonts w:hint="default" w:ascii="Times New Roman" w:hAnsi="Times New Roman" w:eastAsia="宋体" w:cs="Times New Roman"/>
                      <w:i w:val="0"/>
                      <w:iCs w:val="0"/>
                      <w:color w:val="auto"/>
                      <w:sz w:val="21"/>
                      <w:szCs w:val="21"/>
                      <w:highlight w:val="none"/>
                      <w:u w:val="none"/>
                    </w:rPr>
                  </w:pPr>
                </w:p>
              </w:tc>
            </w:tr>
            <w:tr w14:paraId="3E542D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847" w:type="dxa"/>
                  <w:vMerge w:val="continue"/>
                  <w:tcBorders>
                    <w:tl2br w:val="nil"/>
                    <w:tr2bl w:val="nil"/>
                  </w:tcBorders>
                  <w:noWrap w:val="0"/>
                  <w:vAlign w:val="center"/>
                </w:tcPr>
                <w:p w14:paraId="6C85AA9F">
                  <w:pPr>
                    <w:jc w:val="center"/>
                    <w:rPr>
                      <w:rFonts w:hint="default" w:ascii="Times New Roman" w:hAnsi="Times New Roman" w:eastAsia="宋体" w:cs="Times New Roman"/>
                      <w:i w:val="0"/>
                      <w:iCs w:val="0"/>
                      <w:color w:val="auto"/>
                      <w:sz w:val="21"/>
                      <w:szCs w:val="21"/>
                      <w:highlight w:val="none"/>
                      <w:u w:val="none"/>
                    </w:rPr>
                  </w:pPr>
                </w:p>
              </w:tc>
              <w:tc>
                <w:tcPr>
                  <w:tcW w:w="1141" w:type="dxa"/>
                  <w:tcBorders>
                    <w:tl2br w:val="nil"/>
                    <w:tr2bl w:val="nil"/>
                  </w:tcBorders>
                  <w:noWrap w:val="0"/>
                  <w:vAlign w:val="center"/>
                </w:tcPr>
                <w:p w14:paraId="462B76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highlight w:val="none"/>
                    </w:rPr>
                    <w:t>南侧厂界</w:t>
                  </w:r>
                </w:p>
              </w:tc>
              <w:tc>
                <w:tcPr>
                  <w:tcW w:w="1118" w:type="dxa"/>
                  <w:tcBorders>
                    <w:tl2br w:val="nil"/>
                    <w:tr2bl w:val="nil"/>
                  </w:tcBorders>
                  <w:noWrap w:val="0"/>
                  <w:vAlign w:val="center"/>
                </w:tcPr>
                <w:p w14:paraId="273806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rPr>
                    <w:t>-16.97</w:t>
                  </w:r>
                </w:p>
              </w:tc>
              <w:tc>
                <w:tcPr>
                  <w:tcW w:w="1038" w:type="dxa"/>
                  <w:tcBorders>
                    <w:tl2br w:val="nil"/>
                    <w:tr2bl w:val="nil"/>
                  </w:tcBorders>
                  <w:noWrap w:val="0"/>
                  <w:vAlign w:val="center"/>
                </w:tcPr>
                <w:p w14:paraId="608318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rPr>
                    <w:t>-44.78</w:t>
                  </w:r>
                </w:p>
              </w:tc>
              <w:tc>
                <w:tcPr>
                  <w:tcW w:w="1088" w:type="dxa"/>
                  <w:tcBorders>
                    <w:tl2br w:val="nil"/>
                    <w:tr2bl w:val="nil"/>
                  </w:tcBorders>
                  <w:noWrap w:val="0"/>
                  <w:vAlign w:val="center"/>
                </w:tcPr>
                <w:p w14:paraId="39B8743C">
                  <w:pPr>
                    <w:keepNext w:val="0"/>
                    <w:keepLines w:val="0"/>
                    <w:widowControl/>
                    <w:suppressLineNumbers w:val="0"/>
                    <w:jc w:val="center"/>
                    <w:textAlignment w:val="center"/>
                    <w:rPr>
                      <w:rFonts w:hint="eastAsia" w:eastAsia="宋体"/>
                      <w:highlight w:val="none"/>
                      <w:lang w:eastAsia="zh-CN"/>
                    </w:rPr>
                  </w:pPr>
                  <w:r>
                    <w:rPr>
                      <w:rFonts w:hint="eastAsia"/>
                    </w:rPr>
                    <w:t>48.8</w:t>
                  </w:r>
                </w:p>
              </w:tc>
              <w:tc>
                <w:tcPr>
                  <w:tcW w:w="1124" w:type="dxa"/>
                  <w:tcBorders>
                    <w:tl2br w:val="nil"/>
                    <w:tr2bl w:val="nil"/>
                  </w:tcBorders>
                  <w:noWrap w:val="0"/>
                  <w:vAlign w:val="center"/>
                </w:tcPr>
                <w:p w14:paraId="66D35BDE">
                  <w:pPr>
                    <w:keepNext w:val="0"/>
                    <w:keepLines w:val="0"/>
                    <w:widowControl/>
                    <w:suppressLineNumbers w:val="0"/>
                    <w:jc w:val="center"/>
                    <w:textAlignment w:val="center"/>
                    <w:rPr>
                      <w:rFonts w:hint="default" w:eastAsia="宋体"/>
                      <w:color w:val="auto"/>
                      <w:highlight w:val="none"/>
                      <w:lang w:val="en-US" w:eastAsia="zh-CN"/>
                    </w:rPr>
                  </w:pPr>
                  <w:r>
                    <w:rPr>
                      <w:rFonts w:hint="eastAsia"/>
                      <w:color w:val="auto"/>
                      <w:highlight w:val="none"/>
                      <w:lang w:val="en-US" w:eastAsia="zh-CN"/>
                    </w:rPr>
                    <w:t>55.6</w:t>
                  </w:r>
                </w:p>
              </w:tc>
              <w:tc>
                <w:tcPr>
                  <w:tcW w:w="1291" w:type="dxa"/>
                  <w:tcBorders>
                    <w:tl2br w:val="nil"/>
                    <w:tr2bl w:val="nil"/>
                  </w:tcBorders>
                  <w:noWrap w:val="0"/>
                  <w:vAlign w:val="center"/>
                </w:tcPr>
                <w:p w14:paraId="4E7F7A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56.4</w:t>
                  </w:r>
                </w:p>
              </w:tc>
              <w:tc>
                <w:tcPr>
                  <w:tcW w:w="1140" w:type="dxa"/>
                  <w:vMerge w:val="continue"/>
                  <w:tcBorders>
                    <w:tl2br w:val="nil"/>
                    <w:tr2bl w:val="nil"/>
                  </w:tcBorders>
                  <w:noWrap w:val="0"/>
                  <w:vAlign w:val="center"/>
                </w:tcPr>
                <w:p w14:paraId="6CF1DE69">
                  <w:pPr>
                    <w:jc w:val="center"/>
                    <w:rPr>
                      <w:rFonts w:hint="default" w:ascii="Times New Roman" w:hAnsi="Times New Roman" w:eastAsia="宋体" w:cs="Times New Roman"/>
                      <w:i w:val="0"/>
                      <w:iCs w:val="0"/>
                      <w:color w:val="auto"/>
                      <w:sz w:val="21"/>
                      <w:szCs w:val="21"/>
                      <w:highlight w:val="none"/>
                      <w:u w:val="none"/>
                    </w:rPr>
                  </w:pPr>
                </w:p>
              </w:tc>
            </w:tr>
            <w:tr w14:paraId="5ED7FA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847" w:type="dxa"/>
                  <w:vMerge w:val="continue"/>
                  <w:tcBorders>
                    <w:tl2br w:val="nil"/>
                    <w:tr2bl w:val="nil"/>
                  </w:tcBorders>
                  <w:noWrap w:val="0"/>
                  <w:vAlign w:val="center"/>
                </w:tcPr>
                <w:p w14:paraId="095E9E70">
                  <w:pPr>
                    <w:jc w:val="center"/>
                    <w:rPr>
                      <w:rFonts w:hint="default" w:ascii="Times New Roman" w:hAnsi="Times New Roman" w:eastAsia="宋体" w:cs="Times New Roman"/>
                      <w:i w:val="0"/>
                      <w:iCs w:val="0"/>
                      <w:color w:val="auto"/>
                      <w:sz w:val="21"/>
                      <w:szCs w:val="21"/>
                      <w:highlight w:val="none"/>
                      <w:u w:val="none"/>
                    </w:rPr>
                  </w:pPr>
                </w:p>
              </w:tc>
              <w:tc>
                <w:tcPr>
                  <w:tcW w:w="1141" w:type="dxa"/>
                  <w:tcBorders>
                    <w:tl2br w:val="nil"/>
                    <w:tr2bl w:val="nil"/>
                  </w:tcBorders>
                  <w:noWrap w:val="0"/>
                  <w:vAlign w:val="center"/>
                </w:tcPr>
                <w:p w14:paraId="52EB70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highlight w:val="none"/>
                    </w:rPr>
                    <w:t>西侧厂界</w:t>
                  </w:r>
                </w:p>
              </w:tc>
              <w:tc>
                <w:tcPr>
                  <w:tcW w:w="1118" w:type="dxa"/>
                  <w:tcBorders>
                    <w:tl2br w:val="nil"/>
                    <w:tr2bl w:val="nil"/>
                  </w:tcBorders>
                  <w:noWrap w:val="0"/>
                  <w:vAlign w:val="center"/>
                </w:tcPr>
                <w:p w14:paraId="5AF9E0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rPr>
                    <w:t>-88.76</w:t>
                  </w:r>
                </w:p>
              </w:tc>
              <w:tc>
                <w:tcPr>
                  <w:tcW w:w="1038" w:type="dxa"/>
                  <w:tcBorders>
                    <w:tl2br w:val="nil"/>
                    <w:tr2bl w:val="nil"/>
                  </w:tcBorders>
                  <w:noWrap w:val="0"/>
                  <w:vAlign w:val="center"/>
                </w:tcPr>
                <w:p w14:paraId="05E84D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rPr>
                    <w:t>37.94</w:t>
                  </w:r>
                </w:p>
              </w:tc>
              <w:tc>
                <w:tcPr>
                  <w:tcW w:w="1088" w:type="dxa"/>
                  <w:tcBorders>
                    <w:tl2br w:val="nil"/>
                    <w:tr2bl w:val="nil"/>
                  </w:tcBorders>
                  <w:noWrap w:val="0"/>
                  <w:vAlign w:val="center"/>
                </w:tcPr>
                <w:p w14:paraId="5355237A">
                  <w:pPr>
                    <w:keepNext w:val="0"/>
                    <w:keepLines w:val="0"/>
                    <w:widowControl/>
                    <w:suppressLineNumbers w:val="0"/>
                    <w:jc w:val="center"/>
                    <w:textAlignment w:val="center"/>
                    <w:rPr>
                      <w:rFonts w:hint="eastAsia" w:eastAsia="宋体"/>
                      <w:highlight w:val="none"/>
                      <w:lang w:eastAsia="zh-CN"/>
                    </w:rPr>
                  </w:pPr>
                  <w:r>
                    <w:rPr>
                      <w:rFonts w:hint="eastAsia"/>
                    </w:rPr>
                    <w:t>53.</w:t>
                  </w:r>
                  <w:r>
                    <w:rPr>
                      <w:rFonts w:hint="eastAsia"/>
                      <w:lang w:val="en-US" w:eastAsia="zh-CN"/>
                    </w:rPr>
                    <w:t>6</w:t>
                  </w:r>
                </w:p>
              </w:tc>
              <w:tc>
                <w:tcPr>
                  <w:tcW w:w="1124" w:type="dxa"/>
                  <w:tcBorders>
                    <w:tl2br w:val="nil"/>
                    <w:tr2bl w:val="nil"/>
                  </w:tcBorders>
                  <w:noWrap w:val="0"/>
                  <w:vAlign w:val="center"/>
                </w:tcPr>
                <w:p w14:paraId="36C25FBC">
                  <w:pPr>
                    <w:keepNext w:val="0"/>
                    <w:keepLines w:val="0"/>
                    <w:widowControl/>
                    <w:suppressLineNumbers w:val="0"/>
                    <w:jc w:val="center"/>
                    <w:textAlignment w:val="center"/>
                    <w:rPr>
                      <w:rFonts w:hint="default" w:eastAsia="宋体"/>
                      <w:color w:val="auto"/>
                      <w:highlight w:val="none"/>
                      <w:lang w:val="en-US" w:eastAsia="zh-CN"/>
                    </w:rPr>
                  </w:pPr>
                  <w:r>
                    <w:rPr>
                      <w:rFonts w:hint="eastAsia"/>
                      <w:color w:val="auto"/>
                      <w:highlight w:val="none"/>
                      <w:lang w:val="en-US" w:eastAsia="zh-CN"/>
                    </w:rPr>
                    <w:t>57.4</w:t>
                  </w:r>
                </w:p>
              </w:tc>
              <w:tc>
                <w:tcPr>
                  <w:tcW w:w="1291" w:type="dxa"/>
                  <w:tcBorders>
                    <w:tl2br w:val="nil"/>
                    <w:tr2bl w:val="nil"/>
                  </w:tcBorders>
                  <w:noWrap w:val="0"/>
                  <w:vAlign w:val="center"/>
                </w:tcPr>
                <w:p w14:paraId="04CF4B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58.9</w:t>
                  </w:r>
                </w:p>
              </w:tc>
              <w:tc>
                <w:tcPr>
                  <w:tcW w:w="1140" w:type="dxa"/>
                  <w:vMerge w:val="continue"/>
                  <w:tcBorders>
                    <w:tl2br w:val="nil"/>
                    <w:tr2bl w:val="nil"/>
                  </w:tcBorders>
                  <w:noWrap w:val="0"/>
                  <w:vAlign w:val="center"/>
                </w:tcPr>
                <w:p w14:paraId="356A56A6">
                  <w:pPr>
                    <w:jc w:val="center"/>
                    <w:rPr>
                      <w:rFonts w:hint="default" w:ascii="Times New Roman" w:hAnsi="Times New Roman" w:eastAsia="宋体" w:cs="Times New Roman"/>
                      <w:i w:val="0"/>
                      <w:iCs w:val="0"/>
                      <w:color w:val="auto"/>
                      <w:sz w:val="21"/>
                      <w:szCs w:val="21"/>
                      <w:highlight w:val="none"/>
                      <w:u w:val="none"/>
                    </w:rPr>
                  </w:pPr>
                </w:p>
              </w:tc>
            </w:tr>
            <w:tr w14:paraId="7CED21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847" w:type="dxa"/>
                  <w:vMerge w:val="restart"/>
                  <w:tcBorders>
                    <w:tl2br w:val="nil"/>
                    <w:tr2bl w:val="nil"/>
                  </w:tcBorders>
                  <w:noWrap w:val="0"/>
                  <w:vAlign w:val="center"/>
                </w:tcPr>
                <w:p w14:paraId="5531ACBF">
                  <w:pPr>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夜间</w:t>
                  </w:r>
                </w:p>
              </w:tc>
              <w:tc>
                <w:tcPr>
                  <w:tcW w:w="1141" w:type="dxa"/>
                  <w:tcBorders>
                    <w:tl2br w:val="nil"/>
                    <w:tr2bl w:val="nil"/>
                  </w:tcBorders>
                  <w:noWrap w:val="0"/>
                  <w:vAlign w:val="center"/>
                </w:tcPr>
                <w:p w14:paraId="16061B9C">
                  <w:pPr>
                    <w:keepNext w:val="0"/>
                    <w:keepLines w:val="0"/>
                    <w:widowControl/>
                    <w:suppressLineNumbers w:val="0"/>
                    <w:jc w:val="center"/>
                    <w:textAlignment w:val="center"/>
                    <w:rPr>
                      <w:rFonts w:hint="eastAsia"/>
                      <w:highlight w:val="none"/>
                    </w:rPr>
                  </w:pPr>
                  <w:r>
                    <w:rPr>
                      <w:rFonts w:hint="eastAsia"/>
                      <w:highlight w:val="none"/>
                    </w:rPr>
                    <w:t>北侧厂界</w:t>
                  </w:r>
                </w:p>
              </w:tc>
              <w:tc>
                <w:tcPr>
                  <w:tcW w:w="1118" w:type="dxa"/>
                  <w:tcBorders>
                    <w:tl2br w:val="nil"/>
                    <w:tr2bl w:val="nil"/>
                  </w:tcBorders>
                  <w:noWrap w:val="0"/>
                  <w:vAlign w:val="center"/>
                </w:tcPr>
                <w:p w14:paraId="3CBA85D1">
                  <w:pPr>
                    <w:keepNext w:val="0"/>
                    <w:keepLines w:val="0"/>
                    <w:widowControl/>
                    <w:suppressLineNumbers w:val="0"/>
                    <w:jc w:val="center"/>
                    <w:textAlignment w:val="center"/>
                    <w:rPr>
                      <w:rFonts w:hint="eastAsia"/>
                      <w:highlight w:val="none"/>
                    </w:rPr>
                  </w:pPr>
                  <w:r>
                    <w:rPr>
                      <w:rFonts w:hint="eastAsia"/>
                    </w:rPr>
                    <w:t>21.96</w:t>
                  </w:r>
                </w:p>
              </w:tc>
              <w:tc>
                <w:tcPr>
                  <w:tcW w:w="1038" w:type="dxa"/>
                  <w:tcBorders>
                    <w:tl2br w:val="nil"/>
                    <w:tr2bl w:val="nil"/>
                  </w:tcBorders>
                  <w:noWrap w:val="0"/>
                  <w:vAlign w:val="center"/>
                </w:tcPr>
                <w:p w14:paraId="2DAFEC86">
                  <w:pPr>
                    <w:keepNext w:val="0"/>
                    <w:keepLines w:val="0"/>
                    <w:widowControl/>
                    <w:suppressLineNumbers w:val="0"/>
                    <w:jc w:val="center"/>
                    <w:textAlignment w:val="center"/>
                    <w:rPr>
                      <w:rFonts w:hint="eastAsia"/>
                      <w:highlight w:val="none"/>
                    </w:rPr>
                  </w:pPr>
                  <w:r>
                    <w:rPr>
                      <w:rFonts w:hint="eastAsia"/>
                    </w:rPr>
                    <w:t>14.94</w:t>
                  </w:r>
                </w:p>
              </w:tc>
              <w:tc>
                <w:tcPr>
                  <w:tcW w:w="1088" w:type="dxa"/>
                  <w:tcBorders>
                    <w:tl2br w:val="nil"/>
                    <w:tr2bl w:val="nil"/>
                  </w:tcBorders>
                  <w:noWrap w:val="0"/>
                  <w:vAlign w:val="center"/>
                </w:tcPr>
                <w:p w14:paraId="2CDEE0C3">
                  <w:pPr>
                    <w:keepNext w:val="0"/>
                    <w:keepLines w:val="0"/>
                    <w:widowControl/>
                    <w:suppressLineNumbers w:val="0"/>
                    <w:jc w:val="center"/>
                    <w:textAlignment w:val="center"/>
                    <w:rPr>
                      <w:rFonts w:hint="eastAsia"/>
                      <w:highlight w:val="none"/>
                    </w:rPr>
                  </w:pPr>
                  <w:r>
                    <w:rPr>
                      <w:rFonts w:hint="eastAsia"/>
                    </w:rPr>
                    <w:t>49.1</w:t>
                  </w:r>
                </w:p>
              </w:tc>
              <w:tc>
                <w:tcPr>
                  <w:tcW w:w="1124" w:type="dxa"/>
                  <w:tcBorders>
                    <w:tl2br w:val="nil"/>
                    <w:tr2bl w:val="nil"/>
                  </w:tcBorders>
                  <w:noWrap w:val="0"/>
                  <w:vAlign w:val="center"/>
                </w:tcPr>
                <w:p w14:paraId="11D69D08">
                  <w:pPr>
                    <w:keepNext w:val="0"/>
                    <w:keepLines w:val="0"/>
                    <w:widowControl/>
                    <w:suppressLineNumbers w:val="0"/>
                    <w:jc w:val="center"/>
                    <w:textAlignment w:val="center"/>
                    <w:rPr>
                      <w:rFonts w:hint="default" w:eastAsia="宋体"/>
                      <w:highlight w:val="none"/>
                      <w:lang w:val="en-US" w:eastAsia="zh-CN"/>
                    </w:rPr>
                  </w:pPr>
                  <w:r>
                    <w:rPr>
                      <w:rFonts w:hint="eastAsia"/>
                      <w:highlight w:val="none"/>
                      <w:lang w:val="en-US" w:eastAsia="zh-CN"/>
                    </w:rPr>
                    <w:t>48.6</w:t>
                  </w:r>
                </w:p>
              </w:tc>
              <w:tc>
                <w:tcPr>
                  <w:tcW w:w="1291" w:type="dxa"/>
                  <w:tcBorders>
                    <w:tl2br w:val="nil"/>
                    <w:tr2bl w:val="nil"/>
                  </w:tcBorders>
                  <w:noWrap w:val="0"/>
                  <w:vAlign w:val="center"/>
                </w:tcPr>
                <w:p w14:paraId="568650A0">
                  <w:pPr>
                    <w:keepNext w:val="0"/>
                    <w:keepLines w:val="0"/>
                    <w:widowControl/>
                    <w:suppressLineNumbers w:val="0"/>
                    <w:jc w:val="center"/>
                    <w:textAlignment w:val="center"/>
                    <w:rPr>
                      <w:rFonts w:hint="default" w:eastAsia="宋体"/>
                      <w:highlight w:val="none"/>
                      <w:lang w:val="en-US" w:eastAsia="zh-CN"/>
                    </w:rPr>
                  </w:pPr>
                  <w:r>
                    <w:rPr>
                      <w:rFonts w:hint="eastAsia"/>
                      <w:highlight w:val="none"/>
                      <w:lang w:val="en-US" w:eastAsia="zh-CN"/>
                    </w:rPr>
                    <w:t>51.9</w:t>
                  </w:r>
                </w:p>
              </w:tc>
              <w:tc>
                <w:tcPr>
                  <w:tcW w:w="1140" w:type="dxa"/>
                  <w:vMerge w:val="restart"/>
                  <w:tcBorders>
                    <w:tl2br w:val="nil"/>
                    <w:tr2bl w:val="nil"/>
                  </w:tcBorders>
                  <w:noWrap w:val="0"/>
                  <w:vAlign w:val="center"/>
                </w:tcPr>
                <w:p w14:paraId="18AFE323">
                  <w:pPr>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5dB</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A</w:t>
                  </w:r>
                  <w:r>
                    <w:rPr>
                      <w:rFonts w:hint="eastAsia" w:cs="Times New Roman"/>
                      <w:i w:val="0"/>
                      <w:iCs w:val="0"/>
                      <w:color w:val="auto"/>
                      <w:kern w:val="0"/>
                      <w:sz w:val="21"/>
                      <w:szCs w:val="21"/>
                      <w:highlight w:val="none"/>
                      <w:u w:val="none"/>
                      <w:lang w:val="en-US" w:eastAsia="zh-CN" w:bidi="ar"/>
                    </w:rPr>
                    <w:t>)</w:t>
                  </w:r>
                </w:p>
              </w:tc>
            </w:tr>
            <w:tr w14:paraId="5297B3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847" w:type="dxa"/>
                  <w:vMerge w:val="continue"/>
                  <w:tcBorders>
                    <w:tl2br w:val="nil"/>
                    <w:tr2bl w:val="nil"/>
                  </w:tcBorders>
                  <w:noWrap w:val="0"/>
                  <w:vAlign w:val="center"/>
                </w:tcPr>
                <w:p w14:paraId="6E1B2BA4">
                  <w:pPr>
                    <w:jc w:val="center"/>
                    <w:rPr>
                      <w:rFonts w:hint="default" w:ascii="Times New Roman" w:hAnsi="Times New Roman" w:eastAsia="宋体" w:cs="Times New Roman"/>
                      <w:i w:val="0"/>
                      <w:iCs w:val="0"/>
                      <w:color w:val="auto"/>
                      <w:sz w:val="21"/>
                      <w:szCs w:val="21"/>
                      <w:highlight w:val="none"/>
                      <w:u w:val="none"/>
                    </w:rPr>
                  </w:pPr>
                </w:p>
              </w:tc>
              <w:tc>
                <w:tcPr>
                  <w:tcW w:w="1141" w:type="dxa"/>
                  <w:tcBorders>
                    <w:tl2br w:val="nil"/>
                    <w:tr2bl w:val="nil"/>
                  </w:tcBorders>
                  <w:noWrap w:val="0"/>
                  <w:vAlign w:val="center"/>
                </w:tcPr>
                <w:p w14:paraId="7490CB1C">
                  <w:pPr>
                    <w:keepNext w:val="0"/>
                    <w:keepLines w:val="0"/>
                    <w:widowControl/>
                    <w:suppressLineNumbers w:val="0"/>
                    <w:jc w:val="center"/>
                    <w:textAlignment w:val="center"/>
                    <w:rPr>
                      <w:rFonts w:hint="eastAsia"/>
                      <w:highlight w:val="none"/>
                    </w:rPr>
                  </w:pPr>
                  <w:r>
                    <w:rPr>
                      <w:rFonts w:hint="eastAsia"/>
                      <w:highlight w:val="none"/>
                    </w:rPr>
                    <w:t>东侧厂界</w:t>
                  </w:r>
                </w:p>
              </w:tc>
              <w:tc>
                <w:tcPr>
                  <w:tcW w:w="1118" w:type="dxa"/>
                  <w:tcBorders>
                    <w:tl2br w:val="nil"/>
                    <w:tr2bl w:val="nil"/>
                  </w:tcBorders>
                  <w:noWrap w:val="0"/>
                  <w:vAlign w:val="center"/>
                </w:tcPr>
                <w:p w14:paraId="590F157E">
                  <w:pPr>
                    <w:keepNext w:val="0"/>
                    <w:keepLines w:val="0"/>
                    <w:widowControl/>
                    <w:suppressLineNumbers w:val="0"/>
                    <w:jc w:val="center"/>
                    <w:textAlignment w:val="center"/>
                    <w:rPr>
                      <w:rFonts w:hint="eastAsia"/>
                      <w:highlight w:val="none"/>
                    </w:rPr>
                  </w:pPr>
                  <w:r>
                    <w:rPr>
                      <w:rFonts w:hint="eastAsia"/>
                    </w:rPr>
                    <w:t>96.71</w:t>
                  </w:r>
                </w:p>
              </w:tc>
              <w:tc>
                <w:tcPr>
                  <w:tcW w:w="1038" w:type="dxa"/>
                  <w:tcBorders>
                    <w:tl2br w:val="nil"/>
                    <w:tr2bl w:val="nil"/>
                  </w:tcBorders>
                  <w:noWrap w:val="0"/>
                  <w:vAlign w:val="center"/>
                </w:tcPr>
                <w:p w14:paraId="1C19F0DE">
                  <w:pPr>
                    <w:keepNext w:val="0"/>
                    <w:keepLines w:val="0"/>
                    <w:widowControl/>
                    <w:suppressLineNumbers w:val="0"/>
                    <w:jc w:val="center"/>
                    <w:textAlignment w:val="center"/>
                    <w:rPr>
                      <w:rFonts w:hint="eastAsia"/>
                      <w:highlight w:val="none"/>
                    </w:rPr>
                  </w:pPr>
                  <w:r>
                    <w:rPr>
                      <w:rFonts w:hint="eastAsia"/>
                    </w:rPr>
                    <w:t>-71.32</w:t>
                  </w:r>
                </w:p>
              </w:tc>
              <w:tc>
                <w:tcPr>
                  <w:tcW w:w="1088" w:type="dxa"/>
                  <w:tcBorders>
                    <w:tl2br w:val="nil"/>
                    <w:tr2bl w:val="nil"/>
                  </w:tcBorders>
                  <w:noWrap w:val="0"/>
                  <w:vAlign w:val="center"/>
                </w:tcPr>
                <w:p w14:paraId="1416D70D">
                  <w:pPr>
                    <w:keepNext w:val="0"/>
                    <w:keepLines w:val="0"/>
                    <w:widowControl/>
                    <w:suppressLineNumbers w:val="0"/>
                    <w:jc w:val="center"/>
                    <w:textAlignment w:val="center"/>
                    <w:rPr>
                      <w:rFonts w:hint="eastAsia"/>
                      <w:highlight w:val="none"/>
                    </w:rPr>
                  </w:pPr>
                  <w:r>
                    <w:rPr>
                      <w:rFonts w:hint="eastAsia"/>
                    </w:rPr>
                    <w:t>46.2</w:t>
                  </w:r>
                </w:p>
              </w:tc>
              <w:tc>
                <w:tcPr>
                  <w:tcW w:w="1124" w:type="dxa"/>
                  <w:tcBorders>
                    <w:tl2br w:val="nil"/>
                    <w:tr2bl w:val="nil"/>
                  </w:tcBorders>
                  <w:noWrap w:val="0"/>
                  <w:vAlign w:val="center"/>
                </w:tcPr>
                <w:p w14:paraId="7F021CE0">
                  <w:pPr>
                    <w:keepNext w:val="0"/>
                    <w:keepLines w:val="0"/>
                    <w:widowControl/>
                    <w:suppressLineNumbers w:val="0"/>
                    <w:jc w:val="center"/>
                    <w:textAlignment w:val="center"/>
                    <w:rPr>
                      <w:rFonts w:hint="default" w:eastAsia="宋体"/>
                      <w:highlight w:val="none"/>
                      <w:lang w:val="en-US" w:eastAsia="zh-CN"/>
                    </w:rPr>
                  </w:pPr>
                  <w:r>
                    <w:rPr>
                      <w:rFonts w:hint="eastAsia"/>
                      <w:highlight w:val="none"/>
                      <w:lang w:val="en-US" w:eastAsia="zh-CN"/>
                    </w:rPr>
                    <w:t>45.0</w:t>
                  </w:r>
                </w:p>
              </w:tc>
              <w:tc>
                <w:tcPr>
                  <w:tcW w:w="1291" w:type="dxa"/>
                  <w:tcBorders>
                    <w:tl2br w:val="nil"/>
                    <w:tr2bl w:val="nil"/>
                  </w:tcBorders>
                  <w:noWrap w:val="0"/>
                  <w:vAlign w:val="center"/>
                </w:tcPr>
                <w:p w14:paraId="1AC932FF">
                  <w:pPr>
                    <w:keepNext w:val="0"/>
                    <w:keepLines w:val="0"/>
                    <w:widowControl/>
                    <w:suppressLineNumbers w:val="0"/>
                    <w:jc w:val="center"/>
                    <w:textAlignment w:val="center"/>
                    <w:rPr>
                      <w:rFonts w:hint="default" w:eastAsia="宋体"/>
                      <w:highlight w:val="none"/>
                      <w:lang w:val="en-US" w:eastAsia="zh-CN"/>
                    </w:rPr>
                  </w:pPr>
                  <w:r>
                    <w:rPr>
                      <w:rFonts w:hint="eastAsia"/>
                      <w:highlight w:val="none"/>
                      <w:lang w:val="en-US" w:eastAsia="zh-CN"/>
                    </w:rPr>
                    <w:t>48.7</w:t>
                  </w:r>
                </w:p>
              </w:tc>
              <w:tc>
                <w:tcPr>
                  <w:tcW w:w="1140" w:type="dxa"/>
                  <w:vMerge w:val="continue"/>
                  <w:tcBorders>
                    <w:tl2br w:val="nil"/>
                    <w:tr2bl w:val="nil"/>
                  </w:tcBorders>
                  <w:noWrap w:val="0"/>
                  <w:vAlign w:val="center"/>
                </w:tcPr>
                <w:p w14:paraId="4358C3BC">
                  <w:pPr>
                    <w:jc w:val="center"/>
                    <w:rPr>
                      <w:rFonts w:hint="default" w:ascii="Times New Roman" w:hAnsi="Times New Roman" w:eastAsia="宋体" w:cs="Times New Roman"/>
                      <w:i w:val="0"/>
                      <w:iCs w:val="0"/>
                      <w:color w:val="auto"/>
                      <w:sz w:val="21"/>
                      <w:szCs w:val="21"/>
                      <w:highlight w:val="none"/>
                      <w:u w:val="none"/>
                    </w:rPr>
                  </w:pPr>
                </w:p>
              </w:tc>
            </w:tr>
            <w:tr w14:paraId="014D14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847" w:type="dxa"/>
                  <w:vMerge w:val="continue"/>
                  <w:tcBorders>
                    <w:tl2br w:val="nil"/>
                    <w:tr2bl w:val="nil"/>
                  </w:tcBorders>
                  <w:noWrap w:val="0"/>
                  <w:vAlign w:val="center"/>
                </w:tcPr>
                <w:p w14:paraId="66C8B7DE">
                  <w:pPr>
                    <w:jc w:val="center"/>
                    <w:rPr>
                      <w:rFonts w:hint="default" w:ascii="Times New Roman" w:hAnsi="Times New Roman" w:eastAsia="宋体" w:cs="Times New Roman"/>
                      <w:i w:val="0"/>
                      <w:iCs w:val="0"/>
                      <w:color w:val="auto"/>
                      <w:sz w:val="21"/>
                      <w:szCs w:val="21"/>
                      <w:highlight w:val="none"/>
                      <w:u w:val="none"/>
                    </w:rPr>
                  </w:pPr>
                </w:p>
              </w:tc>
              <w:tc>
                <w:tcPr>
                  <w:tcW w:w="1141" w:type="dxa"/>
                  <w:tcBorders>
                    <w:tl2br w:val="nil"/>
                    <w:tr2bl w:val="nil"/>
                  </w:tcBorders>
                  <w:noWrap w:val="0"/>
                  <w:vAlign w:val="center"/>
                </w:tcPr>
                <w:p w14:paraId="7F66D1D0">
                  <w:pPr>
                    <w:keepNext w:val="0"/>
                    <w:keepLines w:val="0"/>
                    <w:widowControl/>
                    <w:suppressLineNumbers w:val="0"/>
                    <w:jc w:val="center"/>
                    <w:textAlignment w:val="center"/>
                    <w:rPr>
                      <w:rFonts w:hint="eastAsia"/>
                      <w:highlight w:val="none"/>
                    </w:rPr>
                  </w:pPr>
                  <w:r>
                    <w:rPr>
                      <w:rFonts w:hint="eastAsia"/>
                      <w:highlight w:val="none"/>
                    </w:rPr>
                    <w:t>南侧厂界</w:t>
                  </w:r>
                </w:p>
              </w:tc>
              <w:tc>
                <w:tcPr>
                  <w:tcW w:w="1118" w:type="dxa"/>
                  <w:tcBorders>
                    <w:tl2br w:val="nil"/>
                    <w:tr2bl w:val="nil"/>
                  </w:tcBorders>
                  <w:noWrap w:val="0"/>
                  <w:vAlign w:val="center"/>
                </w:tcPr>
                <w:p w14:paraId="5DFE8602">
                  <w:pPr>
                    <w:keepNext w:val="0"/>
                    <w:keepLines w:val="0"/>
                    <w:widowControl/>
                    <w:suppressLineNumbers w:val="0"/>
                    <w:jc w:val="center"/>
                    <w:textAlignment w:val="center"/>
                    <w:rPr>
                      <w:rFonts w:hint="eastAsia"/>
                      <w:highlight w:val="none"/>
                    </w:rPr>
                  </w:pPr>
                  <w:r>
                    <w:rPr>
                      <w:rFonts w:hint="eastAsia"/>
                    </w:rPr>
                    <w:t>-16.97</w:t>
                  </w:r>
                </w:p>
              </w:tc>
              <w:tc>
                <w:tcPr>
                  <w:tcW w:w="1038" w:type="dxa"/>
                  <w:tcBorders>
                    <w:tl2br w:val="nil"/>
                    <w:tr2bl w:val="nil"/>
                  </w:tcBorders>
                  <w:noWrap w:val="0"/>
                  <w:vAlign w:val="center"/>
                </w:tcPr>
                <w:p w14:paraId="7AD5434B">
                  <w:pPr>
                    <w:keepNext w:val="0"/>
                    <w:keepLines w:val="0"/>
                    <w:widowControl/>
                    <w:suppressLineNumbers w:val="0"/>
                    <w:jc w:val="center"/>
                    <w:textAlignment w:val="center"/>
                    <w:rPr>
                      <w:rFonts w:hint="eastAsia"/>
                      <w:highlight w:val="none"/>
                    </w:rPr>
                  </w:pPr>
                  <w:r>
                    <w:rPr>
                      <w:rFonts w:hint="eastAsia"/>
                    </w:rPr>
                    <w:t>-44.78</w:t>
                  </w:r>
                </w:p>
              </w:tc>
              <w:tc>
                <w:tcPr>
                  <w:tcW w:w="1088" w:type="dxa"/>
                  <w:tcBorders>
                    <w:tl2br w:val="nil"/>
                    <w:tr2bl w:val="nil"/>
                  </w:tcBorders>
                  <w:noWrap w:val="0"/>
                  <w:vAlign w:val="center"/>
                </w:tcPr>
                <w:p w14:paraId="0FD9B5F1">
                  <w:pPr>
                    <w:keepNext w:val="0"/>
                    <w:keepLines w:val="0"/>
                    <w:widowControl/>
                    <w:suppressLineNumbers w:val="0"/>
                    <w:jc w:val="center"/>
                    <w:textAlignment w:val="center"/>
                    <w:rPr>
                      <w:rFonts w:hint="eastAsia" w:eastAsia="宋体"/>
                      <w:highlight w:val="none"/>
                      <w:lang w:eastAsia="zh-CN"/>
                    </w:rPr>
                  </w:pPr>
                  <w:r>
                    <w:rPr>
                      <w:rFonts w:hint="eastAsia"/>
                    </w:rPr>
                    <w:t>48.8</w:t>
                  </w:r>
                </w:p>
              </w:tc>
              <w:tc>
                <w:tcPr>
                  <w:tcW w:w="1124" w:type="dxa"/>
                  <w:tcBorders>
                    <w:tl2br w:val="nil"/>
                    <w:tr2bl w:val="nil"/>
                  </w:tcBorders>
                  <w:noWrap w:val="0"/>
                  <w:vAlign w:val="center"/>
                </w:tcPr>
                <w:p w14:paraId="2D6F976B">
                  <w:pPr>
                    <w:keepNext w:val="0"/>
                    <w:keepLines w:val="0"/>
                    <w:widowControl/>
                    <w:suppressLineNumbers w:val="0"/>
                    <w:jc w:val="center"/>
                    <w:textAlignment w:val="center"/>
                    <w:rPr>
                      <w:rFonts w:hint="default" w:eastAsia="宋体"/>
                      <w:highlight w:val="none"/>
                      <w:lang w:val="en-US" w:eastAsia="zh-CN"/>
                    </w:rPr>
                  </w:pPr>
                  <w:r>
                    <w:rPr>
                      <w:rFonts w:hint="eastAsia"/>
                      <w:highlight w:val="none"/>
                      <w:lang w:val="en-US" w:eastAsia="zh-CN"/>
                    </w:rPr>
                    <w:t>49.5</w:t>
                  </w:r>
                </w:p>
              </w:tc>
              <w:tc>
                <w:tcPr>
                  <w:tcW w:w="1291" w:type="dxa"/>
                  <w:tcBorders>
                    <w:tl2br w:val="nil"/>
                    <w:tr2bl w:val="nil"/>
                  </w:tcBorders>
                  <w:noWrap w:val="0"/>
                  <w:vAlign w:val="center"/>
                </w:tcPr>
                <w:p w14:paraId="7A48A5EE">
                  <w:pPr>
                    <w:keepNext w:val="0"/>
                    <w:keepLines w:val="0"/>
                    <w:widowControl/>
                    <w:suppressLineNumbers w:val="0"/>
                    <w:jc w:val="center"/>
                    <w:textAlignment w:val="center"/>
                    <w:rPr>
                      <w:rFonts w:hint="default" w:eastAsia="宋体"/>
                      <w:highlight w:val="none"/>
                      <w:lang w:val="en-US" w:eastAsia="zh-CN"/>
                    </w:rPr>
                  </w:pPr>
                  <w:r>
                    <w:rPr>
                      <w:rFonts w:hint="eastAsia"/>
                      <w:highlight w:val="none"/>
                      <w:lang w:val="en-US" w:eastAsia="zh-CN"/>
                    </w:rPr>
                    <w:t>52.2</w:t>
                  </w:r>
                </w:p>
              </w:tc>
              <w:tc>
                <w:tcPr>
                  <w:tcW w:w="1140" w:type="dxa"/>
                  <w:vMerge w:val="continue"/>
                  <w:tcBorders>
                    <w:tl2br w:val="nil"/>
                    <w:tr2bl w:val="nil"/>
                  </w:tcBorders>
                  <w:noWrap w:val="0"/>
                  <w:vAlign w:val="center"/>
                </w:tcPr>
                <w:p w14:paraId="04CFA7C2">
                  <w:pPr>
                    <w:jc w:val="center"/>
                    <w:rPr>
                      <w:rFonts w:hint="default" w:ascii="Times New Roman" w:hAnsi="Times New Roman" w:eastAsia="宋体" w:cs="Times New Roman"/>
                      <w:i w:val="0"/>
                      <w:iCs w:val="0"/>
                      <w:color w:val="auto"/>
                      <w:sz w:val="21"/>
                      <w:szCs w:val="21"/>
                      <w:highlight w:val="none"/>
                      <w:u w:val="none"/>
                    </w:rPr>
                  </w:pPr>
                </w:p>
              </w:tc>
            </w:tr>
            <w:tr w14:paraId="15D0CE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847" w:type="dxa"/>
                  <w:vMerge w:val="continue"/>
                  <w:tcBorders>
                    <w:tl2br w:val="nil"/>
                    <w:tr2bl w:val="nil"/>
                  </w:tcBorders>
                  <w:noWrap w:val="0"/>
                  <w:vAlign w:val="center"/>
                </w:tcPr>
                <w:p w14:paraId="439D7F51">
                  <w:pPr>
                    <w:jc w:val="center"/>
                    <w:rPr>
                      <w:rFonts w:hint="default" w:ascii="Times New Roman" w:hAnsi="Times New Roman" w:eastAsia="宋体" w:cs="Times New Roman"/>
                      <w:i w:val="0"/>
                      <w:iCs w:val="0"/>
                      <w:color w:val="auto"/>
                      <w:sz w:val="21"/>
                      <w:szCs w:val="21"/>
                      <w:highlight w:val="none"/>
                      <w:u w:val="none"/>
                    </w:rPr>
                  </w:pPr>
                </w:p>
              </w:tc>
              <w:tc>
                <w:tcPr>
                  <w:tcW w:w="1141" w:type="dxa"/>
                  <w:tcBorders>
                    <w:tl2br w:val="nil"/>
                    <w:tr2bl w:val="nil"/>
                  </w:tcBorders>
                  <w:noWrap w:val="0"/>
                  <w:vAlign w:val="center"/>
                </w:tcPr>
                <w:p w14:paraId="3C3D4723">
                  <w:pPr>
                    <w:keepNext w:val="0"/>
                    <w:keepLines w:val="0"/>
                    <w:widowControl/>
                    <w:suppressLineNumbers w:val="0"/>
                    <w:jc w:val="center"/>
                    <w:textAlignment w:val="center"/>
                    <w:rPr>
                      <w:rFonts w:hint="eastAsia"/>
                      <w:highlight w:val="none"/>
                    </w:rPr>
                  </w:pPr>
                  <w:r>
                    <w:rPr>
                      <w:rFonts w:hint="eastAsia"/>
                      <w:highlight w:val="none"/>
                    </w:rPr>
                    <w:t>西侧厂界</w:t>
                  </w:r>
                </w:p>
              </w:tc>
              <w:tc>
                <w:tcPr>
                  <w:tcW w:w="1118" w:type="dxa"/>
                  <w:tcBorders>
                    <w:tl2br w:val="nil"/>
                    <w:tr2bl w:val="nil"/>
                  </w:tcBorders>
                  <w:noWrap w:val="0"/>
                  <w:vAlign w:val="center"/>
                </w:tcPr>
                <w:p w14:paraId="2668A921">
                  <w:pPr>
                    <w:keepNext w:val="0"/>
                    <w:keepLines w:val="0"/>
                    <w:widowControl/>
                    <w:suppressLineNumbers w:val="0"/>
                    <w:jc w:val="center"/>
                    <w:textAlignment w:val="center"/>
                    <w:rPr>
                      <w:rFonts w:hint="eastAsia"/>
                      <w:highlight w:val="none"/>
                    </w:rPr>
                  </w:pPr>
                  <w:r>
                    <w:rPr>
                      <w:rFonts w:hint="eastAsia"/>
                    </w:rPr>
                    <w:t>-88.76</w:t>
                  </w:r>
                </w:p>
              </w:tc>
              <w:tc>
                <w:tcPr>
                  <w:tcW w:w="1038" w:type="dxa"/>
                  <w:tcBorders>
                    <w:tl2br w:val="nil"/>
                    <w:tr2bl w:val="nil"/>
                  </w:tcBorders>
                  <w:noWrap w:val="0"/>
                  <w:vAlign w:val="center"/>
                </w:tcPr>
                <w:p w14:paraId="56F96719">
                  <w:pPr>
                    <w:keepNext w:val="0"/>
                    <w:keepLines w:val="0"/>
                    <w:widowControl/>
                    <w:suppressLineNumbers w:val="0"/>
                    <w:jc w:val="center"/>
                    <w:textAlignment w:val="center"/>
                    <w:rPr>
                      <w:rFonts w:hint="eastAsia"/>
                      <w:highlight w:val="none"/>
                    </w:rPr>
                  </w:pPr>
                  <w:r>
                    <w:rPr>
                      <w:rFonts w:hint="eastAsia"/>
                    </w:rPr>
                    <w:t>37.94</w:t>
                  </w:r>
                </w:p>
              </w:tc>
              <w:tc>
                <w:tcPr>
                  <w:tcW w:w="1088" w:type="dxa"/>
                  <w:tcBorders>
                    <w:tl2br w:val="nil"/>
                    <w:tr2bl w:val="nil"/>
                  </w:tcBorders>
                  <w:noWrap w:val="0"/>
                  <w:vAlign w:val="center"/>
                </w:tcPr>
                <w:p w14:paraId="46D5D49E">
                  <w:pPr>
                    <w:keepNext w:val="0"/>
                    <w:keepLines w:val="0"/>
                    <w:widowControl/>
                    <w:suppressLineNumbers w:val="0"/>
                    <w:jc w:val="center"/>
                    <w:textAlignment w:val="center"/>
                    <w:rPr>
                      <w:rFonts w:hint="eastAsia" w:eastAsia="宋体"/>
                      <w:highlight w:val="none"/>
                      <w:lang w:eastAsia="zh-CN"/>
                    </w:rPr>
                  </w:pPr>
                  <w:r>
                    <w:rPr>
                      <w:rFonts w:hint="eastAsia"/>
                    </w:rPr>
                    <w:t>53.</w:t>
                  </w:r>
                  <w:r>
                    <w:rPr>
                      <w:rFonts w:hint="eastAsia"/>
                      <w:lang w:val="en-US" w:eastAsia="zh-CN"/>
                    </w:rPr>
                    <w:t>6</w:t>
                  </w:r>
                </w:p>
              </w:tc>
              <w:tc>
                <w:tcPr>
                  <w:tcW w:w="1124" w:type="dxa"/>
                  <w:tcBorders>
                    <w:tl2br w:val="nil"/>
                    <w:tr2bl w:val="nil"/>
                  </w:tcBorders>
                  <w:noWrap w:val="0"/>
                  <w:vAlign w:val="center"/>
                </w:tcPr>
                <w:p w14:paraId="3739FAE7">
                  <w:pPr>
                    <w:keepNext w:val="0"/>
                    <w:keepLines w:val="0"/>
                    <w:widowControl/>
                    <w:suppressLineNumbers w:val="0"/>
                    <w:jc w:val="center"/>
                    <w:textAlignment w:val="center"/>
                    <w:rPr>
                      <w:rFonts w:hint="default" w:eastAsia="宋体"/>
                      <w:highlight w:val="none"/>
                      <w:lang w:val="en-US" w:eastAsia="zh-CN"/>
                    </w:rPr>
                  </w:pPr>
                  <w:r>
                    <w:rPr>
                      <w:rFonts w:hint="eastAsia"/>
                      <w:highlight w:val="none"/>
                      <w:lang w:val="en-US" w:eastAsia="zh-CN"/>
                    </w:rPr>
                    <w:t>49.2</w:t>
                  </w:r>
                </w:p>
              </w:tc>
              <w:tc>
                <w:tcPr>
                  <w:tcW w:w="1291" w:type="dxa"/>
                  <w:tcBorders>
                    <w:tl2br w:val="nil"/>
                    <w:tr2bl w:val="nil"/>
                  </w:tcBorders>
                  <w:noWrap w:val="0"/>
                  <w:vAlign w:val="center"/>
                </w:tcPr>
                <w:p w14:paraId="7BD02EE8">
                  <w:pPr>
                    <w:keepNext w:val="0"/>
                    <w:keepLines w:val="0"/>
                    <w:widowControl/>
                    <w:suppressLineNumbers w:val="0"/>
                    <w:jc w:val="center"/>
                    <w:textAlignment w:val="center"/>
                    <w:rPr>
                      <w:rFonts w:hint="default" w:eastAsia="宋体"/>
                      <w:highlight w:val="none"/>
                      <w:lang w:val="en-US" w:eastAsia="zh-CN"/>
                    </w:rPr>
                  </w:pPr>
                  <w:r>
                    <w:rPr>
                      <w:rFonts w:hint="eastAsia"/>
                      <w:highlight w:val="none"/>
                      <w:lang w:val="en-US" w:eastAsia="zh-CN"/>
                    </w:rPr>
                    <w:t>54.9</w:t>
                  </w:r>
                </w:p>
              </w:tc>
              <w:tc>
                <w:tcPr>
                  <w:tcW w:w="1140" w:type="dxa"/>
                  <w:vMerge w:val="continue"/>
                  <w:tcBorders>
                    <w:tl2br w:val="nil"/>
                    <w:tr2bl w:val="nil"/>
                  </w:tcBorders>
                  <w:noWrap w:val="0"/>
                  <w:vAlign w:val="center"/>
                </w:tcPr>
                <w:p w14:paraId="743AF0E2">
                  <w:pPr>
                    <w:jc w:val="center"/>
                    <w:rPr>
                      <w:rFonts w:hint="default" w:ascii="Times New Roman" w:hAnsi="Times New Roman" w:eastAsia="宋体" w:cs="Times New Roman"/>
                      <w:i w:val="0"/>
                      <w:iCs w:val="0"/>
                      <w:color w:val="auto"/>
                      <w:sz w:val="21"/>
                      <w:szCs w:val="21"/>
                      <w:highlight w:val="none"/>
                      <w:u w:val="none"/>
                    </w:rPr>
                  </w:pPr>
                </w:p>
              </w:tc>
            </w:tr>
          </w:tbl>
          <w:p w14:paraId="1AFAA097">
            <w:pPr>
              <w:adjustRightInd w:val="0"/>
              <w:snapToGrid w:val="0"/>
              <w:spacing w:line="42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根据预测</w:t>
            </w:r>
            <w:r>
              <w:rPr>
                <w:rFonts w:hint="default" w:ascii="Times New Roman" w:hAnsi="Times New Roman" w:cs="Times New Roman"/>
                <w:b w:val="0"/>
                <w:bCs w:val="0"/>
                <w:color w:val="auto"/>
                <w:sz w:val="24"/>
                <w:highlight w:val="none"/>
              </w:rPr>
              <w:t>厂界噪声最</w:t>
            </w:r>
            <w:r>
              <w:rPr>
                <w:rFonts w:hint="eastAsia" w:cs="Times New Roman"/>
                <w:b w:val="0"/>
                <w:bCs w:val="0"/>
                <w:color w:val="auto"/>
                <w:sz w:val="24"/>
                <w:highlight w:val="none"/>
                <w:lang w:val="en-US" w:eastAsia="zh-CN"/>
              </w:rPr>
              <w:t>大贡献值位于厂界西侧，约为53.6</w:t>
            </w:r>
            <w:r>
              <w:rPr>
                <w:rFonts w:hint="default" w:cs="Times New Roman"/>
                <w:b w:val="0"/>
                <w:bCs w:val="0"/>
                <w:color w:val="auto"/>
                <w:sz w:val="24"/>
                <w:highlight w:val="none"/>
                <w:lang w:val="en-US" w:eastAsia="zh-CN"/>
              </w:rPr>
              <w:t>dB</w:t>
            </w:r>
            <w:r>
              <w:rPr>
                <w:rFonts w:hint="eastAsia" w:cs="Times New Roman"/>
                <w:b w:val="0"/>
                <w:bCs w:val="0"/>
                <w:color w:val="auto"/>
                <w:sz w:val="24"/>
                <w:highlight w:val="none"/>
                <w:lang w:val="en-US" w:eastAsia="zh-CN"/>
              </w:rPr>
              <w:t>(</w:t>
            </w:r>
            <w:r>
              <w:rPr>
                <w:rFonts w:hint="default" w:cs="Times New Roman"/>
                <w:b w:val="0"/>
                <w:bCs w:val="0"/>
                <w:color w:val="auto"/>
                <w:sz w:val="24"/>
                <w:highlight w:val="none"/>
                <w:lang w:val="en-US" w:eastAsia="zh-CN"/>
              </w:rPr>
              <w:t>A)</w:t>
            </w:r>
            <w:r>
              <w:rPr>
                <w:rFonts w:hint="eastAsia" w:cs="Times New Roman"/>
                <w:b w:val="0"/>
                <w:bCs w:val="0"/>
                <w:color w:val="auto"/>
                <w:sz w:val="24"/>
                <w:highlight w:val="none"/>
                <w:lang w:val="en-US" w:eastAsia="zh-CN"/>
              </w:rPr>
              <w:t>，叠加现状值后昼间预测</w:t>
            </w:r>
            <w:r>
              <w:rPr>
                <w:rFonts w:hint="default" w:cs="Times New Roman"/>
                <w:b w:val="0"/>
                <w:bCs w:val="0"/>
                <w:color w:val="auto"/>
                <w:sz w:val="24"/>
                <w:highlight w:val="none"/>
                <w:lang w:val="en-US" w:eastAsia="zh-CN"/>
              </w:rPr>
              <w:t>值约</w:t>
            </w:r>
            <w:r>
              <w:rPr>
                <w:rFonts w:hint="eastAsia" w:cs="Times New Roman"/>
                <w:b w:val="0"/>
                <w:bCs w:val="0"/>
                <w:color w:val="auto"/>
                <w:sz w:val="24"/>
                <w:highlight w:val="none"/>
                <w:lang w:val="en-US" w:eastAsia="zh-CN"/>
              </w:rPr>
              <w:t>58.9</w:t>
            </w:r>
            <w:r>
              <w:rPr>
                <w:rFonts w:hint="default" w:cs="Times New Roman"/>
                <w:b w:val="0"/>
                <w:bCs w:val="0"/>
                <w:color w:val="auto"/>
                <w:sz w:val="24"/>
                <w:highlight w:val="none"/>
                <w:lang w:val="en-US" w:eastAsia="zh-CN"/>
              </w:rPr>
              <w:t>dB</w:t>
            </w:r>
            <w:r>
              <w:rPr>
                <w:rFonts w:hint="eastAsia" w:cs="Times New Roman"/>
                <w:b w:val="0"/>
                <w:bCs w:val="0"/>
                <w:color w:val="auto"/>
                <w:sz w:val="24"/>
                <w:highlight w:val="none"/>
                <w:lang w:val="en-US" w:eastAsia="zh-CN"/>
              </w:rPr>
              <w:t>(</w:t>
            </w:r>
            <w:r>
              <w:rPr>
                <w:rFonts w:hint="default" w:cs="Times New Roman"/>
                <w:b w:val="0"/>
                <w:bCs w:val="0"/>
                <w:color w:val="auto"/>
                <w:sz w:val="24"/>
                <w:highlight w:val="none"/>
                <w:lang w:val="en-US" w:eastAsia="zh-CN"/>
              </w:rPr>
              <w:t>A)</w:t>
            </w:r>
            <w:r>
              <w:rPr>
                <w:rFonts w:hint="eastAsia" w:cs="Times New Roman"/>
                <w:b w:val="0"/>
                <w:bCs w:val="0"/>
                <w:color w:val="auto"/>
                <w:sz w:val="24"/>
                <w:highlight w:val="none"/>
                <w:lang w:val="en-US" w:eastAsia="zh-CN"/>
              </w:rPr>
              <w:t>，夜间约54.9</w:t>
            </w:r>
            <w:r>
              <w:rPr>
                <w:rFonts w:hint="default" w:cs="Times New Roman"/>
                <w:b w:val="0"/>
                <w:bCs w:val="0"/>
                <w:color w:val="auto"/>
                <w:sz w:val="24"/>
                <w:highlight w:val="none"/>
                <w:lang w:val="en-US" w:eastAsia="zh-CN"/>
              </w:rPr>
              <w:t>dB</w:t>
            </w:r>
            <w:r>
              <w:rPr>
                <w:rFonts w:hint="eastAsia" w:cs="Times New Roman"/>
                <w:b w:val="0"/>
                <w:bCs w:val="0"/>
                <w:color w:val="auto"/>
                <w:sz w:val="24"/>
                <w:highlight w:val="none"/>
                <w:lang w:val="en-US" w:eastAsia="zh-CN"/>
              </w:rPr>
              <w:t>(</w:t>
            </w:r>
            <w:r>
              <w:rPr>
                <w:rFonts w:hint="default" w:cs="Times New Roman"/>
                <w:b w:val="0"/>
                <w:bCs w:val="0"/>
                <w:color w:val="auto"/>
                <w:sz w:val="24"/>
                <w:highlight w:val="none"/>
                <w:lang w:val="en-US" w:eastAsia="zh-CN"/>
              </w:rPr>
              <w:t>A)，满足《工业企业厂界环境噪声排放标准》（GB12348-2008）3类标准。本项目建成后对厂界声环境影响不大。</w:t>
            </w:r>
          </w:p>
          <w:p w14:paraId="6B79C660">
            <w:pPr>
              <w:numPr>
                <w:ilvl w:val="0"/>
                <w:numId w:val="0"/>
              </w:numPr>
              <w:spacing w:line="360" w:lineRule="auto"/>
              <w:ind w:leftChars="200"/>
              <w:rPr>
                <w:rFonts w:hint="default" w:ascii="Times New Roman" w:hAnsi="Times New Roman" w:eastAsia="宋体" w:cs="Times New Roman"/>
                <w:b/>
                <w:bCs/>
                <w:color w:val="auto"/>
                <w:sz w:val="24"/>
                <w:szCs w:val="20"/>
                <w:highlight w:val="none"/>
              </w:rPr>
            </w:pPr>
            <w:r>
              <w:rPr>
                <w:rFonts w:hint="eastAsia" w:cs="Times New Roman"/>
                <w:b/>
                <w:bCs/>
                <w:color w:val="auto"/>
                <w:sz w:val="24"/>
                <w:szCs w:val="20"/>
                <w:highlight w:val="none"/>
                <w:lang w:val="en-US" w:eastAsia="zh-CN"/>
              </w:rPr>
              <w:t>4.</w:t>
            </w:r>
            <w:r>
              <w:rPr>
                <w:rFonts w:hint="default" w:ascii="Times New Roman" w:hAnsi="Times New Roman" w:eastAsia="宋体" w:cs="Times New Roman"/>
                <w:b/>
                <w:bCs/>
                <w:color w:val="auto"/>
                <w:sz w:val="24"/>
                <w:szCs w:val="20"/>
                <w:highlight w:val="none"/>
              </w:rPr>
              <w:t>固体废弃物</w:t>
            </w:r>
          </w:p>
          <w:p w14:paraId="27DFE87A">
            <w:pPr>
              <w:pStyle w:val="42"/>
              <w:bidi w:val="0"/>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lang w:eastAsia="zh-CN"/>
              </w:rPr>
              <w:t>）产生环节</w:t>
            </w:r>
          </w:p>
          <w:p w14:paraId="5AFF5780">
            <w:pPr>
              <w:spacing w:line="420" w:lineRule="auto"/>
              <w:ind w:firstLine="480" w:firstLineChars="200"/>
              <w:rPr>
                <w:rFonts w:hint="default" w:ascii="Times New Roman" w:hAnsi="Times New Roman" w:eastAsia="宋体" w:cs="Times New Roman"/>
                <w:color w:val="auto"/>
                <w:sz w:val="24"/>
                <w:szCs w:val="20"/>
                <w:highlight w:val="none"/>
                <w:lang w:eastAsia="zh-CN"/>
              </w:rPr>
            </w:pPr>
            <w:r>
              <w:rPr>
                <w:rFonts w:hint="default" w:ascii="Times New Roman" w:hAnsi="Times New Roman" w:eastAsia="宋体" w:cs="Times New Roman"/>
                <w:color w:val="auto"/>
                <w:sz w:val="24"/>
                <w:szCs w:val="20"/>
                <w:highlight w:val="none"/>
              </w:rPr>
              <w:t>运营期间本项目产生的固废主要为</w:t>
            </w:r>
            <w:r>
              <w:rPr>
                <w:rFonts w:hint="eastAsia" w:cs="Times New Roman"/>
                <w:color w:val="auto"/>
                <w:sz w:val="24"/>
                <w:szCs w:val="20"/>
                <w:highlight w:val="none"/>
                <w:lang w:eastAsia="zh-CN"/>
              </w:rPr>
              <w:t>：</w:t>
            </w:r>
            <w:r>
              <w:rPr>
                <w:rFonts w:hint="eastAsia" w:ascii="Times New Roman" w:hAnsi="Times New Roman" w:eastAsia="宋体" w:cs="Times New Roman"/>
                <w:sz w:val="24"/>
                <w:szCs w:val="20"/>
                <w:lang w:val="en-US" w:eastAsia="zh-CN"/>
              </w:rPr>
              <w:t>不合格产品及废边角料、</w:t>
            </w:r>
            <w:r>
              <w:rPr>
                <w:rFonts w:ascii="Times New Roman" w:hAnsi="Times New Roman" w:eastAsia="宋体" w:cs="Times New Roman"/>
                <w:sz w:val="24"/>
                <w:szCs w:val="20"/>
              </w:rPr>
              <w:t>生活垃圾、废弃包装物、</w:t>
            </w:r>
            <w:r>
              <w:rPr>
                <w:rFonts w:hint="eastAsia" w:ascii="Times New Roman" w:hAnsi="Times New Roman" w:eastAsia="宋体" w:cs="Times New Roman"/>
                <w:sz w:val="24"/>
                <w:szCs w:val="20"/>
                <w:lang w:eastAsia="zh-CN"/>
              </w:rPr>
              <w:t>废润滑油</w:t>
            </w:r>
            <w:r>
              <w:rPr>
                <w:rFonts w:ascii="Times New Roman" w:hAnsi="Times New Roman" w:eastAsia="宋体" w:cs="Times New Roman"/>
                <w:sz w:val="24"/>
                <w:szCs w:val="20"/>
              </w:rPr>
              <w:t>及</w:t>
            </w:r>
            <w:r>
              <w:rPr>
                <w:rFonts w:hint="eastAsia" w:ascii="Times New Roman" w:hAnsi="Times New Roman" w:eastAsia="宋体" w:cs="Times New Roman"/>
                <w:sz w:val="24"/>
                <w:szCs w:val="20"/>
                <w:lang w:eastAsia="zh-CN"/>
              </w:rPr>
              <w:t>废润滑油</w:t>
            </w:r>
            <w:r>
              <w:rPr>
                <w:rFonts w:ascii="Times New Roman" w:hAnsi="Times New Roman" w:eastAsia="宋体" w:cs="Times New Roman"/>
                <w:sz w:val="24"/>
                <w:szCs w:val="20"/>
              </w:rPr>
              <w:t>桶</w:t>
            </w:r>
            <w:r>
              <w:rPr>
                <w:rFonts w:hint="eastAsia" w:ascii="Times New Roman" w:hAnsi="Times New Roman" w:eastAsia="宋体" w:cs="Times New Roman"/>
                <w:sz w:val="24"/>
                <w:szCs w:val="20"/>
              </w:rPr>
              <w:t>、</w:t>
            </w:r>
            <w:r>
              <w:rPr>
                <w:rFonts w:hint="eastAsia" w:cs="Times New Roman"/>
                <w:sz w:val="24"/>
                <w:szCs w:val="20"/>
                <w:lang w:eastAsia="zh-CN"/>
              </w:rPr>
              <w:t>废含油</w:t>
            </w:r>
            <w:r>
              <w:rPr>
                <w:rFonts w:hint="eastAsia" w:ascii="Times New Roman" w:hAnsi="Times New Roman" w:eastAsia="宋体" w:cs="Times New Roman"/>
                <w:sz w:val="24"/>
                <w:szCs w:val="20"/>
              </w:rPr>
              <w:t>手套</w:t>
            </w:r>
            <w:r>
              <w:rPr>
                <w:rFonts w:hint="eastAsia" w:ascii="Times New Roman" w:hAnsi="Times New Roman" w:eastAsia="宋体" w:cs="Times New Roman"/>
                <w:sz w:val="24"/>
                <w:szCs w:val="20"/>
                <w:lang w:eastAsia="zh-CN"/>
              </w:rPr>
              <w:t>、废活性炭</w:t>
            </w:r>
            <w:r>
              <w:rPr>
                <w:rFonts w:hint="eastAsia" w:eastAsia="宋体" w:cs="Times New Roman"/>
                <w:sz w:val="24"/>
                <w:szCs w:val="20"/>
                <w:lang w:val="en-US" w:eastAsia="zh-CN"/>
              </w:rPr>
              <w:t>等</w:t>
            </w:r>
            <w:r>
              <w:rPr>
                <w:rFonts w:hint="default" w:ascii="Times New Roman" w:hAnsi="Times New Roman" w:eastAsia="宋体" w:cs="Times New Roman"/>
                <w:color w:val="auto"/>
                <w:sz w:val="24"/>
                <w:szCs w:val="20"/>
                <w:highlight w:val="none"/>
                <w:lang w:eastAsia="zh-CN"/>
              </w:rPr>
              <w:t>。</w:t>
            </w:r>
          </w:p>
          <w:p w14:paraId="6AE145F7">
            <w:pPr>
              <w:spacing w:line="420" w:lineRule="auto"/>
              <w:ind w:firstLine="480" w:firstLineChars="20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rPr>
              <w:t>①</w:t>
            </w:r>
            <w:r>
              <w:rPr>
                <w:rFonts w:hint="eastAsia" w:ascii="Times New Roman" w:hAnsi="Times New Roman" w:eastAsia="宋体" w:cs="Times New Roman"/>
                <w:color w:val="auto"/>
                <w:sz w:val="24"/>
                <w:szCs w:val="20"/>
                <w:highlight w:val="none"/>
                <w:lang w:val="en-US" w:eastAsia="zh-CN"/>
              </w:rPr>
              <w:t>生活垃圾</w:t>
            </w:r>
          </w:p>
          <w:p w14:paraId="4F5D5B54">
            <w:pPr>
              <w:spacing w:line="420" w:lineRule="auto"/>
              <w:ind w:firstLine="480" w:firstLineChars="200"/>
              <w:rPr>
                <w:rFonts w:ascii="Times New Roman" w:hAnsi="Times New Roman" w:eastAsia="宋体" w:cs="Times New Roman"/>
                <w:color w:val="auto"/>
                <w:sz w:val="24"/>
                <w:szCs w:val="20"/>
                <w:highlight w:val="none"/>
              </w:rPr>
            </w:pPr>
            <w:r>
              <w:rPr>
                <w:color w:val="auto"/>
                <w:sz w:val="24"/>
                <w:szCs w:val="20"/>
                <w:highlight w:val="none"/>
              </w:rPr>
              <w:t>本项目职工定员</w:t>
            </w:r>
            <w:r>
              <w:rPr>
                <w:rFonts w:hint="eastAsia"/>
                <w:color w:val="auto"/>
                <w:sz w:val="24"/>
                <w:szCs w:val="20"/>
                <w:highlight w:val="none"/>
                <w:lang w:val="en-US" w:eastAsia="zh-CN"/>
              </w:rPr>
              <w:t>400</w:t>
            </w:r>
            <w:r>
              <w:rPr>
                <w:color w:val="auto"/>
                <w:sz w:val="24"/>
                <w:szCs w:val="20"/>
                <w:highlight w:val="none"/>
              </w:rPr>
              <w:t>人，办公生活垃圾按0.4kg/人•d计算，则每天的生活垃圾产生量约为</w:t>
            </w:r>
            <w:r>
              <w:rPr>
                <w:rFonts w:hint="eastAsia"/>
                <w:color w:val="auto"/>
                <w:sz w:val="24"/>
                <w:szCs w:val="20"/>
                <w:highlight w:val="none"/>
                <w:lang w:val="en-US" w:eastAsia="zh-CN"/>
              </w:rPr>
              <w:t>0.16</w:t>
            </w:r>
            <w:r>
              <w:rPr>
                <w:color w:val="auto"/>
                <w:sz w:val="24"/>
                <w:szCs w:val="20"/>
                <w:highlight w:val="none"/>
              </w:rPr>
              <w:t>kg，每年的产生量约</w:t>
            </w:r>
            <w:r>
              <w:rPr>
                <w:rFonts w:hint="eastAsia"/>
                <w:color w:val="auto"/>
                <w:sz w:val="24"/>
                <w:szCs w:val="20"/>
                <w:highlight w:val="none"/>
                <w:lang w:val="en-US" w:eastAsia="zh-CN"/>
              </w:rPr>
              <w:t>48</w:t>
            </w:r>
            <w:r>
              <w:rPr>
                <w:color w:val="auto"/>
                <w:sz w:val="24"/>
                <w:szCs w:val="20"/>
                <w:highlight w:val="none"/>
              </w:rPr>
              <w:t>t。统一收集后定期送至垃圾收集点，由</w:t>
            </w:r>
            <w:r>
              <w:rPr>
                <w:rFonts w:hint="eastAsia"/>
                <w:color w:val="auto"/>
                <w:sz w:val="24"/>
                <w:szCs w:val="20"/>
                <w:highlight w:val="none"/>
                <w:lang w:val="en-US" w:eastAsia="zh-CN"/>
              </w:rPr>
              <w:t>大英县</w:t>
            </w:r>
            <w:r>
              <w:rPr>
                <w:rFonts w:ascii="Times New Roman" w:hAnsi="Times New Roman" w:eastAsia="宋体" w:cs="Times New Roman"/>
                <w:color w:val="auto"/>
                <w:sz w:val="24"/>
                <w:szCs w:val="20"/>
                <w:highlight w:val="none"/>
              </w:rPr>
              <w:t>环卫部门统一清运。</w:t>
            </w:r>
          </w:p>
          <w:p w14:paraId="2F27D9AD">
            <w:pPr>
              <w:spacing w:line="420" w:lineRule="auto"/>
              <w:ind w:firstLine="480" w:firstLineChars="200"/>
              <w:rPr>
                <w:rFonts w:hint="eastAsia" w:ascii="Times New Roman" w:hAnsi="Times New Roman" w:eastAsia="宋体" w:cs="Times New Roman"/>
                <w:color w:val="auto"/>
                <w:sz w:val="24"/>
                <w:szCs w:val="20"/>
                <w:highlight w:val="none"/>
                <w:lang w:val="en-US" w:eastAsia="zh-CN"/>
              </w:rPr>
            </w:pPr>
            <w:r>
              <w:rPr>
                <w:rFonts w:hint="eastAsia" w:ascii="Times New Roman" w:hAnsi="Times New Roman" w:eastAsia="宋体" w:cs="Times New Roman"/>
                <w:color w:val="auto"/>
                <w:sz w:val="24"/>
                <w:szCs w:val="20"/>
                <w:highlight w:val="none"/>
                <w:lang w:val="en-US" w:eastAsia="zh-CN"/>
              </w:rPr>
              <w:t>②</w:t>
            </w:r>
            <w:r>
              <w:rPr>
                <w:rFonts w:hint="eastAsia" w:cs="Times New Roman"/>
                <w:color w:val="auto"/>
                <w:sz w:val="24"/>
                <w:szCs w:val="20"/>
                <w:highlight w:val="none"/>
                <w:lang w:val="en-US" w:eastAsia="zh-CN"/>
              </w:rPr>
              <w:t>废包装袋</w:t>
            </w:r>
          </w:p>
          <w:p w14:paraId="0127DE65">
            <w:pPr>
              <w:spacing w:line="420" w:lineRule="auto"/>
              <w:ind w:firstLine="480" w:firstLineChars="200"/>
              <w:rPr>
                <w:color w:val="auto"/>
                <w:sz w:val="24"/>
                <w:szCs w:val="20"/>
                <w:highlight w:val="none"/>
              </w:rPr>
            </w:pPr>
            <w:r>
              <w:rPr>
                <w:rFonts w:hint="eastAsia"/>
                <w:color w:val="auto"/>
                <w:sz w:val="24"/>
                <w:szCs w:val="20"/>
                <w:highlight w:val="none"/>
              </w:rPr>
              <w:t>项目</w:t>
            </w:r>
            <w:r>
              <w:rPr>
                <w:rFonts w:hint="eastAsia"/>
                <w:color w:val="auto"/>
                <w:sz w:val="24"/>
                <w:szCs w:val="20"/>
                <w:highlight w:val="none"/>
                <w:lang w:val="en-US" w:eastAsia="zh-CN"/>
              </w:rPr>
              <w:t>固体原料采用包装袋包装，生产过程中会产生一定量的废包装袋，根据建设单位预估产生量约1.5t/a，收集后出售给废品收购单位</w:t>
            </w:r>
            <w:r>
              <w:rPr>
                <w:rFonts w:hint="eastAsia"/>
                <w:color w:val="auto"/>
                <w:sz w:val="24"/>
                <w:szCs w:val="20"/>
                <w:highlight w:val="none"/>
              </w:rPr>
              <w:t>。</w:t>
            </w:r>
          </w:p>
          <w:p w14:paraId="19E01AD5">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rPr>
              <w:t>③</w:t>
            </w:r>
            <w:r>
              <w:rPr>
                <w:rFonts w:hint="eastAsia" w:ascii="Times New Roman" w:hAnsi="Times New Roman" w:eastAsia="宋体" w:cs="Times New Roman"/>
                <w:sz w:val="24"/>
                <w:szCs w:val="20"/>
                <w:lang w:val="en-US" w:eastAsia="zh-CN"/>
              </w:rPr>
              <w:t>不合格产品及废边角料</w:t>
            </w:r>
          </w:p>
          <w:p w14:paraId="04DB3B49">
            <w:pPr>
              <w:spacing w:line="420" w:lineRule="auto"/>
              <w:ind w:firstLine="480" w:firstLineChars="200"/>
              <w:rPr>
                <w:color w:val="auto"/>
                <w:sz w:val="24"/>
                <w:szCs w:val="20"/>
                <w:highlight w:val="none"/>
              </w:rPr>
            </w:pPr>
            <w:r>
              <w:rPr>
                <w:rFonts w:hint="eastAsia" w:cs="Times New Roman"/>
                <w:color w:val="auto"/>
                <w:sz w:val="24"/>
                <w:szCs w:val="20"/>
                <w:highlight w:val="none"/>
                <w:lang w:val="en-US" w:eastAsia="zh-CN"/>
              </w:rPr>
              <w:t>本项目不合格品和废边角料约占产品产量的0.5%，约13.9t/a，不合格品和废边角料收集后出售给再生橡胶生产企业作为原料使用</w:t>
            </w:r>
            <w:r>
              <w:rPr>
                <w:rFonts w:hint="eastAsia"/>
                <w:color w:val="auto"/>
                <w:sz w:val="24"/>
                <w:szCs w:val="20"/>
                <w:highlight w:val="none"/>
              </w:rPr>
              <w:t>。</w:t>
            </w:r>
          </w:p>
          <w:p w14:paraId="33EF0718">
            <w:pPr>
              <w:pStyle w:val="54"/>
              <w:rPr>
                <w:rFonts w:ascii="Times New Roman" w:hAnsi="Times New Roman" w:cs="Times New Roman"/>
                <w:color w:val="auto"/>
                <w:szCs w:val="20"/>
                <w:highlight w:val="none"/>
              </w:rPr>
            </w:pPr>
            <w:r>
              <w:rPr>
                <w:rFonts w:hint="eastAsia"/>
                <w:color w:val="auto"/>
                <w:highlight w:val="none"/>
                <w:lang w:val="en-US" w:eastAsia="zh-CN"/>
              </w:rPr>
              <w:t>④</w:t>
            </w:r>
            <w:r>
              <w:rPr>
                <w:rFonts w:ascii="Times New Roman" w:hAnsi="Times New Roman" w:cs="Times New Roman"/>
                <w:color w:val="auto"/>
                <w:szCs w:val="20"/>
                <w:highlight w:val="none"/>
              </w:rPr>
              <w:t>废润滑油及废润滑油桶、废含油手套及抹布</w:t>
            </w:r>
          </w:p>
          <w:p w14:paraId="5CFE0F2E">
            <w:pPr>
              <w:pStyle w:val="42"/>
              <w:ind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Cs w:val="20"/>
                <w:highlight w:val="none"/>
              </w:rPr>
              <w:t>本项目机械设备存在润滑结构，废油产生量约0.</w:t>
            </w:r>
            <w:r>
              <w:rPr>
                <w:rFonts w:hint="default" w:ascii="Times New Roman" w:hAnsi="Times New Roman" w:cs="Times New Roman"/>
                <w:color w:val="auto"/>
                <w:szCs w:val="20"/>
                <w:highlight w:val="none"/>
                <w:lang w:val="en-US" w:eastAsia="zh-CN"/>
              </w:rPr>
              <w:t>5</w:t>
            </w:r>
            <w:r>
              <w:rPr>
                <w:rFonts w:hint="default" w:ascii="Times New Roman" w:hAnsi="Times New Roman" w:cs="Times New Roman"/>
                <w:color w:val="auto"/>
                <w:szCs w:val="20"/>
                <w:highlight w:val="none"/>
              </w:rPr>
              <w:t>t，废润滑油属于HW08类危险废物</w:t>
            </w:r>
            <w:r>
              <w:rPr>
                <w:rFonts w:hint="default" w:ascii="Times New Roman" w:hAnsi="Times New Roman" w:cs="Times New Roman"/>
                <w:color w:val="auto"/>
                <w:szCs w:val="20"/>
                <w:highlight w:val="none"/>
                <w:lang w:eastAsia="zh-CN"/>
              </w:rPr>
              <w:t>（</w:t>
            </w:r>
            <w:r>
              <w:rPr>
                <w:rFonts w:hint="default" w:ascii="Times New Roman" w:hAnsi="Times New Roman" w:cs="Times New Roman"/>
                <w:color w:val="auto"/>
                <w:szCs w:val="20"/>
                <w:highlight w:val="none"/>
              </w:rPr>
              <w:t>HW08</w:t>
            </w:r>
            <w:r>
              <w:rPr>
                <w:rFonts w:hint="default" w:ascii="Times New Roman" w:hAnsi="Times New Roman" w:cs="Times New Roman"/>
                <w:color w:val="auto"/>
                <w:szCs w:val="20"/>
                <w:highlight w:val="none"/>
                <w:lang w:val="en-US" w:eastAsia="zh-CN"/>
              </w:rPr>
              <w:t xml:space="preserve"> </w:t>
            </w:r>
            <w:r>
              <w:rPr>
                <w:rFonts w:hint="default" w:ascii="Times New Roman" w:hAnsi="Times New Roman" w:cs="Times New Roman"/>
                <w:color w:val="auto"/>
                <w:szCs w:val="20"/>
                <w:highlight w:val="none"/>
              </w:rPr>
              <w:t>900-2</w:t>
            </w:r>
            <w:r>
              <w:rPr>
                <w:rFonts w:hint="default" w:ascii="Times New Roman" w:hAnsi="Times New Roman" w:cs="Times New Roman"/>
                <w:color w:val="auto"/>
                <w:szCs w:val="20"/>
                <w:highlight w:val="none"/>
                <w:lang w:val="en-US" w:eastAsia="zh-CN"/>
              </w:rPr>
              <w:t>17</w:t>
            </w:r>
            <w:r>
              <w:rPr>
                <w:rFonts w:hint="default" w:ascii="Times New Roman" w:hAnsi="Times New Roman" w:cs="Times New Roman"/>
                <w:color w:val="auto"/>
                <w:szCs w:val="20"/>
                <w:highlight w:val="none"/>
              </w:rPr>
              <w:t>-08</w:t>
            </w:r>
            <w:r>
              <w:rPr>
                <w:rFonts w:hint="default" w:ascii="Times New Roman" w:hAnsi="Times New Roman" w:cs="Times New Roman"/>
                <w:color w:val="auto"/>
                <w:szCs w:val="20"/>
                <w:highlight w:val="none"/>
                <w:lang w:eastAsia="zh-CN"/>
              </w:rPr>
              <w:t>）</w:t>
            </w:r>
            <w:r>
              <w:rPr>
                <w:rFonts w:hint="default" w:ascii="Times New Roman" w:hAnsi="Times New Roman" w:cs="Times New Roman"/>
                <w:color w:val="auto"/>
                <w:szCs w:val="20"/>
                <w:highlight w:val="none"/>
              </w:rPr>
              <w:t>，应按照危废交由相应的资质单位处置，存储润滑油的废弃油桶属于HW08类危险废物，废弃油桶（HW08</w:t>
            </w:r>
            <w:r>
              <w:rPr>
                <w:rFonts w:hint="default" w:ascii="Times New Roman" w:hAnsi="Times New Roman" w:cs="Times New Roman"/>
                <w:color w:val="auto"/>
                <w:szCs w:val="20"/>
                <w:highlight w:val="none"/>
                <w:lang w:val="en-US" w:eastAsia="zh-CN"/>
              </w:rPr>
              <w:t xml:space="preserve"> </w:t>
            </w:r>
            <w:r>
              <w:rPr>
                <w:rFonts w:hint="default" w:ascii="Times New Roman" w:hAnsi="Times New Roman" w:cs="Times New Roman"/>
                <w:color w:val="auto"/>
                <w:szCs w:val="20"/>
                <w:highlight w:val="none"/>
              </w:rPr>
              <w:t>900-2</w:t>
            </w:r>
            <w:r>
              <w:rPr>
                <w:rFonts w:hint="default" w:ascii="Times New Roman" w:hAnsi="Times New Roman" w:cs="Times New Roman"/>
                <w:color w:val="auto"/>
                <w:szCs w:val="20"/>
                <w:highlight w:val="none"/>
                <w:lang w:val="en-US" w:eastAsia="zh-CN"/>
              </w:rPr>
              <w:t>49</w:t>
            </w:r>
            <w:r>
              <w:rPr>
                <w:rFonts w:hint="default" w:ascii="Times New Roman" w:hAnsi="Times New Roman" w:cs="Times New Roman"/>
                <w:color w:val="auto"/>
                <w:szCs w:val="20"/>
                <w:highlight w:val="none"/>
              </w:rPr>
              <w:t>-08）约</w:t>
            </w:r>
            <w:r>
              <w:rPr>
                <w:rFonts w:hint="default" w:ascii="Times New Roman" w:hAnsi="Times New Roman" w:cs="Times New Roman"/>
                <w:color w:val="auto"/>
                <w:szCs w:val="20"/>
                <w:highlight w:val="none"/>
                <w:lang w:val="en-US" w:eastAsia="zh-CN"/>
              </w:rPr>
              <w:t>0.5</w:t>
            </w:r>
            <w:r>
              <w:rPr>
                <w:rFonts w:hint="default" w:ascii="Times New Roman" w:hAnsi="Times New Roman" w:cs="Times New Roman"/>
                <w:color w:val="auto"/>
                <w:szCs w:val="20"/>
                <w:highlight w:val="none"/>
              </w:rPr>
              <w:t>t/a，维护机械设备</w:t>
            </w:r>
            <w:r>
              <w:rPr>
                <w:rFonts w:hint="default" w:ascii="Times New Roman" w:hAnsi="Times New Roman" w:cs="Times New Roman"/>
                <w:color w:val="auto"/>
                <w:sz w:val="24"/>
                <w:szCs w:val="24"/>
                <w:highlight w:val="none"/>
              </w:rPr>
              <w:t>产生的废含油手套（HW49</w:t>
            </w:r>
            <w:r>
              <w:rPr>
                <w:rFonts w:hint="default" w:ascii="Times New Roman" w:hAnsi="Times New Roman" w:cs="Times New Roman"/>
                <w:sz w:val="24"/>
                <w:szCs w:val="24"/>
                <w:lang w:val="en-US" w:eastAsia="zh-CN"/>
              </w:rPr>
              <w:t xml:space="preserve"> </w:t>
            </w:r>
            <w:r>
              <w:rPr>
                <w:rFonts w:hint="default" w:ascii="Times New Roman" w:hAnsi="Times New Roman" w:cs="Times New Roman"/>
                <w:color w:val="auto"/>
                <w:sz w:val="24"/>
                <w:szCs w:val="24"/>
                <w:highlight w:val="none"/>
              </w:rPr>
              <w:t>900-041-49）约0.0</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t/a收集后交由相应的资质单位处置。</w:t>
            </w:r>
          </w:p>
          <w:p w14:paraId="37FDF40D">
            <w:pPr>
              <w:pStyle w:val="42"/>
              <w:rPr>
                <w:rFonts w:hint="default"/>
                <w:lang w:val="en-US" w:eastAsia="zh-CN"/>
              </w:rPr>
            </w:pPr>
            <w:r>
              <w:rPr>
                <w:rFonts w:hint="default"/>
                <w:lang w:val="en-US" w:eastAsia="zh-CN"/>
              </w:rPr>
              <w:t>⑤废活性炭</w:t>
            </w:r>
          </w:p>
          <w:p w14:paraId="154574E4">
            <w:pPr>
              <w:spacing w:line="420" w:lineRule="auto"/>
              <w:ind w:firstLine="480" w:firstLineChars="200"/>
              <w:rPr>
                <w:rFonts w:hint="default"/>
                <w:color w:val="FF0000"/>
                <w:lang w:val="en-US" w:eastAsia="zh-CN"/>
              </w:rPr>
            </w:pPr>
            <w:r>
              <w:rPr>
                <w:rFonts w:hint="default" w:ascii="Times New Roman" w:hAnsi="Times New Roman" w:eastAsia="宋体" w:cs="Times New Roman"/>
                <w:color w:val="auto"/>
                <w:sz w:val="24"/>
                <w:szCs w:val="22"/>
                <w:lang w:val="en-US" w:eastAsia="zh-CN"/>
              </w:rPr>
              <w:t>本项目有机废气采用活性炭填充量按1kg 处理0.25kg废气</w:t>
            </w:r>
            <w:r>
              <w:rPr>
                <w:rFonts w:hint="eastAsia" w:eastAsia="宋体" w:cs="Times New Roman"/>
                <w:color w:val="auto"/>
                <w:sz w:val="24"/>
                <w:szCs w:val="22"/>
                <w:lang w:val="en-US" w:eastAsia="zh-CN"/>
              </w:rPr>
              <w:t>（1:4）</w:t>
            </w:r>
            <w:r>
              <w:rPr>
                <w:rFonts w:hint="default" w:ascii="Times New Roman" w:hAnsi="Times New Roman" w:eastAsia="宋体" w:cs="Times New Roman"/>
                <w:color w:val="auto"/>
                <w:sz w:val="24"/>
                <w:szCs w:val="22"/>
                <w:lang w:val="en-US" w:eastAsia="zh-CN"/>
              </w:rPr>
              <w:t>，本项目有机废气处理总量为</w:t>
            </w:r>
            <w:r>
              <w:rPr>
                <w:rFonts w:hint="eastAsia" w:cs="Times New Roman"/>
                <w:color w:val="auto"/>
                <w:sz w:val="24"/>
                <w:szCs w:val="22"/>
                <w:lang w:val="en-US" w:eastAsia="zh-CN"/>
              </w:rPr>
              <w:t>2.97</w:t>
            </w:r>
            <w:r>
              <w:rPr>
                <w:rFonts w:hint="default" w:ascii="Times New Roman" w:hAnsi="Times New Roman" w:eastAsia="宋体" w:cs="Times New Roman"/>
                <w:color w:val="auto"/>
                <w:sz w:val="24"/>
                <w:szCs w:val="22"/>
                <w:lang w:val="en-US" w:eastAsia="zh-CN"/>
              </w:rPr>
              <w:t>t/a，则处理有机废气产生的废活性炭约</w:t>
            </w:r>
            <w:r>
              <w:rPr>
                <w:rFonts w:hint="eastAsia" w:cs="Times New Roman"/>
                <w:color w:val="auto"/>
                <w:sz w:val="24"/>
                <w:szCs w:val="22"/>
                <w:lang w:val="en-US" w:eastAsia="zh-CN"/>
              </w:rPr>
              <w:t>14.85</w:t>
            </w:r>
            <w:r>
              <w:rPr>
                <w:rFonts w:hint="default" w:ascii="Times New Roman" w:hAnsi="Times New Roman" w:eastAsia="宋体" w:cs="Times New Roman"/>
                <w:color w:val="auto"/>
                <w:sz w:val="24"/>
                <w:szCs w:val="22"/>
                <w:lang w:val="en-US" w:eastAsia="zh-CN"/>
              </w:rPr>
              <w:t>t/a</w:t>
            </w:r>
            <w:r>
              <w:rPr>
                <w:rFonts w:hint="eastAsia" w:ascii="Times New Roman" w:hAnsi="Times New Roman" w:eastAsia="宋体"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废活性炭</w:t>
            </w:r>
            <w:r>
              <w:rPr>
                <w:rFonts w:hint="eastAsia" w:eastAsia="宋体" w:cs="Times New Roman"/>
                <w:color w:val="auto"/>
                <w:sz w:val="24"/>
                <w:szCs w:val="22"/>
                <w:lang w:val="en-US" w:eastAsia="zh-CN"/>
              </w:rPr>
              <w:t>（HW49 900-039-41）</w:t>
            </w:r>
            <w:r>
              <w:rPr>
                <w:rFonts w:hint="default" w:ascii="Times New Roman" w:hAnsi="Times New Roman" w:eastAsia="宋体" w:cs="Times New Roman"/>
                <w:color w:val="auto"/>
                <w:sz w:val="24"/>
                <w:szCs w:val="22"/>
                <w:lang w:val="en-US" w:eastAsia="zh-CN"/>
              </w:rPr>
              <w:t>统一收集后交由相应的资质单位处置。</w:t>
            </w:r>
          </w:p>
          <w:p w14:paraId="3E517453">
            <w:pPr>
              <w:keepNext w:val="0"/>
              <w:keepLines w:val="0"/>
              <w:pageBreakBefore w:val="0"/>
              <w:widowControl w:val="0"/>
              <w:kinsoku/>
              <w:wordWrap/>
              <w:overflowPunct/>
              <w:topLinePunct w:val="0"/>
              <w:autoSpaceDE/>
              <w:autoSpaceDN/>
              <w:bidi w:val="0"/>
              <w:adjustRightInd/>
              <w:snapToGrid/>
              <w:spacing w:before="157" w:beforeLines="50" w:line="420" w:lineRule="auto"/>
              <w:ind w:firstLine="482" w:firstLineChars="200"/>
              <w:textAlignment w:val="auto"/>
              <w:rPr>
                <w:rFonts w:hint="default" w:ascii="Times New Roman" w:hAnsi="Times New Roman" w:eastAsia="宋体" w:cs="Times New Roman"/>
                <w:b/>
                <w:bCs/>
                <w:color w:val="auto"/>
                <w:sz w:val="24"/>
                <w:szCs w:val="22"/>
                <w:highlight w:val="none"/>
                <w:lang w:eastAsia="zh-CN"/>
              </w:rPr>
            </w:pPr>
            <w:r>
              <w:rPr>
                <w:rFonts w:hint="default" w:ascii="Times New Roman" w:hAnsi="Times New Roman" w:eastAsia="宋体" w:cs="Times New Roman"/>
                <w:b/>
                <w:bCs/>
                <w:color w:val="auto"/>
                <w:sz w:val="24"/>
                <w:szCs w:val="22"/>
                <w:highlight w:val="none"/>
                <w:lang w:eastAsia="zh-CN"/>
              </w:rPr>
              <w:t>（</w:t>
            </w:r>
            <w:r>
              <w:rPr>
                <w:rFonts w:hint="default" w:ascii="Times New Roman" w:hAnsi="Times New Roman" w:eastAsia="宋体" w:cs="Times New Roman"/>
                <w:b/>
                <w:bCs/>
                <w:color w:val="auto"/>
                <w:sz w:val="24"/>
                <w:szCs w:val="22"/>
                <w:highlight w:val="none"/>
                <w:lang w:val="en-US" w:eastAsia="zh-CN"/>
              </w:rPr>
              <w:t>2</w:t>
            </w:r>
            <w:r>
              <w:rPr>
                <w:rFonts w:hint="default" w:ascii="Times New Roman" w:hAnsi="Times New Roman" w:eastAsia="宋体" w:cs="Times New Roman"/>
                <w:b/>
                <w:bCs/>
                <w:color w:val="auto"/>
                <w:sz w:val="24"/>
                <w:szCs w:val="22"/>
                <w:highlight w:val="none"/>
                <w:lang w:eastAsia="zh-CN"/>
              </w:rPr>
              <w:t>）固废信息汇总</w:t>
            </w:r>
          </w:p>
          <w:p w14:paraId="2B5506A3">
            <w:pPr>
              <w:adjustRightInd w:val="0"/>
              <w:snapToGrid w:val="0"/>
              <w:spacing w:before="156" w:beforeLines="50" w:line="360" w:lineRule="auto"/>
              <w:ind w:firstLine="0" w:firstLine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4-1</w:t>
            </w:r>
            <w:r>
              <w:rPr>
                <w:rFonts w:hint="eastAsia" w:cs="Times New Roman"/>
                <w:b/>
                <w:color w:val="auto"/>
                <w:sz w:val="24"/>
                <w:szCs w:val="24"/>
                <w:highlight w:val="none"/>
                <w:lang w:val="en-US" w:eastAsia="zh-CN"/>
              </w:rPr>
              <w:t>7</w:t>
            </w:r>
            <w:r>
              <w:rPr>
                <w:rFonts w:hint="default" w:ascii="Times New Roman" w:hAnsi="Times New Roman" w:eastAsia="宋体" w:cs="Times New Roman"/>
                <w:b/>
                <w:color w:val="auto"/>
                <w:sz w:val="24"/>
                <w:szCs w:val="24"/>
                <w:highlight w:val="none"/>
              </w:rPr>
              <w:t>固废产生及处置表</w:t>
            </w:r>
          </w:p>
          <w:tbl>
            <w:tblPr>
              <w:tblStyle w:val="2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7"/>
              <w:gridCol w:w="953"/>
              <w:gridCol w:w="1569"/>
              <w:gridCol w:w="681"/>
              <w:gridCol w:w="750"/>
              <w:gridCol w:w="548"/>
              <w:gridCol w:w="1164"/>
              <w:gridCol w:w="812"/>
              <w:gridCol w:w="1080"/>
            </w:tblGrid>
            <w:tr w14:paraId="30A12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947" w:type="dxa"/>
                  <w:tcBorders>
                    <w:tl2br w:val="nil"/>
                    <w:tr2bl w:val="nil"/>
                  </w:tcBorders>
                  <w:noWrap w:val="0"/>
                  <w:vAlign w:val="center"/>
                </w:tcPr>
                <w:p w14:paraId="55C645F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废物种类</w:t>
                  </w:r>
                </w:p>
              </w:tc>
              <w:tc>
                <w:tcPr>
                  <w:tcW w:w="953" w:type="dxa"/>
                  <w:tcBorders>
                    <w:tl2br w:val="nil"/>
                    <w:tr2bl w:val="nil"/>
                  </w:tcBorders>
                  <w:noWrap w:val="0"/>
                  <w:vAlign w:val="center"/>
                </w:tcPr>
                <w:p w14:paraId="3319EBF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产生量</w:t>
                  </w:r>
                </w:p>
              </w:tc>
              <w:tc>
                <w:tcPr>
                  <w:tcW w:w="1569" w:type="dxa"/>
                  <w:tcBorders>
                    <w:tl2br w:val="nil"/>
                    <w:tr2bl w:val="nil"/>
                  </w:tcBorders>
                  <w:noWrap w:val="0"/>
                  <w:vAlign w:val="center"/>
                </w:tcPr>
                <w:p w14:paraId="3BFBCFC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废物类别</w:t>
                  </w:r>
                </w:p>
              </w:tc>
              <w:tc>
                <w:tcPr>
                  <w:tcW w:w="681" w:type="dxa"/>
                  <w:tcBorders>
                    <w:tl2br w:val="nil"/>
                    <w:tr2bl w:val="nil"/>
                  </w:tcBorders>
                  <w:noWrap w:val="0"/>
                  <w:vAlign w:val="center"/>
                </w:tcPr>
                <w:p w14:paraId="49181C6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有害物质名称</w:t>
                  </w:r>
                </w:p>
              </w:tc>
              <w:tc>
                <w:tcPr>
                  <w:tcW w:w="750" w:type="dxa"/>
                  <w:tcBorders>
                    <w:tl2br w:val="nil"/>
                    <w:tr2bl w:val="nil"/>
                  </w:tcBorders>
                  <w:noWrap/>
                  <w:vAlign w:val="center"/>
                </w:tcPr>
                <w:p w14:paraId="5269EF7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物理性状</w:t>
                  </w:r>
                </w:p>
              </w:tc>
              <w:tc>
                <w:tcPr>
                  <w:tcW w:w="548" w:type="dxa"/>
                  <w:tcBorders>
                    <w:tl2br w:val="nil"/>
                    <w:tr2bl w:val="nil"/>
                  </w:tcBorders>
                  <w:noWrap/>
                  <w:vAlign w:val="center"/>
                </w:tcPr>
                <w:p w14:paraId="0484D0F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危险性</w:t>
                  </w:r>
                </w:p>
              </w:tc>
              <w:tc>
                <w:tcPr>
                  <w:tcW w:w="1164" w:type="dxa"/>
                  <w:tcBorders>
                    <w:tl2br w:val="nil"/>
                    <w:tr2bl w:val="nil"/>
                  </w:tcBorders>
                  <w:noWrap/>
                  <w:vAlign w:val="center"/>
                </w:tcPr>
                <w:p w14:paraId="4705806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贮存方式</w:t>
                  </w:r>
                </w:p>
              </w:tc>
              <w:tc>
                <w:tcPr>
                  <w:tcW w:w="812" w:type="dxa"/>
                  <w:tcBorders>
                    <w:tl2br w:val="nil"/>
                    <w:tr2bl w:val="nil"/>
                  </w:tcBorders>
                  <w:noWrap w:val="0"/>
                  <w:vAlign w:val="center"/>
                </w:tcPr>
                <w:p w14:paraId="526AD01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处置量</w:t>
                  </w:r>
                </w:p>
              </w:tc>
              <w:tc>
                <w:tcPr>
                  <w:tcW w:w="1080" w:type="dxa"/>
                  <w:tcBorders>
                    <w:tl2br w:val="nil"/>
                    <w:tr2bl w:val="nil"/>
                  </w:tcBorders>
                  <w:noWrap w:val="0"/>
                  <w:vAlign w:val="center"/>
                </w:tcPr>
                <w:p w14:paraId="17A4EF9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处理措施及处理去向</w:t>
                  </w:r>
                </w:p>
              </w:tc>
            </w:tr>
            <w:tr w14:paraId="638BB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47" w:type="dxa"/>
                  <w:tcBorders>
                    <w:tl2br w:val="nil"/>
                    <w:tr2bl w:val="nil"/>
                  </w:tcBorders>
                  <w:noWrap w:val="0"/>
                  <w:vAlign w:val="center"/>
                </w:tcPr>
                <w:p w14:paraId="6F6899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生活垃圾</w:t>
                  </w:r>
                </w:p>
              </w:tc>
              <w:tc>
                <w:tcPr>
                  <w:tcW w:w="953" w:type="dxa"/>
                  <w:tcBorders>
                    <w:tl2br w:val="nil"/>
                    <w:tr2bl w:val="nil"/>
                  </w:tcBorders>
                  <w:noWrap w:val="0"/>
                  <w:vAlign w:val="center"/>
                </w:tcPr>
                <w:p w14:paraId="7E977A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48</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569" w:type="dxa"/>
                  <w:tcBorders>
                    <w:tl2br w:val="nil"/>
                    <w:tr2bl w:val="nil"/>
                  </w:tcBorders>
                  <w:noWrap w:val="0"/>
                  <w:vAlign w:val="center"/>
                </w:tcPr>
                <w:p w14:paraId="5A9751F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cs="Times New Roman"/>
                      <w:i w:val="0"/>
                      <w:iCs w:val="0"/>
                      <w:color w:val="auto"/>
                      <w:kern w:val="0"/>
                      <w:sz w:val="21"/>
                      <w:szCs w:val="21"/>
                      <w:highlight w:val="none"/>
                      <w:u w:val="none"/>
                      <w:lang w:val="en-US" w:eastAsia="zh-CN" w:bidi="ar"/>
                    </w:rPr>
                    <w:t>生活垃圾</w:t>
                  </w:r>
                </w:p>
                <w:p w14:paraId="6AF85F2F">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default" w:cs="Times New Roman"/>
                      <w:i w:val="0"/>
                      <w:iCs w:val="0"/>
                      <w:color w:val="auto"/>
                      <w:kern w:val="0"/>
                      <w:sz w:val="21"/>
                      <w:szCs w:val="21"/>
                      <w:highlight w:val="none"/>
                      <w:u w:val="none"/>
                      <w:lang w:val="en-US" w:eastAsia="zh-CN" w:bidi="ar"/>
                    </w:rPr>
                    <w:t>SW6</w:t>
                  </w:r>
                </w:p>
                <w:p w14:paraId="5F084C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cs="Times New Roman"/>
                      <w:i w:val="0"/>
                      <w:iCs w:val="0"/>
                      <w:color w:val="auto"/>
                      <w:kern w:val="0"/>
                      <w:sz w:val="21"/>
                      <w:szCs w:val="21"/>
                      <w:highlight w:val="none"/>
                      <w:u w:val="none"/>
                      <w:lang w:val="en-US" w:eastAsia="zh-CN" w:bidi="ar"/>
                    </w:rPr>
                    <w:t>0900-001-S60</w:t>
                  </w:r>
                </w:p>
              </w:tc>
              <w:tc>
                <w:tcPr>
                  <w:tcW w:w="681" w:type="dxa"/>
                  <w:tcBorders>
                    <w:tl2br w:val="nil"/>
                    <w:tr2bl w:val="nil"/>
                  </w:tcBorders>
                  <w:noWrap w:val="0"/>
                  <w:vAlign w:val="center"/>
                </w:tcPr>
                <w:p w14:paraId="3F0D4F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50" w:type="dxa"/>
                  <w:tcBorders>
                    <w:tl2br w:val="nil"/>
                    <w:tr2bl w:val="nil"/>
                  </w:tcBorders>
                  <w:noWrap w:val="0"/>
                  <w:vAlign w:val="center"/>
                </w:tcPr>
                <w:p w14:paraId="79E0F2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固体</w:t>
                  </w:r>
                </w:p>
              </w:tc>
              <w:tc>
                <w:tcPr>
                  <w:tcW w:w="548" w:type="dxa"/>
                  <w:tcBorders>
                    <w:tl2br w:val="nil"/>
                    <w:tr2bl w:val="nil"/>
                  </w:tcBorders>
                  <w:noWrap w:val="0"/>
                  <w:vAlign w:val="center"/>
                </w:tcPr>
                <w:p w14:paraId="536BF5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64" w:type="dxa"/>
                  <w:tcBorders>
                    <w:tl2br w:val="nil"/>
                    <w:tr2bl w:val="nil"/>
                  </w:tcBorders>
                  <w:noWrap w:val="0"/>
                  <w:vAlign w:val="center"/>
                </w:tcPr>
                <w:p w14:paraId="337B68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生活垃圾收集桶</w:t>
                  </w:r>
                </w:p>
              </w:tc>
              <w:tc>
                <w:tcPr>
                  <w:tcW w:w="812" w:type="dxa"/>
                  <w:tcBorders>
                    <w:tl2br w:val="nil"/>
                    <w:tr2bl w:val="nil"/>
                  </w:tcBorders>
                  <w:noWrap w:val="0"/>
                  <w:vAlign w:val="center"/>
                </w:tcPr>
                <w:p w14:paraId="7271B7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48</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080" w:type="dxa"/>
                  <w:tcBorders>
                    <w:tl2br w:val="nil"/>
                    <w:tr2bl w:val="nil"/>
                  </w:tcBorders>
                  <w:noWrap w:val="0"/>
                  <w:vAlign w:val="center"/>
                </w:tcPr>
                <w:p w14:paraId="3D245F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市政环卫部门处置</w:t>
                  </w:r>
                </w:p>
              </w:tc>
            </w:tr>
            <w:tr w14:paraId="7262B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47" w:type="dxa"/>
                  <w:tcBorders>
                    <w:tl2br w:val="nil"/>
                    <w:tr2bl w:val="nil"/>
                  </w:tcBorders>
                  <w:noWrap w:val="0"/>
                  <w:vAlign w:val="center"/>
                </w:tcPr>
                <w:p w14:paraId="4B7F8D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废包装袋</w:t>
                  </w:r>
                </w:p>
              </w:tc>
              <w:tc>
                <w:tcPr>
                  <w:tcW w:w="953" w:type="dxa"/>
                  <w:tcBorders>
                    <w:tl2br w:val="nil"/>
                    <w:tr2bl w:val="nil"/>
                  </w:tcBorders>
                  <w:noWrap w:val="0"/>
                  <w:vAlign w:val="center"/>
                </w:tcPr>
                <w:p w14:paraId="559948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1.5</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569" w:type="dxa"/>
                  <w:tcBorders>
                    <w:tl2br w:val="nil"/>
                    <w:tr2bl w:val="nil"/>
                  </w:tcBorders>
                  <w:noWrap w:val="0"/>
                  <w:vAlign w:val="center"/>
                </w:tcPr>
                <w:p w14:paraId="4B71AA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一般</w:t>
                  </w:r>
                  <w:r>
                    <w:rPr>
                      <w:rFonts w:hint="default" w:ascii="Times New Roman" w:hAnsi="Times New Roman" w:cs="Times New Roman"/>
                      <w:i w:val="0"/>
                      <w:iCs w:val="0"/>
                      <w:color w:val="auto"/>
                      <w:kern w:val="0"/>
                      <w:sz w:val="21"/>
                      <w:szCs w:val="21"/>
                      <w:highlight w:val="none"/>
                      <w:u w:val="none"/>
                      <w:lang w:val="en-US" w:eastAsia="zh-CN" w:bidi="ar"/>
                    </w:rPr>
                    <w:t>工业</w:t>
                  </w:r>
                  <w:r>
                    <w:rPr>
                      <w:rFonts w:hint="default" w:ascii="Times New Roman" w:hAnsi="Times New Roman" w:eastAsia="宋体" w:cs="Times New Roman"/>
                      <w:i w:val="0"/>
                      <w:iCs w:val="0"/>
                      <w:color w:val="auto"/>
                      <w:kern w:val="0"/>
                      <w:sz w:val="21"/>
                      <w:szCs w:val="21"/>
                      <w:highlight w:val="none"/>
                      <w:u w:val="none"/>
                      <w:lang w:val="en-US" w:eastAsia="zh-CN" w:bidi="ar"/>
                    </w:rPr>
                    <w:t>固废</w:t>
                  </w:r>
                </w:p>
                <w:p w14:paraId="00207F1B">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SW59</w:t>
                  </w:r>
                </w:p>
                <w:p w14:paraId="7DFB7F1C">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900-099-S59</w:t>
                  </w:r>
                </w:p>
              </w:tc>
              <w:tc>
                <w:tcPr>
                  <w:tcW w:w="681" w:type="dxa"/>
                  <w:tcBorders>
                    <w:tl2br w:val="nil"/>
                    <w:tr2bl w:val="nil"/>
                  </w:tcBorders>
                  <w:noWrap w:val="0"/>
                  <w:vAlign w:val="center"/>
                </w:tcPr>
                <w:p w14:paraId="4FEEE7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50" w:type="dxa"/>
                  <w:tcBorders>
                    <w:tl2br w:val="nil"/>
                    <w:tr2bl w:val="nil"/>
                  </w:tcBorders>
                  <w:noWrap w:val="0"/>
                  <w:vAlign w:val="center"/>
                </w:tcPr>
                <w:p w14:paraId="1EDAC7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固体</w:t>
                  </w:r>
                </w:p>
              </w:tc>
              <w:tc>
                <w:tcPr>
                  <w:tcW w:w="548" w:type="dxa"/>
                  <w:tcBorders>
                    <w:tl2br w:val="nil"/>
                    <w:tr2bl w:val="nil"/>
                  </w:tcBorders>
                  <w:noWrap w:val="0"/>
                  <w:vAlign w:val="center"/>
                </w:tcPr>
                <w:p w14:paraId="1E7C5D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64" w:type="dxa"/>
                  <w:tcBorders>
                    <w:tl2br w:val="nil"/>
                    <w:tr2bl w:val="nil"/>
                  </w:tcBorders>
                  <w:noWrap w:val="0"/>
                  <w:vAlign w:val="center"/>
                </w:tcPr>
                <w:p w14:paraId="4523BE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一般固废暂存间暂存</w:t>
                  </w:r>
                </w:p>
              </w:tc>
              <w:tc>
                <w:tcPr>
                  <w:tcW w:w="812" w:type="dxa"/>
                  <w:tcBorders>
                    <w:tl2br w:val="nil"/>
                    <w:tr2bl w:val="nil"/>
                  </w:tcBorders>
                  <w:noWrap w:val="0"/>
                  <w:vAlign w:val="center"/>
                </w:tcPr>
                <w:p w14:paraId="3866C3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1.5</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080" w:type="dxa"/>
                  <w:tcBorders>
                    <w:tl2br w:val="nil"/>
                    <w:tr2bl w:val="nil"/>
                  </w:tcBorders>
                  <w:noWrap w:val="0"/>
                  <w:vAlign w:val="center"/>
                </w:tcPr>
                <w:p w14:paraId="19C690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收集后出售给废品收购单位</w:t>
                  </w:r>
                </w:p>
              </w:tc>
            </w:tr>
            <w:tr w14:paraId="78FD4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7" w:type="dxa"/>
                  <w:tcBorders>
                    <w:tl2br w:val="nil"/>
                    <w:tr2bl w:val="nil"/>
                  </w:tcBorders>
                  <w:noWrap w:val="0"/>
                  <w:vAlign w:val="center"/>
                </w:tcPr>
                <w:p w14:paraId="51FF30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不合格产品及边角料</w:t>
                  </w:r>
                </w:p>
              </w:tc>
              <w:tc>
                <w:tcPr>
                  <w:tcW w:w="953" w:type="dxa"/>
                  <w:tcBorders>
                    <w:tl2br w:val="nil"/>
                    <w:tr2bl w:val="nil"/>
                  </w:tcBorders>
                  <w:noWrap w:val="0"/>
                  <w:vAlign w:val="center"/>
                </w:tcPr>
                <w:p w14:paraId="2EEC50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13.9</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569" w:type="dxa"/>
                  <w:tcBorders>
                    <w:tl2br w:val="nil"/>
                    <w:tr2bl w:val="nil"/>
                  </w:tcBorders>
                  <w:noWrap w:val="0"/>
                  <w:vAlign w:val="center"/>
                </w:tcPr>
                <w:p w14:paraId="77662E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一般</w:t>
                  </w:r>
                  <w:r>
                    <w:rPr>
                      <w:rFonts w:hint="default" w:ascii="Times New Roman" w:hAnsi="Times New Roman" w:cs="Times New Roman"/>
                      <w:i w:val="0"/>
                      <w:iCs w:val="0"/>
                      <w:color w:val="auto"/>
                      <w:kern w:val="0"/>
                      <w:sz w:val="21"/>
                      <w:szCs w:val="21"/>
                      <w:highlight w:val="none"/>
                      <w:u w:val="none"/>
                      <w:lang w:val="en-US" w:eastAsia="zh-CN" w:bidi="ar"/>
                    </w:rPr>
                    <w:t>工业</w:t>
                  </w:r>
                  <w:r>
                    <w:rPr>
                      <w:rFonts w:hint="default" w:ascii="Times New Roman" w:hAnsi="Times New Roman" w:eastAsia="宋体" w:cs="Times New Roman"/>
                      <w:i w:val="0"/>
                      <w:iCs w:val="0"/>
                      <w:color w:val="auto"/>
                      <w:kern w:val="0"/>
                      <w:sz w:val="21"/>
                      <w:szCs w:val="21"/>
                      <w:highlight w:val="none"/>
                      <w:u w:val="none"/>
                      <w:lang w:val="en-US" w:eastAsia="zh-CN" w:bidi="ar"/>
                    </w:rPr>
                    <w:t>固废</w:t>
                  </w:r>
                </w:p>
                <w:p w14:paraId="31D245B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SW59</w:t>
                  </w:r>
                </w:p>
                <w:p w14:paraId="06368555">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900-099-S59</w:t>
                  </w:r>
                </w:p>
              </w:tc>
              <w:tc>
                <w:tcPr>
                  <w:tcW w:w="681" w:type="dxa"/>
                  <w:tcBorders>
                    <w:tl2br w:val="nil"/>
                    <w:tr2bl w:val="nil"/>
                  </w:tcBorders>
                  <w:noWrap w:val="0"/>
                  <w:vAlign w:val="center"/>
                </w:tcPr>
                <w:p w14:paraId="6C8991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50" w:type="dxa"/>
                  <w:tcBorders>
                    <w:tl2br w:val="nil"/>
                    <w:tr2bl w:val="nil"/>
                  </w:tcBorders>
                  <w:noWrap w:val="0"/>
                  <w:vAlign w:val="center"/>
                </w:tcPr>
                <w:p w14:paraId="15AD33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固体</w:t>
                  </w:r>
                </w:p>
              </w:tc>
              <w:tc>
                <w:tcPr>
                  <w:tcW w:w="548" w:type="dxa"/>
                  <w:tcBorders>
                    <w:tl2br w:val="nil"/>
                    <w:tr2bl w:val="nil"/>
                  </w:tcBorders>
                  <w:noWrap w:val="0"/>
                  <w:vAlign w:val="center"/>
                </w:tcPr>
                <w:p w14:paraId="4D72E2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64" w:type="dxa"/>
                  <w:tcBorders>
                    <w:tl2br w:val="nil"/>
                    <w:tr2bl w:val="nil"/>
                  </w:tcBorders>
                  <w:noWrap w:val="0"/>
                  <w:vAlign w:val="center"/>
                </w:tcPr>
                <w:p w14:paraId="5075B2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一般固废暂存间暂存</w:t>
                  </w:r>
                </w:p>
              </w:tc>
              <w:tc>
                <w:tcPr>
                  <w:tcW w:w="812" w:type="dxa"/>
                  <w:tcBorders>
                    <w:tl2br w:val="nil"/>
                    <w:tr2bl w:val="nil"/>
                  </w:tcBorders>
                  <w:noWrap w:val="0"/>
                  <w:vAlign w:val="center"/>
                </w:tcPr>
                <w:p w14:paraId="6523CF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13.9</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080" w:type="dxa"/>
                  <w:tcBorders>
                    <w:tl2br w:val="nil"/>
                    <w:tr2bl w:val="nil"/>
                  </w:tcBorders>
                  <w:noWrap w:val="0"/>
                  <w:vAlign w:val="center"/>
                </w:tcPr>
                <w:p w14:paraId="54BD31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再生橡胶生产企业</w:t>
                  </w:r>
                </w:p>
              </w:tc>
            </w:tr>
            <w:tr w14:paraId="3204A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947" w:type="dxa"/>
                  <w:tcBorders>
                    <w:tl2br w:val="nil"/>
                    <w:tr2bl w:val="nil"/>
                  </w:tcBorders>
                  <w:noWrap w:val="0"/>
                  <w:vAlign w:val="center"/>
                </w:tcPr>
                <w:p w14:paraId="5DEFCE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废润滑油桶</w:t>
                  </w:r>
                </w:p>
              </w:tc>
              <w:tc>
                <w:tcPr>
                  <w:tcW w:w="953" w:type="dxa"/>
                  <w:tcBorders>
                    <w:tl2br w:val="nil"/>
                    <w:tr2bl w:val="nil"/>
                  </w:tcBorders>
                  <w:noWrap w:val="0"/>
                  <w:vAlign w:val="center"/>
                </w:tcPr>
                <w:p w14:paraId="22D6E6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0.5t/a</w:t>
                  </w:r>
                </w:p>
              </w:tc>
              <w:tc>
                <w:tcPr>
                  <w:tcW w:w="1569" w:type="dxa"/>
                  <w:tcBorders>
                    <w:tl2br w:val="nil"/>
                    <w:tr2bl w:val="nil"/>
                  </w:tcBorders>
                  <w:noWrap w:val="0"/>
                  <w:vAlign w:val="center"/>
                </w:tcPr>
                <w:p w14:paraId="6CCAE7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危险废物HW0</w:t>
                  </w:r>
                </w:p>
                <w:p w14:paraId="5F0387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8900-249-08</w:t>
                  </w:r>
                </w:p>
              </w:tc>
              <w:tc>
                <w:tcPr>
                  <w:tcW w:w="681" w:type="dxa"/>
                  <w:tcBorders>
                    <w:tl2br w:val="nil"/>
                    <w:tr2bl w:val="nil"/>
                  </w:tcBorders>
                  <w:noWrap w:val="0"/>
                  <w:vAlign w:val="center"/>
                </w:tcPr>
                <w:p w14:paraId="2D7BE9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矿物油</w:t>
                  </w:r>
                </w:p>
              </w:tc>
              <w:tc>
                <w:tcPr>
                  <w:tcW w:w="750" w:type="dxa"/>
                  <w:tcBorders>
                    <w:tl2br w:val="nil"/>
                    <w:tr2bl w:val="nil"/>
                  </w:tcBorders>
                  <w:noWrap w:val="0"/>
                  <w:vAlign w:val="center"/>
                </w:tcPr>
                <w:p w14:paraId="52E9A0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固体</w:t>
                  </w:r>
                </w:p>
              </w:tc>
              <w:tc>
                <w:tcPr>
                  <w:tcW w:w="548" w:type="dxa"/>
                  <w:tcBorders>
                    <w:tl2br w:val="nil"/>
                    <w:tr2bl w:val="nil"/>
                  </w:tcBorders>
                  <w:noWrap w:val="0"/>
                  <w:vAlign w:val="center"/>
                </w:tcPr>
                <w:p w14:paraId="72E9E3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T/I</w:t>
                  </w:r>
                </w:p>
              </w:tc>
              <w:tc>
                <w:tcPr>
                  <w:tcW w:w="1164" w:type="dxa"/>
                  <w:tcBorders>
                    <w:tl2br w:val="nil"/>
                    <w:tr2bl w:val="nil"/>
                  </w:tcBorders>
                  <w:noWrap w:val="0"/>
                  <w:vAlign w:val="center"/>
                </w:tcPr>
                <w:p w14:paraId="4BC947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危废间暂存</w:t>
                  </w:r>
                </w:p>
              </w:tc>
              <w:tc>
                <w:tcPr>
                  <w:tcW w:w="812" w:type="dxa"/>
                  <w:tcBorders>
                    <w:tl2br w:val="nil"/>
                    <w:tr2bl w:val="nil"/>
                  </w:tcBorders>
                  <w:noWrap w:val="0"/>
                  <w:vAlign w:val="center"/>
                </w:tcPr>
                <w:p w14:paraId="6F3510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0.5t/a</w:t>
                  </w:r>
                </w:p>
              </w:tc>
              <w:tc>
                <w:tcPr>
                  <w:tcW w:w="1080" w:type="dxa"/>
                  <w:tcBorders>
                    <w:tl2br w:val="nil"/>
                    <w:tr2bl w:val="nil"/>
                  </w:tcBorders>
                  <w:noWrap w:val="0"/>
                  <w:vAlign w:val="center"/>
                </w:tcPr>
                <w:p w14:paraId="6DCE3E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交由资质单位处置</w:t>
                  </w:r>
                </w:p>
              </w:tc>
            </w:tr>
            <w:tr w14:paraId="75404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947" w:type="dxa"/>
                  <w:tcBorders>
                    <w:tl2br w:val="nil"/>
                    <w:tr2bl w:val="nil"/>
                  </w:tcBorders>
                  <w:noWrap w:val="0"/>
                  <w:vAlign w:val="center"/>
                </w:tcPr>
                <w:p w14:paraId="3A046E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废润滑油</w:t>
                  </w:r>
                </w:p>
              </w:tc>
              <w:tc>
                <w:tcPr>
                  <w:tcW w:w="953" w:type="dxa"/>
                  <w:tcBorders>
                    <w:tl2br w:val="nil"/>
                    <w:tr2bl w:val="nil"/>
                  </w:tcBorders>
                  <w:noWrap w:val="0"/>
                  <w:vAlign w:val="center"/>
                </w:tcPr>
                <w:p w14:paraId="34BD92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default"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569" w:type="dxa"/>
                  <w:tcBorders>
                    <w:tl2br w:val="nil"/>
                    <w:tr2bl w:val="nil"/>
                  </w:tcBorders>
                  <w:noWrap w:val="0"/>
                  <w:vAlign w:val="center"/>
                </w:tcPr>
                <w:p w14:paraId="339F2A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危险废物HW08</w:t>
                  </w:r>
                </w:p>
                <w:p w14:paraId="0085FC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900-2</w:t>
                  </w:r>
                  <w:r>
                    <w:rPr>
                      <w:rFonts w:hint="default" w:ascii="Times New Roman" w:hAnsi="Times New Roman" w:cs="Times New Roman"/>
                      <w:i w:val="0"/>
                      <w:iCs w:val="0"/>
                      <w:color w:val="auto"/>
                      <w:kern w:val="0"/>
                      <w:sz w:val="21"/>
                      <w:szCs w:val="21"/>
                      <w:highlight w:val="none"/>
                      <w:u w:val="none"/>
                      <w:lang w:val="en-US" w:eastAsia="zh-CN" w:bidi="ar"/>
                    </w:rPr>
                    <w:t>17</w:t>
                  </w: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681" w:type="dxa"/>
                  <w:tcBorders>
                    <w:tl2br w:val="nil"/>
                    <w:tr2bl w:val="nil"/>
                  </w:tcBorders>
                  <w:noWrap w:val="0"/>
                  <w:vAlign w:val="center"/>
                </w:tcPr>
                <w:p w14:paraId="3FAC2F13">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矿物油</w:t>
                  </w:r>
                </w:p>
              </w:tc>
              <w:tc>
                <w:tcPr>
                  <w:tcW w:w="750" w:type="dxa"/>
                  <w:tcBorders>
                    <w:tl2br w:val="nil"/>
                    <w:tr2bl w:val="nil"/>
                  </w:tcBorders>
                  <w:noWrap w:val="0"/>
                  <w:vAlign w:val="center"/>
                </w:tcPr>
                <w:p w14:paraId="0C310F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固体</w:t>
                  </w:r>
                </w:p>
              </w:tc>
              <w:tc>
                <w:tcPr>
                  <w:tcW w:w="548" w:type="dxa"/>
                  <w:tcBorders>
                    <w:tl2br w:val="nil"/>
                    <w:tr2bl w:val="nil"/>
                  </w:tcBorders>
                  <w:noWrap w:val="0"/>
                  <w:vAlign w:val="center"/>
                </w:tcPr>
                <w:p w14:paraId="395394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T/I</w:t>
                  </w:r>
                </w:p>
              </w:tc>
              <w:tc>
                <w:tcPr>
                  <w:tcW w:w="1164" w:type="dxa"/>
                  <w:tcBorders>
                    <w:tl2br w:val="nil"/>
                    <w:tr2bl w:val="nil"/>
                  </w:tcBorders>
                  <w:noWrap w:val="0"/>
                  <w:vAlign w:val="center"/>
                </w:tcPr>
                <w:p w14:paraId="2F38C9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危废间暂存</w:t>
                  </w:r>
                </w:p>
              </w:tc>
              <w:tc>
                <w:tcPr>
                  <w:tcW w:w="812" w:type="dxa"/>
                  <w:tcBorders>
                    <w:tl2br w:val="nil"/>
                    <w:tr2bl w:val="nil"/>
                  </w:tcBorders>
                  <w:noWrap w:val="0"/>
                  <w:vAlign w:val="center"/>
                </w:tcPr>
                <w:p w14:paraId="46719C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0.5t/a</w:t>
                  </w:r>
                </w:p>
              </w:tc>
              <w:tc>
                <w:tcPr>
                  <w:tcW w:w="1080" w:type="dxa"/>
                  <w:tcBorders>
                    <w:tl2br w:val="nil"/>
                    <w:tr2bl w:val="nil"/>
                  </w:tcBorders>
                  <w:noWrap w:val="0"/>
                  <w:vAlign w:val="center"/>
                </w:tcPr>
                <w:p w14:paraId="046A1F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交由资质单位处置</w:t>
                  </w:r>
                </w:p>
              </w:tc>
            </w:tr>
            <w:tr w14:paraId="22021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947" w:type="dxa"/>
                  <w:tcBorders>
                    <w:tl2br w:val="nil"/>
                    <w:tr2bl w:val="nil"/>
                  </w:tcBorders>
                  <w:noWrap w:val="0"/>
                  <w:vAlign w:val="center"/>
                </w:tcPr>
                <w:p w14:paraId="681A8A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废含油手套及抹布</w:t>
                  </w:r>
                </w:p>
              </w:tc>
              <w:tc>
                <w:tcPr>
                  <w:tcW w:w="953" w:type="dxa"/>
                  <w:tcBorders>
                    <w:tl2br w:val="nil"/>
                    <w:tr2bl w:val="nil"/>
                  </w:tcBorders>
                  <w:noWrap w:val="0"/>
                  <w:vAlign w:val="center"/>
                </w:tcPr>
                <w:p w14:paraId="16F8B9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default" w:cs="Times New Roman"/>
                      <w:i w:val="0"/>
                      <w:iCs w:val="0"/>
                      <w:color w:val="auto"/>
                      <w:kern w:val="0"/>
                      <w:sz w:val="21"/>
                      <w:szCs w:val="21"/>
                      <w:highlight w:val="none"/>
                      <w:u w:val="none"/>
                      <w:lang w:val="en-US" w:eastAsia="zh-CN" w:bidi="ar"/>
                    </w:rPr>
                    <w:t>05</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569" w:type="dxa"/>
                  <w:tcBorders>
                    <w:tl2br w:val="nil"/>
                    <w:tr2bl w:val="nil"/>
                  </w:tcBorders>
                  <w:noWrap w:val="0"/>
                  <w:vAlign w:val="center"/>
                </w:tcPr>
                <w:p w14:paraId="588382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危险废物HW49</w:t>
                  </w:r>
                </w:p>
                <w:p w14:paraId="00FABF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681" w:type="dxa"/>
                  <w:tcBorders>
                    <w:tl2br w:val="nil"/>
                    <w:tr2bl w:val="nil"/>
                  </w:tcBorders>
                  <w:noWrap w:val="0"/>
                  <w:vAlign w:val="center"/>
                </w:tcPr>
                <w:p w14:paraId="21CE7DC0">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矿物油</w:t>
                  </w:r>
                </w:p>
              </w:tc>
              <w:tc>
                <w:tcPr>
                  <w:tcW w:w="750" w:type="dxa"/>
                  <w:tcBorders>
                    <w:tl2br w:val="nil"/>
                    <w:tr2bl w:val="nil"/>
                  </w:tcBorders>
                  <w:noWrap w:val="0"/>
                  <w:vAlign w:val="center"/>
                </w:tcPr>
                <w:p w14:paraId="4084D5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固体</w:t>
                  </w:r>
                </w:p>
              </w:tc>
              <w:tc>
                <w:tcPr>
                  <w:tcW w:w="548" w:type="dxa"/>
                  <w:tcBorders>
                    <w:tl2br w:val="nil"/>
                    <w:tr2bl w:val="nil"/>
                  </w:tcBorders>
                  <w:noWrap w:val="0"/>
                  <w:vAlign w:val="center"/>
                </w:tcPr>
                <w:p w14:paraId="7EC992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T/In</w:t>
                  </w:r>
                </w:p>
              </w:tc>
              <w:tc>
                <w:tcPr>
                  <w:tcW w:w="1164" w:type="dxa"/>
                  <w:tcBorders>
                    <w:tl2br w:val="nil"/>
                    <w:tr2bl w:val="nil"/>
                  </w:tcBorders>
                  <w:noWrap w:val="0"/>
                  <w:vAlign w:val="center"/>
                </w:tcPr>
                <w:p w14:paraId="3AB169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危废间暂存</w:t>
                  </w:r>
                </w:p>
              </w:tc>
              <w:tc>
                <w:tcPr>
                  <w:tcW w:w="812" w:type="dxa"/>
                  <w:tcBorders>
                    <w:tl2br w:val="nil"/>
                    <w:tr2bl w:val="nil"/>
                  </w:tcBorders>
                  <w:noWrap w:val="0"/>
                  <w:vAlign w:val="center"/>
                </w:tcPr>
                <w:p w14:paraId="13FC322D">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0.05t/a</w:t>
                  </w:r>
                </w:p>
              </w:tc>
              <w:tc>
                <w:tcPr>
                  <w:tcW w:w="1080" w:type="dxa"/>
                  <w:tcBorders>
                    <w:tl2br w:val="nil"/>
                    <w:tr2bl w:val="nil"/>
                  </w:tcBorders>
                  <w:noWrap w:val="0"/>
                  <w:vAlign w:val="center"/>
                </w:tcPr>
                <w:p w14:paraId="75A014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交由资质单位处置</w:t>
                  </w:r>
                </w:p>
              </w:tc>
            </w:tr>
            <w:tr w14:paraId="34B31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947" w:type="dxa"/>
                  <w:tcBorders>
                    <w:tl2br w:val="nil"/>
                    <w:tr2bl w:val="nil"/>
                  </w:tcBorders>
                  <w:noWrap w:val="0"/>
                  <w:vAlign w:val="center"/>
                </w:tcPr>
                <w:p w14:paraId="12B68B0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color w:val="auto"/>
                      <w:szCs w:val="21"/>
                      <w:lang w:val="en-US" w:eastAsia="zh-CN"/>
                    </w:rPr>
                    <w:t>废活性炭</w:t>
                  </w:r>
                </w:p>
              </w:tc>
              <w:tc>
                <w:tcPr>
                  <w:tcW w:w="953" w:type="dxa"/>
                  <w:tcBorders>
                    <w:tl2br w:val="nil"/>
                    <w:tr2bl w:val="nil"/>
                  </w:tcBorders>
                  <w:noWrap w:val="0"/>
                  <w:vAlign w:val="center"/>
                </w:tcPr>
                <w:p w14:paraId="07491F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0"/>
                      <w:sz w:val="21"/>
                      <w:szCs w:val="21"/>
                      <w:highlight w:val="none"/>
                      <w:u w:val="none"/>
                      <w:lang w:val="en-US" w:eastAsia="zh-CN" w:bidi="ar"/>
                    </w:rPr>
                    <w:t>14.85</w:t>
                  </w:r>
                  <w:r>
                    <w:rPr>
                      <w:rFonts w:hint="default" w:ascii="Times New Roman" w:hAnsi="Times New Roman" w:eastAsia="宋体" w:cs="Times New Roman"/>
                      <w:color w:val="auto"/>
                      <w:kern w:val="0"/>
                      <w:sz w:val="21"/>
                      <w:szCs w:val="21"/>
                      <w:highlight w:val="none"/>
                      <w:u w:val="none"/>
                      <w:lang w:val="en-US" w:eastAsia="zh-CN" w:bidi="ar"/>
                    </w:rPr>
                    <w:t>t/a</w:t>
                  </w:r>
                </w:p>
              </w:tc>
              <w:tc>
                <w:tcPr>
                  <w:tcW w:w="1569" w:type="dxa"/>
                  <w:tcBorders>
                    <w:tl2br w:val="nil"/>
                    <w:tr2bl w:val="nil"/>
                  </w:tcBorders>
                  <w:noWrap w:val="0"/>
                  <w:vAlign w:val="center"/>
                </w:tcPr>
                <w:p w14:paraId="5C3AEB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危险废物HW49</w:t>
                  </w:r>
                </w:p>
                <w:p w14:paraId="6FE35C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900-039-49</w:t>
                  </w:r>
                </w:p>
              </w:tc>
              <w:tc>
                <w:tcPr>
                  <w:tcW w:w="681" w:type="dxa"/>
                  <w:tcBorders>
                    <w:tl2br w:val="nil"/>
                    <w:tr2bl w:val="nil"/>
                  </w:tcBorders>
                  <w:noWrap w:val="0"/>
                  <w:vAlign w:val="center"/>
                </w:tcPr>
                <w:p w14:paraId="1FD8CC2D">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矿物油</w:t>
                  </w:r>
                </w:p>
              </w:tc>
              <w:tc>
                <w:tcPr>
                  <w:tcW w:w="750" w:type="dxa"/>
                  <w:tcBorders>
                    <w:tl2br w:val="nil"/>
                    <w:tr2bl w:val="nil"/>
                  </w:tcBorders>
                  <w:noWrap w:val="0"/>
                  <w:vAlign w:val="center"/>
                </w:tcPr>
                <w:p w14:paraId="2B1757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固体</w:t>
                  </w:r>
                </w:p>
              </w:tc>
              <w:tc>
                <w:tcPr>
                  <w:tcW w:w="548" w:type="dxa"/>
                  <w:tcBorders>
                    <w:tl2br w:val="nil"/>
                    <w:tr2bl w:val="nil"/>
                  </w:tcBorders>
                  <w:noWrap w:val="0"/>
                  <w:vAlign w:val="center"/>
                </w:tcPr>
                <w:p w14:paraId="6754A1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T/In</w:t>
                  </w:r>
                </w:p>
              </w:tc>
              <w:tc>
                <w:tcPr>
                  <w:tcW w:w="1164" w:type="dxa"/>
                  <w:tcBorders>
                    <w:tl2br w:val="nil"/>
                    <w:tr2bl w:val="nil"/>
                  </w:tcBorders>
                  <w:noWrap w:val="0"/>
                  <w:vAlign w:val="center"/>
                </w:tcPr>
                <w:p w14:paraId="6B35C5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危废间暂存</w:t>
                  </w:r>
                </w:p>
              </w:tc>
              <w:tc>
                <w:tcPr>
                  <w:tcW w:w="812" w:type="dxa"/>
                  <w:tcBorders>
                    <w:tl2br w:val="nil"/>
                    <w:tr2bl w:val="nil"/>
                  </w:tcBorders>
                  <w:noWrap w:val="0"/>
                  <w:vAlign w:val="center"/>
                </w:tcPr>
                <w:p w14:paraId="646432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0"/>
                      <w:sz w:val="21"/>
                      <w:szCs w:val="21"/>
                      <w:highlight w:val="none"/>
                      <w:u w:val="none"/>
                      <w:lang w:val="en-US" w:eastAsia="zh-CN" w:bidi="ar"/>
                    </w:rPr>
                    <w:t>14.85</w:t>
                  </w:r>
                  <w:r>
                    <w:rPr>
                      <w:rFonts w:hint="default" w:ascii="Times New Roman" w:hAnsi="Times New Roman" w:eastAsia="宋体" w:cs="Times New Roman"/>
                      <w:color w:val="auto"/>
                      <w:kern w:val="0"/>
                      <w:sz w:val="21"/>
                      <w:szCs w:val="21"/>
                      <w:highlight w:val="none"/>
                      <w:u w:val="none"/>
                      <w:lang w:val="en-US" w:eastAsia="zh-CN" w:bidi="ar"/>
                    </w:rPr>
                    <w:t>t/a</w:t>
                  </w:r>
                </w:p>
              </w:tc>
              <w:tc>
                <w:tcPr>
                  <w:tcW w:w="1080" w:type="dxa"/>
                  <w:tcBorders>
                    <w:tl2br w:val="nil"/>
                    <w:tr2bl w:val="nil"/>
                  </w:tcBorders>
                  <w:shd w:val="clear" w:color="auto" w:fill="auto"/>
                  <w:noWrap w:val="0"/>
                  <w:vAlign w:val="center"/>
                </w:tcPr>
                <w:p w14:paraId="31606F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交由资质单位处置</w:t>
                  </w:r>
                </w:p>
              </w:tc>
            </w:tr>
          </w:tbl>
          <w:p w14:paraId="67665C1D">
            <w:pPr>
              <w:pStyle w:val="1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sz w:val="24"/>
                <w:szCs w:val="22"/>
                <w:highlight w:val="none"/>
                <w:lang w:val="en-US" w:eastAsia="zh-CN"/>
              </w:rPr>
              <w:t>（3）固废管理要求</w:t>
            </w:r>
          </w:p>
          <w:p w14:paraId="3BACF593">
            <w:pPr>
              <w:spacing w:line="420" w:lineRule="auto"/>
              <w:ind w:firstLine="480" w:firstLineChars="200"/>
              <w:rPr>
                <w:rFonts w:hint="default" w:eastAsia="宋体"/>
                <w:color w:val="auto"/>
                <w:sz w:val="24"/>
                <w:szCs w:val="22"/>
                <w:highlight w:val="none"/>
                <w:lang w:val="en-US" w:eastAsia="zh-CN"/>
              </w:rPr>
            </w:pPr>
            <w:r>
              <w:rPr>
                <w:color w:val="auto"/>
                <w:sz w:val="24"/>
                <w:szCs w:val="22"/>
                <w:highlight w:val="none"/>
              </w:rPr>
              <w:t>依据国家相关法律法规，一般固废暂存间</w:t>
            </w:r>
            <w:r>
              <w:rPr>
                <w:rFonts w:hint="eastAsia"/>
                <w:color w:val="auto"/>
                <w:sz w:val="24"/>
                <w:szCs w:val="22"/>
                <w:highlight w:val="none"/>
              </w:rPr>
              <w:t>采用库房、包装工具（罐、桶、包装袋等）贮存一般工业固体废物的，贮存过程应满足相应防渗漏、防雨淋、防扬尘等环境保护要求；危险废物和生活垃圾不得进入一般工业固体废物贮存场；不相容的一般工业固体废物应设置不同的分区进行贮存；贮存场应设置清晰、完整的一般工业固体废物标志牌等。</w:t>
            </w:r>
            <w:r>
              <w:rPr>
                <w:rFonts w:hint="eastAsia"/>
                <w:color w:val="auto"/>
                <w:sz w:val="24"/>
                <w:szCs w:val="22"/>
                <w:highlight w:val="none"/>
                <w:lang w:val="en-US" w:eastAsia="zh-CN"/>
              </w:rPr>
              <w:t>建设单位</w:t>
            </w:r>
            <w:r>
              <w:rPr>
                <w:rFonts w:hint="eastAsia"/>
                <w:color w:val="auto"/>
                <w:sz w:val="24"/>
                <w:szCs w:val="22"/>
                <w:highlight w:val="none"/>
              </w:rPr>
              <w:t>生产运营期间一般工业固体废物自行贮存/利用/处置设施的环境管理和相关设施运行维护要求还应符合GB15562.2、GB18599、GB30485和HJ2035等相关标准规范要求</w:t>
            </w:r>
            <w:r>
              <w:rPr>
                <w:color w:val="auto"/>
                <w:sz w:val="24"/>
                <w:szCs w:val="22"/>
                <w:highlight w:val="none"/>
              </w:rPr>
              <w:t>，并按照《一般工业固体废物管理台账制定指南（试行）》（生态环境部公告2021年82号）的相关要求做好一般固废的管理台账，并合法处置一般工业固废。</w:t>
            </w:r>
            <w:r>
              <w:rPr>
                <w:rFonts w:hint="eastAsia"/>
                <w:color w:val="auto"/>
                <w:sz w:val="24"/>
                <w:szCs w:val="22"/>
                <w:highlight w:val="none"/>
                <w:lang w:val="en-US" w:eastAsia="zh-CN"/>
              </w:rPr>
              <w:t>建设单位委托他人运输、利用、处置一般工业固体废物的，应落实《中华人民共和国固体废物污染环境防治法》等法律法规要求，对受托方的主体资格和技术能力进行核实，依法签订书面合同，在合同中约定污染防治要求等。</w:t>
            </w:r>
          </w:p>
          <w:p w14:paraId="15770BE6">
            <w:pPr>
              <w:spacing w:line="420" w:lineRule="auto"/>
              <w:ind w:firstLine="480" w:firstLineChars="200"/>
              <w:rPr>
                <w:color w:val="auto"/>
                <w:sz w:val="24"/>
                <w:szCs w:val="22"/>
                <w:highlight w:val="none"/>
              </w:rPr>
            </w:pPr>
            <w:r>
              <w:rPr>
                <w:color w:val="auto"/>
                <w:sz w:val="24"/>
                <w:szCs w:val="22"/>
                <w:highlight w:val="none"/>
              </w:rPr>
              <w:t>危废暂存间严格按照《危险废物贮存污染控制标准》</w:t>
            </w:r>
            <w:r>
              <w:rPr>
                <w:rFonts w:hint="eastAsia"/>
                <w:color w:val="auto"/>
                <w:sz w:val="24"/>
                <w:szCs w:val="22"/>
                <w:highlight w:val="none"/>
                <w:lang w:eastAsia="zh-CN"/>
              </w:rPr>
              <w:t>（</w:t>
            </w:r>
            <w:r>
              <w:rPr>
                <w:color w:val="auto"/>
                <w:sz w:val="24"/>
                <w:szCs w:val="22"/>
                <w:highlight w:val="none"/>
              </w:rPr>
              <w:t>GB18597-20</w:t>
            </w:r>
            <w:r>
              <w:rPr>
                <w:rFonts w:hint="eastAsia"/>
                <w:color w:val="auto"/>
                <w:sz w:val="24"/>
                <w:szCs w:val="22"/>
                <w:highlight w:val="none"/>
              </w:rPr>
              <w:t>23</w:t>
            </w:r>
            <w:r>
              <w:rPr>
                <w:rFonts w:hint="eastAsia"/>
                <w:color w:val="auto"/>
                <w:sz w:val="24"/>
                <w:szCs w:val="22"/>
                <w:highlight w:val="none"/>
                <w:lang w:eastAsia="zh-CN"/>
              </w:rPr>
              <w:t>）</w:t>
            </w:r>
            <w:r>
              <w:rPr>
                <w:color w:val="auto"/>
                <w:sz w:val="24"/>
                <w:szCs w:val="22"/>
                <w:highlight w:val="none"/>
              </w:rPr>
              <w:t>的要求设计，做好防雨、防渗、防腐，防止二次污染并按照《危险废物管理计划和管理台账制定技术导则》</w:t>
            </w:r>
            <w:r>
              <w:rPr>
                <w:rFonts w:hint="eastAsia"/>
                <w:color w:val="auto"/>
                <w:sz w:val="24"/>
                <w:szCs w:val="22"/>
                <w:highlight w:val="none"/>
                <w:lang w:eastAsia="zh-CN"/>
              </w:rPr>
              <w:t>（</w:t>
            </w:r>
            <w:r>
              <w:rPr>
                <w:color w:val="auto"/>
                <w:sz w:val="24"/>
                <w:szCs w:val="22"/>
                <w:highlight w:val="none"/>
              </w:rPr>
              <w:t>HJ1259-2022</w:t>
            </w:r>
            <w:r>
              <w:rPr>
                <w:rFonts w:hint="eastAsia"/>
                <w:color w:val="auto"/>
                <w:sz w:val="24"/>
                <w:szCs w:val="22"/>
                <w:highlight w:val="none"/>
                <w:lang w:eastAsia="zh-CN"/>
              </w:rPr>
              <w:t>）</w:t>
            </w:r>
            <w:r>
              <w:rPr>
                <w:color w:val="auto"/>
                <w:sz w:val="24"/>
                <w:szCs w:val="22"/>
                <w:highlight w:val="none"/>
              </w:rPr>
              <w:t>的相关要求做好管理计划和台账。</w:t>
            </w:r>
          </w:p>
          <w:p w14:paraId="1A99B0B1">
            <w:pPr>
              <w:spacing w:line="420" w:lineRule="auto"/>
              <w:ind w:firstLine="480" w:firstLineChars="200"/>
              <w:rPr>
                <w:color w:val="auto"/>
                <w:sz w:val="24"/>
                <w:highlight w:val="none"/>
              </w:rPr>
            </w:pPr>
            <w:r>
              <w:rPr>
                <w:color w:val="auto"/>
                <w:sz w:val="24"/>
                <w:szCs w:val="22"/>
                <w:highlight w:val="none"/>
              </w:rPr>
              <w:t>针对危险废物暂存间的建设要求</w:t>
            </w:r>
            <w:r>
              <w:rPr>
                <w:color w:val="auto"/>
                <w:sz w:val="24"/>
                <w:highlight w:val="none"/>
              </w:rPr>
              <w:t>具体要求如下：</w:t>
            </w:r>
          </w:p>
          <w:p w14:paraId="60EF491D">
            <w:pPr>
              <w:spacing w:line="420" w:lineRule="auto"/>
              <w:ind w:firstLine="480" w:firstLineChars="200"/>
              <w:rPr>
                <w:color w:val="auto"/>
                <w:sz w:val="24"/>
                <w:highlight w:val="none"/>
              </w:rPr>
            </w:pPr>
            <w:r>
              <w:rPr>
                <w:color w:val="auto"/>
                <w:sz w:val="24"/>
                <w:highlight w:val="none"/>
              </w:rPr>
              <w:t>①贮存设施应根据危险废物的形态、物理化学性质、包装形式和污染物迁移途径，采取必要的防风、防晒、防雨、防漏、防渗、防腐以及其他环境污染防治措施，不应露天堆放危险废物。</w:t>
            </w:r>
          </w:p>
          <w:p w14:paraId="5EFD9C28">
            <w:pPr>
              <w:spacing w:line="420" w:lineRule="auto"/>
              <w:ind w:firstLine="480" w:firstLineChars="200"/>
              <w:rPr>
                <w:rFonts w:hint="eastAsia" w:eastAsia="宋体"/>
                <w:color w:val="auto"/>
                <w:sz w:val="24"/>
                <w:highlight w:val="none"/>
                <w:lang w:eastAsia="zh-CN"/>
              </w:rPr>
            </w:pPr>
            <w:r>
              <w:rPr>
                <w:rFonts w:hint="eastAsia"/>
                <w:color w:val="auto"/>
                <w:sz w:val="24"/>
                <w:highlight w:val="none"/>
              </w:rPr>
              <w:t>②</w:t>
            </w:r>
            <w:r>
              <w:rPr>
                <w:color w:val="auto"/>
                <w:sz w:val="24"/>
                <w:highlight w:val="none"/>
              </w:rPr>
              <w:t>贮存设施应根据危险废物的类别、数量、形态、物理化学性质和污染防治等要求设置必要的贮</w:t>
            </w:r>
            <w:r>
              <w:rPr>
                <w:rFonts w:hint="eastAsia"/>
                <w:color w:val="auto"/>
                <w:sz w:val="24"/>
                <w:highlight w:val="none"/>
              </w:rPr>
              <w:t>存分区，避免不相容的危险废物接触、混合。</w:t>
            </w:r>
          </w:p>
          <w:p w14:paraId="2D105A3A">
            <w:pPr>
              <w:spacing w:line="420" w:lineRule="auto"/>
              <w:ind w:firstLine="480" w:firstLineChars="200"/>
              <w:rPr>
                <w:rFonts w:hint="eastAsia" w:eastAsia="宋体"/>
                <w:color w:val="auto"/>
                <w:sz w:val="24"/>
                <w:highlight w:val="none"/>
                <w:lang w:eastAsia="zh-CN"/>
              </w:rPr>
            </w:pPr>
            <w:r>
              <w:rPr>
                <w:rFonts w:hint="eastAsia"/>
                <w:color w:val="auto"/>
                <w:sz w:val="24"/>
                <w:highlight w:val="none"/>
              </w:rPr>
              <w:t>③贮存设施或贮存分区内地面、墙面</w:t>
            </w:r>
            <w:r>
              <w:rPr>
                <w:rFonts w:hint="eastAsia"/>
                <w:color w:val="auto"/>
                <w:sz w:val="24"/>
                <w:highlight w:val="none"/>
                <w:lang w:eastAsia="zh-CN"/>
              </w:rPr>
              <w:t>裙角</w:t>
            </w:r>
            <w:r>
              <w:rPr>
                <w:rFonts w:hint="eastAsia"/>
                <w:color w:val="auto"/>
                <w:sz w:val="24"/>
                <w:highlight w:val="none"/>
              </w:rPr>
              <w:t>、堵截泄漏的围堰、接触危险废物的隔板和墙体等应采用坚固的材料建造，表面无裂缝。</w:t>
            </w:r>
          </w:p>
          <w:p w14:paraId="4767D542">
            <w:pPr>
              <w:spacing w:line="420" w:lineRule="auto"/>
              <w:ind w:firstLine="480" w:firstLineChars="200"/>
              <w:rPr>
                <w:rFonts w:hint="eastAsia" w:eastAsia="宋体"/>
                <w:color w:val="auto"/>
                <w:sz w:val="24"/>
                <w:highlight w:val="none"/>
                <w:lang w:eastAsia="zh-CN"/>
              </w:rPr>
            </w:pPr>
            <w:r>
              <w:rPr>
                <w:rFonts w:hint="eastAsia"/>
                <w:color w:val="auto"/>
                <w:sz w:val="24"/>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color w:val="auto"/>
                <w:sz w:val="24"/>
                <w:highlight w:val="none"/>
              </w:rPr>
              <w:t>1m</w:t>
            </w:r>
            <w:r>
              <w:rPr>
                <w:rFonts w:hint="eastAsia"/>
                <w:color w:val="auto"/>
                <w:sz w:val="24"/>
                <w:highlight w:val="none"/>
              </w:rPr>
              <w:t>厚黏土层（渗透系数不大于</w:t>
            </w:r>
            <w:r>
              <w:rPr>
                <w:color w:val="auto"/>
                <w:sz w:val="24"/>
                <w:highlight w:val="none"/>
              </w:rPr>
              <w:t>10</w:t>
            </w:r>
            <w:r>
              <w:rPr>
                <w:color w:val="auto"/>
                <w:sz w:val="24"/>
                <w:highlight w:val="none"/>
                <w:vertAlign w:val="superscript"/>
              </w:rPr>
              <w:t>-7</w:t>
            </w:r>
            <w:r>
              <w:rPr>
                <w:color w:val="auto"/>
                <w:sz w:val="24"/>
                <w:highlight w:val="none"/>
              </w:rPr>
              <w:t>cm/s</w:t>
            </w:r>
            <w:r>
              <w:rPr>
                <w:rFonts w:hint="eastAsia"/>
                <w:color w:val="auto"/>
                <w:sz w:val="24"/>
                <w:highlight w:val="none"/>
              </w:rPr>
              <w:t>），或至少</w:t>
            </w:r>
            <w:r>
              <w:rPr>
                <w:color w:val="auto"/>
                <w:sz w:val="24"/>
                <w:highlight w:val="none"/>
              </w:rPr>
              <w:t>2mm</w:t>
            </w:r>
            <w:r>
              <w:rPr>
                <w:rFonts w:hint="eastAsia"/>
                <w:color w:val="auto"/>
                <w:sz w:val="24"/>
                <w:highlight w:val="none"/>
              </w:rPr>
              <w:t>厚高密度聚乙烯膜等人工防渗材料（渗透系数不大于</w:t>
            </w:r>
            <w:r>
              <w:rPr>
                <w:color w:val="auto"/>
                <w:sz w:val="24"/>
                <w:highlight w:val="none"/>
              </w:rPr>
              <w:t>10</w:t>
            </w:r>
            <w:r>
              <w:rPr>
                <w:color w:val="auto"/>
                <w:sz w:val="24"/>
                <w:highlight w:val="none"/>
                <w:vertAlign w:val="superscript"/>
              </w:rPr>
              <w:t>-10</w:t>
            </w:r>
            <w:r>
              <w:rPr>
                <w:color w:val="auto"/>
                <w:sz w:val="24"/>
                <w:highlight w:val="none"/>
              </w:rPr>
              <w:t>cm/s</w:t>
            </w:r>
            <w:r>
              <w:rPr>
                <w:rFonts w:hint="eastAsia"/>
                <w:color w:val="auto"/>
                <w:sz w:val="24"/>
                <w:highlight w:val="none"/>
              </w:rPr>
              <w:t>），或其他防渗性能等效的材料。</w:t>
            </w:r>
          </w:p>
          <w:p w14:paraId="108CC83A">
            <w:pPr>
              <w:spacing w:line="420" w:lineRule="auto"/>
              <w:ind w:firstLine="480" w:firstLineChars="200"/>
              <w:rPr>
                <w:rFonts w:hint="eastAsia" w:eastAsia="宋体"/>
                <w:color w:val="auto"/>
                <w:sz w:val="24"/>
                <w:highlight w:val="none"/>
                <w:lang w:eastAsia="zh-CN"/>
              </w:rPr>
            </w:pPr>
            <w:r>
              <w:rPr>
                <w:rFonts w:hint="eastAsia"/>
                <w:color w:val="auto"/>
                <w:sz w:val="24"/>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14:paraId="0067B310">
            <w:pPr>
              <w:spacing w:line="420" w:lineRule="auto"/>
              <w:ind w:firstLine="480" w:firstLineChars="200"/>
              <w:rPr>
                <w:rFonts w:hint="eastAsia" w:eastAsia="宋体"/>
                <w:b/>
                <w:bCs/>
                <w:color w:val="auto"/>
                <w:sz w:val="24"/>
                <w:highlight w:val="none"/>
                <w:lang w:eastAsia="zh-CN"/>
              </w:rPr>
            </w:pPr>
            <w:r>
              <w:rPr>
                <w:rFonts w:hint="eastAsia"/>
                <w:color w:val="auto"/>
                <w:sz w:val="24"/>
                <w:highlight w:val="none"/>
              </w:rPr>
              <w:t>⑥贮存设施应采取技术和管理措施防止无关人员进入。</w:t>
            </w:r>
          </w:p>
          <w:p w14:paraId="33E60898">
            <w:pPr>
              <w:spacing w:line="420" w:lineRule="auto"/>
              <w:ind w:firstLine="482" w:firstLineChars="200"/>
              <w:rPr>
                <w:b/>
                <w:bCs/>
                <w:color w:val="auto"/>
                <w:sz w:val="24"/>
                <w:highlight w:val="none"/>
              </w:rPr>
            </w:pPr>
            <w:r>
              <w:rPr>
                <w:b/>
                <w:bCs/>
                <w:color w:val="auto"/>
                <w:sz w:val="24"/>
                <w:highlight w:val="none"/>
              </w:rPr>
              <w:t>危废暂存管理措施：</w:t>
            </w:r>
          </w:p>
          <w:p w14:paraId="5E15A1D6">
            <w:pPr>
              <w:spacing w:line="420" w:lineRule="auto"/>
              <w:ind w:firstLine="480" w:firstLineChars="200"/>
              <w:rPr>
                <w:color w:val="auto"/>
                <w:sz w:val="24"/>
                <w:highlight w:val="none"/>
              </w:rPr>
            </w:pPr>
            <w:r>
              <w:rPr>
                <w:color w:val="auto"/>
                <w:sz w:val="24"/>
                <w:highlight w:val="none"/>
              </w:rPr>
              <w:t>针对危废管理，本环评提出以下具体要求：</w:t>
            </w:r>
          </w:p>
          <w:p w14:paraId="383746B3">
            <w:pPr>
              <w:spacing w:line="420" w:lineRule="auto"/>
              <w:ind w:firstLine="480" w:firstLineChars="200"/>
              <w:rPr>
                <w:rFonts w:hint="eastAsia" w:ascii="Times New Roman" w:hAnsi="Times New Roman" w:eastAsia="宋体" w:cs="Times New Roman"/>
                <w:color w:val="auto"/>
                <w:sz w:val="24"/>
                <w:szCs w:val="22"/>
                <w:highlight w:val="none"/>
              </w:rPr>
            </w:pPr>
            <w:r>
              <w:rPr>
                <w:rFonts w:hint="eastAsia" w:ascii="Times New Roman" w:hAnsi="Times New Roman" w:eastAsia="宋体" w:cs="Times New Roman"/>
                <w:color w:val="auto"/>
                <w:sz w:val="24"/>
                <w:szCs w:val="22"/>
                <w:highlight w:val="none"/>
                <w:lang w:val="en-US" w:eastAsia="zh-CN"/>
              </w:rPr>
              <w:t>危险废物</w:t>
            </w:r>
            <w:r>
              <w:rPr>
                <w:rFonts w:hint="eastAsia" w:ascii="Times New Roman" w:hAnsi="Times New Roman" w:eastAsia="宋体" w:cs="Times New Roman"/>
                <w:color w:val="auto"/>
                <w:sz w:val="24"/>
                <w:szCs w:val="22"/>
                <w:highlight w:val="none"/>
              </w:rPr>
              <w:t>包装容器应达到相应的强度要求并完好无损，禁止混合贮存性质不相容而未经安全性处置的危险废物；危险废物容器和包装物以及危险废物贮存设施、场所应按规定设置危险废物识别标志；仓库式贮存设施应分开存放不相</w:t>
            </w:r>
            <w:r>
              <w:rPr>
                <w:rFonts w:hint="eastAsia" w:ascii="Times New Roman" w:hAnsi="Times New Roman" w:eastAsia="宋体" w:cs="Times New Roman"/>
                <w:color w:val="auto"/>
                <w:sz w:val="24"/>
                <w:szCs w:val="22"/>
                <w:highlight w:val="none"/>
                <w:lang w:eastAsia="zh-CN"/>
              </w:rPr>
              <w:t>容的</w:t>
            </w:r>
            <w:r>
              <w:rPr>
                <w:rFonts w:hint="eastAsia" w:ascii="Times New Roman" w:hAnsi="Times New Roman" w:eastAsia="宋体" w:cs="Times New Roman"/>
                <w:color w:val="auto"/>
                <w:sz w:val="24"/>
                <w:szCs w:val="22"/>
                <w:highlight w:val="none"/>
              </w:rPr>
              <w:t>危险废物，按危险废物的种类和特性进行分区贮存，采用防腐、防渗地面和裙脚，设置防止</w:t>
            </w:r>
            <w:r>
              <w:rPr>
                <w:rFonts w:hint="eastAsia" w:ascii="Times New Roman" w:hAnsi="Times New Roman" w:eastAsia="宋体" w:cs="Times New Roman"/>
                <w:color w:val="auto"/>
                <w:sz w:val="24"/>
                <w:szCs w:val="22"/>
                <w:highlight w:val="none"/>
                <w:lang w:eastAsia="zh-CN"/>
              </w:rPr>
              <w:t>泄漏</w:t>
            </w:r>
            <w:r>
              <w:rPr>
                <w:rFonts w:hint="eastAsia" w:ascii="Times New Roman" w:hAnsi="Times New Roman" w:eastAsia="宋体" w:cs="Times New Roman"/>
                <w:color w:val="auto"/>
                <w:sz w:val="24"/>
                <w:szCs w:val="22"/>
                <w:highlight w:val="none"/>
              </w:rPr>
              <w:t>物质扩散至外环境的拦截、导流、收集设施；贮存堆场要防风、防雨、防晒。</w:t>
            </w:r>
            <w:r>
              <w:rPr>
                <w:rFonts w:hint="eastAsia" w:ascii="Times New Roman" w:hAnsi="Times New Roman" w:eastAsia="宋体" w:cs="Times New Roman"/>
                <w:color w:val="auto"/>
                <w:sz w:val="24"/>
                <w:szCs w:val="22"/>
                <w:highlight w:val="none"/>
                <w:lang w:val="en-US" w:eastAsia="zh-CN"/>
              </w:rPr>
              <w:t>建设单位</w:t>
            </w:r>
            <w:r>
              <w:rPr>
                <w:rFonts w:hint="eastAsia" w:ascii="Times New Roman" w:hAnsi="Times New Roman" w:eastAsia="宋体" w:cs="Times New Roman"/>
                <w:color w:val="auto"/>
                <w:sz w:val="24"/>
                <w:szCs w:val="22"/>
                <w:highlight w:val="none"/>
              </w:rPr>
              <w:t>生产运营期间危险废物自行贮存设施的环境管理和相关设施运行维护还应符合GB15562.2、GB18484、GB18597、GB30485、HJ2025和HJ2042等相关标准规范要求。</w:t>
            </w:r>
          </w:p>
          <w:p w14:paraId="0446A718">
            <w:pPr>
              <w:spacing w:line="420" w:lineRule="auto"/>
              <w:ind w:firstLine="480" w:firstLineChars="200"/>
              <w:rPr>
                <w:rFonts w:hint="eastAsia" w:ascii="Times New Roman" w:hAnsi="Times New Roman" w:eastAsia="宋体" w:cs="Times New Roman"/>
                <w:color w:val="auto"/>
                <w:sz w:val="24"/>
                <w:szCs w:val="22"/>
                <w:highlight w:val="none"/>
                <w:lang w:eastAsia="zh-CN"/>
              </w:rPr>
            </w:pPr>
            <w:r>
              <w:rPr>
                <w:rFonts w:hint="eastAsia" w:ascii="Times New Roman" w:hAnsi="Times New Roman" w:eastAsia="宋体" w:cs="Times New Roman"/>
                <w:color w:val="auto"/>
                <w:sz w:val="24"/>
                <w:szCs w:val="22"/>
                <w:highlight w:val="none"/>
                <w:lang w:val="en-US" w:eastAsia="zh-CN"/>
              </w:rPr>
              <w:t>建设</w:t>
            </w:r>
            <w:r>
              <w:rPr>
                <w:rFonts w:hint="eastAsia" w:ascii="Times New Roman" w:hAnsi="Times New Roman" w:eastAsia="宋体" w:cs="Times New Roman"/>
                <w:color w:val="auto"/>
                <w:sz w:val="24"/>
                <w:szCs w:val="22"/>
                <w:highlight w:val="none"/>
              </w:rPr>
              <w:t>单位委托他人运输、利用、处置危险废物的，应落实《中华人民共和国固体废物污染环境防治法》等法律法规要求，对受托方的主体资格和技术能力进行核实，依法签订书面合同，在合同中约定污染防治要求；转移危险废物的，应当按照国家有关规定填写、运行危险废物转移联单等</w:t>
            </w:r>
            <w:r>
              <w:rPr>
                <w:rFonts w:hint="eastAsia" w:ascii="Times New Roman" w:hAnsi="Times New Roman" w:eastAsia="宋体" w:cs="Times New Roman"/>
                <w:color w:val="auto"/>
                <w:sz w:val="24"/>
                <w:szCs w:val="22"/>
                <w:highlight w:val="none"/>
                <w:lang w:eastAsia="zh-CN"/>
              </w:rPr>
              <w:t>。</w:t>
            </w:r>
          </w:p>
          <w:p w14:paraId="411827EF">
            <w:pPr>
              <w:spacing w:line="420" w:lineRule="auto"/>
              <w:ind w:firstLine="482" w:firstLineChars="200"/>
              <w:rPr>
                <w:b/>
                <w:bCs/>
                <w:color w:val="auto"/>
                <w:sz w:val="24"/>
                <w:highlight w:val="none"/>
              </w:rPr>
            </w:pPr>
            <w:r>
              <w:rPr>
                <w:b/>
                <w:bCs/>
                <w:color w:val="auto"/>
                <w:sz w:val="24"/>
                <w:highlight w:val="none"/>
              </w:rPr>
              <w:t>危险废物暂存间（重点防渗区域）防渗措施推荐建设方式：</w:t>
            </w:r>
          </w:p>
          <w:p w14:paraId="17936F0A">
            <w:pPr>
              <w:spacing w:line="420" w:lineRule="auto"/>
              <w:ind w:firstLine="480" w:firstLineChars="200"/>
              <w:rPr>
                <w:rFonts w:hint="eastAsia"/>
                <w:color w:val="auto"/>
                <w:sz w:val="24"/>
                <w:highlight w:val="none"/>
                <w:lang w:eastAsia="zh-CN"/>
              </w:rPr>
            </w:pPr>
            <w:r>
              <w:rPr>
                <w:color w:val="auto"/>
                <w:sz w:val="24"/>
                <w:highlight w:val="none"/>
              </w:rPr>
              <w:t>本项目</w:t>
            </w:r>
            <w:r>
              <w:rPr>
                <w:rFonts w:hint="eastAsia"/>
                <w:color w:val="auto"/>
                <w:sz w:val="24"/>
                <w:highlight w:val="none"/>
                <w:lang w:val="en-US" w:eastAsia="zh-CN"/>
              </w:rPr>
              <w:t>依托现有</w:t>
            </w:r>
            <w:r>
              <w:rPr>
                <w:color w:val="auto"/>
                <w:sz w:val="24"/>
                <w:highlight w:val="none"/>
              </w:rPr>
              <w:t>危险废物暂存间1处，面积约</w:t>
            </w:r>
            <w:r>
              <w:rPr>
                <w:rFonts w:hint="eastAsia"/>
                <w:color w:val="auto"/>
                <w:sz w:val="24"/>
                <w:highlight w:val="none"/>
                <w:lang w:val="en-US" w:eastAsia="zh-CN"/>
              </w:rPr>
              <w:t>20</w:t>
            </w:r>
            <w:r>
              <w:rPr>
                <w:color w:val="auto"/>
                <w:sz w:val="24"/>
                <w:highlight w:val="none"/>
              </w:rPr>
              <w:t>平方米，危险废物暂存间为重点防渗区域，防渗措施应依据《危险废物贮存污染控制标准》（GB18597）进行设置</w:t>
            </w:r>
            <w:r>
              <w:rPr>
                <w:rFonts w:hint="eastAsia"/>
                <w:color w:val="auto"/>
                <w:sz w:val="24"/>
                <w:highlight w:val="none"/>
                <w:lang w:eastAsia="zh-CN"/>
              </w:rPr>
              <w:t>。</w:t>
            </w:r>
          </w:p>
          <w:p w14:paraId="1D4EB784">
            <w:pPr>
              <w:adjustRightInd w:val="0"/>
              <w:snapToGrid w:val="0"/>
              <w:spacing w:before="120" w:beforeLines="50"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表4-</w:t>
            </w:r>
            <w:r>
              <w:rPr>
                <w:rFonts w:hint="eastAsia" w:ascii="宋体" w:hAnsi="宋体" w:cs="宋体"/>
                <w:b/>
                <w:color w:val="auto"/>
                <w:sz w:val="24"/>
                <w:highlight w:val="none"/>
                <w:lang w:val="en-US" w:eastAsia="zh-CN"/>
              </w:rPr>
              <w:t>18</w:t>
            </w:r>
            <w:r>
              <w:rPr>
                <w:rFonts w:hint="eastAsia" w:ascii="宋体" w:hAnsi="宋体" w:cs="宋体"/>
                <w:b/>
                <w:color w:val="auto"/>
                <w:sz w:val="24"/>
                <w:highlight w:val="none"/>
              </w:rPr>
              <w:t>危险废物贮存场所（设施）基本情况</w:t>
            </w:r>
          </w:p>
          <w:tbl>
            <w:tblPr>
              <w:tblStyle w:val="2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1"/>
              <w:gridCol w:w="831"/>
              <w:gridCol w:w="1111"/>
              <w:gridCol w:w="928"/>
              <w:gridCol w:w="1104"/>
              <w:gridCol w:w="821"/>
              <w:gridCol w:w="832"/>
              <w:gridCol w:w="807"/>
              <w:gridCol w:w="635"/>
              <w:gridCol w:w="934"/>
            </w:tblGrid>
            <w:tr w14:paraId="6C0AC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501" w:type="dxa"/>
                  <w:noWrap w:val="0"/>
                  <w:vAlign w:val="center"/>
                </w:tcPr>
                <w:p w14:paraId="0D010A35">
                  <w:pPr>
                    <w:topLinePunct/>
                    <w:adjustRightInd w:val="0"/>
                    <w:snapToGrid w:val="0"/>
                    <w:jc w:val="center"/>
                    <w:rPr>
                      <w:color w:val="auto"/>
                      <w:kern w:val="0"/>
                      <w:szCs w:val="21"/>
                      <w:highlight w:val="none"/>
                    </w:rPr>
                  </w:pPr>
                  <w:r>
                    <w:rPr>
                      <w:color w:val="auto"/>
                      <w:kern w:val="0"/>
                      <w:szCs w:val="21"/>
                      <w:highlight w:val="none"/>
                    </w:rPr>
                    <w:t>序号</w:t>
                  </w:r>
                </w:p>
              </w:tc>
              <w:tc>
                <w:tcPr>
                  <w:tcW w:w="831" w:type="dxa"/>
                  <w:noWrap w:val="0"/>
                  <w:vAlign w:val="center"/>
                </w:tcPr>
                <w:p w14:paraId="6E2D1F3D">
                  <w:pPr>
                    <w:topLinePunct/>
                    <w:adjustRightInd w:val="0"/>
                    <w:snapToGrid w:val="0"/>
                    <w:jc w:val="center"/>
                    <w:rPr>
                      <w:color w:val="auto"/>
                      <w:kern w:val="0"/>
                      <w:szCs w:val="21"/>
                      <w:highlight w:val="none"/>
                    </w:rPr>
                  </w:pPr>
                  <w:r>
                    <w:rPr>
                      <w:color w:val="auto"/>
                      <w:kern w:val="0"/>
                      <w:szCs w:val="21"/>
                      <w:highlight w:val="none"/>
                    </w:rPr>
                    <w:t>贮存场所（设施）</w:t>
                  </w:r>
                </w:p>
                <w:p w14:paraId="671DD9C4">
                  <w:pPr>
                    <w:topLinePunct/>
                    <w:adjustRightInd w:val="0"/>
                    <w:snapToGrid w:val="0"/>
                    <w:jc w:val="center"/>
                    <w:rPr>
                      <w:color w:val="auto"/>
                      <w:kern w:val="0"/>
                      <w:szCs w:val="21"/>
                      <w:highlight w:val="none"/>
                    </w:rPr>
                  </w:pPr>
                  <w:r>
                    <w:rPr>
                      <w:color w:val="auto"/>
                      <w:kern w:val="0"/>
                      <w:szCs w:val="21"/>
                      <w:highlight w:val="none"/>
                    </w:rPr>
                    <w:t>名称</w:t>
                  </w:r>
                </w:p>
              </w:tc>
              <w:tc>
                <w:tcPr>
                  <w:tcW w:w="1111" w:type="dxa"/>
                  <w:noWrap w:val="0"/>
                  <w:vAlign w:val="center"/>
                </w:tcPr>
                <w:p w14:paraId="4EC14F12">
                  <w:pPr>
                    <w:spacing w:line="239" w:lineRule="exact"/>
                    <w:jc w:val="center"/>
                    <w:rPr>
                      <w:color w:val="auto"/>
                      <w:kern w:val="0"/>
                      <w:szCs w:val="21"/>
                      <w:highlight w:val="none"/>
                    </w:rPr>
                  </w:pPr>
                  <w:r>
                    <w:rPr>
                      <w:color w:val="auto"/>
                      <w:szCs w:val="21"/>
                      <w:highlight w:val="none"/>
                    </w:rPr>
                    <w:t>废物名称</w:t>
                  </w:r>
                </w:p>
              </w:tc>
              <w:tc>
                <w:tcPr>
                  <w:tcW w:w="928" w:type="dxa"/>
                  <w:noWrap w:val="0"/>
                  <w:vAlign w:val="center"/>
                </w:tcPr>
                <w:p w14:paraId="17F72477">
                  <w:pPr>
                    <w:topLinePunct/>
                    <w:adjustRightInd w:val="0"/>
                    <w:snapToGrid w:val="0"/>
                    <w:jc w:val="center"/>
                    <w:rPr>
                      <w:color w:val="auto"/>
                      <w:kern w:val="0"/>
                      <w:szCs w:val="21"/>
                      <w:highlight w:val="none"/>
                    </w:rPr>
                  </w:pPr>
                  <w:r>
                    <w:rPr>
                      <w:color w:val="auto"/>
                      <w:kern w:val="0"/>
                      <w:szCs w:val="21"/>
                      <w:highlight w:val="none"/>
                    </w:rPr>
                    <w:t>危险废物类别</w:t>
                  </w:r>
                </w:p>
              </w:tc>
              <w:tc>
                <w:tcPr>
                  <w:tcW w:w="1104" w:type="dxa"/>
                  <w:noWrap w:val="0"/>
                  <w:vAlign w:val="center"/>
                </w:tcPr>
                <w:p w14:paraId="7CC39624">
                  <w:pPr>
                    <w:topLinePunct/>
                    <w:adjustRightInd w:val="0"/>
                    <w:snapToGrid w:val="0"/>
                    <w:jc w:val="center"/>
                    <w:rPr>
                      <w:color w:val="auto"/>
                      <w:kern w:val="0"/>
                      <w:szCs w:val="21"/>
                      <w:highlight w:val="none"/>
                    </w:rPr>
                  </w:pPr>
                  <w:r>
                    <w:rPr>
                      <w:color w:val="auto"/>
                      <w:kern w:val="0"/>
                      <w:szCs w:val="21"/>
                      <w:highlight w:val="none"/>
                    </w:rPr>
                    <w:t>危险废物代码</w:t>
                  </w:r>
                </w:p>
              </w:tc>
              <w:tc>
                <w:tcPr>
                  <w:tcW w:w="821" w:type="dxa"/>
                  <w:noWrap w:val="0"/>
                  <w:vAlign w:val="center"/>
                </w:tcPr>
                <w:p w14:paraId="06B25D52">
                  <w:pPr>
                    <w:topLinePunct/>
                    <w:adjustRightInd w:val="0"/>
                    <w:snapToGrid w:val="0"/>
                    <w:jc w:val="center"/>
                    <w:rPr>
                      <w:color w:val="auto"/>
                      <w:kern w:val="0"/>
                      <w:szCs w:val="21"/>
                      <w:highlight w:val="none"/>
                    </w:rPr>
                  </w:pPr>
                  <w:r>
                    <w:rPr>
                      <w:color w:val="auto"/>
                      <w:kern w:val="0"/>
                      <w:szCs w:val="21"/>
                      <w:highlight w:val="none"/>
                    </w:rPr>
                    <w:t>位置</w:t>
                  </w:r>
                </w:p>
              </w:tc>
              <w:tc>
                <w:tcPr>
                  <w:tcW w:w="832" w:type="dxa"/>
                  <w:noWrap w:val="0"/>
                  <w:vAlign w:val="center"/>
                </w:tcPr>
                <w:p w14:paraId="56B93BD6">
                  <w:pPr>
                    <w:topLinePunct/>
                    <w:adjustRightInd w:val="0"/>
                    <w:snapToGrid w:val="0"/>
                    <w:jc w:val="center"/>
                    <w:rPr>
                      <w:color w:val="auto"/>
                      <w:kern w:val="0"/>
                      <w:szCs w:val="21"/>
                      <w:highlight w:val="none"/>
                    </w:rPr>
                  </w:pPr>
                  <w:r>
                    <w:rPr>
                      <w:color w:val="auto"/>
                      <w:kern w:val="0"/>
                      <w:szCs w:val="21"/>
                      <w:highlight w:val="none"/>
                    </w:rPr>
                    <w:t>占地面积（m</w:t>
                  </w:r>
                  <w:r>
                    <w:rPr>
                      <w:color w:val="auto"/>
                      <w:kern w:val="0"/>
                      <w:szCs w:val="21"/>
                      <w:highlight w:val="none"/>
                      <w:vertAlign w:val="superscript"/>
                    </w:rPr>
                    <w:t>2</w:t>
                  </w:r>
                  <w:r>
                    <w:rPr>
                      <w:color w:val="auto"/>
                      <w:kern w:val="0"/>
                      <w:szCs w:val="21"/>
                      <w:highlight w:val="none"/>
                    </w:rPr>
                    <w:t>）</w:t>
                  </w:r>
                </w:p>
              </w:tc>
              <w:tc>
                <w:tcPr>
                  <w:tcW w:w="807" w:type="dxa"/>
                  <w:noWrap w:val="0"/>
                  <w:vAlign w:val="center"/>
                </w:tcPr>
                <w:p w14:paraId="37FFBC34">
                  <w:pPr>
                    <w:topLinePunct/>
                    <w:adjustRightInd w:val="0"/>
                    <w:snapToGrid w:val="0"/>
                    <w:jc w:val="center"/>
                    <w:rPr>
                      <w:color w:val="auto"/>
                      <w:kern w:val="0"/>
                      <w:szCs w:val="21"/>
                      <w:highlight w:val="none"/>
                    </w:rPr>
                  </w:pPr>
                  <w:r>
                    <w:rPr>
                      <w:color w:val="auto"/>
                      <w:kern w:val="0"/>
                      <w:szCs w:val="21"/>
                      <w:highlight w:val="none"/>
                    </w:rPr>
                    <w:t>贮存方式</w:t>
                  </w:r>
                </w:p>
              </w:tc>
              <w:tc>
                <w:tcPr>
                  <w:tcW w:w="635" w:type="dxa"/>
                  <w:noWrap w:val="0"/>
                  <w:vAlign w:val="center"/>
                </w:tcPr>
                <w:p w14:paraId="30B8EF1B">
                  <w:pPr>
                    <w:topLinePunct/>
                    <w:adjustRightInd w:val="0"/>
                    <w:snapToGrid w:val="0"/>
                    <w:jc w:val="center"/>
                    <w:rPr>
                      <w:color w:val="auto"/>
                      <w:kern w:val="0"/>
                      <w:szCs w:val="21"/>
                      <w:highlight w:val="none"/>
                    </w:rPr>
                  </w:pPr>
                  <w:r>
                    <w:rPr>
                      <w:color w:val="auto"/>
                      <w:kern w:val="0"/>
                      <w:szCs w:val="21"/>
                      <w:highlight w:val="none"/>
                    </w:rPr>
                    <w:t>贮存</w:t>
                  </w:r>
                </w:p>
                <w:p w14:paraId="0917CDA7">
                  <w:pPr>
                    <w:topLinePunct/>
                    <w:adjustRightInd w:val="0"/>
                    <w:snapToGrid w:val="0"/>
                    <w:jc w:val="center"/>
                    <w:rPr>
                      <w:color w:val="auto"/>
                      <w:kern w:val="0"/>
                      <w:szCs w:val="21"/>
                      <w:highlight w:val="none"/>
                    </w:rPr>
                  </w:pPr>
                  <w:r>
                    <w:rPr>
                      <w:color w:val="auto"/>
                      <w:kern w:val="0"/>
                      <w:szCs w:val="21"/>
                      <w:highlight w:val="none"/>
                    </w:rPr>
                    <w:t>能力</w:t>
                  </w:r>
                </w:p>
              </w:tc>
              <w:tc>
                <w:tcPr>
                  <w:tcW w:w="934" w:type="dxa"/>
                  <w:noWrap w:val="0"/>
                  <w:vAlign w:val="center"/>
                </w:tcPr>
                <w:p w14:paraId="218C6EF3">
                  <w:pPr>
                    <w:topLinePunct/>
                    <w:adjustRightInd w:val="0"/>
                    <w:snapToGrid w:val="0"/>
                    <w:jc w:val="center"/>
                    <w:rPr>
                      <w:color w:val="auto"/>
                      <w:kern w:val="0"/>
                      <w:szCs w:val="21"/>
                      <w:highlight w:val="none"/>
                    </w:rPr>
                  </w:pPr>
                  <w:r>
                    <w:rPr>
                      <w:color w:val="auto"/>
                      <w:kern w:val="0"/>
                      <w:szCs w:val="21"/>
                      <w:highlight w:val="none"/>
                    </w:rPr>
                    <w:t>最长</w:t>
                  </w:r>
                </w:p>
                <w:p w14:paraId="335E43FC">
                  <w:pPr>
                    <w:topLinePunct/>
                    <w:adjustRightInd w:val="0"/>
                    <w:snapToGrid w:val="0"/>
                    <w:jc w:val="center"/>
                    <w:rPr>
                      <w:color w:val="auto"/>
                      <w:kern w:val="0"/>
                      <w:szCs w:val="21"/>
                      <w:highlight w:val="none"/>
                    </w:rPr>
                  </w:pPr>
                  <w:r>
                    <w:rPr>
                      <w:color w:val="auto"/>
                      <w:kern w:val="0"/>
                      <w:szCs w:val="21"/>
                      <w:highlight w:val="none"/>
                    </w:rPr>
                    <w:t>贮存</w:t>
                  </w:r>
                </w:p>
                <w:p w14:paraId="2D537225">
                  <w:pPr>
                    <w:topLinePunct/>
                    <w:adjustRightInd w:val="0"/>
                    <w:snapToGrid w:val="0"/>
                    <w:jc w:val="center"/>
                    <w:rPr>
                      <w:color w:val="auto"/>
                      <w:kern w:val="0"/>
                      <w:szCs w:val="21"/>
                      <w:highlight w:val="none"/>
                    </w:rPr>
                  </w:pPr>
                  <w:r>
                    <w:rPr>
                      <w:color w:val="auto"/>
                      <w:kern w:val="0"/>
                      <w:szCs w:val="21"/>
                      <w:highlight w:val="none"/>
                    </w:rPr>
                    <w:t>周期</w:t>
                  </w:r>
                </w:p>
              </w:tc>
            </w:tr>
            <w:tr w14:paraId="38CEB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501" w:type="dxa"/>
                  <w:noWrap w:val="0"/>
                  <w:vAlign w:val="center"/>
                </w:tcPr>
                <w:p w14:paraId="76C647B7">
                  <w:pPr>
                    <w:topLinePunct/>
                    <w:adjustRightInd w:val="0"/>
                    <w:snapToGrid w:val="0"/>
                    <w:jc w:val="center"/>
                    <w:rPr>
                      <w:rFonts w:hint="eastAsia" w:eastAsia="宋体"/>
                      <w:color w:val="auto"/>
                      <w:kern w:val="0"/>
                      <w:szCs w:val="21"/>
                      <w:highlight w:val="none"/>
                      <w:lang w:eastAsia="zh-CN"/>
                    </w:rPr>
                  </w:pPr>
                  <w:r>
                    <w:rPr>
                      <w:rFonts w:hint="eastAsia"/>
                      <w:color w:val="auto"/>
                      <w:kern w:val="0"/>
                      <w:szCs w:val="21"/>
                      <w:highlight w:val="none"/>
                      <w:lang w:val="en-US" w:eastAsia="zh-CN"/>
                    </w:rPr>
                    <w:t>1</w:t>
                  </w:r>
                </w:p>
              </w:tc>
              <w:tc>
                <w:tcPr>
                  <w:tcW w:w="831" w:type="dxa"/>
                  <w:vMerge w:val="restart"/>
                  <w:noWrap w:val="0"/>
                  <w:vAlign w:val="center"/>
                </w:tcPr>
                <w:p w14:paraId="613857AC">
                  <w:pPr>
                    <w:topLinePunct/>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危险废物暂存间</w:t>
                  </w:r>
                </w:p>
              </w:tc>
              <w:tc>
                <w:tcPr>
                  <w:tcW w:w="1111" w:type="dxa"/>
                  <w:noWrap w:val="0"/>
                  <w:vAlign w:val="center"/>
                </w:tcPr>
                <w:p w14:paraId="50EF82FB">
                  <w:pPr>
                    <w:keepNext w:val="0"/>
                    <w:keepLines w:val="0"/>
                    <w:widowControl/>
                    <w:suppressLineNumbers w:val="0"/>
                    <w:jc w:val="center"/>
                    <w:textAlignment w:val="center"/>
                    <w:rPr>
                      <w:color w:val="auto"/>
                      <w:szCs w:val="21"/>
                      <w:highlight w:val="none"/>
                    </w:rPr>
                  </w:pPr>
                  <w:r>
                    <w:rPr>
                      <w:rFonts w:hint="eastAsia" w:ascii="宋体" w:hAnsi="宋体" w:eastAsia="宋体" w:cs="宋体"/>
                      <w:i w:val="0"/>
                      <w:iCs w:val="0"/>
                      <w:color w:val="auto"/>
                      <w:kern w:val="0"/>
                      <w:sz w:val="18"/>
                      <w:szCs w:val="18"/>
                      <w:highlight w:val="none"/>
                      <w:u w:val="none"/>
                      <w:lang w:val="en-US" w:eastAsia="zh-CN" w:bidi="ar"/>
                    </w:rPr>
                    <w:t>废润滑油桶</w:t>
                  </w:r>
                </w:p>
              </w:tc>
              <w:tc>
                <w:tcPr>
                  <w:tcW w:w="928" w:type="dxa"/>
                  <w:noWrap w:val="0"/>
                  <w:vAlign w:val="center"/>
                </w:tcPr>
                <w:p w14:paraId="38B84126">
                  <w:pPr>
                    <w:widowControl/>
                    <w:jc w:val="center"/>
                    <w:rPr>
                      <w:rFonts w:hint="default" w:eastAsia="宋体"/>
                      <w:color w:val="auto"/>
                      <w:szCs w:val="21"/>
                      <w:highlight w:val="none"/>
                      <w:lang w:val="en-US" w:eastAsia="zh-CN"/>
                    </w:rPr>
                  </w:pPr>
                  <w:r>
                    <w:rPr>
                      <w:color w:val="auto"/>
                      <w:szCs w:val="21"/>
                      <w:highlight w:val="none"/>
                    </w:rPr>
                    <w:t>HW</w:t>
                  </w:r>
                  <w:r>
                    <w:rPr>
                      <w:rFonts w:hint="eastAsia"/>
                      <w:color w:val="auto"/>
                      <w:szCs w:val="21"/>
                      <w:highlight w:val="none"/>
                      <w:lang w:val="en-US" w:eastAsia="zh-CN"/>
                    </w:rPr>
                    <w:t>08</w:t>
                  </w:r>
                </w:p>
              </w:tc>
              <w:tc>
                <w:tcPr>
                  <w:tcW w:w="1104" w:type="dxa"/>
                  <w:noWrap w:val="0"/>
                  <w:vAlign w:val="center"/>
                </w:tcPr>
                <w:p w14:paraId="198984BC">
                  <w:pPr>
                    <w:adjustRightInd w:val="0"/>
                    <w:jc w:val="center"/>
                    <w:rPr>
                      <w:rFonts w:eastAsia="TimesNewRomanPSMT"/>
                      <w:color w:val="auto"/>
                      <w:kern w:val="0"/>
                      <w:sz w:val="18"/>
                      <w:szCs w:val="18"/>
                      <w:highlight w:val="none"/>
                      <w:lang w:bidi="ar"/>
                    </w:rPr>
                  </w:pPr>
                  <w:r>
                    <w:rPr>
                      <w:rFonts w:hint="default" w:ascii="Times New Roman" w:hAnsi="Times New Roman" w:eastAsia="宋体" w:cs="Times New Roman"/>
                      <w:i w:val="0"/>
                      <w:iCs w:val="0"/>
                      <w:color w:val="auto"/>
                      <w:kern w:val="0"/>
                      <w:sz w:val="18"/>
                      <w:szCs w:val="18"/>
                      <w:highlight w:val="none"/>
                      <w:u w:val="none"/>
                      <w:lang w:val="en-US" w:eastAsia="zh-CN" w:bidi="ar"/>
                    </w:rPr>
                    <w:t>900-249-08</w:t>
                  </w:r>
                </w:p>
              </w:tc>
              <w:tc>
                <w:tcPr>
                  <w:tcW w:w="821" w:type="dxa"/>
                  <w:noWrap w:val="0"/>
                  <w:vAlign w:val="center"/>
                </w:tcPr>
                <w:p w14:paraId="19AD129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危废间</w:t>
                  </w:r>
                </w:p>
              </w:tc>
              <w:tc>
                <w:tcPr>
                  <w:tcW w:w="832" w:type="dxa"/>
                  <w:noWrap w:val="0"/>
                  <w:vAlign w:val="center"/>
                </w:tcPr>
                <w:p w14:paraId="14FF03B9">
                  <w:pPr>
                    <w:topLinePunct/>
                    <w:adjustRightInd w:val="0"/>
                    <w:snapToGrid w:val="0"/>
                    <w:jc w:val="center"/>
                    <w:rPr>
                      <w:rFonts w:hint="eastAsia" w:eastAsia="宋体"/>
                      <w:color w:val="auto"/>
                      <w:kern w:val="0"/>
                      <w:szCs w:val="21"/>
                      <w:highlight w:val="none"/>
                      <w:lang w:eastAsia="zh-CN"/>
                    </w:rPr>
                  </w:pPr>
                  <w:r>
                    <w:rPr>
                      <w:rFonts w:hint="eastAsia"/>
                      <w:color w:val="auto"/>
                      <w:kern w:val="0"/>
                      <w:szCs w:val="21"/>
                      <w:highlight w:val="none"/>
                      <w:lang w:val="en-US" w:eastAsia="zh-CN"/>
                    </w:rPr>
                    <w:t>3</w:t>
                  </w:r>
                </w:p>
              </w:tc>
              <w:tc>
                <w:tcPr>
                  <w:tcW w:w="807" w:type="dxa"/>
                  <w:noWrap w:val="0"/>
                  <w:vAlign w:val="center"/>
                </w:tcPr>
                <w:p w14:paraId="1663DDDE">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包装桶盖拧紧暂存</w:t>
                  </w:r>
                </w:p>
              </w:tc>
              <w:tc>
                <w:tcPr>
                  <w:tcW w:w="635" w:type="dxa"/>
                  <w:noWrap w:val="0"/>
                  <w:vAlign w:val="center"/>
                </w:tcPr>
                <w:p w14:paraId="2B9F96EB">
                  <w:pPr>
                    <w:topLinePunct/>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0.2t</w:t>
                  </w:r>
                </w:p>
              </w:tc>
              <w:tc>
                <w:tcPr>
                  <w:tcW w:w="934" w:type="dxa"/>
                  <w:noWrap w:val="0"/>
                  <w:vAlign w:val="center"/>
                </w:tcPr>
                <w:p w14:paraId="730C2DC6">
                  <w:pPr>
                    <w:topLinePunct/>
                    <w:adjustRightInd w:val="0"/>
                    <w:snapToGrid w:val="0"/>
                    <w:jc w:val="center"/>
                    <w:rPr>
                      <w:color w:val="auto"/>
                      <w:kern w:val="0"/>
                      <w:szCs w:val="21"/>
                      <w:highlight w:val="none"/>
                    </w:rPr>
                  </w:pPr>
                  <w:r>
                    <w:rPr>
                      <w:rFonts w:hint="eastAsia"/>
                      <w:color w:val="auto"/>
                      <w:kern w:val="0"/>
                      <w:szCs w:val="21"/>
                      <w:highlight w:val="none"/>
                      <w:lang w:val="en-US" w:eastAsia="zh-CN"/>
                    </w:rPr>
                    <w:t>1</w:t>
                  </w:r>
                  <w:r>
                    <w:rPr>
                      <w:color w:val="auto"/>
                      <w:kern w:val="0"/>
                      <w:szCs w:val="21"/>
                      <w:highlight w:val="none"/>
                    </w:rPr>
                    <w:t>年</w:t>
                  </w:r>
                </w:p>
              </w:tc>
            </w:tr>
            <w:tr w14:paraId="72C1F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501" w:type="dxa"/>
                  <w:noWrap w:val="0"/>
                  <w:vAlign w:val="center"/>
                </w:tcPr>
                <w:p w14:paraId="6D242FAC">
                  <w:pPr>
                    <w:topLinePunct/>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2</w:t>
                  </w:r>
                </w:p>
              </w:tc>
              <w:tc>
                <w:tcPr>
                  <w:tcW w:w="831" w:type="dxa"/>
                  <w:vMerge w:val="continue"/>
                  <w:noWrap w:val="0"/>
                  <w:vAlign w:val="top"/>
                </w:tcPr>
                <w:p w14:paraId="455232B7">
                  <w:pPr>
                    <w:topLinePunct/>
                    <w:adjustRightInd w:val="0"/>
                    <w:snapToGrid w:val="0"/>
                    <w:jc w:val="center"/>
                    <w:rPr>
                      <w:color w:val="auto"/>
                      <w:kern w:val="0"/>
                      <w:szCs w:val="21"/>
                      <w:highlight w:val="none"/>
                    </w:rPr>
                  </w:pPr>
                </w:p>
              </w:tc>
              <w:tc>
                <w:tcPr>
                  <w:tcW w:w="1111" w:type="dxa"/>
                  <w:shd w:val="clear" w:color="auto" w:fill="auto"/>
                  <w:noWrap w:val="0"/>
                  <w:vAlign w:val="center"/>
                </w:tcPr>
                <w:p w14:paraId="7F4D53F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废润滑油</w:t>
                  </w:r>
                </w:p>
              </w:tc>
              <w:tc>
                <w:tcPr>
                  <w:tcW w:w="928" w:type="dxa"/>
                  <w:shd w:val="clear" w:color="auto" w:fill="auto"/>
                  <w:noWrap w:val="0"/>
                  <w:vAlign w:val="center"/>
                </w:tcPr>
                <w:p w14:paraId="65CD4831">
                  <w:pPr>
                    <w:widowControl/>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HW</w:t>
                  </w:r>
                  <w:r>
                    <w:rPr>
                      <w:rFonts w:hint="eastAsia"/>
                      <w:color w:val="auto"/>
                      <w:szCs w:val="21"/>
                      <w:highlight w:val="none"/>
                      <w:lang w:val="en-US" w:eastAsia="zh-CN"/>
                    </w:rPr>
                    <w:t>08</w:t>
                  </w:r>
                </w:p>
              </w:tc>
              <w:tc>
                <w:tcPr>
                  <w:tcW w:w="1104" w:type="dxa"/>
                  <w:shd w:val="clear" w:color="auto" w:fill="auto"/>
                  <w:noWrap w:val="0"/>
                  <w:vAlign w:val="center"/>
                </w:tcPr>
                <w:p w14:paraId="0F9B4E11">
                  <w:pPr>
                    <w:adjustRightInd w:val="0"/>
                    <w:jc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900-2</w:t>
                  </w:r>
                  <w:r>
                    <w:rPr>
                      <w:rFonts w:hint="eastAsia" w:cs="Times New Roman"/>
                      <w:i w:val="0"/>
                      <w:iCs w:val="0"/>
                      <w:color w:val="auto"/>
                      <w:kern w:val="0"/>
                      <w:sz w:val="18"/>
                      <w:szCs w:val="18"/>
                      <w:highlight w:val="none"/>
                      <w:u w:val="none"/>
                      <w:lang w:val="en-US" w:eastAsia="zh-CN" w:bidi="ar"/>
                    </w:rPr>
                    <w:t>17</w:t>
                  </w:r>
                  <w:r>
                    <w:rPr>
                      <w:rFonts w:hint="default" w:ascii="Times New Roman" w:hAnsi="Times New Roman" w:eastAsia="宋体" w:cs="Times New Roman"/>
                      <w:i w:val="0"/>
                      <w:iCs w:val="0"/>
                      <w:color w:val="auto"/>
                      <w:kern w:val="0"/>
                      <w:sz w:val="18"/>
                      <w:szCs w:val="18"/>
                      <w:highlight w:val="none"/>
                      <w:u w:val="none"/>
                      <w:lang w:val="en-US" w:eastAsia="zh-CN" w:bidi="ar"/>
                    </w:rPr>
                    <w:t>-08</w:t>
                  </w:r>
                </w:p>
              </w:tc>
              <w:tc>
                <w:tcPr>
                  <w:tcW w:w="821" w:type="dxa"/>
                  <w:shd w:val="clear" w:color="auto" w:fill="auto"/>
                  <w:noWrap w:val="0"/>
                  <w:vAlign w:val="center"/>
                </w:tcPr>
                <w:p w14:paraId="3984CF5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危废间</w:t>
                  </w:r>
                </w:p>
              </w:tc>
              <w:tc>
                <w:tcPr>
                  <w:tcW w:w="832" w:type="dxa"/>
                  <w:shd w:val="clear" w:color="auto" w:fill="auto"/>
                  <w:noWrap w:val="0"/>
                  <w:vAlign w:val="center"/>
                </w:tcPr>
                <w:p w14:paraId="193B5417">
                  <w:pPr>
                    <w:topLinePunct/>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807" w:type="dxa"/>
                  <w:shd w:val="clear" w:color="auto" w:fill="auto"/>
                  <w:noWrap w:val="0"/>
                  <w:vAlign w:val="center"/>
                </w:tcPr>
                <w:p w14:paraId="6CAC1AE5">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油</w:t>
                  </w:r>
                  <w:r>
                    <w:rPr>
                      <w:rFonts w:hint="eastAsia" w:ascii="宋体" w:hAnsi="宋体" w:eastAsia="宋体" w:cs="宋体"/>
                      <w:i w:val="0"/>
                      <w:iCs w:val="0"/>
                      <w:color w:val="auto"/>
                      <w:kern w:val="0"/>
                      <w:sz w:val="18"/>
                      <w:szCs w:val="18"/>
                      <w:highlight w:val="none"/>
                      <w:u w:val="none"/>
                      <w:lang w:val="en-US" w:eastAsia="zh-CN" w:bidi="ar"/>
                    </w:rPr>
                    <w:t>桶暂存</w:t>
                  </w:r>
                </w:p>
              </w:tc>
              <w:tc>
                <w:tcPr>
                  <w:tcW w:w="635" w:type="dxa"/>
                  <w:shd w:val="clear" w:color="auto" w:fill="auto"/>
                  <w:noWrap w:val="0"/>
                  <w:vAlign w:val="center"/>
                </w:tcPr>
                <w:p w14:paraId="3982E115">
                  <w:pPr>
                    <w:topLinePunct/>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1t</w:t>
                  </w:r>
                </w:p>
              </w:tc>
              <w:tc>
                <w:tcPr>
                  <w:tcW w:w="934" w:type="dxa"/>
                  <w:shd w:val="clear" w:color="auto" w:fill="auto"/>
                  <w:noWrap w:val="0"/>
                  <w:vAlign w:val="center"/>
                </w:tcPr>
                <w:p w14:paraId="62693758">
                  <w:pPr>
                    <w:topLinePunct/>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1</w:t>
                  </w:r>
                  <w:r>
                    <w:rPr>
                      <w:color w:val="auto"/>
                      <w:kern w:val="0"/>
                      <w:szCs w:val="21"/>
                      <w:highlight w:val="none"/>
                    </w:rPr>
                    <w:t>年</w:t>
                  </w:r>
                </w:p>
              </w:tc>
            </w:tr>
            <w:tr w14:paraId="08CB2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501" w:type="dxa"/>
                  <w:noWrap w:val="0"/>
                  <w:vAlign w:val="center"/>
                </w:tcPr>
                <w:p w14:paraId="3EAB3CEB">
                  <w:pPr>
                    <w:topLinePunct/>
                    <w:adjustRightInd w:val="0"/>
                    <w:snapToGrid w:val="0"/>
                    <w:jc w:val="center"/>
                    <w:rPr>
                      <w:rFonts w:hint="eastAsia"/>
                      <w:color w:val="auto"/>
                      <w:kern w:val="0"/>
                      <w:szCs w:val="21"/>
                      <w:highlight w:val="none"/>
                      <w:lang w:val="en-US" w:eastAsia="zh-CN"/>
                    </w:rPr>
                  </w:pPr>
                  <w:r>
                    <w:rPr>
                      <w:rFonts w:hint="eastAsia"/>
                      <w:color w:val="auto"/>
                      <w:kern w:val="0"/>
                      <w:szCs w:val="21"/>
                      <w:highlight w:val="none"/>
                      <w:lang w:val="en-US" w:eastAsia="zh-CN"/>
                    </w:rPr>
                    <w:t>3</w:t>
                  </w:r>
                </w:p>
              </w:tc>
              <w:tc>
                <w:tcPr>
                  <w:tcW w:w="831" w:type="dxa"/>
                  <w:vMerge w:val="continue"/>
                  <w:noWrap w:val="0"/>
                  <w:vAlign w:val="top"/>
                </w:tcPr>
                <w:p w14:paraId="0A322D11">
                  <w:pPr>
                    <w:topLinePunct/>
                    <w:adjustRightInd w:val="0"/>
                    <w:snapToGrid w:val="0"/>
                    <w:jc w:val="center"/>
                    <w:rPr>
                      <w:color w:val="auto"/>
                      <w:kern w:val="0"/>
                      <w:szCs w:val="21"/>
                      <w:highlight w:val="none"/>
                    </w:rPr>
                  </w:pPr>
                </w:p>
              </w:tc>
              <w:tc>
                <w:tcPr>
                  <w:tcW w:w="1111" w:type="dxa"/>
                  <w:shd w:val="clear" w:color="auto" w:fill="auto"/>
                  <w:noWrap w:val="0"/>
                  <w:vAlign w:val="center"/>
                </w:tcPr>
                <w:p w14:paraId="25D953F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废含油手套及抹布</w:t>
                  </w:r>
                </w:p>
              </w:tc>
              <w:tc>
                <w:tcPr>
                  <w:tcW w:w="928" w:type="dxa"/>
                  <w:shd w:val="clear" w:color="auto" w:fill="auto"/>
                  <w:noWrap w:val="0"/>
                  <w:vAlign w:val="center"/>
                </w:tcPr>
                <w:p w14:paraId="7A3458DA">
                  <w:pPr>
                    <w:widowControl/>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HW49</w:t>
                  </w:r>
                </w:p>
              </w:tc>
              <w:tc>
                <w:tcPr>
                  <w:tcW w:w="1104" w:type="dxa"/>
                  <w:shd w:val="clear" w:color="auto" w:fill="auto"/>
                  <w:noWrap w:val="0"/>
                  <w:vAlign w:val="center"/>
                </w:tcPr>
                <w:p w14:paraId="481D0E6C">
                  <w:pPr>
                    <w:adjustRightInd w:val="0"/>
                    <w:jc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eastAsia="TimesNewRomanPSMT"/>
                      <w:color w:val="auto"/>
                      <w:kern w:val="0"/>
                      <w:sz w:val="18"/>
                      <w:szCs w:val="18"/>
                      <w:highlight w:val="none"/>
                      <w:lang w:bidi="ar"/>
                    </w:rPr>
                    <w:t>900-041-49</w:t>
                  </w:r>
                </w:p>
              </w:tc>
              <w:tc>
                <w:tcPr>
                  <w:tcW w:w="821" w:type="dxa"/>
                  <w:shd w:val="clear" w:color="auto" w:fill="auto"/>
                  <w:noWrap w:val="0"/>
                  <w:vAlign w:val="center"/>
                </w:tcPr>
                <w:p w14:paraId="225BD28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危废间</w:t>
                  </w:r>
                </w:p>
              </w:tc>
              <w:tc>
                <w:tcPr>
                  <w:tcW w:w="832" w:type="dxa"/>
                  <w:shd w:val="clear" w:color="auto" w:fill="auto"/>
                  <w:noWrap w:val="0"/>
                  <w:vAlign w:val="center"/>
                </w:tcPr>
                <w:p w14:paraId="0D0EA2B1">
                  <w:pPr>
                    <w:topLinePunct/>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0.5</w:t>
                  </w:r>
                </w:p>
              </w:tc>
              <w:tc>
                <w:tcPr>
                  <w:tcW w:w="807" w:type="dxa"/>
                  <w:shd w:val="clear" w:color="auto" w:fill="auto"/>
                  <w:noWrap w:val="0"/>
                  <w:vAlign w:val="center"/>
                </w:tcPr>
                <w:p w14:paraId="0B9402C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桶装暂存</w:t>
                  </w:r>
                </w:p>
              </w:tc>
              <w:tc>
                <w:tcPr>
                  <w:tcW w:w="635" w:type="dxa"/>
                  <w:shd w:val="clear" w:color="auto" w:fill="auto"/>
                  <w:noWrap w:val="0"/>
                  <w:vAlign w:val="center"/>
                </w:tcPr>
                <w:p w14:paraId="7563C64C">
                  <w:pPr>
                    <w:topLinePunct/>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0.3t</w:t>
                  </w:r>
                </w:p>
              </w:tc>
              <w:tc>
                <w:tcPr>
                  <w:tcW w:w="934" w:type="dxa"/>
                  <w:shd w:val="clear" w:color="auto" w:fill="auto"/>
                  <w:noWrap w:val="0"/>
                  <w:vAlign w:val="center"/>
                </w:tcPr>
                <w:p w14:paraId="0B38BF87">
                  <w:pPr>
                    <w:topLinePunct/>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1</w:t>
                  </w:r>
                  <w:r>
                    <w:rPr>
                      <w:color w:val="auto"/>
                      <w:kern w:val="0"/>
                      <w:szCs w:val="21"/>
                      <w:highlight w:val="none"/>
                    </w:rPr>
                    <w:t>年</w:t>
                  </w:r>
                </w:p>
              </w:tc>
            </w:tr>
            <w:tr w14:paraId="46ADF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501" w:type="dxa"/>
                  <w:noWrap w:val="0"/>
                  <w:vAlign w:val="center"/>
                </w:tcPr>
                <w:p w14:paraId="6289EC56">
                  <w:pPr>
                    <w:topLinePunct/>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w:t>
                  </w:r>
                </w:p>
              </w:tc>
              <w:tc>
                <w:tcPr>
                  <w:tcW w:w="831" w:type="dxa"/>
                  <w:vMerge w:val="continue"/>
                  <w:noWrap w:val="0"/>
                  <w:vAlign w:val="top"/>
                </w:tcPr>
                <w:p w14:paraId="6638F2C2">
                  <w:pPr>
                    <w:topLinePunct/>
                    <w:adjustRightInd w:val="0"/>
                    <w:snapToGrid w:val="0"/>
                    <w:jc w:val="center"/>
                    <w:rPr>
                      <w:color w:val="auto"/>
                      <w:kern w:val="0"/>
                      <w:szCs w:val="21"/>
                      <w:highlight w:val="none"/>
                    </w:rPr>
                  </w:pPr>
                </w:p>
              </w:tc>
              <w:tc>
                <w:tcPr>
                  <w:tcW w:w="1111" w:type="dxa"/>
                  <w:shd w:val="clear" w:color="auto" w:fill="auto"/>
                  <w:noWrap w:val="0"/>
                  <w:vAlign w:val="center"/>
                </w:tcPr>
                <w:p w14:paraId="1B93CC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 xml:space="preserve">废活性炭 </w:t>
                  </w:r>
                </w:p>
              </w:tc>
              <w:tc>
                <w:tcPr>
                  <w:tcW w:w="928" w:type="dxa"/>
                  <w:shd w:val="clear" w:color="auto" w:fill="auto"/>
                  <w:noWrap w:val="0"/>
                  <w:vAlign w:val="center"/>
                </w:tcPr>
                <w:p w14:paraId="584D366A">
                  <w:pPr>
                    <w:widowControl/>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HW49</w:t>
                  </w:r>
                </w:p>
              </w:tc>
              <w:tc>
                <w:tcPr>
                  <w:tcW w:w="1104" w:type="dxa"/>
                  <w:shd w:val="clear" w:color="auto" w:fill="auto"/>
                  <w:noWrap w:val="0"/>
                  <w:vAlign w:val="center"/>
                </w:tcPr>
                <w:p w14:paraId="738A04A2">
                  <w:pPr>
                    <w:adjustRightInd w:val="0"/>
                    <w:jc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eastAsia="TimesNewRomanPSMT"/>
                      <w:color w:val="auto"/>
                      <w:kern w:val="0"/>
                      <w:sz w:val="18"/>
                      <w:szCs w:val="18"/>
                      <w:highlight w:val="none"/>
                      <w:lang w:bidi="ar"/>
                    </w:rPr>
                    <w:t>900-0</w:t>
                  </w:r>
                  <w:r>
                    <w:rPr>
                      <w:rFonts w:hint="eastAsia" w:eastAsia="宋体"/>
                      <w:color w:val="auto"/>
                      <w:kern w:val="0"/>
                      <w:sz w:val="18"/>
                      <w:szCs w:val="18"/>
                      <w:highlight w:val="none"/>
                      <w:lang w:val="en-US" w:eastAsia="zh-CN" w:bidi="ar"/>
                    </w:rPr>
                    <w:t>39</w:t>
                  </w:r>
                  <w:r>
                    <w:rPr>
                      <w:rFonts w:eastAsia="TimesNewRomanPSMT"/>
                      <w:color w:val="auto"/>
                      <w:kern w:val="0"/>
                      <w:sz w:val="18"/>
                      <w:szCs w:val="18"/>
                      <w:highlight w:val="none"/>
                      <w:lang w:bidi="ar"/>
                    </w:rPr>
                    <w:t>-49</w:t>
                  </w:r>
                </w:p>
              </w:tc>
              <w:tc>
                <w:tcPr>
                  <w:tcW w:w="821" w:type="dxa"/>
                  <w:shd w:val="clear" w:color="auto" w:fill="auto"/>
                  <w:noWrap w:val="0"/>
                  <w:vAlign w:val="center"/>
                </w:tcPr>
                <w:p w14:paraId="7166E06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危废间</w:t>
                  </w:r>
                </w:p>
              </w:tc>
              <w:tc>
                <w:tcPr>
                  <w:tcW w:w="832" w:type="dxa"/>
                  <w:shd w:val="clear" w:color="auto" w:fill="auto"/>
                  <w:noWrap w:val="0"/>
                  <w:vAlign w:val="center"/>
                </w:tcPr>
                <w:p w14:paraId="43C98A84">
                  <w:pPr>
                    <w:topLinePunct/>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5</w:t>
                  </w:r>
                </w:p>
              </w:tc>
              <w:tc>
                <w:tcPr>
                  <w:tcW w:w="807" w:type="dxa"/>
                  <w:shd w:val="clear" w:color="auto" w:fill="auto"/>
                  <w:noWrap w:val="0"/>
                  <w:vAlign w:val="center"/>
                </w:tcPr>
                <w:p w14:paraId="57533D25">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密闭包装暂存</w:t>
                  </w:r>
                </w:p>
              </w:tc>
              <w:tc>
                <w:tcPr>
                  <w:tcW w:w="635" w:type="dxa"/>
                  <w:shd w:val="clear" w:color="auto" w:fill="auto"/>
                  <w:noWrap w:val="0"/>
                  <w:vAlign w:val="center"/>
                </w:tcPr>
                <w:p w14:paraId="24F0FB50">
                  <w:pPr>
                    <w:topLinePunct/>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10</w:t>
                  </w:r>
                </w:p>
              </w:tc>
              <w:tc>
                <w:tcPr>
                  <w:tcW w:w="934" w:type="dxa"/>
                  <w:shd w:val="clear" w:color="auto" w:fill="auto"/>
                  <w:noWrap w:val="0"/>
                  <w:vAlign w:val="center"/>
                </w:tcPr>
                <w:p w14:paraId="1CA406CA">
                  <w:pPr>
                    <w:topLinePunct/>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180天</w:t>
                  </w:r>
                </w:p>
              </w:tc>
            </w:tr>
          </w:tbl>
          <w:p w14:paraId="28D5AA92">
            <w:pPr>
              <w:pStyle w:val="32"/>
              <w:rPr>
                <w:rFonts w:ascii="Times New Roman" w:hAnsi="Times New Roman" w:cs="Times New Roman"/>
                <w:color w:val="auto"/>
                <w:highlight w:val="none"/>
              </w:rPr>
            </w:pPr>
          </w:p>
          <w:p w14:paraId="5A3ADD01">
            <w:pPr>
              <w:spacing w:line="420" w:lineRule="auto"/>
              <w:ind w:firstLine="482" w:firstLineChars="200"/>
              <w:rPr>
                <w:rFonts w:hint="default"/>
                <w:b/>
                <w:bCs/>
                <w:color w:val="auto"/>
                <w:sz w:val="24"/>
                <w:highlight w:val="none"/>
                <w:lang w:val="en-US"/>
              </w:rPr>
            </w:pPr>
            <w:r>
              <w:rPr>
                <w:b/>
                <w:bCs/>
                <w:color w:val="auto"/>
                <w:sz w:val="24"/>
                <w:highlight w:val="none"/>
              </w:rPr>
              <w:t>危废转移要求：</w:t>
            </w:r>
            <w:r>
              <w:rPr>
                <w:rFonts w:hint="eastAsia" w:ascii="Times New Roman" w:hAnsi="Times New Roman" w:cs="Times New Roman"/>
                <w:color w:val="auto"/>
                <w:sz w:val="24"/>
                <w:highlight w:val="none"/>
                <w:lang w:val="en-US" w:eastAsia="zh-CN"/>
              </w:rPr>
              <w:t>危险废物的转移应严格按照2021年11月30日发布的《危险废物转移管理办法》（生态环境部公安部交通运输</w:t>
            </w:r>
            <w:r>
              <w:rPr>
                <w:rFonts w:hint="eastAsia" w:cs="Times New Roman"/>
                <w:color w:val="auto"/>
                <w:sz w:val="24"/>
                <w:highlight w:val="none"/>
                <w:lang w:val="en-US" w:eastAsia="zh-CN"/>
              </w:rPr>
              <w:t>部</w:t>
            </w:r>
            <w:r>
              <w:rPr>
                <w:rFonts w:hint="eastAsia" w:ascii="Times New Roman" w:hAnsi="Times New Roman" w:cs="Times New Roman"/>
                <w:color w:val="auto"/>
                <w:sz w:val="24"/>
                <w:highlight w:val="none"/>
                <w:lang w:val="en-US" w:eastAsia="zh-CN"/>
              </w:rPr>
              <w:t>令第23号）相关要求执行。</w:t>
            </w:r>
          </w:p>
          <w:p w14:paraId="6803B804">
            <w:pPr>
              <w:spacing w:line="360" w:lineRule="auto"/>
              <w:ind w:firstLine="482" w:firstLineChars="200"/>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土壤和地下水</w:t>
            </w:r>
          </w:p>
          <w:p w14:paraId="1EA88C5A">
            <w:pPr>
              <w:spacing w:line="42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本项目为工业企业，项目运行期间对地下水环境和土壤环境的主要影响因子是危废间</w:t>
            </w:r>
            <w:r>
              <w:rPr>
                <w:rFonts w:hint="default" w:ascii="Times New Roman" w:hAnsi="Times New Roman" w:eastAsia="宋体" w:cs="Times New Roman"/>
                <w:bCs/>
                <w:color w:val="auto"/>
                <w:sz w:val="24"/>
                <w:szCs w:val="24"/>
                <w:highlight w:val="none"/>
                <w:lang w:eastAsia="zh-CN"/>
              </w:rPr>
              <w:t>危废泄漏</w:t>
            </w:r>
            <w:r>
              <w:rPr>
                <w:rFonts w:hint="default" w:ascii="Times New Roman" w:hAnsi="Times New Roman" w:eastAsia="宋体" w:cs="Times New Roman"/>
                <w:bCs/>
                <w:color w:val="auto"/>
                <w:sz w:val="24"/>
                <w:szCs w:val="24"/>
                <w:highlight w:val="none"/>
              </w:rPr>
              <w:t>对地下水造成的水质污染影响</w:t>
            </w:r>
            <w:r>
              <w:rPr>
                <w:rFonts w:hint="default" w:ascii="Times New Roman" w:hAnsi="Times New Roman" w:eastAsia="宋体" w:cs="Times New Roman"/>
                <w:color w:val="auto"/>
                <w:sz w:val="24"/>
                <w:szCs w:val="24"/>
                <w:highlight w:val="none"/>
              </w:rPr>
              <w:t>，故应对危废间</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化粪池</w:t>
            </w:r>
            <w:r>
              <w:rPr>
                <w:rFonts w:hint="default" w:ascii="Times New Roman" w:hAnsi="Times New Roman" w:eastAsia="宋体" w:cs="Times New Roman"/>
                <w:color w:val="auto"/>
                <w:sz w:val="24"/>
                <w:szCs w:val="24"/>
                <w:highlight w:val="none"/>
              </w:rPr>
              <w:t>进行重点防控。</w:t>
            </w:r>
          </w:p>
          <w:p w14:paraId="65A1D460">
            <w:pPr>
              <w:spacing w:line="420" w:lineRule="auto"/>
              <w:ind w:firstLine="480" w:firstLineChars="200"/>
              <w:rPr>
                <w:rFonts w:hint="eastAsia"/>
                <w:color w:val="auto"/>
                <w:sz w:val="24"/>
                <w:highlight w:val="none"/>
                <w:lang w:val="en-US" w:eastAsia="zh-CN"/>
              </w:rPr>
            </w:pPr>
            <w:r>
              <w:rPr>
                <w:rFonts w:hint="eastAsia" w:cs="Times New Roman"/>
                <w:color w:val="auto"/>
                <w:sz w:val="24"/>
                <w:szCs w:val="24"/>
                <w:highlight w:val="none"/>
                <w:lang w:val="en-US" w:eastAsia="zh-CN"/>
              </w:rPr>
              <w:t>危废间</w:t>
            </w:r>
            <w:r>
              <w:rPr>
                <w:rFonts w:hint="default" w:ascii="Times New Roman" w:hAnsi="Times New Roman" w:eastAsia="宋体" w:cs="Times New Roman"/>
                <w:color w:val="auto"/>
                <w:sz w:val="24"/>
                <w:szCs w:val="24"/>
                <w:highlight w:val="none"/>
              </w:rPr>
              <w:t>重点</w:t>
            </w:r>
            <w:r>
              <w:rPr>
                <w:rFonts w:hint="eastAsia" w:cs="Times New Roman"/>
                <w:color w:val="auto"/>
                <w:sz w:val="24"/>
                <w:szCs w:val="24"/>
                <w:highlight w:val="none"/>
                <w:lang w:val="en-US" w:eastAsia="zh-CN"/>
              </w:rPr>
              <w:t>防渗要求为：</w:t>
            </w:r>
            <w:r>
              <w:rPr>
                <w:rFonts w:hint="eastAsia"/>
                <w:color w:val="auto"/>
                <w:sz w:val="24"/>
                <w:highlight w:val="none"/>
                <w:lang w:val="en-US" w:eastAsia="zh-CN"/>
              </w:rPr>
              <w:t>采用2毫米以上的高密度聚乙烯或其他人工防渗材料组成，渗透系数应小于1.0×10</w:t>
            </w:r>
            <w:r>
              <w:rPr>
                <w:rFonts w:hint="eastAsia"/>
                <w:color w:val="auto"/>
                <w:sz w:val="24"/>
                <w:highlight w:val="none"/>
                <w:vertAlign w:val="superscript"/>
                <w:lang w:val="en-US" w:eastAsia="zh-CN"/>
              </w:rPr>
              <w:t>-10</w:t>
            </w:r>
            <w:r>
              <w:rPr>
                <w:rFonts w:hint="eastAsia"/>
                <w:color w:val="auto"/>
                <w:sz w:val="24"/>
                <w:highlight w:val="none"/>
                <w:lang w:val="en-US" w:eastAsia="zh-CN"/>
              </w:rPr>
              <w:t>cm/s。</w:t>
            </w:r>
          </w:p>
          <w:p w14:paraId="482CE640">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rPr>
            </w:pPr>
            <w:r>
              <w:rPr>
                <w:rFonts w:hint="eastAsia"/>
                <w:color w:val="auto"/>
                <w:sz w:val="24"/>
                <w:highlight w:val="none"/>
                <w:lang w:val="en-US" w:eastAsia="zh-CN"/>
              </w:rPr>
              <w:t>化粪池重点防</w:t>
            </w:r>
            <w:r>
              <w:rPr>
                <w:rFonts w:hint="eastAsia" w:cs="Times New Roman"/>
                <w:color w:val="auto"/>
                <w:sz w:val="24"/>
                <w:szCs w:val="24"/>
                <w:highlight w:val="none"/>
                <w:lang w:val="en-US" w:eastAsia="zh-CN"/>
              </w:rPr>
              <w:t>渗</w:t>
            </w:r>
            <w:r>
              <w:rPr>
                <w:rFonts w:hint="eastAsia"/>
                <w:color w:val="auto"/>
                <w:sz w:val="24"/>
                <w:highlight w:val="none"/>
                <w:lang w:val="en-US" w:eastAsia="zh-CN"/>
              </w:rPr>
              <w:t>要求为：</w:t>
            </w:r>
            <w:r>
              <w:rPr>
                <w:rFonts w:hint="eastAsia"/>
                <w:sz w:val="24"/>
                <w:szCs w:val="24"/>
              </w:rPr>
              <w:t>采用等效黏土防渗层Mb≥</w:t>
            </w:r>
            <w:r>
              <w:rPr>
                <w:rFonts w:hint="eastAsia"/>
                <w:sz w:val="24"/>
                <w:szCs w:val="24"/>
                <w:lang w:val="en-US" w:eastAsia="zh-CN"/>
              </w:rPr>
              <w:t>6.0</w:t>
            </w:r>
            <w:r>
              <w:rPr>
                <w:rFonts w:hint="eastAsia"/>
                <w:sz w:val="24"/>
                <w:szCs w:val="24"/>
              </w:rPr>
              <w:t>m，K≤1×10</w:t>
            </w:r>
            <w:r>
              <w:rPr>
                <w:rFonts w:hint="eastAsia"/>
                <w:sz w:val="24"/>
                <w:szCs w:val="24"/>
                <w:vertAlign w:val="superscript"/>
              </w:rPr>
              <w:t>-7</w:t>
            </w:r>
            <w:r>
              <w:rPr>
                <w:rFonts w:hint="eastAsia"/>
                <w:sz w:val="24"/>
                <w:szCs w:val="24"/>
              </w:rPr>
              <w:t>cm/s</w:t>
            </w:r>
            <w:r>
              <w:rPr>
                <w:sz w:val="24"/>
                <w:szCs w:val="24"/>
              </w:rPr>
              <w:t>，或参照GB18598执行</w:t>
            </w:r>
          </w:p>
          <w:p w14:paraId="2CD5FE56">
            <w:pPr>
              <w:spacing w:line="42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本项目除</w:t>
            </w:r>
            <w:r>
              <w:rPr>
                <w:rFonts w:hint="default" w:ascii="Times New Roman" w:hAnsi="Times New Roman" w:eastAsia="宋体" w:cs="Times New Roman"/>
                <w:color w:val="auto"/>
                <w:sz w:val="24"/>
                <w:szCs w:val="24"/>
                <w:highlight w:val="none"/>
                <w:lang w:eastAsia="zh-CN"/>
              </w:rPr>
              <w:t>重点防渗区</w:t>
            </w:r>
            <w:r>
              <w:rPr>
                <w:rFonts w:hint="default" w:ascii="Times New Roman" w:hAnsi="Times New Roman" w:eastAsia="宋体" w:cs="Times New Roman"/>
                <w:color w:val="auto"/>
                <w:sz w:val="24"/>
                <w:szCs w:val="24"/>
                <w:highlight w:val="none"/>
              </w:rPr>
              <w:t>以外的其他</w:t>
            </w:r>
            <w:r>
              <w:rPr>
                <w:rFonts w:hint="eastAsia"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rPr>
              <w:t>区域</w:t>
            </w:r>
            <w:r>
              <w:rPr>
                <w:rFonts w:hint="default" w:ascii="Times New Roman" w:hAnsi="Times New Roman" w:eastAsia="宋体" w:cs="Times New Roman"/>
                <w:color w:val="auto"/>
                <w:sz w:val="24"/>
                <w:szCs w:val="24"/>
                <w:highlight w:val="none"/>
                <w:lang w:eastAsia="zh-CN"/>
              </w:rPr>
              <w:t>为</w:t>
            </w:r>
            <w:r>
              <w:rPr>
                <w:rFonts w:hint="eastAsia" w:cs="Times New Roman"/>
                <w:color w:val="auto"/>
                <w:sz w:val="24"/>
                <w:szCs w:val="24"/>
                <w:highlight w:val="none"/>
                <w:lang w:val="en-US" w:eastAsia="zh-CN"/>
              </w:rPr>
              <w:t>一般防渗区，一般防渗区应采用等效黏土防渗层Mb≥1.5m，K≤1×10</w:t>
            </w:r>
            <w:r>
              <w:rPr>
                <w:rFonts w:hint="eastAsia" w:cs="Times New Roman"/>
                <w:color w:val="auto"/>
                <w:sz w:val="24"/>
                <w:szCs w:val="24"/>
                <w:highlight w:val="none"/>
                <w:vertAlign w:val="superscript"/>
                <w:lang w:val="en-US" w:eastAsia="zh-CN"/>
              </w:rPr>
              <w:t>-7</w:t>
            </w:r>
            <w:r>
              <w:rPr>
                <w:rFonts w:hint="eastAsia" w:cs="Times New Roman"/>
                <w:color w:val="auto"/>
                <w:sz w:val="24"/>
                <w:szCs w:val="24"/>
                <w:highlight w:val="none"/>
                <w:lang w:val="en-US" w:eastAsia="zh-CN"/>
              </w:rPr>
              <w:t>cm/s；或参照GB16889执行</w:t>
            </w:r>
          </w:p>
          <w:p w14:paraId="087AAE49">
            <w:pPr>
              <w:spacing w:line="420" w:lineRule="auto"/>
              <w:ind w:firstLine="480" w:firstLineChars="20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除重点防渗区和一般防渗区以外的区域为</w:t>
            </w:r>
            <w:r>
              <w:rPr>
                <w:rFonts w:hint="default" w:ascii="Times New Roman" w:hAnsi="Times New Roman" w:eastAsia="宋体" w:cs="Times New Roman"/>
                <w:color w:val="auto"/>
                <w:sz w:val="24"/>
                <w:szCs w:val="24"/>
                <w:highlight w:val="none"/>
                <w:lang w:eastAsia="zh-CN"/>
              </w:rPr>
              <w:t>简单防渗区</w:t>
            </w:r>
            <w:r>
              <w:rPr>
                <w:rFonts w:hint="default" w:ascii="Times New Roman" w:hAnsi="Times New Roman" w:eastAsia="宋体" w:cs="Times New Roman"/>
                <w:color w:val="auto"/>
                <w:sz w:val="24"/>
                <w:szCs w:val="24"/>
                <w:highlight w:val="none"/>
              </w:rPr>
              <w:t>，简单防渗</w:t>
            </w:r>
            <w:r>
              <w:rPr>
                <w:rFonts w:hint="default" w:ascii="Times New Roman" w:hAnsi="Times New Roman" w:eastAsia="宋体" w:cs="Times New Roman"/>
                <w:color w:val="auto"/>
                <w:sz w:val="24"/>
                <w:szCs w:val="24"/>
                <w:highlight w:val="none"/>
                <w:lang w:eastAsia="zh-CN"/>
              </w:rPr>
              <w:t>区采取一般地面硬化即可</w:t>
            </w:r>
            <w:r>
              <w:rPr>
                <w:rFonts w:hint="default" w:ascii="Times New Roman" w:hAnsi="Times New Roman" w:eastAsia="宋体" w:cs="Times New Roman"/>
                <w:color w:val="auto"/>
                <w:sz w:val="24"/>
                <w:szCs w:val="24"/>
                <w:highlight w:val="none"/>
              </w:rPr>
              <w:t>。</w:t>
            </w:r>
          </w:p>
          <w:p w14:paraId="45147222">
            <w:pPr>
              <w:spacing w:line="420" w:lineRule="auto"/>
              <w:ind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本项目采取的措施能够满足保护地下水及土壤的需求，</w:t>
            </w:r>
            <w:r>
              <w:rPr>
                <w:rFonts w:hint="default" w:ascii="Times New Roman" w:hAnsi="Times New Roman" w:eastAsia="宋体" w:cs="Times New Roman"/>
                <w:color w:val="auto"/>
                <w:sz w:val="24"/>
                <w:szCs w:val="24"/>
                <w:highlight w:val="none"/>
                <w:lang w:eastAsia="zh-CN"/>
              </w:rPr>
              <w:t>分区防渗要求</w:t>
            </w:r>
            <w:r>
              <w:rPr>
                <w:rFonts w:hint="default" w:ascii="Times New Roman" w:hAnsi="Times New Roman" w:eastAsia="宋体" w:cs="Times New Roman"/>
                <w:color w:val="auto"/>
                <w:sz w:val="24"/>
                <w:szCs w:val="24"/>
                <w:highlight w:val="none"/>
              </w:rPr>
              <w:t>能够满足</w:t>
            </w:r>
            <w:r>
              <w:rPr>
                <w:rFonts w:hint="default" w:ascii="Times New Roman" w:hAnsi="Times New Roman" w:eastAsia="宋体" w:cs="Times New Roman"/>
                <w:color w:val="auto"/>
                <w:sz w:val="24"/>
                <w:szCs w:val="24"/>
                <w:highlight w:val="none"/>
                <w:lang w:eastAsia="zh-CN"/>
              </w:rPr>
              <w:t>地下水、</w:t>
            </w:r>
            <w:r>
              <w:rPr>
                <w:rFonts w:hint="eastAsia" w:ascii="Times New Roman" w:hAnsi="Times New Roman" w:eastAsia="宋体" w:cs="Times New Roman"/>
                <w:color w:val="auto"/>
                <w:sz w:val="24"/>
                <w:szCs w:val="24"/>
                <w:highlight w:val="none"/>
                <w:lang w:eastAsia="zh-CN"/>
              </w:rPr>
              <w:t>土壤污染防治</w:t>
            </w:r>
            <w:r>
              <w:rPr>
                <w:rFonts w:hint="default" w:ascii="Times New Roman" w:hAnsi="Times New Roman" w:eastAsia="宋体" w:cs="Times New Roman"/>
                <w:color w:val="auto"/>
                <w:sz w:val="24"/>
                <w:szCs w:val="24"/>
                <w:highlight w:val="none"/>
              </w:rPr>
              <w:t>要求。</w:t>
            </w:r>
          </w:p>
          <w:p w14:paraId="4F0D5479">
            <w:pPr>
              <w:adjustRightInd w:val="0"/>
              <w:snapToGrid w:val="0"/>
              <w:spacing w:before="156" w:beforeLines="50" w:line="360" w:lineRule="auto"/>
              <w:ind w:firstLine="0" w:firstLine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4-</w:t>
            </w:r>
            <w:r>
              <w:rPr>
                <w:rFonts w:hint="eastAsia" w:cs="Times New Roman"/>
                <w:b/>
                <w:color w:val="auto"/>
                <w:sz w:val="24"/>
                <w:szCs w:val="24"/>
                <w:highlight w:val="none"/>
                <w:lang w:val="en-US" w:eastAsia="zh-CN"/>
              </w:rPr>
              <w:t>19</w:t>
            </w:r>
            <w:r>
              <w:rPr>
                <w:rFonts w:hint="default" w:ascii="Times New Roman" w:hAnsi="Times New Roman" w:eastAsia="宋体" w:cs="Times New Roman"/>
                <w:b/>
                <w:color w:val="auto"/>
                <w:sz w:val="24"/>
                <w:szCs w:val="24"/>
                <w:highlight w:val="none"/>
              </w:rPr>
              <w:t>防渗分区表</w:t>
            </w:r>
          </w:p>
          <w:tbl>
            <w:tblPr>
              <w:tblStyle w:val="23"/>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957"/>
              <w:gridCol w:w="2040"/>
              <w:gridCol w:w="3264"/>
            </w:tblGrid>
            <w:tr w14:paraId="1B7215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959" w:type="dxa"/>
                  <w:noWrap w:val="0"/>
                  <w:vAlign w:val="center"/>
                </w:tcPr>
                <w:p w14:paraId="1DA7E2BE">
                  <w:pPr>
                    <w:spacing w:line="36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957" w:type="dxa"/>
                  <w:noWrap w:val="0"/>
                  <w:vAlign w:val="center"/>
                </w:tcPr>
                <w:p w14:paraId="29E3B306">
                  <w:pPr>
                    <w:spacing w:line="36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区域</w:t>
                  </w:r>
                </w:p>
              </w:tc>
              <w:tc>
                <w:tcPr>
                  <w:tcW w:w="2040" w:type="dxa"/>
                  <w:noWrap w:val="0"/>
                  <w:vAlign w:val="center"/>
                </w:tcPr>
                <w:p w14:paraId="71ECAEF7">
                  <w:pPr>
                    <w:spacing w:line="36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防渗级别</w:t>
                  </w:r>
                </w:p>
              </w:tc>
              <w:tc>
                <w:tcPr>
                  <w:tcW w:w="3264" w:type="dxa"/>
                  <w:noWrap w:val="0"/>
                  <w:vAlign w:val="center"/>
                </w:tcPr>
                <w:p w14:paraId="417E905C">
                  <w:pPr>
                    <w:spacing w:line="36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防渗措施</w:t>
                  </w:r>
                </w:p>
              </w:tc>
            </w:tr>
            <w:tr w14:paraId="5C8CD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59" w:type="dxa"/>
                  <w:noWrap w:val="0"/>
                  <w:vAlign w:val="center"/>
                </w:tcPr>
                <w:p w14:paraId="3056B378">
                  <w:pPr>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957" w:type="dxa"/>
                  <w:noWrap w:val="0"/>
                  <w:vAlign w:val="center"/>
                </w:tcPr>
                <w:p w14:paraId="489B5C16">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危废间</w:t>
                  </w:r>
                </w:p>
              </w:tc>
              <w:tc>
                <w:tcPr>
                  <w:tcW w:w="2040" w:type="dxa"/>
                  <w:noWrap w:val="0"/>
                  <w:vAlign w:val="center"/>
                </w:tcPr>
                <w:p w14:paraId="247A984C">
                  <w:pPr>
                    <w:spacing w:line="36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重点防渗区</w:t>
                  </w:r>
                </w:p>
              </w:tc>
              <w:tc>
                <w:tcPr>
                  <w:tcW w:w="3264" w:type="dxa"/>
                  <w:noWrap w:val="0"/>
                  <w:vAlign w:val="center"/>
                </w:tcPr>
                <w:p w14:paraId="708518E2">
                  <w:pPr>
                    <w:jc w:val="both"/>
                    <w:rPr>
                      <w:rFonts w:hint="default" w:ascii="Times New Roman" w:hAnsi="Times New Roman" w:eastAsia="宋体" w:cs="Times New Roman"/>
                      <w:color w:val="auto"/>
                      <w:sz w:val="21"/>
                      <w:szCs w:val="21"/>
                      <w:highlight w:val="none"/>
                      <w:lang w:eastAsia="zh-CN"/>
                    </w:rPr>
                  </w:pPr>
                  <w:r>
                    <w:rPr>
                      <w:color w:val="auto"/>
                      <w:szCs w:val="21"/>
                      <w:highlight w:val="none"/>
                    </w:rPr>
                    <w:t>采用2毫米以上的高密度聚乙烯或其他人工防渗材料组成，渗透系数应小于1.0×10</w:t>
                  </w:r>
                  <w:r>
                    <w:rPr>
                      <w:color w:val="auto"/>
                      <w:szCs w:val="21"/>
                      <w:highlight w:val="none"/>
                      <w:vertAlign w:val="superscript"/>
                    </w:rPr>
                    <w:t>-10</w:t>
                  </w:r>
                  <w:r>
                    <w:rPr>
                      <w:color w:val="auto"/>
                      <w:szCs w:val="21"/>
                      <w:highlight w:val="none"/>
                    </w:rPr>
                    <w:t>cm/s</w:t>
                  </w:r>
                </w:p>
              </w:tc>
            </w:tr>
            <w:tr w14:paraId="64048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59" w:type="dxa"/>
                  <w:shd w:val="clear" w:color="auto" w:fill="auto"/>
                  <w:noWrap w:val="0"/>
                  <w:vAlign w:val="center"/>
                </w:tcPr>
                <w:p w14:paraId="15D7AAC5">
                  <w:pPr>
                    <w:spacing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p>
              </w:tc>
              <w:tc>
                <w:tcPr>
                  <w:tcW w:w="1957" w:type="dxa"/>
                  <w:noWrap w:val="0"/>
                  <w:vAlign w:val="center"/>
                </w:tcPr>
                <w:p w14:paraId="1B4FFD9D">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化粪池</w:t>
                  </w:r>
                </w:p>
              </w:tc>
              <w:tc>
                <w:tcPr>
                  <w:tcW w:w="2040" w:type="dxa"/>
                  <w:noWrap w:val="0"/>
                  <w:vAlign w:val="center"/>
                </w:tcPr>
                <w:p w14:paraId="1ADEC8BD">
                  <w:pPr>
                    <w:spacing w:line="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重点防渗区</w:t>
                  </w:r>
                </w:p>
              </w:tc>
              <w:tc>
                <w:tcPr>
                  <w:tcW w:w="3264" w:type="dxa"/>
                  <w:noWrap w:val="0"/>
                  <w:vAlign w:val="center"/>
                </w:tcPr>
                <w:p w14:paraId="03C0B361">
                  <w:pPr>
                    <w:spacing w:line="0" w:lineRule="atLeast"/>
                    <w:jc w:val="both"/>
                    <w:rPr>
                      <w:color w:val="auto"/>
                      <w:szCs w:val="21"/>
                      <w:highlight w:val="none"/>
                    </w:rPr>
                  </w:pPr>
                  <w:r>
                    <w:rPr>
                      <w:rFonts w:hint="eastAsia"/>
                      <w:szCs w:val="21"/>
                    </w:rPr>
                    <w:t>采用等效黏土防渗层Mb≥</w:t>
                  </w:r>
                  <w:r>
                    <w:rPr>
                      <w:rFonts w:hint="eastAsia"/>
                      <w:szCs w:val="21"/>
                      <w:lang w:val="en-US" w:eastAsia="zh-CN"/>
                    </w:rPr>
                    <w:t>6.0</w:t>
                  </w:r>
                  <w:r>
                    <w:rPr>
                      <w:rFonts w:hint="eastAsia"/>
                      <w:szCs w:val="21"/>
                    </w:rPr>
                    <w:t>m，K≤1×10</w:t>
                  </w:r>
                  <w:r>
                    <w:rPr>
                      <w:rFonts w:hint="eastAsia"/>
                      <w:szCs w:val="21"/>
                      <w:vertAlign w:val="superscript"/>
                    </w:rPr>
                    <w:t>-7</w:t>
                  </w:r>
                  <w:r>
                    <w:rPr>
                      <w:rFonts w:hint="eastAsia"/>
                      <w:szCs w:val="21"/>
                    </w:rPr>
                    <w:t>cm/s</w:t>
                  </w:r>
                  <w:r>
                    <w:rPr>
                      <w:szCs w:val="21"/>
                    </w:rPr>
                    <w:t>，或参照GB18598执行</w:t>
                  </w:r>
                </w:p>
              </w:tc>
            </w:tr>
            <w:tr w14:paraId="3EF90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59" w:type="dxa"/>
                  <w:shd w:val="clear" w:color="auto" w:fill="auto"/>
                  <w:noWrap w:val="0"/>
                  <w:vAlign w:val="center"/>
                </w:tcPr>
                <w:p w14:paraId="7615C268">
                  <w:pPr>
                    <w:spacing w:line="36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w:t>
                  </w:r>
                </w:p>
              </w:tc>
              <w:tc>
                <w:tcPr>
                  <w:tcW w:w="1957" w:type="dxa"/>
                  <w:noWrap w:val="0"/>
                  <w:vAlign w:val="center"/>
                </w:tcPr>
                <w:p w14:paraId="442BEF6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除危废间以外的生产区域</w:t>
                  </w:r>
                </w:p>
              </w:tc>
              <w:tc>
                <w:tcPr>
                  <w:tcW w:w="2040" w:type="dxa"/>
                  <w:noWrap w:val="0"/>
                  <w:vAlign w:val="center"/>
                </w:tcPr>
                <w:p w14:paraId="5232D8D7">
                  <w:pPr>
                    <w:spacing w:line="36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一般防渗区</w:t>
                  </w:r>
                </w:p>
              </w:tc>
              <w:tc>
                <w:tcPr>
                  <w:tcW w:w="3264" w:type="dxa"/>
                  <w:noWrap w:val="0"/>
                  <w:vAlign w:val="center"/>
                </w:tcPr>
                <w:p w14:paraId="230C4E22">
                  <w:pPr>
                    <w:jc w:val="both"/>
                    <w:rPr>
                      <w:color w:val="auto"/>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采用等效黏土防渗层Mb≥1.5m，K≤1×10</w:t>
                  </w:r>
                  <w:r>
                    <w:rPr>
                      <w:rFonts w:hint="default" w:ascii="Times New Roman" w:hAnsi="Times New Roman" w:eastAsia="宋体" w:cs="Times New Roman"/>
                      <w:i w:val="0"/>
                      <w:iCs w:val="0"/>
                      <w:color w:val="000000"/>
                      <w:kern w:val="0"/>
                      <w:sz w:val="21"/>
                      <w:szCs w:val="21"/>
                      <w:u w:val="none"/>
                      <w:vertAlign w:val="superscript"/>
                      <w:lang w:val="en-US" w:eastAsia="zh-CN" w:bidi="ar"/>
                    </w:rPr>
                    <w:t>-7</w:t>
                  </w:r>
                  <w:r>
                    <w:rPr>
                      <w:rFonts w:hint="default" w:ascii="Times New Roman" w:hAnsi="Times New Roman" w:eastAsia="宋体" w:cs="Times New Roman"/>
                      <w:i w:val="0"/>
                      <w:iCs w:val="0"/>
                      <w:color w:val="000000"/>
                      <w:kern w:val="0"/>
                      <w:sz w:val="21"/>
                      <w:szCs w:val="21"/>
                      <w:u w:val="none"/>
                      <w:lang w:val="en-US" w:eastAsia="zh-CN" w:bidi="ar"/>
                    </w:rPr>
                    <w:t>cm/s；或参照GB16889执行</w:t>
                  </w:r>
                </w:p>
              </w:tc>
            </w:tr>
            <w:tr w14:paraId="4DDD3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959" w:type="dxa"/>
                  <w:noWrap w:val="0"/>
                  <w:vAlign w:val="center"/>
                </w:tcPr>
                <w:p w14:paraId="3715B871">
                  <w:pPr>
                    <w:spacing w:line="36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957" w:type="dxa"/>
                  <w:noWrap w:val="0"/>
                  <w:vAlign w:val="center"/>
                </w:tcPr>
                <w:p w14:paraId="6404F35A">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w:t>
                  </w:r>
                  <w:r>
                    <w:rPr>
                      <w:rFonts w:hint="eastAsia" w:ascii="Times New Roman" w:hAnsi="Times New Roman" w:eastAsia="宋体" w:cs="Times New Roman"/>
                      <w:color w:val="auto"/>
                      <w:sz w:val="21"/>
                      <w:szCs w:val="21"/>
                      <w:highlight w:val="none"/>
                      <w:lang w:val="en-US" w:eastAsia="zh-CN"/>
                    </w:rPr>
                    <w:t>重点</w:t>
                  </w:r>
                  <w:r>
                    <w:rPr>
                      <w:rFonts w:hint="default" w:ascii="Times New Roman" w:hAnsi="Times New Roman" w:eastAsia="宋体" w:cs="Times New Roman"/>
                      <w:color w:val="auto"/>
                      <w:sz w:val="21"/>
                      <w:szCs w:val="21"/>
                      <w:highlight w:val="none"/>
                      <w:lang w:eastAsia="zh-CN"/>
                    </w:rPr>
                    <w:t>防渗区</w:t>
                  </w:r>
                  <w:r>
                    <w:rPr>
                      <w:rFonts w:hint="eastAsia" w:cs="Times New Roman"/>
                      <w:color w:val="auto"/>
                      <w:sz w:val="21"/>
                      <w:szCs w:val="21"/>
                      <w:highlight w:val="none"/>
                      <w:lang w:val="en-US" w:eastAsia="zh-CN"/>
                    </w:rPr>
                    <w:t>和一般防渗区</w:t>
                  </w:r>
                  <w:r>
                    <w:rPr>
                      <w:rFonts w:hint="default" w:ascii="Times New Roman" w:hAnsi="Times New Roman" w:eastAsia="宋体" w:cs="Times New Roman"/>
                      <w:color w:val="auto"/>
                      <w:sz w:val="21"/>
                      <w:szCs w:val="21"/>
                      <w:highlight w:val="none"/>
                    </w:rPr>
                    <w:t>以外的</w:t>
                  </w:r>
                  <w:r>
                    <w:rPr>
                      <w:rFonts w:hint="default" w:ascii="Times New Roman" w:hAnsi="Times New Roman" w:eastAsia="宋体" w:cs="Times New Roman"/>
                      <w:color w:val="auto"/>
                      <w:sz w:val="21"/>
                      <w:szCs w:val="21"/>
                      <w:highlight w:val="none"/>
                      <w:lang w:eastAsia="zh-CN"/>
                    </w:rPr>
                    <w:t>其他</w:t>
                  </w:r>
                  <w:r>
                    <w:rPr>
                      <w:rFonts w:hint="default" w:ascii="Times New Roman" w:hAnsi="Times New Roman" w:eastAsia="宋体" w:cs="Times New Roman"/>
                      <w:color w:val="auto"/>
                      <w:sz w:val="21"/>
                      <w:szCs w:val="21"/>
                      <w:highlight w:val="none"/>
                    </w:rPr>
                    <w:t>区域</w:t>
                  </w:r>
                </w:p>
              </w:tc>
              <w:tc>
                <w:tcPr>
                  <w:tcW w:w="2040" w:type="dxa"/>
                  <w:noWrap w:val="0"/>
                  <w:vAlign w:val="center"/>
                </w:tcPr>
                <w:p w14:paraId="676E4571">
                  <w:pPr>
                    <w:spacing w:line="0" w:lineRule="atLeas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简单防渗区</w:t>
                  </w:r>
                </w:p>
              </w:tc>
              <w:tc>
                <w:tcPr>
                  <w:tcW w:w="3264" w:type="dxa"/>
                  <w:noWrap w:val="0"/>
                  <w:vAlign w:val="center"/>
                </w:tcPr>
                <w:p w14:paraId="5782AF13">
                  <w:pPr>
                    <w:spacing w:line="0" w:lineRule="atLeas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一般地面硬化</w:t>
                  </w:r>
                </w:p>
              </w:tc>
            </w:tr>
          </w:tbl>
          <w:p w14:paraId="6441C5F2">
            <w:pPr>
              <w:adjustRightInd w:val="0"/>
              <w:snapToGrid w:val="0"/>
              <w:rPr>
                <w:rFonts w:hint="default" w:ascii="Times New Roman" w:hAnsi="Times New Roman" w:cs="Times New Roman"/>
                <w:bCs/>
                <w:color w:val="auto"/>
                <w:spacing w:val="-10"/>
                <w:szCs w:val="21"/>
                <w:highlight w:val="none"/>
                <w:lang w:val="en-US" w:eastAsia="zh-CN"/>
              </w:rPr>
            </w:pPr>
          </w:p>
          <w:p w14:paraId="1E76EA83">
            <w:pPr>
              <w:spacing w:line="360" w:lineRule="auto"/>
              <w:ind w:firstLine="482" w:firstLineChars="200"/>
              <w:rPr>
                <w:rFonts w:hint="default" w:ascii="Times New Roman" w:hAnsi="Times New Roman" w:eastAsia="宋体" w:cs="Times New Roman"/>
                <w:b/>
                <w:bCs/>
                <w:color w:val="auto"/>
                <w:sz w:val="24"/>
                <w:highlight w:val="none"/>
                <w:vertAlign w:val="baseline"/>
                <w:lang w:val="en-US" w:eastAsia="zh-CN"/>
              </w:rPr>
            </w:pPr>
            <w:r>
              <w:rPr>
                <w:rFonts w:hint="eastAsia" w:cs="Times New Roman"/>
                <w:b/>
                <w:bCs/>
                <w:color w:val="auto"/>
                <w:sz w:val="24"/>
                <w:highlight w:val="none"/>
                <w:vertAlign w:val="baseline"/>
                <w:lang w:val="en-US" w:eastAsia="zh-CN"/>
              </w:rPr>
              <w:t>6.</w:t>
            </w:r>
            <w:r>
              <w:rPr>
                <w:rFonts w:hint="default" w:ascii="Times New Roman" w:hAnsi="Times New Roman" w:eastAsia="宋体" w:cs="Times New Roman"/>
                <w:b/>
                <w:bCs/>
                <w:color w:val="auto"/>
                <w:sz w:val="24"/>
                <w:highlight w:val="none"/>
                <w:vertAlign w:val="baseline"/>
                <w:lang w:val="en-US" w:eastAsia="zh-CN"/>
              </w:rPr>
              <w:t>运营期监测要求</w:t>
            </w:r>
          </w:p>
          <w:p w14:paraId="537E0B20">
            <w:pPr>
              <w:pStyle w:val="42"/>
              <w:bidi w:val="0"/>
              <w:rPr>
                <w:rFonts w:hint="default" w:ascii="Times New Roman" w:hAnsi="Times New Roman" w:cs="Times New Roman"/>
                <w:lang w:val="en-US" w:eastAsia="zh-CN"/>
              </w:rPr>
            </w:pPr>
            <w:r>
              <w:rPr>
                <w:rFonts w:hint="default" w:ascii="Times New Roman" w:hAnsi="Times New Roman" w:cs="Times New Roman"/>
                <w:lang w:val="en-US" w:eastAsia="zh-CN"/>
              </w:rPr>
              <w:t>根据《固定污染源排污许可分类管理名录（2019年版）》《排污许可管理办法》</w:t>
            </w:r>
            <w:r>
              <w:rPr>
                <w:rFonts w:hint="default" w:ascii="Times New Roman" w:hAnsi="Times New Roman" w:cs="Times New Roman"/>
                <w:b/>
                <w:bCs/>
                <w:lang w:val="en-US" w:eastAsia="zh-CN"/>
              </w:rPr>
              <w:t>本项目属于</w:t>
            </w:r>
            <w:r>
              <w:rPr>
                <w:rFonts w:hint="default" w:ascii="Times New Roman" w:hAnsi="Times New Roman" w:eastAsia="宋体" w:cs="Times New Roman"/>
                <w:b/>
                <w:bCs/>
                <w:i w:val="0"/>
                <w:iCs w:val="0"/>
                <w:caps w:val="0"/>
                <w:color w:val="auto"/>
                <w:spacing w:val="0"/>
                <w:sz w:val="24"/>
                <w:szCs w:val="21"/>
              </w:rPr>
              <w:t>排污登记单位</w:t>
            </w:r>
            <w:r>
              <w:rPr>
                <w:rFonts w:hint="default" w:ascii="Times New Roman" w:hAnsi="Times New Roman" w:eastAsia="宋体" w:cs="Times New Roman"/>
                <w:b/>
                <w:bCs/>
                <w:i w:val="0"/>
                <w:iCs w:val="0"/>
                <w:caps w:val="0"/>
                <w:spacing w:val="0"/>
                <w:sz w:val="24"/>
                <w:szCs w:val="21"/>
                <w:lang w:val="en-US" w:eastAsia="zh-CN"/>
              </w:rPr>
              <w:t>不属于排污单位</w:t>
            </w:r>
            <w:r>
              <w:rPr>
                <w:rFonts w:hint="default" w:ascii="Times New Roman" w:hAnsi="Times New Roman" w:eastAsia="宋体" w:cs="Times New Roman"/>
                <w:i w:val="0"/>
                <w:iCs w:val="0"/>
                <w:caps w:val="0"/>
                <w:spacing w:val="0"/>
                <w:sz w:val="24"/>
                <w:szCs w:val="21"/>
                <w:lang w:val="en-US" w:eastAsia="zh-CN"/>
              </w:rPr>
              <w:t>，因此自行监测不适用</w:t>
            </w:r>
            <w:r>
              <w:rPr>
                <w:rFonts w:hint="default" w:ascii="Times New Roman" w:hAnsi="Times New Roman" w:cs="Times New Roman"/>
                <w:lang w:val="en-US" w:eastAsia="zh-CN"/>
              </w:rPr>
              <w:t>《排污单位自行监测技术指南 总则》(HJ819-2017)、《排污单位自行监测技术指南  橡胶与塑料制品工业》（HJ1207-2021）、《排污许可证申请与核发技术规范 锅炉》（HJ953-2018）中的相关要求，根据实际情况，本环评针对运营期监测计划如下表所示：</w:t>
            </w:r>
          </w:p>
          <w:p w14:paraId="19A281E3">
            <w:pPr>
              <w:pStyle w:val="43"/>
              <w:bidi w:val="0"/>
              <w:rPr>
                <w:rFonts w:hint="eastAsia"/>
                <w:color w:val="auto"/>
              </w:rPr>
            </w:pPr>
            <w:r>
              <w:rPr>
                <w:rFonts w:hint="eastAsia"/>
                <w:color w:val="auto"/>
              </w:rPr>
              <w:t>表</w:t>
            </w:r>
            <w:r>
              <w:rPr>
                <w:rFonts w:hint="eastAsia"/>
                <w:color w:val="auto"/>
                <w:lang w:val="en-US" w:eastAsia="zh-CN"/>
              </w:rPr>
              <w:t>4-20全厂</w:t>
            </w:r>
            <w:r>
              <w:rPr>
                <w:rFonts w:hint="eastAsia"/>
                <w:color w:val="auto"/>
              </w:rPr>
              <w:t>运营期监测计划</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74"/>
              <w:gridCol w:w="2174"/>
              <w:gridCol w:w="1416"/>
              <w:gridCol w:w="2934"/>
            </w:tblGrid>
            <w:tr w14:paraId="073BA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174" w:type="dxa"/>
                  <w:tcBorders>
                    <w:tl2br w:val="nil"/>
                    <w:tr2bl w:val="nil"/>
                  </w:tcBorders>
                  <w:vAlign w:val="center"/>
                </w:tcPr>
                <w:p w14:paraId="4F6F7664">
                  <w:pPr>
                    <w:pStyle w:val="42"/>
                    <w:bidi w:val="0"/>
                    <w:spacing w:line="240" w:lineRule="auto"/>
                    <w:ind w:firstLine="0" w:firstLineChars="0"/>
                    <w:jc w:val="center"/>
                    <w:rPr>
                      <w:rFonts w:hint="eastAsia" w:ascii="Times New Roman" w:hAnsi="Times New Roman" w:cs="Times New Roman"/>
                      <w:b/>
                      <w:bCs w:val="0"/>
                      <w:color w:val="auto"/>
                      <w:sz w:val="21"/>
                      <w:szCs w:val="24"/>
                      <w:vertAlign w:val="baseline"/>
                    </w:rPr>
                  </w:pPr>
                  <w:r>
                    <w:rPr>
                      <w:rFonts w:hint="eastAsia" w:ascii="Times New Roman" w:hAnsi="Times New Roman" w:cs="Times New Roman"/>
                      <w:b/>
                      <w:bCs w:val="0"/>
                      <w:sz w:val="21"/>
                      <w:szCs w:val="24"/>
                      <w:vertAlign w:val="baseline"/>
                      <w:lang w:val="en-US" w:eastAsia="zh-CN"/>
                    </w:rPr>
                    <w:t>点位</w:t>
                  </w:r>
                </w:p>
              </w:tc>
              <w:tc>
                <w:tcPr>
                  <w:tcW w:w="2174" w:type="dxa"/>
                  <w:tcBorders>
                    <w:tl2br w:val="nil"/>
                    <w:tr2bl w:val="nil"/>
                  </w:tcBorders>
                  <w:vAlign w:val="center"/>
                </w:tcPr>
                <w:p w14:paraId="2C14AF82">
                  <w:pPr>
                    <w:pStyle w:val="42"/>
                    <w:bidi w:val="0"/>
                    <w:spacing w:line="240" w:lineRule="auto"/>
                    <w:ind w:firstLine="0" w:firstLineChars="0"/>
                    <w:jc w:val="center"/>
                    <w:rPr>
                      <w:rFonts w:hint="default" w:ascii="Times New Roman" w:hAnsi="Times New Roman" w:cs="Times New Roman"/>
                      <w:b/>
                      <w:bCs w:val="0"/>
                      <w:sz w:val="21"/>
                      <w:szCs w:val="24"/>
                    </w:rPr>
                  </w:pPr>
                  <w:r>
                    <w:rPr>
                      <w:rFonts w:hint="eastAsia" w:ascii="Times New Roman" w:hAnsi="Times New Roman" w:cs="Times New Roman"/>
                      <w:b/>
                      <w:bCs w:val="0"/>
                      <w:sz w:val="21"/>
                      <w:szCs w:val="24"/>
                      <w:lang w:val="en-US" w:eastAsia="zh-CN"/>
                    </w:rPr>
                    <w:t>监测因子</w:t>
                  </w:r>
                </w:p>
              </w:tc>
              <w:tc>
                <w:tcPr>
                  <w:tcW w:w="1416" w:type="dxa"/>
                  <w:tcBorders>
                    <w:tl2br w:val="nil"/>
                    <w:tr2bl w:val="nil"/>
                  </w:tcBorders>
                  <w:vAlign w:val="center"/>
                </w:tcPr>
                <w:p w14:paraId="3F7C9D7E">
                  <w:pPr>
                    <w:pStyle w:val="42"/>
                    <w:bidi w:val="0"/>
                    <w:spacing w:line="240" w:lineRule="auto"/>
                    <w:ind w:firstLine="0" w:firstLineChars="0"/>
                    <w:jc w:val="center"/>
                    <w:rPr>
                      <w:rFonts w:hint="default" w:ascii="Times New Roman" w:hAnsi="Times New Roman" w:cs="Times New Roman"/>
                      <w:b/>
                      <w:bCs w:val="0"/>
                      <w:sz w:val="21"/>
                      <w:szCs w:val="24"/>
                    </w:rPr>
                  </w:pPr>
                  <w:r>
                    <w:rPr>
                      <w:rFonts w:hint="eastAsia" w:ascii="Times New Roman" w:hAnsi="Times New Roman" w:cs="Times New Roman"/>
                      <w:b/>
                      <w:bCs w:val="0"/>
                      <w:sz w:val="21"/>
                      <w:szCs w:val="24"/>
                      <w:lang w:val="en-US" w:eastAsia="zh-CN"/>
                    </w:rPr>
                    <w:t>监测频次</w:t>
                  </w:r>
                </w:p>
              </w:tc>
              <w:tc>
                <w:tcPr>
                  <w:tcW w:w="2934" w:type="dxa"/>
                  <w:tcBorders>
                    <w:tl2br w:val="nil"/>
                    <w:tr2bl w:val="nil"/>
                  </w:tcBorders>
                  <w:vAlign w:val="center"/>
                </w:tcPr>
                <w:p w14:paraId="576427E1">
                  <w:pPr>
                    <w:pStyle w:val="42"/>
                    <w:bidi w:val="0"/>
                    <w:spacing w:line="240" w:lineRule="auto"/>
                    <w:ind w:firstLine="0" w:firstLineChars="0"/>
                    <w:jc w:val="center"/>
                    <w:rPr>
                      <w:rFonts w:hint="default" w:ascii="Times New Roman" w:hAnsi="Times New Roman" w:cs="Times New Roman"/>
                      <w:b/>
                      <w:bCs w:val="0"/>
                      <w:sz w:val="21"/>
                      <w:szCs w:val="24"/>
                    </w:rPr>
                  </w:pPr>
                  <w:r>
                    <w:rPr>
                      <w:rFonts w:hint="eastAsia" w:ascii="Times New Roman" w:hAnsi="Times New Roman" w:cs="Times New Roman"/>
                      <w:b/>
                      <w:bCs w:val="0"/>
                      <w:sz w:val="21"/>
                      <w:szCs w:val="24"/>
                      <w:lang w:val="en-US" w:eastAsia="zh-CN"/>
                    </w:rPr>
                    <w:t>执行标准</w:t>
                  </w:r>
                </w:p>
              </w:tc>
            </w:tr>
            <w:tr w14:paraId="1221E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174" w:type="dxa"/>
                  <w:tcBorders>
                    <w:tl2br w:val="nil"/>
                    <w:tr2bl w:val="nil"/>
                  </w:tcBorders>
                  <w:vAlign w:val="center"/>
                </w:tcPr>
                <w:p w14:paraId="72BEB592">
                  <w:pPr>
                    <w:pStyle w:val="42"/>
                    <w:spacing w:line="240" w:lineRule="auto"/>
                    <w:ind w:firstLine="0" w:firstLineChars="0"/>
                    <w:jc w:val="center"/>
                    <w:rPr>
                      <w:rFonts w:hint="eastAsia" w:ascii="Times New Roman" w:hAnsi="Times New Roman" w:cs="Times New Roman"/>
                      <w:bCs/>
                      <w:sz w:val="21"/>
                      <w:szCs w:val="24"/>
                      <w:vertAlign w:val="baseline"/>
                      <w:lang w:val="en-US" w:eastAsia="zh-CN"/>
                    </w:rPr>
                  </w:pPr>
                  <w:r>
                    <w:rPr>
                      <w:rFonts w:hint="eastAsia" w:ascii="Times New Roman" w:hAnsi="Times New Roman" w:cs="Times New Roman"/>
                      <w:bCs/>
                      <w:sz w:val="21"/>
                      <w:szCs w:val="24"/>
                      <w:vertAlign w:val="baseline"/>
                      <w:lang w:val="en-US" w:eastAsia="zh-CN"/>
                    </w:rPr>
                    <w:t>硫化废气排放口</w:t>
                  </w:r>
                </w:p>
                <w:p w14:paraId="0A3DD002">
                  <w:pPr>
                    <w:pStyle w:val="42"/>
                    <w:spacing w:line="240" w:lineRule="auto"/>
                    <w:ind w:firstLine="0" w:firstLineChars="0"/>
                    <w:jc w:val="center"/>
                    <w:rPr>
                      <w:rFonts w:hint="default" w:ascii="Times New Roman" w:hAnsi="Times New Roman" w:cs="Times New Roman"/>
                      <w:bCs/>
                      <w:sz w:val="21"/>
                      <w:szCs w:val="24"/>
                      <w:vertAlign w:val="baseline"/>
                      <w:lang w:val="en-US" w:eastAsia="zh-CN"/>
                    </w:rPr>
                  </w:pPr>
                  <w:r>
                    <w:rPr>
                      <w:rFonts w:hint="eastAsia" w:ascii="Times New Roman" w:hAnsi="Times New Roman" w:cs="Times New Roman"/>
                      <w:bCs/>
                      <w:sz w:val="21"/>
                      <w:szCs w:val="24"/>
                      <w:vertAlign w:val="baseline"/>
                      <w:lang w:val="en-US" w:eastAsia="zh-CN"/>
                    </w:rPr>
                    <w:t>DA001</w:t>
                  </w:r>
                </w:p>
              </w:tc>
              <w:tc>
                <w:tcPr>
                  <w:tcW w:w="2174" w:type="dxa"/>
                  <w:tcBorders>
                    <w:tl2br w:val="nil"/>
                    <w:tr2bl w:val="nil"/>
                  </w:tcBorders>
                  <w:vAlign w:val="center"/>
                </w:tcPr>
                <w:p w14:paraId="09A8531F">
                  <w:pPr>
                    <w:pStyle w:val="42"/>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、臭气浓度</w:t>
                  </w:r>
                </w:p>
              </w:tc>
              <w:tc>
                <w:tcPr>
                  <w:tcW w:w="1416" w:type="dxa"/>
                  <w:tcBorders>
                    <w:tl2br w:val="nil"/>
                    <w:tr2bl w:val="nil"/>
                  </w:tcBorders>
                  <w:vAlign w:val="center"/>
                </w:tcPr>
                <w:p w14:paraId="57D3F4A1">
                  <w:pPr>
                    <w:pStyle w:val="42"/>
                    <w:spacing w:line="240" w:lineRule="auto"/>
                    <w:ind w:firstLine="0" w:firstLineChars="0"/>
                    <w:jc w:val="center"/>
                    <w:rPr>
                      <w:rFonts w:hint="eastAsia"/>
                      <w:color w:val="auto"/>
                      <w:sz w:val="21"/>
                      <w:szCs w:val="21"/>
                    </w:rPr>
                  </w:pPr>
                  <w:r>
                    <w:rPr>
                      <w:rFonts w:hint="eastAsia"/>
                      <w:color w:val="auto"/>
                      <w:sz w:val="21"/>
                      <w:szCs w:val="21"/>
                    </w:rPr>
                    <w:t>每年1次</w:t>
                  </w:r>
                </w:p>
              </w:tc>
              <w:tc>
                <w:tcPr>
                  <w:tcW w:w="2934" w:type="dxa"/>
                  <w:vMerge w:val="restart"/>
                  <w:tcBorders>
                    <w:tl2br w:val="nil"/>
                    <w:tr2bl w:val="nil"/>
                  </w:tcBorders>
                  <w:vAlign w:val="center"/>
                </w:tcPr>
                <w:p w14:paraId="1C23DC28">
                  <w:pPr>
                    <w:pStyle w:val="42"/>
                    <w:spacing w:line="240" w:lineRule="auto"/>
                    <w:ind w:firstLine="0" w:firstLineChars="0"/>
                    <w:jc w:val="center"/>
                    <w:rPr>
                      <w:rFonts w:hint="default" w:ascii="Times New Roman" w:hAnsi="Times New Roman" w:eastAsia="宋体" w:cs="Times New Roman"/>
                      <w:bCs/>
                      <w:sz w:val="21"/>
                      <w:szCs w:val="24"/>
                      <w:lang w:val="en-US" w:eastAsia="zh-CN"/>
                    </w:rPr>
                  </w:pPr>
                  <w:r>
                    <w:rPr>
                      <w:rFonts w:hint="default" w:ascii="Times New Roman" w:hAnsi="Times New Roman" w:cs="Times New Roman"/>
                      <w:color w:val="auto"/>
                      <w:lang w:val="en-US" w:eastAsia="zh-CN"/>
                    </w:rPr>
                    <w:t>VOCs</w:t>
                  </w:r>
                  <w:r>
                    <w:rPr>
                      <w:rFonts w:hint="default" w:ascii="Times New Roman" w:hAnsi="Times New Roman" w:cs="Times New Roman"/>
                      <w:color w:val="auto"/>
                      <w:sz w:val="21"/>
                      <w:szCs w:val="21"/>
                      <w:lang w:eastAsia="zh-CN"/>
                    </w:rPr>
                    <w:t>排放执行《四川省固定污染源大气挥发性有机物排放标准》（</w:t>
                  </w:r>
                  <w:r>
                    <w:rPr>
                      <w:rFonts w:hint="default" w:ascii="Times New Roman" w:hAnsi="Times New Roman" w:cs="Times New Roman"/>
                      <w:color w:val="auto"/>
                      <w:sz w:val="21"/>
                      <w:szCs w:val="21"/>
                      <w:lang w:val="en-US" w:eastAsia="zh-CN"/>
                    </w:rPr>
                    <w:t>DB51/2377</w:t>
                  </w:r>
                  <w:r>
                    <w:rPr>
                      <w:rFonts w:hint="eastAsia" w:ascii="Times New Roman" w:hAnsi="Times New Roman" w:cs="Times New Roman"/>
                      <w:color w:val="auto"/>
                      <w:sz w:val="21"/>
                      <w:szCs w:val="21"/>
                      <w:lang w:val="en-US" w:eastAsia="zh-CN"/>
                    </w:rPr>
                    <w:t>-2017</w:t>
                  </w:r>
                  <w:r>
                    <w:rPr>
                      <w:rFonts w:hint="default" w:ascii="Times New Roman" w:hAnsi="Times New Roman" w:cs="Times New Roman"/>
                      <w:color w:val="auto"/>
                      <w:sz w:val="21"/>
                      <w:szCs w:val="21"/>
                      <w:lang w:eastAsia="zh-CN"/>
                    </w:rPr>
                    <w:t>）、颗粒物执行</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橡胶制品工业污染物排放标准</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GB27632</w:t>
                  </w:r>
                  <w:r>
                    <w:rPr>
                      <w:rFonts w:hint="eastAsia" w:ascii="Times New Roman" w:hAnsi="Times New Roman" w:cs="Times New Roman"/>
                      <w:color w:val="auto"/>
                      <w:sz w:val="21"/>
                      <w:szCs w:val="21"/>
                      <w:lang w:val="en-US" w:eastAsia="zh-CN"/>
                    </w:rPr>
                    <w:t>-2011</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恶臭废气执行《恶臭污染物排放标准》（GB14554-1993）</w:t>
                  </w:r>
                </w:p>
              </w:tc>
            </w:tr>
            <w:tr w14:paraId="5C792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174" w:type="dxa"/>
                  <w:tcBorders>
                    <w:tl2br w:val="nil"/>
                    <w:tr2bl w:val="nil"/>
                  </w:tcBorders>
                  <w:shd w:val="clear" w:color="auto" w:fill="auto"/>
                  <w:vAlign w:val="center"/>
                </w:tcPr>
                <w:p w14:paraId="7931C0CD">
                  <w:pPr>
                    <w:pStyle w:val="42"/>
                    <w:bidi w:val="0"/>
                    <w:spacing w:line="240" w:lineRule="auto"/>
                    <w:ind w:firstLine="0" w:firstLineChars="0"/>
                    <w:jc w:val="center"/>
                    <w:rPr>
                      <w:rFonts w:hint="default" w:ascii="Times New Roman" w:hAnsi="Times New Roman" w:cs="Times New Roman"/>
                      <w:bCs/>
                      <w:sz w:val="21"/>
                      <w:szCs w:val="24"/>
                      <w:vertAlign w:val="baseline"/>
                    </w:rPr>
                  </w:pPr>
                  <w:r>
                    <w:rPr>
                      <w:rFonts w:hint="default" w:ascii="Times New Roman" w:hAnsi="Times New Roman" w:cs="Times New Roman"/>
                      <w:bCs/>
                      <w:sz w:val="21"/>
                      <w:szCs w:val="24"/>
                      <w:vertAlign w:val="baseline"/>
                      <w:lang w:val="en-US" w:eastAsia="zh-CN"/>
                    </w:rPr>
                    <w:t>炼胶</w:t>
                  </w:r>
                  <w:r>
                    <w:rPr>
                      <w:rFonts w:hint="default" w:ascii="Times New Roman" w:hAnsi="Times New Roman" w:cs="Times New Roman"/>
                      <w:bCs/>
                      <w:sz w:val="21"/>
                      <w:szCs w:val="24"/>
                      <w:vertAlign w:val="baseline"/>
                    </w:rPr>
                    <w:t>废气排放</w:t>
                  </w:r>
                </w:p>
                <w:p w14:paraId="1E07FFF7">
                  <w:pPr>
                    <w:pStyle w:val="42"/>
                    <w:bidi w:val="0"/>
                    <w:spacing w:line="240" w:lineRule="auto"/>
                    <w:ind w:firstLine="0" w:firstLineChars="0"/>
                    <w:jc w:val="center"/>
                    <w:rPr>
                      <w:rFonts w:hint="eastAsia" w:ascii="Times New Roman" w:hAnsi="Times New Roman" w:eastAsia="宋体" w:cs="Times New Roman"/>
                      <w:bCs/>
                      <w:kern w:val="2"/>
                      <w:sz w:val="21"/>
                      <w:szCs w:val="24"/>
                      <w:vertAlign w:val="baseline"/>
                      <w:lang w:val="en-US" w:eastAsia="zh-CN" w:bidi="ar-SA"/>
                    </w:rPr>
                  </w:pPr>
                  <w:r>
                    <w:rPr>
                      <w:rFonts w:hint="default" w:ascii="Times New Roman" w:hAnsi="Times New Roman" w:cs="Times New Roman"/>
                      <w:bCs/>
                      <w:sz w:val="21"/>
                      <w:szCs w:val="24"/>
                      <w:vertAlign w:val="baseline"/>
                    </w:rPr>
                    <w:t>DA00</w:t>
                  </w:r>
                  <w:r>
                    <w:rPr>
                      <w:rFonts w:hint="eastAsia" w:ascii="Times New Roman" w:hAnsi="Times New Roman" w:cs="Times New Roman"/>
                      <w:bCs/>
                      <w:sz w:val="21"/>
                      <w:szCs w:val="24"/>
                      <w:vertAlign w:val="baseline"/>
                      <w:lang w:val="en-US" w:eastAsia="zh-CN"/>
                    </w:rPr>
                    <w:t>2</w:t>
                  </w:r>
                </w:p>
              </w:tc>
              <w:tc>
                <w:tcPr>
                  <w:tcW w:w="2174" w:type="dxa"/>
                  <w:tcBorders>
                    <w:tl2br w:val="nil"/>
                    <w:tr2bl w:val="nil"/>
                  </w:tcBorders>
                  <w:shd w:val="clear" w:color="auto" w:fill="auto"/>
                  <w:vAlign w:val="center"/>
                </w:tcPr>
                <w:p w14:paraId="3E83FA25">
                  <w:pPr>
                    <w:pStyle w:val="42"/>
                    <w:bidi w:val="0"/>
                    <w:spacing w:line="240" w:lineRule="auto"/>
                    <w:ind w:firstLine="0" w:firstLineChars="0"/>
                    <w:jc w:val="center"/>
                    <w:rPr>
                      <w:rFonts w:hint="default" w:ascii="Times New Roman" w:hAnsi="Times New Roman" w:eastAsia="宋体" w:cs="Times New Roman"/>
                      <w:bCs/>
                      <w:kern w:val="2"/>
                      <w:sz w:val="21"/>
                      <w:szCs w:val="24"/>
                      <w:lang w:val="en-US" w:eastAsia="zh-CN" w:bidi="ar-SA"/>
                    </w:rPr>
                  </w:pPr>
                  <w:r>
                    <w:rPr>
                      <w:rFonts w:hint="default" w:ascii="Times New Roman" w:hAnsi="Times New Roman" w:cs="Times New Roman"/>
                      <w:color w:val="auto"/>
                      <w:sz w:val="21"/>
                      <w:szCs w:val="21"/>
                    </w:rPr>
                    <w:t>颗粒物</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、臭气浓度</w:t>
                  </w:r>
                </w:p>
              </w:tc>
              <w:tc>
                <w:tcPr>
                  <w:tcW w:w="1416" w:type="dxa"/>
                  <w:tcBorders>
                    <w:tl2br w:val="nil"/>
                    <w:tr2bl w:val="nil"/>
                  </w:tcBorders>
                  <w:shd w:val="clear" w:color="auto" w:fill="auto"/>
                  <w:vAlign w:val="center"/>
                </w:tcPr>
                <w:p w14:paraId="5499F6B0">
                  <w:pPr>
                    <w:pStyle w:val="42"/>
                    <w:bidi w:val="0"/>
                    <w:spacing w:line="240" w:lineRule="auto"/>
                    <w:ind w:firstLine="0" w:firstLineChars="0"/>
                    <w:jc w:val="center"/>
                    <w:rPr>
                      <w:rFonts w:hint="eastAsia" w:ascii="Times New Roman" w:hAnsi="Times New Roman" w:eastAsia="宋体" w:cs="Times New Roman"/>
                      <w:bCs/>
                      <w:kern w:val="2"/>
                      <w:sz w:val="21"/>
                      <w:szCs w:val="24"/>
                      <w:lang w:val="en-US" w:eastAsia="zh-CN" w:bidi="ar-SA"/>
                    </w:rPr>
                  </w:pPr>
                  <w:r>
                    <w:rPr>
                      <w:rFonts w:hint="eastAsia"/>
                      <w:color w:val="auto"/>
                      <w:sz w:val="21"/>
                      <w:szCs w:val="21"/>
                    </w:rPr>
                    <w:t>每年1次</w:t>
                  </w:r>
                </w:p>
              </w:tc>
              <w:tc>
                <w:tcPr>
                  <w:tcW w:w="2934" w:type="dxa"/>
                  <w:vMerge w:val="continue"/>
                  <w:tcBorders>
                    <w:tl2br w:val="nil"/>
                    <w:tr2bl w:val="nil"/>
                  </w:tcBorders>
                  <w:shd w:val="clear" w:color="auto" w:fill="auto"/>
                  <w:vAlign w:val="center"/>
                </w:tcPr>
                <w:p w14:paraId="60FFB4C0">
                  <w:pPr>
                    <w:pStyle w:val="42"/>
                    <w:bidi w:val="0"/>
                    <w:spacing w:line="240" w:lineRule="auto"/>
                    <w:ind w:firstLine="0" w:firstLineChars="0"/>
                    <w:jc w:val="center"/>
                    <w:rPr>
                      <w:rFonts w:hint="default" w:ascii="Times New Roman" w:hAnsi="Times New Roman" w:eastAsia="宋体" w:cs="Times New Roman"/>
                      <w:bCs/>
                      <w:kern w:val="2"/>
                      <w:sz w:val="21"/>
                      <w:szCs w:val="24"/>
                      <w:lang w:val="en-US" w:eastAsia="zh-CN" w:bidi="ar-SA"/>
                    </w:rPr>
                  </w:pPr>
                </w:p>
              </w:tc>
            </w:tr>
            <w:tr w14:paraId="2583A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174" w:type="dxa"/>
                  <w:tcBorders>
                    <w:tl2br w:val="nil"/>
                    <w:tr2bl w:val="nil"/>
                  </w:tcBorders>
                  <w:vAlign w:val="center"/>
                </w:tcPr>
                <w:p w14:paraId="6B17BE1B">
                  <w:pPr>
                    <w:pStyle w:val="42"/>
                    <w:bidi w:val="0"/>
                    <w:spacing w:line="240" w:lineRule="auto"/>
                    <w:ind w:firstLine="0" w:firstLineChars="0"/>
                    <w:jc w:val="center"/>
                    <w:rPr>
                      <w:rFonts w:hint="default" w:ascii="Times New Roman" w:hAnsi="Times New Roman" w:cs="Times New Roman"/>
                      <w:bCs/>
                      <w:color w:val="auto"/>
                      <w:sz w:val="21"/>
                      <w:szCs w:val="24"/>
                      <w:vertAlign w:val="baseline"/>
                    </w:rPr>
                  </w:pPr>
                  <w:r>
                    <w:rPr>
                      <w:rFonts w:hint="default" w:ascii="Times New Roman" w:hAnsi="Times New Roman" w:eastAsia="宋体" w:cs="Times New Roman"/>
                      <w:bCs/>
                      <w:sz w:val="21"/>
                      <w:szCs w:val="24"/>
                      <w:highlight w:val="none"/>
                      <w:lang w:val="en-US" w:eastAsia="zh-CN"/>
                    </w:rPr>
                    <w:t>橡胶制品废气排放口DA003</w:t>
                  </w:r>
                </w:p>
              </w:tc>
              <w:tc>
                <w:tcPr>
                  <w:tcW w:w="2174" w:type="dxa"/>
                  <w:tcBorders>
                    <w:tl2br w:val="nil"/>
                    <w:tr2bl w:val="nil"/>
                  </w:tcBorders>
                  <w:vAlign w:val="center"/>
                </w:tcPr>
                <w:p w14:paraId="143AF487">
                  <w:pPr>
                    <w:pStyle w:val="42"/>
                    <w:bidi w:val="0"/>
                    <w:spacing w:line="240" w:lineRule="auto"/>
                    <w:ind w:firstLine="0" w:firstLineChars="0"/>
                    <w:jc w:val="center"/>
                    <w:rPr>
                      <w:rFonts w:hint="default" w:ascii="Times New Roman" w:hAnsi="Times New Roman" w:cs="Times New Roman"/>
                      <w:bCs/>
                      <w:sz w:val="21"/>
                      <w:szCs w:val="24"/>
                    </w:rPr>
                  </w:pPr>
                  <w:r>
                    <w:rPr>
                      <w:rFonts w:hint="default" w:ascii="Times New Roman" w:hAnsi="Times New Roman" w:cs="Times New Roman"/>
                      <w:color w:val="auto"/>
                      <w:sz w:val="21"/>
                      <w:szCs w:val="21"/>
                    </w:rPr>
                    <w:t>颗粒物</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、臭气浓度</w:t>
                  </w:r>
                </w:p>
              </w:tc>
              <w:tc>
                <w:tcPr>
                  <w:tcW w:w="1416" w:type="dxa"/>
                  <w:tcBorders>
                    <w:tl2br w:val="nil"/>
                    <w:tr2bl w:val="nil"/>
                  </w:tcBorders>
                  <w:vAlign w:val="center"/>
                </w:tcPr>
                <w:p w14:paraId="33B09A89">
                  <w:pPr>
                    <w:pStyle w:val="42"/>
                    <w:bidi w:val="0"/>
                    <w:spacing w:line="240" w:lineRule="auto"/>
                    <w:ind w:firstLine="0" w:firstLineChars="0"/>
                    <w:jc w:val="center"/>
                    <w:rPr>
                      <w:rFonts w:hint="default" w:ascii="Times New Roman" w:hAnsi="Times New Roman" w:cs="Times New Roman"/>
                      <w:bCs/>
                      <w:sz w:val="21"/>
                      <w:szCs w:val="24"/>
                    </w:rPr>
                  </w:pPr>
                  <w:r>
                    <w:rPr>
                      <w:rFonts w:hint="eastAsia"/>
                      <w:color w:val="auto"/>
                      <w:sz w:val="21"/>
                      <w:szCs w:val="21"/>
                    </w:rPr>
                    <w:t>每年1次</w:t>
                  </w:r>
                </w:p>
              </w:tc>
              <w:tc>
                <w:tcPr>
                  <w:tcW w:w="2934" w:type="dxa"/>
                  <w:vMerge w:val="continue"/>
                  <w:tcBorders>
                    <w:tl2br w:val="nil"/>
                    <w:tr2bl w:val="nil"/>
                  </w:tcBorders>
                  <w:vAlign w:val="center"/>
                </w:tcPr>
                <w:p w14:paraId="0E162D9A">
                  <w:pPr>
                    <w:pStyle w:val="42"/>
                    <w:bidi w:val="0"/>
                    <w:spacing w:line="240" w:lineRule="auto"/>
                    <w:ind w:firstLine="0" w:firstLineChars="0"/>
                    <w:jc w:val="center"/>
                    <w:rPr>
                      <w:rFonts w:hint="default" w:ascii="Times New Roman" w:hAnsi="Times New Roman" w:cs="Times New Roman"/>
                      <w:bCs/>
                      <w:sz w:val="21"/>
                      <w:szCs w:val="24"/>
                    </w:rPr>
                  </w:pPr>
                </w:p>
              </w:tc>
            </w:tr>
            <w:tr w14:paraId="35B9E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174" w:type="dxa"/>
                  <w:tcBorders>
                    <w:tl2br w:val="nil"/>
                    <w:tr2bl w:val="nil"/>
                  </w:tcBorders>
                  <w:vAlign w:val="center"/>
                </w:tcPr>
                <w:p w14:paraId="260E35EA">
                  <w:pPr>
                    <w:pStyle w:val="42"/>
                    <w:bidi w:val="0"/>
                    <w:spacing w:line="240" w:lineRule="auto"/>
                    <w:ind w:firstLine="0" w:firstLineChars="0"/>
                    <w:jc w:val="center"/>
                    <w:rPr>
                      <w:rFonts w:hint="default" w:ascii="Times New Roman" w:hAnsi="Times New Roman" w:cs="Times New Roman"/>
                      <w:bCs/>
                      <w:color w:val="auto"/>
                      <w:sz w:val="21"/>
                      <w:szCs w:val="24"/>
                      <w:vertAlign w:val="baseline"/>
                    </w:rPr>
                  </w:pPr>
                  <w:r>
                    <w:rPr>
                      <w:rFonts w:hint="default" w:ascii="Times New Roman" w:hAnsi="Times New Roman" w:eastAsia="宋体" w:cs="Times New Roman"/>
                      <w:bCs/>
                      <w:sz w:val="21"/>
                      <w:szCs w:val="24"/>
                      <w:highlight w:val="none"/>
                      <w:lang w:val="en-US" w:eastAsia="zh-CN"/>
                    </w:rPr>
                    <w:t>检测中心废气排放口DA004</w:t>
                  </w:r>
                </w:p>
              </w:tc>
              <w:tc>
                <w:tcPr>
                  <w:tcW w:w="2174" w:type="dxa"/>
                  <w:tcBorders>
                    <w:tl2br w:val="nil"/>
                    <w:tr2bl w:val="nil"/>
                  </w:tcBorders>
                  <w:vAlign w:val="center"/>
                </w:tcPr>
                <w:p w14:paraId="672DA10F">
                  <w:pPr>
                    <w:pStyle w:val="42"/>
                    <w:bidi w:val="0"/>
                    <w:spacing w:line="240" w:lineRule="auto"/>
                    <w:ind w:firstLine="0" w:firstLineChars="0"/>
                    <w:jc w:val="center"/>
                    <w:rPr>
                      <w:rFonts w:hint="default" w:ascii="Times New Roman" w:hAnsi="Times New Roman" w:cs="Times New Roman"/>
                      <w:bCs/>
                      <w:sz w:val="21"/>
                      <w:szCs w:val="24"/>
                    </w:rPr>
                  </w:pPr>
                  <w:r>
                    <w:rPr>
                      <w:rFonts w:hint="default" w:ascii="Times New Roman" w:hAnsi="Times New Roman" w:cs="Times New Roman"/>
                      <w:color w:val="auto"/>
                      <w:sz w:val="21"/>
                      <w:szCs w:val="21"/>
                    </w:rPr>
                    <w:t>颗粒物</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、臭气浓度</w:t>
                  </w:r>
                </w:p>
              </w:tc>
              <w:tc>
                <w:tcPr>
                  <w:tcW w:w="1416" w:type="dxa"/>
                  <w:tcBorders>
                    <w:tl2br w:val="nil"/>
                    <w:tr2bl w:val="nil"/>
                  </w:tcBorders>
                  <w:vAlign w:val="center"/>
                </w:tcPr>
                <w:p w14:paraId="70CDD967">
                  <w:pPr>
                    <w:pStyle w:val="42"/>
                    <w:bidi w:val="0"/>
                    <w:spacing w:line="240" w:lineRule="auto"/>
                    <w:ind w:firstLine="0" w:firstLineChars="0"/>
                    <w:jc w:val="center"/>
                    <w:rPr>
                      <w:rFonts w:hint="default" w:ascii="Times New Roman" w:hAnsi="Times New Roman" w:cs="Times New Roman"/>
                      <w:bCs/>
                      <w:sz w:val="21"/>
                      <w:szCs w:val="24"/>
                    </w:rPr>
                  </w:pPr>
                  <w:r>
                    <w:rPr>
                      <w:rFonts w:hint="eastAsia"/>
                      <w:color w:val="auto"/>
                      <w:sz w:val="21"/>
                      <w:szCs w:val="21"/>
                    </w:rPr>
                    <w:t>每年1次</w:t>
                  </w:r>
                </w:p>
              </w:tc>
              <w:tc>
                <w:tcPr>
                  <w:tcW w:w="2934" w:type="dxa"/>
                  <w:vMerge w:val="continue"/>
                  <w:tcBorders>
                    <w:tl2br w:val="nil"/>
                    <w:tr2bl w:val="nil"/>
                  </w:tcBorders>
                  <w:vAlign w:val="center"/>
                </w:tcPr>
                <w:p w14:paraId="4670A737">
                  <w:pPr>
                    <w:pStyle w:val="42"/>
                    <w:bidi w:val="0"/>
                    <w:spacing w:line="240" w:lineRule="auto"/>
                    <w:ind w:firstLine="0" w:firstLineChars="0"/>
                    <w:jc w:val="center"/>
                    <w:rPr>
                      <w:rFonts w:hint="default" w:ascii="Times New Roman" w:hAnsi="Times New Roman" w:cs="Times New Roman"/>
                      <w:bCs/>
                      <w:sz w:val="21"/>
                      <w:szCs w:val="24"/>
                    </w:rPr>
                  </w:pPr>
                </w:p>
              </w:tc>
            </w:tr>
            <w:tr w14:paraId="2B883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74" w:type="dxa"/>
                  <w:tcBorders>
                    <w:tl2br w:val="nil"/>
                    <w:tr2bl w:val="nil"/>
                  </w:tcBorders>
                  <w:shd w:val="clear" w:color="auto" w:fill="auto"/>
                  <w:vAlign w:val="center"/>
                </w:tcPr>
                <w:p w14:paraId="3C74B18F">
                  <w:pPr>
                    <w:pStyle w:val="42"/>
                    <w:bidi w:val="0"/>
                    <w:spacing w:line="240" w:lineRule="auto"/>
                    <w:ind w:firstLine="0" w:firstLineChars="0"/>
                    <w:jc w:val="center"/>
                    <w:rPr>
                      <w:rFonts w:hint="default" w:ascii="Times New Roman" w:hAnsi="Times New Roman" w:eastAsia="宋体" w:cs="Times New Roman"/>
                      <w:bCs/>
                      <w:kern w:val="2"/>
                      <w:sz w:val="21"/>
                      <w:szCs w:val="24"/>
                      <w:lang w:val="en-US" w:eastAsia="zh-CN" w:bidi="ar-SA"/>
                    </w:rPr>
                  </w:pPr>
                  <w:r>
                    <w:rPr>
                      <w:rFonts w:hint="default" w:ascii="Times New Roman" w:hAnsi="Times New Roman" w:eastAsia="宋体" w:cs="Times New Roman"/>
                      <w:bCs/>
                      <w:sz w:val="21"/>
                      <w:szCs w:val="24"/>
                      <w:lang w:val="en-US" w:eastAsia="zh-CN"/>
                    </w:rPr>
                    <w:t>硅胶管废气排放口DA007</w:t>
                  </w:r>
                </w:p>
              </w:tc>
              <w:tc>
                <w:tcPr>
                  <w:tcW w:w="2174" w:type="dxa"/>
                  <w:tcBorders>
                    <w:tl2br w:val="nil"/>
                    <w:tr2bl w:val="nil"/>
                  </w:tcBorders>
                  <w:shd w:val="clear" w:color="auto" w:fill="auto"/>
                  <w:vAlign w:val="center"/>
                </w:tcPr>
                <w:p w14:paraId="7A4D7099">
                  <w:pPr>
                    <w:pStyle w:val="42"/>
                    <w:bidi w:val="0"/>
                    <w:spacing w:line="240" w:lineRule="auto"/>
                    <w:ind w:firstLine="0" w:firstLineChars="0"/>
                    <w:jc w:val="center"/>
                    <w:rPr>
                      <w:rFonts w:hint="default" w:ascii="Times New Roman" w:hAnsi="Times New Roman" w:eastAsia="宋体" w:cs="Times New Roman"/>
                      <w:kern w:val="2"/>
                      <w:sz w:val="24"/>
                      <w:szCs w:val="21"/>
                      <w:lang w:val="en-US" w:eastAsia="zh-CN" w:bidi="ar-SA"/>
                    </w:rPr>
                  </w:pPr>
                  <w:r>
                    <w:rPr>
                      <w:rFonts w:hint="default" w:ascii="Times New Roman" w:hAnsi="Times New Roman" w:cs="Times New Roman"/>
                      <w:color w:val="auto"/>
                      <w:sz w:val="21"/>
                      <w:szCs w:val="21"/>
                      <w:lang w:val="en-US" w:eastAsia="zh-CN"/>
                    </w:rPr>
                    <w:t>VOCs</w:t>
                  </w:r>
                </w:p>
              </w:tc>
              <w:tc>
                <w:tcPr>
                  <w:tcW w:w="1416" w:type="dxa"/>
                  <w:tcBorders>
                    <w:tl2br w:val="nil"/>
                    <w:tr2bl w:val="nil"/>
                  </w:tcBorders>
                  <w:shd w:val="clear" w:color="auto" w:fill="auto"/>
                  <w:vAlign w:val="center"/>
                </w:tcPr>
                <w:p w14:paraId="58B6A54E">
                  <w:pPr>
                    <w:pStyle w:val="42"/>
                    <w:bidi w:val="0"/>
                    <w:spacing w:line="240" w:lineRule="auto"/>
                    <w:ind w:firstLine="0" w:firstLineChars="0"/>
                    <w:jc w:val="center"/>
                    <w:rPr>
                      <w:rFonts w:hint="eastAsia" w:ascii="Times New Roman" w:hAnsi="Times New Roman" w:eastAsia="宋体" w:cs="Times New Roman"/>
                      <w:kern w:val="2"/>
                      <w:sz w:val="24"/>
                      <w:szCs w:val="21"/>
                      <w:lang w:val="en-US" w:eastAsia="zh-CN" w:bidi="ar-SA"/>
                    </w:rPr>
                  </w:pPr>
                  <w:r>
                    <w:rPr>
                      <w:rFonts w:hint="eastAsia"/>
                      <w:color w:val="auto"/>
                      <w:sz w:val="21"/>
                      <w:szCs w:val="21"/>
                    </w:rPr>
                    <w:t>每年1次</w:t>
                  </w:r>
                </w:p>
              </w:tc>
              <w:tc>
                <w:tcPr>
                  <w:tcW w:w="2934" w:type="dxa"/>
                  <w:vMerge w:val="continue"/>
                  <w:tcBorders>
                    <w:tl2br w:val="nil"/>
                    <w:tr2bl w:val="nil"/>
                  </w:tcBorders>
                  <w:vAlign w:val="center"/>
                </w:tcPr>
                <w:p w14:paraId="36BCA6FC">
                  <w:pPr>
                    <w:pStyle w:val="42"/>
                    <w:spacing w:line="240" w:lineRule="auto"/>
                    <w:ind w:firstLine="0" w:firstLineChars="0"/>
                    <w:jc w:val="center"/>
                    <w:rPr>
                      <w:rFonts w:hint="default" w:ascii="Times New Roman" w:hAnsi="Times New Roman" w:cs="Times New Roman"/>
                      <w:bCs/>
                      <w:sz w:val="21"/>
                      <w:szCs w:val="24"/>
                    </w:rPr>
                  </w:pPr>
                </w:p>
              </w:tc>
            </w:tr>
            <w:tr w14:paraId="4F0AF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74" w:type="dxa"/>
                  <w:tcBorders>
                    <w:tl2br w:val="nil"/>
                    <w:tr2bl w:val="nil"/>
                  </w:tcBorders>
                  <w:vAlign w:val="center"/>
                </w:tcPr>
                <w:p w14:paraId="116516D2">
                  <w:pPr>
                    <w:pStyle w:val="42"/>
                    <w:bidi w:val="0"/>
                    <w:spacing w:line="240" w:lineRule="auto"/>
                    <w:ind w:firstLine="0" w:firstLineChars="0"/>
                    <w:jc w:val="center"/>
                    <w:rPr>
                      <w:rFonts w:hint="default" w:ascii="Times New Roman" w:hAnsi="Times New Roman" w:cs="Times New Roman"/>
                      <w:bCs/>
                      <w:color w:val="auto"/>
                      <w:sz w:val="21"/>
                      <w:szCs w:val="24"/>
                      <w:vertAlign w:val="baseline"/>
                    </w:rPr>
                  </w:pPr>
                  <w:r>
                    <w:rPr>
                      <w:rFonts w:hint="default" w:ascii="Times New Roman" w:hAnsi="Times New Roman" w:eastAsia="宋体" w:cs="Times New Roman"/>
                      <w:bCs/>
                      <w:sz w:val="21"/>
                      <w:szCs w:val="24"/>
                      <w:highlight w:val="none"/>
                      <w:lang w:val="en-US" w:eastAsia="zh-CN"/>
                    </w:rPr>
                    <w:t>硬管焊接废气排放口DA005</w:t>
                  </w:r>
                </w:p>
              </w:tc>
              <w:tc>
                <w:tcPr>
                  <w:tcW w:w="2174" w:type="dxa"/>
                  <w:tcBorders>
                    <w:tl2br w:val="nil"/>
                    <w:tr2bl w:val="nil"/>
                  </w:tcBorders>
                  <w:vAlign w:val="center"/>
                </w:tcPr>
                <w:p w14:paraId="65363C92">
                  <w:pPr>
                    <w:pStyle w:val="42"/>
                    <w:bidi w:val="0"/>
                    <w:spacing w:line="240" w:lineRule="auto"/>
                    <w:ind w:firstLine="0" w:firstLineChars="0"/>
                    <w:jc w:val="center"/>
                    <w:rPr>
                      <w:rFonts w:hint="default" w:ascii="Times New Roman" w:hAnsi="Times New Roman" w:cs="Times New Roman"/>
                      <w:bCs/>
                      <w:sz w:val="21"/>
                      <w:szCs w:val="24"/>
                    </w:rPr>
                  </w:pPr>
                  <w:r>
                    <w:rPr>
                      <w:rFonts w:hint="default" w:ascii="Times New Roman" w:hAnsi="Times New Roman" w:cs="Times New Roman"/>
                      <w:color w:val="auto"/>
                      <w:sz w:val="21"/>
                      <w:szCs w:val="21"/>
                    </w:rPr>
                    <w:t>颗粒物</w:t>
                  </w:r>
                </w:p>
              </w:tc>
              <w:tc>
                <w:tcPr>
                  <w:tcW w:w="1416" w:type="dxa"/>
                  <w:tcBorders>
                    <w:tl2br w:val="nil"/>
                    <w:tr2bl w:val="nil"/>
                  </w:tcBorders>
                  <w:vAlign w:val="center"/>
                </w:tcPr>
                <w:p w14:paraId="6DF38410">
                  <w:pPr>
                    <w:pStyle w:val="42"/>
                    <w:bidi w:val="0"/>
                    <w:spacing w:line="240" w:lineRule="auto"/>
                    <w:ind w:firstLine="0" w:firstLineChars="0"/>
                    <w:jc w:val="center"/>
                    <w:rPr>
                      <w:rFonts w:hint="default" w:ascii="Times New Roman" w:hAnsi="Times New Roman" w:cs="Times New Roman"/>
                      <w:bCs/>
                      <w:sz w:val="21"/>
                      <w:szCs w:val="24"/>
                    </w:rPr>
                  </w:pPr>
                  <w:r>
                    <w:rPr>
                      <w:rFonts w:hint="eastAsia"/>
                      <w:color w:val="auto"/>
                      <w:sz w:val="21"/>
                      <w:szCs w:val="21"/>
                    </w:rPr>
                    <w:t>每年1次</w:t>
                  </w:r>
                </w:p>
              </w:tc>
              <w:tc>
                <w:tcPr>
                  <w:tcW w:w="2934" w:type="dxa"/>
                  <w:vMerge w:val="restart"/>
                  <w:tcBorders>
                    <w:tl2br w:val="nil"/>
                    <w:tr2bl w:val="nil"/>
                  </w:tcBorders>
                  <w:vAlign w:val="center"/>
                </w:tcPr>
                <w:p w14:paraId="6D136A0F">
                  <w:pPr>
                    <w:pStyle w:val="42"/>
                    <w:bidi w:val="0"/>
                    <w:spacing w:line="240" w:lineRule="auto"/>
                    <w:ind w:firstLine="0" w:firstLineChars="0"/>
                    <w:jc w:val="center"/>
                    <w:rPr>
                      <w:rFonts w:hint="default" w:ascii="Times New Roman" w:hAnsi="Times New Roman" w:cs="Times New Roman"/>
                      <w:bCs/>
                      <w:sz w:val="21"/>
                      <w:szCs w:val="24"/>
                    </w:rPr>
                  </w:pPr>
                  <w:r>
                    <w:rPr>
                      <w:rFonts w:hint="default" w:ascii="Times New Roman" w:hAnsi="Times New Roman" w:cs="Times New Roman"/>
                      <w:color w:val="auto"/>
                      <w:sz w:val="21"/>
                      <w:szCs w:val="21"/>
                      <w:lang w:eastAsia="zh-CN"/>
                    </w:rPr>
                    <w:t>颗粒物执行</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大气</w:t>
                  </w:r>
                  <w:r>
                    <w:rPr>
                      <w:rFonts w:hint="default" w:ascii="Times New Roman" w:hAnsi="Times New Roman" w:cs="Times New Roman"/>
                      <w:color w:val="auto"/>
                      <w:sz w:val="21"/>
                      <w:szCs w:val="21"/>
                      <w:lang w:eastAsia="zh-CN"/>
                    </w:rPr>
                    <w:t>污染物</w:t>
                  </w:r>
                  <w:r>
                    <w:rPr>
                      <w:rFonts w:hint="eastAsia" w:ascii="Times New Roman" w:hAnsi="Times New Roman" w:cs="Times New Roman"/>
                      <w:color w:val="auto"/>
                      <w:sz w:val="21"/>
                      <w:szCs w:val="21"/>
                      <w:lang w:val="en-US" w:eastAsia="zh-CN"/>
                    </w:rPr>
                    <w:t>综合</w:t>
                  </w:r>
                  <w:r>
                    <w:rPr>
                      <w:rFonts w:hint="default" w:ascii="Times New Roman" w:hAnsi="Times New Roman" w:cs="Times New Roman"/>
                      <w:color w:val="auto"/>
                      <w:sz w:val="21"/>
                      <w:szCs w:val="21"/>
                      <w:lang w:eastAsia="zh-CN"/>
                    </w:rPr>
                    <w:t>排放标准</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GB</w:t>
                  </w:r>
                  <w:r>
                    <w:rPr>
                      <w:rFonts w:hint="eastAsia" w:ascii="Times New Roman" w:hAnsi="Times New Roman" w:cs="Times New Roman"/>
                      <w:color w:val="auto"/>
                      <w:sz w:val="21"/>
                      <w:szCs w:val="21"/>
                      <w:lang w:val="en-US" w:eastAsia="zh-CN"/>
                    </w:rPr>
                    <w:t>16297-1996</w:t>
                  </w:r>
                  <w:r>
                    <w:rPr>
                      <w:rFonts w:hint="default" w:ascii="Times New Roman" w:hAnsi="Times New Roman" w:cs="Times New Roman"/>
                      <w:color w:val="auto"/>
                      <w:sz w:val="21"/>
                      <w:szCs w:val="21"/>
                    </w:rPr>
                    <w:t>）</w:t>
                  </w:r>
                </w:p>
              </w:tc>
            </w:tr>
            <w:tr w14:paraId="01A5D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174" w:type="dxa"/>
                  <w:tcBorders>
                    <w:tl2br w:val="nil"/>
                    <w:tr2bl w:val="nil"/>
                  </w:tcBorders>
                  <w:vAlign w:val="center"/>
                </w:tcPr>
                <w:p w14:paraId="75A8975C">
                  <w:pPr>
                    <w:pStyle w:val="42"/>
                    <w:bidi w:val="0"/>
                    <w:spacing w:line="240" w:lineRule="auto"/>
                    <w:ind w:firstLine="0" w:firstLineChars="0"/>
                    <w:jc w:val="center"/>
                    <w:rPr>
                      <w:rFonts w:hint="default" w:ascii="Times New Roman" w:hAnsi="Times New Roman" w:eastAsia="宋体" w:cs="Times New Roman"/>
                      <w:bCs/>
                      <w:sz w:val="21"/>
                      <w:szCs w:val="24"/>
                      <w:highlight w:val="none"/>
                      <w:lang w:val="en-US" w:eastAsia="zh-CN"/>
                    </w:rPr>
                  </w:pPr>
                  <w:r>
                    <w:rPr>
                      <w:rFonts w:hint="default" w:ascii="Times New Roman" w:hAnsi="Times New Roman" w:eastAsia="宋体" w:cs="Times New Roman"/>
                      <w:bCs/>
                      <w:sz w:val="21"/>
                      <w:szCs w:val="24"/>
                      <w:highlight w:val="none"/>
                      <w:lang w:val="en-US" w:eastAsia="zh-CN"/>
                    </w:rPr>
                    <w:t>模具雕刻粉尘废气排放口DA006</w:t>
                  </w:r>
                </w:p>
              </w:tc>
              <w:tc>
                <w:tcPr>
                  <w:tcW w:w="2174" w:type="dxa"/>
                  <w:tcBorders>
                    <w:tl2br w:val="nil"/>
                    <w:tr2bl w:val="nil"/>
                  </w:tcBorders>
                  <w:vAlign w:val="center"/>
                </w:tcPr>
                <w:p w14:paraId="14DABE70">
                  <w:pPr>
                    <w:pStyle w:val="42"/>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416" w:type="dxa"/>
                  <w:tcBorders>
                    <w:tl2br w:val="nil"/>
                    <w:tr2bl w:val="nil"/>
                  </w:tcBorders>
                  <w:vAlign w:val="center"/>
                </w:tcPr>
                <w:p w14:paraId="54B0F464">
                  <w:pPr>
                    <w:pStyle w:val="42"/>
                    <w:bidi w:val="0"/>
                    <w:spacing w:line="240" w:lineRule="auto"/>
                    <w:ind w:firstLine="0" w:firstLineChars="0"/>
                    <w:jc w:val="center"/>
                    <w:rPr>
                      <w:rFonts w:hint="default" w:ascii="Times New Roman" w:hAnsi="Times New Roman" w:cs="Times New Roman"/>
                      <w:bCs/>
                      <w:sz w:val="21"/>
                      <w:szCs w:val="24"/>
                    </w:rPr>
                  </w:pPr>
                  <w:r>
                    <w:rPr>
                      <w:rFonts w:hint="eastAsia"/>
                      <w:color w:val="auto"/>
                      <w:sz w:val="21"/>
                      <w:szCs w:val="21"/>
                    </w:rPr>
                    <w:t>每年1次</w:t>
                  </w:r>
                </w:p>
              </w:tc>
              <w:tc>
                <w:tcPr>
                  <w:tcW w:w="2934" w:type="dxa"/>
                  <w:vMerge w:val="continue"/>
                  <w:tcBorders>
                    <w:tl2br w:val="nil"/>
                    <w:tr2bl w:val="nil"/>
                  </w:tcBorders>
                  <w:vAlign w:val="center"/>
                </w:tcPr>
                <w:p w14:paraId="3EADCBE6">
                  <w:pPr>
                    <w:pStyle w:val="42"/>
                    <w:bidi w:val="0"/>
                    <w:spacing w:line="240" w:lineRule="auto"/>
                    <w:ind w:firstLine="0" w:firstLineChars="0"/>
                    <w:jc w:val="center"/>
                    <w:rPr>
                      <w:rFonts w:hint="default" w:ascii="Times New Roman" w:hAnsi="Times New Roman" w:cs="Times New Roman"/>
                      <w:bCs/>
                      <w:sz w:val="21"/>
                      <w:szCs w:val="24"/>
                    </w:rPr>
                  </w:pPr>
                </w:p>
              </w:tc>
            </w:tr>
            <w:tr w14:paraId="3B3AE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174" w:type="dxa"/>
                  <w:tcBorders>
                    <w:tl2br w:val="nil"/>
                    <w:tr2bl w:val="nil"/>
                  </w:tcBorders>
                  <w:vAlign w:val="center"/>
                </w:tcPr>
                <w:p w14:paraId="79306FC4">
                  <w:pPr>
                    <w:pStyle w:val="42"/>
                    <w:bidi w:val="0"/>
                    <w:spacing w:line="240" w:lineRule="auto"/>
                    <w:ind w:firstLine="0" w:firstLineChars="0"/>
                    <w:jc w:val="center"/>
                    <w:rPr>
                      <w:rFonts w:hint="default" w:ascii="Times New Roman" w:hAnsi="Times New Roman" w:eastAsia="宋体" w:cs="Times New Roman"/>
                      <w:bCs/>
                      <w:sz w:val="21"/>
                      <w:szCs w:val="24"/>
                      <w:highlight w:val="none"/>
                      <w:lang w:val="en-US" w:eastAsia="zh-CN"/>
                    </w:rPr>
                  </w:pPr>
                  <w:r>
                    <w:rPr>
                      <w:rFonts w:hint="default" w:ascii="Times New Roman" w:hAnsi="Times New Roman" w:eastAsia="宋体" w:cs="Times New Roman"/>
                      <w:bCs/>
                      <w:sz w:val="21"/>
                      <w:szCs w:val="24"/>
                      <w:highlight w:val="none"/>
                      <w:lang w:val="en-US" w:eastAsia="zh-CN"/>
                    </w:rPr>
                    <w:t>锅炉废气排放口DA008</w:t>
                  </w:r>
                </w:p>
              </w:tc>
              <w:tc>
                <w:tcPr>
                  <w:tcW w:w="2174" w:type="dxa"/>
                  <w:tcBorders>
                    <w:tl2br w:val="nil"/>
                    <w:tr2bl w:val="nil"/>
                  </w:tcBorders>
                  <w:vAlign w:val="center"/>
                </w:tcPr>
                <w:p w14:paraId="208E62CD">
                  <w:pPr>
                    <w:pStyle w:val="42"/>
                    <w:bidi w:val="0"/>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二氧化硫、氮氧化物、颗粒物、林格曼黑度</w:t>
                  </w:r>
                </w:p>
              </w:tc>
              <w:tc>
                <w:tcPr>
                  <w:tcW w:w="1416" w:type="dxa"/>
                  <w:tcBorders>
                    <w:tl2br w:val="nil"/>
                    <w:tr2bl w:val="nil"/>
                  </w:tcBorders>
                  <w:vAlign w:val="center"/>
                </w:tcPr>
                <w:p w14:paraId="40043374">
                  <w:pPr>
                    <w:pStyle w:val="42"/>
                    <w:bidi w:val="0"/>
                    <w:spacing w:line="240" w:lineRule="auto"/>
                    <w:ind w:firstLine="0" w:firstLineChars="0"/>
                    <w:jc w:val="center"/>
                    <w:rPr>
                      <w:rFonts w:hint="default" w:ascii="Times New Roman" w:hAnsi="Times New Roman" w:cs="Times New Roman"/>
                    </w:rPr>
                  </w:pPr>
                  <w:r>
                    <w:rPr>
                      <w:rFonts w:hint="eastAsia"/>
                      <w:color w:val="auto"/>
                      <w:sz w:val="21"/>
                      <w:szCs w:val="21"/>
                    </w:rPr>
                    <w:t>每年1次</w:t>
                  </w:r>
                </w:p>
              </w:tc>
              <w:tc>
                <w:tcPr>
                  <w:tcW w:w="2934" w:type="dxa"/>
                  <w:tcBorders>
                    <w:tl2br w:val="nil"/>
                    <w:tr2bl w:val="nil"/>
                  </w:tcBorders>
                  <w:vAlign w:val="center"/>
                </w:tcPr>
                <w:p w14:paraId="01668357">
                  <w:pPr>
                    <w:pStyle w:val="42"/>
                    <w:bidi w:val="0"/>
                    <w:spacing w:line="240" w:lineRule="auto"/>
                    <w:ind w:firstLine="0" w:firstLineChars="0"/>
                    <w:jc w:val="center"/>
                    <w:rPr>
                      <w:rFonts w:hint="default" w:ascii="Times New Roman" w:hAnsi="Times New Roman" w:cs="Times New Roman"/>
                    </w:rPr>
                  </w:pPr>
                  <w:r>
                    <w:rPr>
                      <w:rFonts w:hint="default" w:ascii="Times New Roman" w:hAnsi="Times New Roman" w:cs="Times New Roman"/>
                      <w:color w:val="auto"/>
                      <w:sz w:val="21"/>
                      <w:szCs w:val="21"/>
                      <w:lang w:eastAsia="zh-CN"/>
                    </w:rPr>
                    <w:t>执行</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锅炉大气</w:t>
                  </w:r>
                  <w:r>
                    <w:rPr>
                      <w:rFonts w:hint="default" w:ascii="Times New Roman" w:hAnsi="Times New Roman" w:cs="Times New Roman"/>
                      <w:color w:val="auto"/>
                      <w:sz w:val="21"/>
                      <w:szCs w:val="21"/>
                      <w:lang w:eastAsia="zh-CN"/>
                    </w:rPr>
                    <w:t>污染物排放标准</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GB</w:t>
                  </w:r>
                  <w:r>
                    <w:rPr>
                      <w:rFonts w:hint="eastAsia" w:ascii="Times New Roman" w:hAnsi="Times New Roman" w:cs="Times New Roman"/>
                      <w:color w:val="auto"/>
                      <w:sz w:val="21"/>
                      <w:szCs w:val="21"/>
                      <w:lang w:val="en-US" w:eastAsia="zh-CN"/>
                    </w:rPr>
                    <w:t>13271-2014</w:t>
                  </w:r>
                  <w:r>
                    <w:rPr>
                      <w:rFonts w:hint="default" w:ascii="Times New Roman" w:hAnsi="Times New Roman" w:cs="Times New Roman"/>
                      <w:color w:val="auto"/>
                      <w:sz w:val="21"/>
                      <w:szCs w:val="21"/>
                    </w:rPr>
                    <w:t>）</w:t>
                  </w:r>
                </w:p>
              </w:tc>
            </w:tr>
            <w:tr w14:paraId="268B5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2174" w:type="dxa"/>
                  <w:tcBorders>
                    <w:tl2br w:val="nil"/>
                    <w:tr2bl w:val="nil"/>
                  </w:tcBorders>
                  <w:vAlign w:val="center"/>
                </w:tcPr>
                <w:p w14:paraId="3E7537D0">
                  <w:pPr>
                    <w:adjustRightInd w:val="0"/>
                    <w:snapToGrid w:val="0"/>
                    <w:spacing w:line="240" w:lineRule="auto"/>
                    <w:ind w:firstLine="0" w:firstLineChars="0"/>
                    <w:jc w:val="center"/>
                    <w:rPr>
                      <w:rFonts w:hint="default" w:ascii="Times New Roman" w:hAnsi="Times New Roman" w:eastAsia="宋体" w:cs="Times New Roman"/>
                      <w:bCs/>
                      <w:sz w:val="21"/>
                      <w:szCs w:val="24"/>
                      <w:lang w:val="en-US" w:eastAsia="zh-CN"/>
                    </w:rPr>
                  </w:pPr>
                  <w:r>
                    <w:rPr>
                      <w:rFonts w:hint="eastAsia"/>
                      <w:color w:val="auto"/>
                      <w:sz w:val="21"/>
                      <w:szCs w:val="21"/>
                      <w:lang w:eastAsia="zh-CN"/>
                    </w:rPr>
                    <w:t>生产废水排放口</w:t>
                  </w:r>
                  <w:r>
                    <w:rPr>
                      <w:rFonts w:hint="eastAsia"/>
                      <w:color w:val="auto"/>
                      <w:sz w:val="21"/>
                      <w:szCs w:val="21"/>
                      <w:lang w:val="en-US" w:eastAsia="zh-CN"/>
                    </w:rPr>
                    <w:t xml:space="preserve"> </w:t>
                  </w:r>
                </w:p>
              </w:tc>
              <w:tc>
                <w:tcPr>
                  <w:tcW w:w="2174" w:type="dxa"/>
                  <w:tcBorders>
                    <w:tl2br w:val="nil"/>
                    <w:tr2bl w:val="nil"/>
                  </w:tcBorders>
                  <w:vAlign w:val="center"/>
                </w:tcPr>
                <w:p w14:paraId="54358BF9">
                  <w:pPr>
                    <w:pStyle w:val="42"/>
                    <w:bidi w:val="0"/>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pH 值、悬浮物、化学需氧量、五日生化需氧量、氨氮、总氮、总磷、石油类</w:t>
                  </w:r>
                </w:p>
              </w:tc>
              <w:tc>
                <w:tcPr>
                  <w:tcW w:w="1416" w:type="dxa"/>
                  <w:tcBorders>
                    <w:tl2br w:val="nil"/>
                    <w:tr2bl w:val="nil"/>
                  </w:tcBorders>
                  <w:vAlign w:val="center"/>
                </w:tcPr>
                <w:p w14:paraId="6BC2862F">
                  <w:pPr>
                    <w:adjustRightInd w:val="0"/>
                    <w:snapToGrid w:val="0"/>
                    <w:spacing w:line="240" w:lineRule="auto"/>
                    <w:ind w:firstLine="0" w:firstLineChars="0"/>
                    <w:jc w:val="center"/>
                    <w:rPr>
                      <w:rFonts w:hint="default" w:ascii="Times New Roman" w:hAnsi="Times New Roman" w:cs="Times New Roman"/>
                    </w:rPr>
                  </w:pPr>
                  <w:r>
                    <w:rPr>
                      <w:rFonts w:hint="eastAsia"/>
                      <w:color w:val="auto"/>
                      <w:sz w:val="21"/>
                      <w:szCs w:val="21"/>
                    </w:rPr>
                    <w:t>每年1次</w:t>
                  </w:r>
                </w:p>
              </w:tc>
              <w:tc>
                <w:tcPr>
                  <w:tcW w:w="2934" w:type="dxa"/>
                  <w:tcBorders>
                    <w:tl2br w:val="nil"/>
                    <w:tr2bl w:val="nil"/>
                  </w:tcBorders>
                  <w:vAlign w:val="center"/>
                </w:tcPr>
                <w:p w14:paraId="07762998">
                  <w:pPr>
                    <w:adjustRightInd w:val="0"/>
                    <w:snapToGrid w:val="0"/>
                    <w:spacing w:line="240" w:lineRule="auto"/>
                    <w:ind w:firstLine="0" w:firstLineChars="0"/>
                    <w:jc w:val="center"/>
                    <w:rPr>
                      <w:rFonts w:hint="default" w:ascii="Times New Roman" w:hAnsi="Times New Roman" w:cs="Times New Roman"/>
                    </w:rPr>
                  </w:pPr>
                  <w:r>
                    <w:rPr>
                      <w:rFonts w:hint="eastAsia"/>
                      <w:color w:val="auto"/>
                      <w:sz w:val="21"/>
                      <w:szCs w:val="21"/>
                      <w:lang w:eastAsia="zh-CN"/>
                    </w:rPr>
                    <w:t>《橡胶制品工业污染物排放标准》（GB</w:t>
                  </w:r>
                  <w:r>
                    <w:rPr>
                      <w:rFonts w:hint="eastAsia"/>
                      <w:color w:val="auto"/>
                      <w:sz w:val="21"/>
                      <w:szCs w:val="21"/>
                      <w:lang w:val="en-US" w:eastAsia="zh-CN"/>
                    </w:rPr>
                    <w:t>27632</w:t>
                  </w:r>
                  <w:r>
                    <w:rPr>
                      <w:rFonts w:hint="eastAsia"/>
                      <w:color w:val="auto"/>
                      <w:sz w:val="21"/>
                      <w:szCs w:val="21"/>
                      <w:lang w:eastAsia="zh-CN"/>
                    </w:rPr>
                    <w:t>-</w:t>
                  </w:r>
                  <w:r>
                    <w:rPr>
                      <w:rFonts w:hint="eastAsia"/>
                      <w:color w:val="auto"/>
                      <w:sz w:val="21"/>
                      <w:szCs w:val="21"/>
                      <w:lang w:val="en-US" w:eastAsia="zh-CN"/>
                    </w:rPr>
                    <w:t>2011）</w:t>
                  </w:r>
                </w:p>
              </w:tc>
            </w:tr>
            <w:tr w14:paraId="57CEA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2174" w:type="dxa"/>
                  <w:tcBorders>
                    <w:tl2br w:val="nil"/>
                    <w:tr2bl w:val="nil"/>
                  </w:tcBorders>
                  <w:vAlign w:val="center"/>
                </w:tcPr>
                <w:p w14:paraId="3592B78E">
                  <w:pPr>
                    <w:adjustRightInd w:val="0"/>
                    <w:snapToGrid w:val="0"/>
                    <w:spacing w:line="240" w:lineRule="auto"/>
                    <w:ind w:firstLine="0" w:firstLineChars="0"/>
                    <w:jc w:val="center"/>
                    <w:rPr>
                      <w:rFonts w:hint="eastAsia"/>
                      <w:color w:val="auto"/>
                      <w:sz w:val="21"/>
                      <w:szCs w:val="21"/>
                      <w:lang w:eastAsia="zh-CN"/>
                    </w:rPr>
                  </w:pPr>
                  <w:r>
                    <w:rPr>
                      <w:rFonts w:hint="eastAsia"/>
                      <w:color w:val="auto"/>
                      <w:sz w:val="21"/>
                      <w:szCs w:val="21"/>
                    </w:rPr>
                    <w:t>厂界</w:t>
                  </w:r>
                </w:p>
              </w:tc>
              <w:tc>
                <w:tcPr>
                  <w:tcW w:w="2174" w:type="dxa"/>
                  <w:tcBorders>
                    <w:tl2br w:val="nil"/>
                    <w:tr2bl w:val="nil"/>
                  </w:tcBorders>
                  <w:vAlign w:val="center"/>
                </w:tcPr>
                <w:p w14:paraId="74EBA0CD">
                  <w:pPr>
                    <w:adjustRightInd w:val="0"/>
                    <w:snapToGrid w:val="0"/>
                    <w:spacing w:line="240" w:lineRule="auto"/>
                    <w:ind w:firstLine="0" w:firstLineChars="0"/>
                    <w:jc w:val="center"/>
                    <w:rPr>
                      <w:rFonts w:hint="eastAsia"/>
                      <w:color w:val="auto"/>
                      <w:sz w:val="21"/>
                      <w:szCs w:val="21"/>
                      <w:lang w:eastAsia="zh-CN"/>
                    </w:rPr>
                  </w:pPr>
                  <w:r>
                    <w:rPr>
                      <w:rFonts w:hint="eastAsia"/>
                      <w:color w:val="auto"/>
                      <w:sz w:val="21"/>
                      <w:szCs w:val="21"/>
                    </w:rPr>
                    <w:t>颗粒物</w:t>
                  </w:r>
                  <w:r>
                    <w:rPr>
                      <w:rFonts w:hint="eastAsia"/>
                      <w:color w:val="auto"/>
                      <w:sz w:val="21"/>
                      <w:szCs w:val="21"/>
                      <w:lang w:eastAsia="zh-CN"/>
                    </w:rPr>
                    <w:t>、</w:t>
                  </w:r>
                  <w:r>
                    <w:rPr>
                      <w:rFonts w:hint="eastAsia"/>
                      <w:color w:val="auto"/>
                      <w:lang w:val="en-US" w:eastAsia="zh-CN"/>
                    </w:rPr>
                    <w:t>VOCs</w:t>
                  </w:r>
                </w:p>
              </w:tc>
              <w:tc>
                <w:tcPr>
                  <w:tcW w:w="1416" w:type="dxa"/>
                  <w:tcBorders>
                    <w:tl2br w:val="nil"/>
                    <w:tr2bl w:val="nil"/>
                  </w:tcBorders>
                  <w:vAlign w:val="center"/>
                </w:tcPr>
                <w:p w14:paraId="459D476B">
                  <w:pPr>
                    <w:adjustRightInd w:val="0"/>
                    <w:snapToGrid w:val="0"/>
                    <w:spacing w:line="240" w:lineRule="auto"/>
                    <w:ind w:firstLine="0" w:firstLineChars="0"/>
                    <w:jc w:val="center"/>
                    <w:rPr>
                      <w:rFonts w:hint="eastAsia"/>
                      <w:color w:val="auto"/>
                      <w:sz w:val="21"/>
                      <w:szCs w:val="21"/>
                    </w:rPr>
                  </w:pPr>
                  <w:r>
                    <w:rPr>
                      <w:rFonts w:hint="eastAsia"/>
                      <w:color w:val="auto"/>
                      <w:sz w:val="21"/>
                      <w:szCs w:val="21"/>
                    </w:rPr>
                    <w:t>每年1次</w:t>
                  </w:r>
                </w:p>
              </w:tc>
              <w:tc>
                <w:tcPr>
                  <w:tcW w:w="2934" w:type="dxa"/>
                  <w:tcBorders>
                    <w:tl2br w:val="nil"/>
                    <w:tr2bl w:val="nil"/>
                  </w:tcBorders>
                  <w:vAlign w:val="center"/>
                </w:tcPr>
                <w:p w14:paraId="2F1611BC">
                  <w:pPr>
                    <w:adjustRightInd w:val="0"/>
                    <w:snapToGrid w:val="0"/>
                    <w:spacing w:line="240" w:lineRule="auto"/>
                    <w:ind w:firstLine="0" w:firstLineChars="0"/>
                    <w:jc w:val="center"/>
                    <w:rPr>
                      <w:rFonts w:hint="default" w:ascii="Times New Roman" w:hAnsi="Times New Roman" w:cs="Times New Roman"/>
                    </w:rPr>
                  </w:pPr>
                  <w:r>
                    <w:rPr>
                      <w:rFonts w:hint="eastAsia"/>
                      <w:color w:val="auto"/>
                      <w:lang w:val="en-US" w:eastAsia="zh-CN"/>
                    </w:rPr>
                    <w:t>VOCs</w:t>
                  </w:r>
                  <w:r>
                    <w:rPr>
                      <w:rFonts w:hint="eastAsia"/>
                      <w:color w:val="auto"/>
                      <w:sz w:val="21"/>
                      <w:szCs w:val="21"/>
                      <w:lang w:eastAsia="zh-CN"/>
                    </w:rPr>
                    <w:t>排放执行《四川省固定污染源大气挥发性有机物排放标准》（</w:t>
                  </w:r>
                  <w:r>
                    <w:rPr>
                      <w:rFonts w:hint="eastAsia"/>
                      <w:color w:val="auto"/>
                      <w:sz w:val="21"/>
                      <w:szCs w:val="21"/>
                      <w:lang w:val="en-US" w:eastAsia="zh-CN"/>
                    </w:rPr>
                    <w:t>DB51/2377-2017</w:t>
                  </w:r>
                  <w:r>
                    <w:rPr>
                      <w:rFonts w:hint="eastAsia"/>
                      <w:color w:val="auto"/>
                      <w:sz w:val="21"/>
                      <w:szCs w:val="21"/>
                      <w:lang w:eastAsia="zh-CN"/>
                    </w:rPr>
                    <w:t>）、颗粒物执行</w:t>
                  </w:r>
                  <w:r>
                    <w:rPr>
                      <w:color w:val="auto"/>
                      <w:sz w:val="21"/>
                      <w:szCs w:val="21"/>
                    </w:rPr>
                    <w:t>《</w:t>
                  </w:r>
                  <w:r>
                    <w:rPr>
                      <w:rFonts w:hint="eastAsia"/>
                      <w:color w:val="auto"/>
                      <w:sz w:val="21"/>
                      <w:szCs w:val="21"/>
                      <w:lang w:eastAsia="zh-CN"/>
                    </w:rPr>
                    <w:t>橡胶制品工业污染物排放标准</w:t>
                  </w:r>
                  <w:r>
                    <w:rPr>
                      <w:color w:val="auto"/>
                      <w:sz w:val="21"/>
                      <w:szCs w:val="21"/>
                    </w:rPr>
                    <w:t>》（</w:t>
                  </w:r>
                  <w:r>
                    <w:rPr>
                      <w:rFonts w:hint="eastAsia"/>
                      <w:color w:val="auto"/>
                      <w:sz w:val="21"/>
                      <w:szCs w:val="21"/>
                      <w:lang w:eastAsia="zh-CN"/>
                    </w:rPr>
                    <w:t>GB27632-2011</w:t>
                  </w:r>
                  <w:r>
                    <w:rPr>
                      <w:color w:val="auto"/>
                      <w:sz w:val="21"/>
                      <w:szCs w:val="21"/>
                    </w:rPr>
                    <w:t>）</w:t>
                  </w:r>
                </w:p>
              </w:tc>
            </w:tr>
            <w:tr w14:paraId="788BB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2174" w:type="dxa"/>
                  <w:tcBorders>
                    <w:tl2br w:val="nil"/>
                    <w:tr2bl w:val="nil"/>
                  </w:tcBorders>
                  <w:vAlign w:val="center"/>
                </w:tcPr>
                <w:p w14:paraId="6B51F46E">
                  <w:pPr>
                    <w:adjustRightInd w:val="0"/>
                    <w:snapToGrid w:val="0"/>
                    <w:spacing w:line="240" w:lineRule="auto"/>
                    <w:ind w:firstLine="0" w:firstLineChars="0"/>
                    <w:jc w:val="center"/>
                    <w:rPr>
                      <w:rFonts w:hint="eastAsia"/>
                      <w:color w:val="auto"/>
                      <w:sz w:val="21"/>
                      <w:szCs w:val="21"/>
                    </w:rPr>
                  </w:pPr>
                  <w:r>
                    <w:rPr>
                      <w:rFonts w:hint="eastAsia"/>
                      <w:color w:val="auto"/>
                      <w:sz w:val="21"/>
                      <w:szCs w:val="21"/>
                    </w:rPr>
                    <w:t>厂界</w:t>
                  </w:r>
                </w:p>
              </w:tc>
              <w:tc>
                <w:tcPr>
                  <w:tcW w:w="2174" w:type="dxa"/>
                  <w:tcBorders>
                    <w:tl2br w:val="nil"/>
                    <w:tr2bl w:val="nil"/>
                  </w:tcBorders>
                  <w:vAlign w:val="center"/>
                </w:tcPr>
                <w:p w14:paraId="2149DC38">
                  <w:pPr>
                    <w:adjustRightInd w:val="0"/>
                    <w:snapToGrid w:val="0"/>
                    <w:spacing w:line="240" w:lineRule="auto"/>
                    <w:ind w:firstLine="0" w:firstLineChars="0"/>
                    <w:jc w:val="center"/>
                    <w:rPr>
                      <w:rFonts w:hint="eastAsia"/>
                      <w:color w:val="auto"/>
                      <w:sz w:val="21"/>
                      <w:szCs w:val="21"/>
                    </w:rPr>
                  </w:pPr>
                  <w:r>
                    <w:rPr>
                      <w:rFonts w:hint="eastAsia"/>
                      <w:color w:val="auto"/>
                      <w:sz w:val="21"/>
                      <w:szCs w:val="21"/>
                    </w:rPr>
                    <w:t>噪声</w:t>
                  </w:r>
                </w:p>
              </w:tc>
              <w:tc>
                <w:tcPr>
                  <w:tcW w:w="1416" w:type="dxa"/>
                  <w:tcBorders>
                    <w:tl2br w:val="nil"/>
                    <w:tr2bl w:val="nil"/>
                  </w:tcBorders>
                  <w:vAlign w:val="center"/>
                </w:tcPr>
                <w:p w14:paraId="763F08FD">
                  <w:pPr>
                    <w:adjustRightInd w:val="0"/>
                    <w:snapToGrid w:val="0"/>
                    <w:spacing w:line="240" w:lineRule="auto"/>
                    <w:ind w:firstLine="0" w:firstLineChars="0"/>
                    <w:jc w:val="center"/>
                    <w:rPr>
                      <w:rFonts w:hint="eastAsia"/>
                      <w:color w:val="auto"/>
                      <w:sz w:val="21"/>
                      <w:szCs w:val="21"/>
                    </w:rPr>
                  </w:pPr>
                  <w:r>
                    <w:rPr>
                      <w:rFonts w:hint="eastAsia"/>
                      <w:color w:val="auto"/>
                      <w:sz w:val="21"/>
                      <w:szCs w:val="21"/>
                    </w:rPr>
                    <w:t>每年1次</w:t>
                  </w:r>
                </w:p>
              </w:tc>
              <w:tc>
                <w:tcPr>
                  <w:tcW w:w="2934" w:type="dxa"/>
                  <w:tcBorders>
                    <w:tl2br w:val="nil"/>
                    <w:tr2bl w:val="nil"/>
                  </w:tcBorders>
                  <w:vAlign w:val="center"/>
                </w:tcPr>
                <w:p w14:paraId="06AB26D1">
                  <w:pPr>
                    <w:adjustRightInd w:val="0"/>
                    <w:snapToGrid w:val="0"/>
                    <w:spacing w:line="240" w:lineRule="auto"/>
                    <w:ind w:firstLine="0" w:firstLineChars="0"/>
                    <w:jc w:val="center"/>
                    <w:rPr>
                      <w:rFonts w:hint="eastAsia"/>
                      <w:color w:val="auto"/>
                      <w:lang w:val="en-US" w:eastAsia="zh-CN"/>
                    </w:rPr>
                  </w:pPr>
                  <w:r>
                    <w:rPr>
                      <w:color w:val="auto"/>
                      <w:sz w:val="21"/>
                      <w:szCs w:val="21"/>
                    </w:rPr>
                    <w:t>《工业企业厂界环境噪声排放标准》（GB12348-2008）3类标准</w:t>
                  </w:r>
                </w:p>
              </w:tc>
            </w:tr>
          </w:tbl>
          <w:p w14:paraId="7B46E9CF">
            <w:pPr>
              <w:pStyle w:val="11"/>
              <w:numPr>
                <w:ilvl w:val="0"/>
                <w:numId w:val="0"/>
              </w:numPr>
              <w:spacing w:line="360" w:lineRule="auto"/>
              <w:ind w:right="113" w:rightChars="0" w:firstLine="360" w:firstLineChars="200"/>
              <w:rPr>
                <w:rFonts w:hint="eastAsia"/>
                <w:color w:val="auto"/>
                <w:lang w:val="en-US" w:eastAsia="zh-CN"/>
              </w:rPr>
            </w:pPr>
            <w:r>
              <w:rPr>
                <w:rFonts w:hint="eastAsia"/>
                <w:color w:val="auto"/>
                <w:lang w:val="en-US" w:eastAsia="zh-CN"/>
              </w:rPr>
              <w:t>注：VOCs以非甲烷总烃计，待相关标准发布后从其规定，前期环评监测要求与本次全厂监测计划不一致的，以本次全厂监测要求为准。</w:t>
            </w:r>
          </w:p>
          <w:p w14:paraId="759EA036">
            <w:pPr>
              <w:pStyle w:val="11"/>
              <w:rPr>
                <w:rFonts w:hint="default" w:ascii="Times New Roman" w:hAnsi="Times New Roman" w:cs="Times New Roman"/>
                <w:color w:val="auto"/>
                <w:highlight w:val="none"/>
                <w:lang w:val="en-US" w:eastAsia="zh-CN"/>
              </w:rPr>
            </w:pPr>
          </w:p>
          <w:p w14:paraId="3B508864">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环境风险</w:t>
            </w:r>
          </w:p>
          <w:p w14:paraId="496990D5">
            <w:pPr>
              <w:pStyle w:val="42"/>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根据本项目原辅材料性质及《建设项目环境风险评价技术导则》(HJ169—2018</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附录B，本项目重点关注的风险物质及存储情况如下表所示。</w:t>
            </w:r>
          </w:p>
          <w:p w14:paraId="33BF110F">
            <w:pPr>
              <w:pStyle w:val="43"/>
              <w:rPr>
                <w:rFonts w:hint="default" w:ascii="Times New Roman" w:hAnsi="Times New Roman"/>
                <w:color w:val="auto"/>
                <w:highlight w:val="none"/>
              </w:rPr>
            </w:pPr>
            <w:r>
              <w:rPr>
                <w:rFonts w:hint="default" w:ascii="Times New Roman" w:hAnsi="Times New Roman"/>
                <w:color w:val="auto"/>
                <w:highlight w:val="none"/>
              </w:rPr>
              <w:t>表4-</w:t>
            </w:r>
            <w:r>
              <w:rPr>
                <w:rFonts w:hint="eastAsia" w:ascii="Times New Roman" w:hAnsi="Times New Roman"/>
                <w:color w:val="auto"/>
                <w:highlight w:val="none"/>
                <w:lang w:val="en-US" w:eastAsia="zh-CN"/>
              </w:rPr>
              <w:t>21</w:t>
            </w:r>
            <w:r>
              <w:rPr>
                <w:rFonts w:hint="default" w:ascii="Times New Roman" w:hAnsi="Times New Roman"/>
                <w:color w:val="auto"/>
                <w:highlight w:val="none"/>
              </w:rPr>
              <w:t>本项目重点关注的危险物质及储存情况表</w:t>
            </w:r>
          </w:p>
          <w:tbl>
            <w:tblPr>
              <w:tblStyle w:val="23"/>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20"/>
              <w:gridCol w:w="821"/>
              <w:gridCol w:w="918"/>
              <w:gridCol w:w="976"/>
              <w:gridCol w:w="1179"/>
              <w:gridCol w:w="1302"/>
              <w:gridCol w:w="794"/>
              <w:gridCol w:w="1188"/>
            </w:tblGrid>
            <w:tr w14:paraId="4D6EFF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25" w:hRule="atLeast"/>
                <w:jc w:val="center"/>
              </w:trPr>
              <w:tc>
                <w:tcPr>
                  <w:tcW w:w="820" w:type="dxa"/>
                  <w:noWrap w:val="0"/>
                  <w:vAlign w:val="center"/>
                </w:tcPr>
                <w:p w14:paraId="6F226FC9">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序号</w:t>
                  </w:r>
                </w:p>
              </w:tc>
              <w:tc>
                <w:tcPr>
                  <w:tcW w:w="821" w:type="dxa"/>
                  <w:noWrap w:val="0"/>
                  <w:vAlign w:val="center"/>
                </w:tcPr>
                <w:p w14:paraId="7E1D54ED">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物质名称</w:t>
                  </w:r>
                </w:p>
              </w:tc>
              <w:tc>
                <w:tcPr>
                  <w:tcW w:w="918" w:type="dxa"/>
                  <w:noWrap w:val="0"/>
                  <w:vAlign w:val="center"/>
                </w:tcPr>
                <w:p w14:paraId="1451076B">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物料形态</w:t>
                  </w:r>
                </w:p>
              </w:tc>
              <w:tc>
                <w:tcPr>
                  <w:tcW w:w="976" w:type="dxa"/>
                  <w:noWrap w:val="0"/>
                  <w:vAlign w:val="center"/>
                </w:tcPr>
                <w:p w14:paraId="7DFF0175">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危险物质名称</w:t>
                  </w:r>
                </w:p>
              </w:tc>
              <w:tc>
                <w:tcPr>
                  <w:tcW w:w="1179" w:type="dxa"/>
                  <w:noWrap w:val="0"/>
                  <w:vAlign w:val="center"/>
                </w:tcPr>
                <w:p w14:paraId="0E9DA730">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CAS号</w:t>
                  </w:r>
                </w:p>
              </w:tc>
              <w:tc>
                <w:tcPr>
                  <w:tcW w:w="1302" w:type="dxa"/>
                  <w:noWrap w:val="0"/>
                  <w:vAlign w:val="center"/>
                </w:tcPr>
                <w:p w14:paraId="58325D85">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危险物质折纯最大存在量（t）</w:t>
                  </w:r>
                </w:p>
              </w:tc>
              <w:tc>
                <w:tcPr>
                  <w:tcW w:w="794" w:type="dxa"/>
                  <w:noWrap w:val="0"/>
                  <w:vAlign w:val="center"/>
                </w:tcPr>
                <w:p w14:paraId="7867C13E">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临界量（t）</w:t>
                  </w:r>
                </w:p>
              </w:tc>
              <w:tc>
                <w:tcPr>
                  <w:tcW w:w="1188" w:type="dxa"/>
                  <w:noWrap w:val="0"/>
                  <w:vAlign w:val="center"/>
                </w:tcPr>
                <w:p w14:paraId="7789C66A">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qi/Qi</w:t>
                  </w:r>
                </w:p>
              </w:tc>
            </w:tr>
            <w:tr w14:paraId="078272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5" w:hRule="atLeast"/>
                <w:jc w:val="center"/>
              </w:trPr>
              <w:tc>
                <w:tcPr>
                  <w:tcW w:w="820" w:type="dxa"/>
                  <w:noWrap w:val="0"/>
                  <w:vAlign w:val="center"/>
                </w:tcPr>
                <w:p w14:paraId="0DA35A9A">
                  <w:pPr>
                    <w:widowControl/>
                    <w:jc w:val="center"/>
                    <w:textAlignment w:val="center"/>
                    <w:rPr>
                      <w:rFonts w:hint="eastAsia" w:ascii="Times New Roman" w:hAnsi="Times New Roman" w:eastAsia="宋体" w:cs="Times New Roman"/>
                      <w:color w:val="auto"/>
                      <w:szCs w:val="21"/>
                      <w:highlight w:val="none"/>
                      <w:lang w:eastAsia="zh-CN"/>
                    </w:rPr>
                  </w:pPr>
                  <w:r>
                    <w:rPr>
                      <w:rFonts w:hint="eastAsia" w:cs="Times New Roman"/>
                      <w:color w:val="auto"/>
                      <w:kern w:val="0"/>
                      <w:szCs w:val="21"/>
                      <w:highlight w:val="none"/>
                      <w:lang w:val="en-US" w:eastAsia="zh-CN" w:bidi="ar"/>
                    </w:rPr>
                    <w:t>1</w:t>
                  </w:r>
                </w:p>
              </w:tc>
              <w:tc>
                <w:tcPr>
                  <w:tcW w:w="821" w:type="dxa"/>
                  <w:noWrap w:val="0"/>
                  <w:vAlign w:val="center"/>
                </w:tcPr>
                <w:p w14:paraId="719CFBDF">
                  <w:pPr>
                    <w:widowControl/>
                    <w:jc w:val="center"/>
                    <w:textAlignment w:val="center"/>
                    <w:rPr>
                      <w:rFonts w:hint="eastAsia" w:ascii="Times New Roman" w:hAnsi="Times New Roman" w:eastAsia="宋体" w:cs="Times New Roman"/>
                      <w:color w:val="auto"/>
                      <w:szCs w:val="21"/>
                      <w:highlight w:val="none"/>
                      <w:lang w:eastAsia="zh-CN"/>
                    </w:rPr>
                  </w:pPr>
                  <w:r>
                    <w:rPr>
                      <w:rFonts w:hint="eastAsia" w:cs="Times New Roman"/>
                      <w:color w:val="auto"/>
                      <w:kern w:val="0"/>
                      <w:szCs w:val="21"/>
                      <w:highlight w:val="none"/>
                      <w:lang w:val="en-US" w:eastAsia="zh-CN" w:bidi="ar"/>
                    </w:rPr>
                    <w:t>润滑油</w:t>
                  </w:r>
                </w:p>
              </w:tc>
              <w:tc>
                <w:tcPr>
                  <w:tcW w:w="918" w:type="dxa"/>
                  <w:noWrap w:val="0"/>
                  <w:vAlign w:val="center"/>
                </w:tcPr>
                <w:p w14:paraId="66FD8D9E">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液态</w:t>
                  </w:r>
                </w:p>
              </w:tc>
              <w:tc>
                <w:tcPr>
                  <w:tcW w:w="976" w:type="dxa"/>
                  <w:noWrap w:val="0"/>
                  <w:vAlign w:val="center"/>
                </w:tcPr>
                <w:p w14:paraId="56875CD4">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矿物油</w:t>
                  </w:r>
                </w:p>
              </w:tc>
              <w:tc>
                <w:tcPr>
                  <w:tcW w:w="1179" w:type="dxa"/>
                  <w:noWrap w:val="0"/>
                  <w:vAlign w:val="center"/>
                </w:tcPr>
                <w:p w14:paraId="0DF2F049">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w:t>
                  </w:r>
                </w:p>
              </w:tc>
              <w:tc>
                <w:tcPr>
                  <w:tcW w:w="1302" w:type="dxa"/>
                  <w:noWrap w:val="0"/>
                  <w:vAlign w:val="center"/>
                </w:tcPr>
                <w:p w14:paraId="4E4241D6">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
                    </w:rPr>
                    <w:t>0.</w:t>
                  </w:r>
                  <w:r>
                    <w:rPr>
                      <w:rFonts w:hint="eastAsia" w:cs="Times New Roman"/>
                      <w:color w:val="auto"/>
                      <w:kern w:val="0"/>
                      <w:sz w:val="21"/>
                      <w:szCs w:val="21"/>
                      <w:highlight w:val="none"/>
                      <w:lang w:val="en-US" w:eastAsia="zh-CN" w:bidi="ar"/>
                    </w:rPr>
                    <w:t>2</w:t>
                  </w:r>
                </w:p>
              </w:tc>
              <w:tc>
                <w:tcPr>
                  <w:tcW w:w="794" w:type="dxa"/>
                  <w:noWrap w:val="0"/>
                  <w:vAlign w:val="center"/>
                </w:tcPr>
                <w:p w14:paraId="00A577C6">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2500</w:t>
                  </w:r>
                </w:p>
              </w:tc>
              <w:tc>
                <w:tcPr>
                  <w:tcW w:w="1188" w:type="dxa"/>
                  <w:noWrap w:val="0"/>
                  <w:vAlign w:val="center"/>
                </w:tcPr>
                <w:p w14:paraId="45AD482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0.00008</w:t>
                  </w:r>
                </w:p>
              </w:tc>
            </w:tr>
            <w:tr w14:paraId="0057E6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5" w:hRule="atLeast"/>
                <w:jc w:val="center"/>
              </w:trPr>
              <w:tc>
                <w:tcPr>
                  <w:tcW w:w="820" w:type="dxa"/>
                  <w:noWrap w:val="0"/>
                  <w:vAlign w:val="center"/>
                </w:tcPr>
                <w:p w14:paraId="7E2D46B1">
                  <w:pPr>
                    <w:widowControl/>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w:t>
                  </w:r>
                </w:p>
              </w:tc>
              <w:tc>
                <w:tcPr>
                  <w:tcW w:w="821" w:type="dxa"/>
                  <w:noWrap w:val="0"/>
                  <w:vAlign w:val="center"/>
                </w:tcPr>
                <w:p w14:paraId="26825C10">
                  <w:pPr>
                    <w:widowControl/>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废润滑油</w:t>
                  </w:r>
                </w:p>
              </w:tc>
              <w:tc>
                <w:tcPr>
                  <w:tcW w:w="918" w:type="dxa"/>
                  <w:noWrap w:val="0"/>
                  <w:vAlign w:val="center"/>
                </w:tcPr>
                <w:p w14:paraId="397E9FA5">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液态</w:t>
                  </w:r>
                </w:p>
              </w:tc>
              <w:tc>
                <w:tcPr>
                  <w:tcW w:w="976" w:type="dxa"/>
                  <w:noWrap w:val="0"/>
                  <w:vAlign w:val="center"/>
                </w:tcPr>
                <w:p w14:paraId="1C56317B">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矿物油</w:t>
                  </w:r>
                </w:p>
              </w:tc>
              <w:tc>
                <w:tcPr>
                  <w:tcW w:w="1179" w:type="dxa"/>
                  <w:noWrap w:val="0"/>
                  <w:vAlign w:val="center"/>
                </w:tcPr>
                <w:p w14:paraId="61938AAA">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w:t>
                  </w:r>
                </w:p>
              </w:tc>
              <w:tc>
                <w:tcPr>
                  <w:tcW w:w="1302" w:type="dxa"/>
                  <w:noWrap w:val="0"/>
                  <w:vAlign w:val="center"/>
                </w:tcPr>
                <w:p w14:paraId="0B32287D">
                  <w:pPr>
                    <w:widowControl/>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0.5</w:t>
                  </w:r>
                </w:p>
              </w:tc>
              <w:tc>
                <w:tcPr>
                  <w:tcW w:w="794" w:type="dxa"/>
                  <w:noWrap w:val="0"/>
                  <w:vAlign w:val="center"/>
                </w:tcPr>
                <w:p w14:paraId="34E4B342">
                  <w:pPr>
                    <w:widowControl/>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2500</w:t>
                  </w:r>
                </w:p>
              </w:tc>
              <w:tc>
                <w:tcPr>
                  <w:tcW w:w="1188" w:type="dxa"/>
                  <w:noWrap w:val="0"/>
                  <w:vAlign w:val="center"/>
                </w:tcPr>
                <w:p w14:paraId="17BFCC4E">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0.0002</w:t>
                  </w:r>
                </w:p>
              </w:tc>
            </w:tr>
            <w:tr w14:paraId="1E7FC7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5" w:hRule="atLeast"/>
                <w:jc w:val="center"/>
              </w:trPr>
              <w:tc>
                <w:tcPr>
                  <w:tcW w:w="820" w:type="dxa"/>
                  <w:noWrap w:val="0"/>
                  <w:vAlign w:val="center"/>
                </w:tcPr>
                <w:p w14:paraId="05BF81E4">
                  <w:pPr>
                    <w:widowControl/>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3</w:t>
                  </w:r>
                </w:p>
              </w:tc>
              <w:tc>
                <w:tcPr>
                  <w:tcW w:w="821" w:type="dxa"/>
                  <w:noWrap w:val="0"/>
                  <w:vAlign w:val="center"/>
                </w:tcPr>
                <w:p w14:paraId="021CC734">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石蜡油</w:t>
                  </w:r>
                </w:p>
              </w:tc>
              <w:tc>
                <w:tcPr>
                  <w:tcW w:w="918" w:type="dxa"/>
                  <w:noWrap w:val="0"/>
                  <w:vAlign w:val="center"/>
                </w:tcPr>
                <w:p w14:paraId="43A84379">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液态</w:t>
                  </w:r>
                </w:p>
              </w:tc>
              <w:tc>
                <w:tcPr>
                  <w:tcW w:w="976" w:type="dxa"/>
                  <w:noWrap w:val="0"/>
                  <w:vAlign w:val="center"/>
                </w:tcPr>
                <w:p w14:paraId="749B4CB1">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矿物油</w:t>
                  </w:r>
                </w:p>
              </w:tc>
              <w:tc>
                <w:tcPr>
                  <w:tcW w:w="1179" w:type="dxa"/>
                  <w:noWrap w:val="0"/>
                  <w:vAlign w:val="center"/>
                </w:tcPr>
                <w:p w14:paraId="20BD336E">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w:t>
                  </w:r>
                </w:p>
              </w:tc>
              <w:tc>
                <w:tcPr>
                  <w:tcW w:w="1302" w:type="dxa"/>
                  <w:noWrap w:val="0"/>
                  <w:vAlign w:val="center"/>
                </w:tcPr>
                <w:p w14:paraId="5EA470AC">
                  <w:pPr>
                    <w:widowControl/>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20</w:t>
                  </w:r>
                </w:p>
              </w:tc>
              <w:tc>
                <w:tcPr>
                  <w:tcW w:w="794" w:type="dxa"/>
                  <w:noWrap w:val="0"/>
                  <w:vAlign w:val="center"/>
                </w:tcPr>
                <w:p w14:paraId="775BCA08">
                  <w:pPr>
                    <w:widowControl/>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2500</w:t>
                  </w:r>
                </w:p>
              </w:tc>
              <w:tc>
                <w:tcPr>
                  <w:tcW w:w="1188" w:type="dxa"/>
                  <w:noWrap w:val="0"/>
                  <w:vAlign w:val="center"/>
                </w:tcPr>
                <w:p w14:paraId="22F9968A">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0.008</w:t>
                  </w:r>
                </w:p>
              </w:tc>
            </w:tr>
            <w:tr w14:paraId="75F79E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4" w:hRule="atLeast"/>
                <w:jc w:val="center"/>
              </w:trPr>
              <w:tc>
                <w:tcPr>
                  <w:tcW w:w="4714" w:type="dxa"/>
                  <w:gridSpan w:val="5"/>
                  <w:noWrap w:val="0"/>
                  <w:vAlign w:val="center"/>
                </w:tcPr>
                <w:p w14:paraId="5FBAA0BB">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合计</w:t>
                  </w:r>
                </w:p>
              </w:tc>
              <w:tc>
                <w:tcPr>
                  <w:tcW w:w="1302" w:type="dxa"/>
                  <w:noWrap w:val="0"/>
                  <w:vAlign w:val="center"/>
                </w:tcPr>
                <w:p w14:paraId="6E4B2069">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p>
              </w:tc>
              <w:tc>
                <w:tcPr>
                  <w:tcW w:w="794" w:type="dxa"/>
                  <w:noWrap w:val="0"/>
                  <w:vAlign w:val="center"/>
                </w:tcPr>
                <w:p w14:paraId="1C229668">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p>
              </w:tc>
              <w:tc>
                <w:tcPr>
                  <w:tcW w:w="1188" w:type="dxa"/>
                  <w:noWrap w:val="0"/>
                  <w:vAlign w:val="center"/>
                </w:tcPr>
                <w:p w14:paraId="28227AD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0.00828</w:t>
                  </w:r>
                </w:p>
              </w:tc>
            </w:tr>
          </w:tbl>
          <w:p w14:paraId="7E70B9BA">
            <w:pPr>
              <w:adjustRightInd w:val="0"/>
              <w:snapToGrid w:val="0"/>
              <w:spacing w:line="420" w:lineRule="auto"/>
              <w:ind w:firstLine="480"/>
              <w:rPr>
                <w:color w:val="auto"/>
                <w:sz w:val="24"/>
                <w:highlight w:val="none"/>
              </w:rPr>
            </w:pPr>
            <w:r>
              <w:rPr>
                <w:color w:val="auto"/>
                <w:sz w:val="24"/>
                <w:highlight w:val="none"/>
              </w:rPr>
              <w:t>项目Q值为计算所涉及的每种危险物质在厂界内的最大存在总量与其在《建设项目环境风险评价技术导则》（HJ169-2018）附录B中对应临界量的比值Q。当只涉及一种危险物质时，计算该物质的总量与其临界量比值，即为Q；当存在多种危险物质时，则按下式计算物质总量与其临界量比值（Q）：</w:t>
            </w:r>
          </w:p>
          <w:p w14:paraId="04DCECD0">
            <w:pPr>
              <w:adjustRightInd w:val="0"/>
              <w:snapToGrid w:val="0"/>
              <w:spacing w:line="420" w:lineRule="auto"/>
              <w:ind w:firstLine="480"/>
              <w:jc w:val="center"/>
              <w:rPr>
                <w:color w:val="auto"/>
                <w:sz w:val="24"/>
                <w:highlight w:val="none"/>
              </w:rPr>
            </w:pPr>
            <w:r>
              <w:rPr>
                <w:color w:val="auto"/>
                <w:sz w:val="24"/>
                <w:highlight w:val="none"/>
              </w:rPr>
              <w:t>Q=q1/Q1+q2/Q2+……+qn/Qn</w:t>
            </w:r>
          </w:p>
          <w:p w14:paraId="35BE6B62">
            <w:pPr>
              <w:adjustRightInd w:val="0"/>
              <w:snapToGrid w:val="0"/>
              <w:spacing w:line="420" w:lineRule="auto"/>
              <w:ind w:firstLine="480"/>
              <w:rPr>
                <w:color w:val="auto"/>
                <w:sz w:val="24"/>
                <w:highlight w:val="none"/>
              </w:rPr>
            </w:pPr>
            <w:r>
              <w:rPr>
                <w:color w:val="auto"/>
                <w:sz w:val="24"/>
                <w:highlight w:val="none"/>
              </w:rPr>
              <w:t>式中：q1，q2，…，qn—每种危险物质的最大存在总量，t；</w:t>
            </w:r>
          </w:p>
          <w:p w14:paraId="11596800">
            <w:pPr>
              <w:adjustRightInd w:val="0"/>
              <w:snapToGrid w:val="0"/>
              <w:spacing w:line="420" w:lineRule="auto"/>
              <w:ind w:firstLine="1080" w:firstLineChars="450"/>
              <w:rPr>
                <w:color w:val="auto"/>
                <w:sz w:val="24"/>
                <w:highlight w:val="none"/>
              </w:rPr>
            </w:pPr>
            <w:r>
              <w:rPr>
                <w:color w:val="auto"/>
                <w:sz w:val="24"/>
                <w:highlight w:val="none"/>
              </w:rPr>
              <w:t>Q1，Q2，…，Qn—每种危险物质的临界量，t。</w:t>
            </w:r>
          </w:p>
          <w:p w14:paraId="0BC91F83">
            <w:pPr>
              <w:adjustRightInd w:val="0"/>
              <w:snapToGrid w:val="0"/>
              <w:spacing w:line="420" w:lineRule="auto"/>
              <w:ind w:firstLine="1080" w:firstLineChars="450"/>
              <w:rPr>
                <w:color w:val="auto"/>
                <w:sz w:val="24"/>
                <w:highlight w:val="none"/>
              </w:rPr>
            </w:pPr>
            <w:r>
              <w:rPr>
                <w:color w:val="auto"/>
                <w:sz w:val="24"/>
                <w:highlight w:val="none"/>
              </w:rPr>
              <w:t>当Q＜1时，该项目环境风险潜势为I。</w:t>
            </w:r>
          </w:p>
          <w:p w14:paraId="5B75035A">
            <w:pPr>
              <w:pStyle w:val="42"/>
              <w:ind w:firstLine="480"/>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根据计算，本项目Q=0.00828&lt;1，</w:t>
            </w:r>
            <w:r>
              <w:rPr>
                <w:rFonts w:hint="default" w:ascii="Times New Roman" w:hAnsi="Times New Roman" w:cs="Times New Roman"/>
                <w:color w:val="auto"/>
                <w:szCs w:val="24"/>
                <w:highlight w:val="none"/>
              </w:rPr>
              <w:t>环境风险潜势为I。根据《建设项目环境影响报告表编制技术指南污染影响类》本项目危险物质存量未超过临界量，因此不开展环境风险专题评价。</w:t>
            </w:r>
          </w:p>
          <w:p w14:paraId="7DCCABCA">
            <w:pPr>
              <w:pStyle w:val="42"/>
              <w:numPr>
                <w:ilvl w:val="0"/>
                <w:numId w:val="9"/>
              </w:num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环境风险物质分布情况</w:t>
            </w:r>
          </w:p>
          <w:p w14:paraId="22F7DBBB">
            <w:pPr>
              <w:pStyle w:val="4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根据本项目的工艺流程情况，原料暂存情况本项目风险物质主要存在于</w:t>
            </w:r>
            <w:r>
              <w:rPr>
                <w:rFonts w:hint="eastAsia" w:ascii="Times New Roman" w:hAnsi="Times New Roman" w:cs="Times New Roman"/>
                <w:color w:val="auto"/>
                <w:highlight w:val="none"/>
                <w:lang w:val="en-US" w:eastAsia="zh-CN"/>
              </w:rPr>
              <w:t>原料</w:t>
            </w:r>
            <w:r>
              <w:rPr>
                <w:rFonts w:hint="default" w:ascii="Times New Roman" w:hAnsi="Times New Roman" w:cs="Times New Roman"/>
                <w:color w:val="auto"/>
                <w:highlight w:val="none"/>
              </w:rPr>
              <w:t>仓库、</w:t>
            </w:r>
            <w:r>
              <w:rPr>
                <w:rFonts w:hint="eastAsia" w:ascii="Times New Roman" w:hAnsi="Times New Roman" w:cs="Times New Roman"/>
                <w:color w:val="auto"/>
                <w:highlight w:val="none"/>
                <w:lang w:eastAsia="zh-CN"/>
              </w:rPr>
              <w:t>液压设备所在区域</w:t>
            </w:r>
            <w:r>
              <w:rPr>
                <w:rFonts w:hint="default" w:ascii="Times New Roman" w:hAnsi="Times New Roman" w:cs="Times New Roman"/>
                <w:color w:val="auto"/>
                <w:highlight w:val="none"/>
              </w:rPr>
              <w:t>，危废间。</w:t>
            </w:r>
          </w:p>
          <w:p w14:paraId="0C0261C5">
            <w:pPr>
              <w:pStyle w:val="4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（2）可能影响途径</w:t>
            </w:r>
          </w:p>
          <w:p w14:paraId="22837F96">
            <w:pPr>
              <w:pStyle w:val="4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环境风险物质对外环境的影响方式主要为火灾</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爆炸、</w:t>
            </w:r>
            <w:r>
              <w:rPr>
                <w:rFonts w:hint="default" w:ascii="Times New Roman" w:hAnsi="Times New Roman" w:cs="Times New Roman"/>
                <w:color w:val="auto"/>
                <w:highlight w:val="none"/>
              </w:rPr>
              <w:t>泄漏。根据本项目实际情况，本项目环境风险可能影响途径包括以下几个方面：</w:t>
            </w:r>
          </w:p>
          <w:p w14:paraId="7D306BE2">
            <w:pPr>
              <w:pStyle w:val="43"/>
              <w:rPr>
                <w:rFonts w:hint="default" w:ascii="Times New Roman" w:hAnsi="Times New Roman"/>
                <w:color w:val="auto"/>
                <w:highlight w:val="none"/>
              </w:rPr>
            </w:pPr>
            <w:r>
              <w:rPr>
                <w:rFonts w:hint="default" w:ascii="Times New Roman" w:hAnsi="Times New Roman"/>
                <w:color w:val="auto"/>
                <w:highlight w:val="none"/>
              </w:rPr>
              <w:t>表4-</w:t>
            </w:r>
            <w:r>
              <w:rPr>
                <w:rFonts w:hint="eastAsia" w:ascii="Times New Roman" w:hAnsi="Times New Roman"/>
                <w:color w:val="auto"/>
                <w:highlight w:val="none"/>
                <w:lang w:val="en-US" w:eastAsia="zh-CN"/>
              </w:rPr>
              <w:t>22</w:t>
            </w:r>
            <w:r>
              <w:rPr>
                <w:rFonts w:hint="default" w:ascii="Times New Roman" w:hAnsi="Times New Roman"/>
                <w:color w:val="auto"/>
                <w:highlight w:val="none"/>
              </w:rPr>
              <w:t>风险物质导致的环境风险情况</w:t>
            </w:r>
          </w:p>
          <w:tbl>
            <w:tblPr>
              <w:tblStyle w:val="23"/>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01"/>
              <w:gridCol w:w="1918"/>
              <w:gridCol w:w="2126"/>
              <w:gridCol w:w="3208"/>
            </w:tblGrid>
            <w:tr w14:paraId="6EF2BD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01" w:type="dxa"/>
                  <w:noWrap w:val="0"/>
                  <w:vAlign w:val="center"/>
                </w:tcPr>
                <w:p w14:paraId="063D8351">
                  <w:pPr>
                    <w:widowControl/>
                    <w:jc w:val="center"/>
                    <w:textAlignment w:val="center"/>
                    <w:rPr>
                      <w:b/>
                      <w:bCs/>
                      <w:color w:val="auto"/>
                      <w:sz w:val="22"/>
                      <w:szCs w:val="22"/>
                      <w:highlight w:val="none"/>
                    </w:rPr>
                  </w:pPr>
                  <w:r>
                    <w:rPr>
                      <w:b/>
                      <w:bCs/>
                      <w:color w:val="auto"/>
                      <w:kern w:val="0"/>
                      <w:sz w:val="22"/>
                      <w:szCs w:val="22"/>
                      <w:highlight w:val="none"/>
                      <w:lang w:bidi="ar"/>
                    </w:rPr>
                    <w:t>序号</w:t>
                  </w:r>
                </w:p>
              </w:tc>
              <w:tc>
                <w:tcPr>
                  <w:tcW w:w="1918" w:type="dxa"/>
                  <w:noWrap w:val="0"/>
                  <w:vAlign w:val="center"/>
                </w:tcPr>
                <w:p w14:paraId="26C74C18">
                  <w:pPr>
                    <w:widowControl/>
                    <w:jc w:val="center"/>
                    <w:textAlignment w:val="center"/>
                    <w:rPr>
                      <w:b/>
                      <w:bCs/>
                      <w:color w:val="auto"/>
                      <w:sz w:val="22"/>
                      <w:szCs w:val="22"/>
                      <w:highlight w:val="none"/>
                    </w:rPr>
                  </w:pPr>
                  <w:r>
                    <w:rPr>
                      <w:b/>
                      <w:bCs/>
                      <w:color w:val="auto"/>
                      <w:kern w:val="0"/>
                      <w:sz w:val="22"/>
                      <w:szCs w:val="22"/>
                      <w:highlight w:val="none"/>
                      <w:lang w:bidi="ar"/>
                    </w:rPr>
                    <w:t>风险类别</w:t>
                  </w:r>
                </w:p>
              </w:tc>
              <w:tc>
                <w:tcPr>
                  <w:tcW w:w="2126" w:type="dxa"/>
                  <w:noWrap w:val="0"/>
                  <w:vAlign w:val="center"/>
                </w:tcPr>
                <w:p w14:paraId="2086A8E2">
                  <w:pPr>
                    <w:widowControl/>
                    <w:jc w:val="center"/>
                    <w:textAlignment w:val="center"/>
                    <w:rPr>
                      <w:b/>
                      <w:bCs/>
                      <w:color w:val="auto"/>
                      <w:sz w:val="22"/>
                      <w:szCs w:val="22"/>
                      <w:highlight w:val="none"/>
                    </w:rPr>
                  </w:pPr>
                  <w:r>
                    <w:rPr>
                      <w:b/>
                      <w:bCs/>
                      <w:color w:val="auto"/>
                      <w:kern w:val="0"/>
                      <w:sz w:val="22"/>
                      <w:szCs w:val="22"/>
                      <w:highlight w:val="none"/>
                      <w:lang w:bidi="ar"/>
                    </w:rPr>
                    <w:t>危险源</w:t>
                  </w:r>
                </w:p>
              </w:tc>
              <w:tc>
                <w:tcPr>
                  <w:tcW w:w="3208" w:type="dxa"/>
                  <w:noWrap w:val="0"/>
                  <w:vAlign w:val="center"/>
                </w:tcPr>
                <w:p w14:paraId="51195598">
                  <w:pPr>
                    <w:widowControl/>
                    <w:jc w:val="center"/>
                    <w:textAlignment w:val="center"/>
                    <w:rPr>
                      <w:b/>
                      <w:bCs/>
                      <w:color w:val="auto"/>
                      <w:sz w:val="22"/>
                      <w:szCs w:val="22"/>
                      <w:highlight w:val="none"/>
                    </w:rPr>
                  </w:pPr>
                  <w:r>
                    <w:rPr>
                      <w:b/>
                      <w:bCs/>
                      <w:color w:val="auto"/>
                      <w:kern w:val="0"/>
                      <w:sz w:val="22"/>
                      <w:szCs w:val="22"/>
                      <w:highlight w:val="none"/>
                      <w:lang w:bidi="ar"/>
                    </w:rPr>
                    <w:t>影响途径及事故可能造成的后果</w:t>
                  </w:r>
                </w:p>
              </w:tc>
            </w:tr>
            <w:tr w14:paraId="1EC53A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01" w:type="dxa"/>
                  <w:noWrap w:val="0"/>
                  <w:vAlign w:val="center"/>
                </w:tcPr>
                <w:p w14:paraId="12934708">
                  <w:pPr>
                    <w:widowControl/>
                    <w:jc w:val="center"/>
                    <w:textAlignment w:val="center"/>
                    <w:rPr>
                      <w:color w:val="auto"/>
                      <w:szCs w:val="21"/>
                      <w:highlight w:val="none"/>
                    </w:rPr>
                  </w:pPr>
                  <w:r>
                    <w:rPr>
                      <w:color w:val="auto"/>
                      <w:kern w:val="0"/>
                      <w:szCs w:val="21"/>
                      <w:highlight w:val="none"/>
                      <w:lang w:bidi="ar"/>
                    </w:rPr>
                    <w:t>1</w:t>
                  </w:r>
                </w:p>
              </w:tc>
              <w:tc>
                <w:tcPr>
                  <w:tcW w:w="1918" w:type="dxa"/>
                  <w:noWrap w:val="0"/>
                  <w:vAlign w:val="center"/>
                </w:tcPr>
                <w:p w14:paraId="61B28B75">
                  <w:pPr>
                    <w:widowControl/>
                    <w:jc w:val="center"/>
                    <w:textAlignment w:val="center"/>
                    <w:rPr>
                      <w:color w:val="auto"/>
                      <w:szCs w:val="21"/>
                      <w:highlight w:val="none"/>
                    </w:rPr>
                  </w:pPr>
                  <w:r>
                    <w:rPr>
                      <w:color w:val="auto"/>
                      <w:kern w:val="0"/>
                      <w:szCs w:val="21"/>
                      <w:highlight w:val="none"/>
                      <w:lang w:bidi="ar"/>
                    </w:rPr>
                    <w:t>泄漏</w:t>
                  </w:r>
                </w:p>
              </w:tc>
              <w:tc>
                <w:tcPr>
                  <w:tcW w:w="2126" w:type="dxa"/>
                  <w:noWrap w:val="0"/>
                  <w:vAlign w:val="center"/>
                </w:tcPr>
                <w:p w14:paraId="451C3AE7">
                  <w:pPr>
                    <w:widowControl/>
                    <w:jc w:val="center"/>
                    <w:textAlignment w:val="center"/>
                    <w:rPr>
                      <w:color w:val="auto"/>
                      <w:szCs w:val="21"/>
                      <w:highlight w:val="none"/>
                    </w:rPr>
                  </w:pPr>
                  <w:r>
                    <w:rPr>
                      <w:color w:val="auto"/>
                      <w:kern w:val="0"/>
                      <w:szCs w:val="21"/>
                      <w:highlight w:val="none"/>
                      <w:lang w:bidi="ar"/>
                    </w:rPr>
                    <w:t>存储、使用及厂内运输环境</w:t>
                  </w:r>
                </w:p>
              </w:tc>
              <w:tc>
                <w:tcPr>
                  <w:tcW w:w="3208" w:type="dxa"/>
                  <w:noWrap w:val="0"/>
                  <w:vAlign w:val="center"/>
                </w:tcPr>
                <w:p w14:paraId="2CDA4890">
                  <w:pPr>
                    <w:widowControl/>
                    <w:jc w:val="left"/>
                    <w:textAlignment w:val="center"/>
                    <w:rPr>
                      <w:color w:val="auto"/>
                      <w:szCs w:val="21"/>
                      <w:highlight w:val="none"/>
                    </w:rPr>
                  </w:pPr>
                  <w:r>
                    <w:rPr>
                      <w:color w:val="auto"/>
                      <w:kern w:val="0"/>
                      <w:szCs w:val="21"/>
                      <w:highlight w:val="none"/>
                      <w:lang w:bidi="ar"/>
                    </w:rPr>
                    <w:t>大气污染、爆炸、人员中毒</w:t>
                  </w:r>
                </w:p>
              </w:tc>
            </w:tr>
            <w:tr w14:paraId="4BB039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01" w:type="dxa"/>
                  <w:noWrap w:val="0"/>
                  <w:vAlign w:val="center"/>
                </w:tcPr>
                <w:p w14:paraId="1CB157DF">
                  <w:pPr>
                    <w:widowControl/>
                    <w:jc w:val="center"/>
                    <w:textAlignment w:val="center"/>
                    <w:rPr>
                      <w:color w:val="auto"/>
                      <w:szCs w:val="21"/>
                      <w:highlight w:val="none"/>
                    </w:rPr>
                  </w:pPr>
                  <w:r>
                    <w:rPr>
                      <w:color w:val="auto"/>
                      <w:kern w:val="0"/>
                      <w:szCs w:val="21"/>
                      <w:highlight w:val="none"/>
                      <w:lang w:bidi="ar"/>
                    </w:rPr>
                    <w:t>2</w:t>
                  </w:r>
                </w:p>
              </w:tc>
              <w:tc>
                <w:tcPr>
                  <w:tcW w:w="1918" w:type="dxa"/>
                  <w:noWrap w:val="0"/>
                  <w:vAlign w:val="center"/>
                </w:tcPr>
                <w:p w14:paraId="4E631EA3">
                  <w:pPr>
                    <w:widowControl/>
                    <w:jc w:val="center"/>
                    <w:textAlignment w:val="center"/>
                    <w:rPr>
                      <w:color w:val="auto"/>
                      <w:szCs w:val="21"/>
                      <w:highlight w:val="none"/>
                    </w:rPr>
                  </w:pPr>
                  <w:r>
                    <w:rPr>
                      <w:color w:val="auto"/>
                      <w:kern w:val="0"/>
                      <w:szCs w:val="21"/>
                      <w:highlight w:val="none"/>
                      <w:lang w:bidi="ar"/>
                    </w:rPr>
                    <w:t>火灾</w:t>
                  </w:r>
                </w:p>
              </w:tc>
              <w:tc>
                <w:tcPr>
                  <w:tcW w:w="2126" w:type="dxa"/>
                  <w:noWrap w:val="0"/>
                  <w:vAlign w:val="center"/>
                </w:tcPr>
                <w:p w14:paraId="50B2E226">
                  <w:pPr>
                    <w:widowControl/>
                    <w:jc w:val="center"/>
                    <w:textAlignment w:val="center"/>
                    <w:rPr>
                      <w:rFonts w:hint="default"/>
                      <w:color w:val="auto"/>
                      <w:szCs w:val="21"/>
                      <w:highlight w:val="none"/>
                      <w:lang w:val="en-US"/>
                    </w:rPr>
                  </w:pPr>
                  <w:r>
                    <w:rPr>
                      <w:rFonts w:hint="eastAsia"/>
                      <w:color w:val="auto"/>
                      <w:kern w:val="0"/>
                      <w:szCs w:val="21"/>
                      <w:highlight w:val="none"/>
                      <w:lang w:val="en-US" w:eastAsia="zh-CN" w:bidi="ar"/>
                    </w:rPr>
                    <w:t>危险废物仓库、原料仓库</w:t>
                  </w:r>
                </w:p>
              </w:tc>
              <w:tc>
                <w:tcPr>
                  <w:tcW w:w="3208" w:type="dxa"/>
                  <w:noWrap w:val="0"/>
                  <w:vAlign w:val="center"/>
                </w:tcPr>
                <w:p w14:paraId="0089FB53">
                  <w:pPr>
                    <w:widowControl/>
                    <w:jc w:val="left"/>
                    <w:textAlignment w:val="center"/>
                    <w:rPr>
                      <w:color w:val="auto"/>
                      <w:szCs w:val="21"/>
                      <w:highlight w:val="none"/>
                    </w:rPr>
                  </w:pPr>
                  <w:r>
                    <w:rPr>
                      <w:color w:val="auto"/>
                      <w:kern w:val="0"/>
                      <w:szCs w:val="21"/>
                      <w:highlight w:val="none"/>
                      <w:lang w:bidi="ar"/>
                    </w:rPr>
                    <w:t>火灾浓烟产生次生大气污染影响，消防废水导致次生水环境污染</w:t>
                  </w:r>
                </w:p>
              </w:tc>
            </w:tr>
            <w:tr w14:paraId="61966C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01" w:type="dxa"/>
                  <w:noWrap w:val="0"/>
                  <w:vAlign w:val="center"/>
                </w:tcPr>
                <w:p w14:paraId="1678ADA5">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3</w:t>
                  </w:r>
                </w:p>
              </w:tc>
              <w:tc>
                <w:tcPr>
                  <w:tcW w:w="1918" w:type="dxa"/>
                  <w:noWrap w:val="0"/>
                  <w:vAlign w:val="center"/>
                </w:tcPr>
                <w:p w14:paraId="191F88BB">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爆炸</w:t>
                  </w:r>
                </w:p>
              </w:tc>
              <w:tc>
                <w:tcPr>
                  <w:tcW w:w="2126" w:type="dxa"/>
                  <w:noWrap w:val="0"/>
                  <w:vAlign w:val="center"/>
                </w:tcPr>
                <w:p w14:paraId="326F5BF7">
                  <w:pPr>
                    <w:widowControl/>
                    <w:jc w:val="center"/>
                    <w:textAlignment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生产车间涉爆粉尘区域</w:t>
                  </w:r>
                </w:p>
              </w:tc>
              <w:tc>
                <w:tcPr>
                  <w:tcW w:w="3208" w:type="dxa"/>
                  <w:noWrap w:val="0"/>
                  <w:vAlign w:val="center"/>
                </w:tcPr>
                <w:p w14:paraId="5430A6F8">
                  <w:pPr>
                    <w:widowControl/>
                    <w:jc w:val="left"/>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发生爆炸，引发</w:t>
                  </w:r>
                  <w:r>
                    <w:rPr>
                      <w:color w:val="auto"/>
                      <w:kern w:val="0"/>
                      <w:szCs w:val="21"/>
                      <w:highlight w:val="none"/>
                      <w:lang w:bidi="ar"/>
                    </w:rPr>
                    <w:t>火灾浓烟产生次生大气污染影响，消防废水导致次生水环境污染</w:t>
                  </w:r>
                </w:p>
              </w:tc>
            </w:tr>
            <w:tr w14:paraId="3F2FF1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01" w:type="dxa"/>
                  <w:noWrap w:val="0"/>
                  <w:vAlign w:val="center"/>
                </w:tcPr>
                <w:p w14:paraId="700E2929">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4</w:t>
                  </w:r>
                </w:p>
              </w:tc>
              <w:tc>
                <w:tcPr>
                  <w:tcW w:w="1918" w:type="dxa"/>
                  <w:noWrap w:val="0"/>
                  <w:vAlign w:val="center"/>
                </w:tcPr>
                <w:p w14:paraId="43E8D0D1">
                  <w:pPr>
                    <w:widowControl/>
                    <w:jc w:val="center"/>
                    <w:textAlignment w:val="center"/>
                    <w:rPr>
                      <w:color w:val="auto"/>
                      <w:szCs w:val="21"/>
                      <w:highlight w:val="none"/>
                    </w:rPr>
                  </w:pPr>
                  <w:r>
                    <w:rPr>
                      <w:color w:val="auto"/>
                      <w:kern w:val="0"/>
                      <w:szCs w:val="21"/>
                      <w:highlight w:val="none"/>
                      <w:lang w:bidi="ar"/>
                    </w:rPr>
                    <w:t>危险废物泄漏及丢失</w:t>
                  </w:r>
                </w:p>
              </w:tc>
              <w:tc>
                <w:tcPr>
                  <w:tcW w:w="2126" w:type="dxa"/>
                  <w:noWrap w:val="0"/>
                  <w:vAlign w:val="center"/>
                </w:tcPr>
                <w:p w14:paraId="54849728">
                  <w:pPr>
                    <w:widowControl/>
                    <w:jc w:val="center"/>
                    <w:textAlignment w:val="center"/>
                    <w:rPr>
                      <w:color w:val="auto"/>
                      <w:szCs w:val="21"/>
                      <w:highlight w:val="none"/>
                    </w:rPr>
                  </w:pPr>
                  <w:r>
                    <w:rPr>
                      <w:color w:val="auto"/>
                      <w:kern w:val="0"/>
                      <w:szCs w:val="21"/>
                      <w:highlight w:val="none"/>
                      <w:lang w:bidi="ar"/>
                    </w:rPr>
                    <w:t>危废</w:t>
                  </w:r>
                </w:p>
              </w:tc>
              <w:tc>
                <w:tcPr>
                  <w:tcW w:w="3208" w:type="dxa"/>
                  <w:noWrap w:val="0"/>
                  <w:vAlign w:val="center"/>
                </w:tcPr>
                <w:p w14:paraId="30E7D8AC">
                  <w:pPr>
                    <w:widowControl/>
                    <w:jc w:val="left"/>
                    <w:textAlignment w:val="center"/>
                    <w:rPr>
                      <w:color w:val="auto"/>
                      <w:szCs w:val="21"/>
                      <w:highlight w:val="none"/>
                    </w:rPr>
                  </w:pPr>
                  <w:r>
                    <w:rPr>
                      <w:color w:val="auto"/>
                      <w:kern w:val="0"/>
                      <w:szCs w:val="21"/>
                      <w:highlight w:val="none"/>
                      <w:lang w:bidi="ar"/>
                    </w:rPr>
                    <w:t>造成土壤及地下污染，被盗或丢失引发其他社会问题</w:t>
                  </w:r>
                </w:p>
              </w:tc>
            </w:tr>
          </w:tbl>
          <w:p w14:paraId="33877B58">
            <w:pPr>
              <w:pStyle w:val="42"/>
              <w:spacing w:before="120" w:beforeLines="5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（3）风险防范措施</w:t>
            </w:r>
          </w:p>
          <w:p w14:paraId="5D24C346">
            <w:pPr>
              <w:pStyle w:val="4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①加强管理，严格控制</w:t>
            </w:r>
            <w:r>
              <w:rPr>
                <w:rFonts w:hint="eastAsia" w:ascii="Times New Roman" w:hAnsi="Times New Roman" w:cs="Times New Roman"/>
                <w:color w:val="auto"/>
                <w:highlight w:val="none"/>
                <w:lang w:eastAsia="zh-CN"/>
              </w:rPr>
              <w:t>润滑</w:t>
            </w:r>
            <w:r>
              <w:rPr>
                <w:rFonts w:hint="default" w:ascii="Times New Roman" w:hAnsi="Times New Roman" w:cs="Times New Roman"/>
                <w:color w:val="auto"/>
                <w:highlight w:val="none"/>
              </w:rPr>
              <w:t>油</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石蜡油</w:t>
            </w:r>
            <w:r>
              <w:rPr>
                <w:rFonts w:hint="default" w:ascii="Times New Roman" w:hAnsi="Times New Roman" w:cs="Times New Roman"/>
                <w:color w:val="auto"/>
                <w:highlight w:val="none"/>
              </w:rPr>
              <w:t>在厂区的储存量，降低风险物质整体存在量，以从源头上降低环境风险。</w:t>
            </w:r>
          </w:p>
          <w:p w14:paraId="062C8BAB">
            <w:pPr>
              <w:pStyle w:val="4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②危废暂存间暂存的危废指派专人管理，并采取防盗、防渗、防泄漏、防流散等措施，暂存间内配置足够的灭火设施及应急吸附收纳等应急物资。</w:t>
            </w:r>
          </w:p>
          <w:p w14:paraId="3CD288F4">
            <w:pPr>
              <w:pStyle w:val="4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③按照《危险废物贮存污染控制标准》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GB18597－20</w:t>
            </w:r>
            <w:r>
              <w:rPr>
                <w:rFonts w:hint="eastAsia" w:ascii="Times New Roman" w:hAnsi="Times New Roman" w:cs="Times New Roman"/>
                <w:color w:val="auto"/>
                <w:highlight w:val="none"/>
                <w:lang w:val="en-US" w:eastAsia="zh-CN"/>
              </w:rPr>
              <w:t>23</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的规定管理危废暂存间，并做好防渗、防泄漏、防遗撒措施。危险废物定期交由资质单位处置。</w:t>
            </w:r>
          </w:p>
          <w:p w14:paraId="737F90EE">
            <w:pPr>
              <w:pStyle w:val="4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④加强原料管理，仓库内严禁烟火，仓库暂存区域设置干粉灭火器，以备紧急状态下扑灭初期火灾。</w:t>
            </w:r>
          </w:p>
          <w:p w14:paraId="03243CAA">
            <w:pPr>
              <w:pStyle w:val="42"/>
              <w:ind w:firstLine="48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⑤生产设备和电气线路应良好接地，电气设备采用防爆型设备，地面应采取防止火花、静电产生措施，设备清洁时禁止采用压缩空气吹扫，生产车间内严禁烟火，建立安全操作规程，建立健全全员安全生产责任制，加强职工防火防爆知识培训，防止因安全事故引发次生环境事故。</w:t>
            </w:r>
          </w:p>
          <w:p w14:paraId="4B42BF51">
            <w:pPr>
              <w:pStyle w:val="42"/>
              <w:ind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⑥</w:t>
            </w:r>
            <w:r>
              <w:rPr>
                <w:rFonts w:hint="default" w:ascii="Times New Roman" w:hAnsi="Times New Roman" w:cs="Times New Roman"/>
                <w:color w:val="auto"/>
                <w:highlight w:val="none"/>
              </w:rPr>
              <w:t>制定《突发环境事件应急预案》，成立突发环境事件应急处置领导小组和应急救援兼职队伍，平时做好救援队伍的组织、训练和演练，并对工人进行自救和互救知识的宣传教育。</w:t>
            </w:r>
          </w:p>
          <w:p w14:paraId="7FB33723">
            <w:pPr>
              <w:adjustRightInd w:val="0"/>
              <w:snapToGrid w:val="0"/>
              <w:spacing w:line="360" w:lineRule="auto"/>
              <w:ind w:firstLine="482" w:firstLineChars="200"/>
              <w:rPr>
                <w:rFonts w:hint="default" w:ascii="Times New Roman" w:hAnsi="Times New Roman"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8.</w:t>
            </w:r>
            <w:r>
              <w:rPr>
                <w:rFonts w:hint="default" w:ascii="Times New Roman" w:hAnsi="Times New Roman" w:cs="Times New Roman"/>
                <w:b/>
                <w:color w:val="auto"/>
                <w:sz w:val="24"/>
                <w:szCs w:val="24"/>
                <w:highlight w:val="none"/>
                <w:lang w:eastAsia="zh-CN"/>
              </w:rPr>
              <w:t>环境风险应急措施</w:t>
            </w:r>
          </w:p>
          <w:p w14:paraId="45A4F81C">
            <w:pPr>
              <w:spacing w:line="444" w:lineRule="auto"/>
              <w:ind w:firstLine="480" w:firstLineChars="20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lang w:eastAsia="zh-CN"/>
              </w:rPr>
              <w:t>本项目主要环境风险为危废泄漏所引</w:t>
            </w:r>
            <w:r>
              <w:rPr>
                <w:rFonts w:hint="eastAsia" w:cs="Times New Roman"/>
                <w:color w:val="auto"/>
                <w:sz w:val="24"/>
                <w:szCs w:val="22"/>
                <w:highlight w:val="none"/>
                <w:lang w:eastAsia="zh-CN"/>
              </w:rPr>
              <w:t>发的</w:t>
            </w:r>
            <w:r>
              <w:rPr>
                <w:rFonts w:hint="default" w:ascii="Times New Roman" w:hAnsi="Times New Roman" w:cs="Times New Roman"/>
                <w:color w:val="auto"/>
                <w:sz w:val="24"/>
                <w:szCs w:val="22"/>
                <w:highlight w:val="none"/>
                <w:lang w:eastAsia="zh-CN"/>
              </w:rPr>
              <w:t>环境污染及火灾引发的次生环境污染</w:t>
            </w:r>
            <w:r>
              <w:rPr>
                <w:rFonts w:hint="default" w:ascii="Times New Roman" w:hAnsi="Times New Roman" w:cs="Times New Roman"/>
                <w:color w:val="auto"/>
                <w:sz w:val="24"/>
                <w:szCs w:val="22"/>
                <w:highlight w:val="none"/>
              </w:rPr>
              <w:t>。</w:t>
            </w:r>
            <w:r>
              <w:rPr>
                <w:rFonts w:hint="default" w:ascii="Times New Roman" w:hAnsi="Times New Roman" w:cs="Times New Roman"/>
                <w:color w:val="auto"/>
                <w:sz w:val="24"/>
                <w:szCs w:val="22"/>
                <w:highlight w:val="none"/>
                <w:lang w:eastAsia="zh-CN"/>
              </w:rPr>
              <w:t>本次环评对项目环境风险提出以下应急措施</w:t>
            </w:r>
            <w:r>
              <w:rPr>
                <w:rFonts w:hint="default" w:ascii="Times New Roman" w:hAnsi="Times New Roman" w:cs="Times New Roman"/>
                <w:color w:val="auto"/>
                <w:sz w:val="24"/>
                <w:szCs w:val="22"/>
                <w:highlight w:val="none"/>
              </w:rPr>
              <w:t>：</w:t>
            </w:r>
          </w:p>
          <w:p w14:paraId="2B7F58BE">
            <w:pPr>
              <w:spacing w:line="444" w:lineRule="auto"/>
              <w:ind w:firstLine="480" w:firstLineChars="200"/>
              <w:jc w:val="left"/>
              <w:rPr>
                <w:rFonts w:hint="default" w:ascii="Times New Roman" w:hAnsi="Times New Roman" w:eastAsia="宋体" w:cs="Times New Roman"/>
                <w:color w:val="auto"/>
                <w:sz w:val="24"/>
                <w:szCs w:val="22"/>
                <w:highlight w:val="none"/>
                <w:lang w:eastAsia="zh-CN"/>
              </w:rPr>
            </w:pPr>
            <w:r>
              <w:rPr>
                <w:rFonts w:hint="default" w:ascii="Times New Roman" w:hAnsi="Times New Roman" w:cs="Times New Roman"/>
                <w:color w:val="auto"/>
                <w:sz w:val="24"/>
                <w:szCs w:val="22"/>
                <w:highlight w:val="none"/>
              </w:rPr>
              <w:t>①</w:t>
            </w:r>
            <w:r>
              <w:rPr>
                <w:rFonts w:hint="default" w:ascii="Times New Roman" w:hAnsi="Times New Roman" w:cs="Times New Roman"/>
                <w:color w:val="auto"/>
                <w:sz w:val="24"/>
                <w:szCs w:val="22"/>
                <w:highlight w:val="none"/>
                <w:lang w:eastAsia="zh-CN"/>
              </w:rPr>
              <w:t>发现</w:t>
            </w:r>
            <w:r>
              <w:rPr>
                <w:rFonts w:hint="eastAsia" w:cs="Times New Roman"/>
                <w:color w:val="auto"/>
                <w:sz w:val="24"/>
                <w:szCs w:val="22"/>
                <w:highlight w:val="none"/>
                <w:lang w:val="en-US" w:eastAsia="zh-CN"/>
              </w:rPr>
              <w:t>润滑油、石蜡油泄漏后应立即</w:t>
            </w:r>
            <w:r>
              <w:rPr>
                <w:rFonts w:hint="default" w:ascii="Times New Roman" w:hAnsi="Times New Roman" w:cs="Times New Roman"/>
                <w:color w:val="auto"/>
                <w:sz w:val="24"/>
                <w:szCs w:val="22"/>
                <w:highlight w:val="none"/>
                <w:lang w:eastAsia="zh-CN"/>
              </w:rPr>
              <w:t>采用消防干沙、碎布对泄漏的</w:t>
            </w:r>
            <w:r>
              <w:rPr>
                <w:rFonts w:hint="eastAsia" w:cs="Times New Roman"/>
                <w:color w:val="auto"/>
                <w:sz w:val="24"/>
                <w:szCs w:val="22"/>
                <w:highlight w:val="none"/>
                <w:lang w:val="en-US" w:eastAsia="zh-CN"/>
              </w:rPr>
              <w:t>油</w:t>
            </w:r>
            <w:r>
              <w:rPr>
                <w:rFonts w:hint="default" w:ascii="Times New Roman" w:hAnsi="Times New Roman" w:cs="Times New Roman"/>
                <w:color w:val="auto"/>
                <w:sz w:val="24"/>
                <w:szCs w:val="22"/>
                <w:highlight w:val="none"/>
                <w:lang w:eastAsia="zh-CN"/>
              </w:rPr>
              <w:t>进行吸附处理，消除污染痕迹。</w:t>
            </w:r>
          </w:p>
          <w:p w14:paraId="1639BEF6">
            <w:pPr>
              <w:spacing w:line="444" w:lineRule="auto"/>
              <w:ind w:firstLine="480" w:firstLineChars="200"/>
              <w:jc w:val="left"/>
              <w:rPr>
                <w:rFonts w:hint="default" w:ascii="Times New Roman" w:hAnsi="Times New Roman" w:cs="Times New Roman"/>
                <w:color w:val="auto"/>
                <w:sz w:val="24"/>
                <w:szCs w:val="22"/>
                <w:highlight w:val="none"/>
                <w:lang w:eastAsia="zh-CN"/>
              </w:rPr>
            </w:pPr>
            <w:r>
              <w:rPr>
                <w:rFonts w:hint="default" w:ascii="Times New Roman" w:hAnsi="Times New Roman" w:cs="Times New Roman"/>
                <w:color w:val="auto"/>
                <w:sz w:val="24"/>
                <w:szCs w:val="22"/>
                <w:highlight w:val="none"/>
              </w:rPr>
              <w:t>②</w:t>
            </w:r>
            <w:r>
              <w:rPr>
                <w:rFonts w:hint="default" w:ascii="Times New Roman" w:hAnsi="Times New Roman" w:cs="Times New Roman"/>
                <w:color w:val="auto"/>
                <w:sz w:val="24"/>
                <w:szCs w:val="22"/>
                <w:highlight w:val="none"/>
                <w:lang w:eastAsia="zh-CN"/>
              </w:rPr>
              <w:t>危废间设置推车式干粉灭火器，以备紧急状态下的应急灭火需要。</w:t>
            </w:r>
          </w:p>
          <w:p w14:paraId="4496A43A">
            <w:pPr>
              <w:spacing w:line="444" w:lineRule="auto"/>
              <w:ind w:firstLine="480" w:firstLineChars="200"/>
              <w:jc w:val="left"/>
              <w:rPr>
                <w:rFonts w:hint="default" w:ascii="Times New Roman" w:hAnsi="Times New Roman" w:eastAsia="宋体" w:cs="Times New Roman"/>
                <w:color w:val="auto"/>
                <w:sz w:val="24"/>
                <w:szCs w:val="22"/>
                <w:highlight w:val="none"/>
                <w:lang w:eastAsia="zh-CN"/>
              </w:rPr>
            </w:pPr>
            <w:r>
              <w:rPr>
                <w:rFonts w:hint="default" w:ascii="Times New Roman" w:hAnsi="Times New Roman" w:cs="Times New Roman"/>
                <w:color w:val="auto"/>
                <w:sz w:val="24"/>
                <w:szCs w:val="22"/>
                <w:highlight w:val="none"/>
              </w:rPr>
              <w:t>③</w:t>
            </w:r>
            <w:r>
              <w:rPr>
                <w:rFonts w:hint="default" w:ascii="Times New Roman" w:hAnsi="Times New Roman" w:cs="Times New Roman"/>
                <w:color w:val="auto"/>
                <w:sz w:val="24"/>
                <w:szCs w:val="22"/>
                <w:highlight w:val="none"/>
                <w:lang w:eastAsia="zh-CN"/>
              </w:rPr>
              <w:t>厂房外设置一定数量的消防沙袋，以备暴雨或者火灾状态下围堵雨水或消防废水的需要。</w:t>
            </w:r>
          </w:p>
          <w:p w14:paraId="612315AF">
            <w:pPr>
              <w:spacing w:line="444" w:lineRule="auto"/>
              <w:ind w:firstLine="480" w:firstLineChars="20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④</w:t>
            </w:r>
            <w:r>
              <w:rPr>
                <w:rFonts w:hint="default" w:ascii="Times New Roman" w:hAnsi="Times New Roman" w:cs="Times New Roman"/>
                <w:color w:val="auto"/>
                <w:sz w:val="24"/>
                <w:szCs w:val="22"/>
                <w:highlight w:val="none"/>
                <w:lang w:eastAsia="zh-CN"/>
              </w:rPr>
              <w:t>按照下表</w:t>
            </w:r>
            <w:r>
              <w:rPr>
                <w:rFonts w:hint="default" w:ascii="Times New Roman" w:hAnsi="Times New Roman" w:cs="Times New Roman"/>
                <w:color w:val="auto"/>
                <w:sz w:val="24"/>
                <w:szCs w:val="22"/>
                <w:highlight w:val="none"/>
              </w:rPr>
              <w:t>所示内容</w:t>
            </w:r>
            <w:r>
              <w:rPr>
                <w:rFonts w:hint="default" w:ascii="Times New Roman" w:hAnsi="Times New Roman" w:cs="Times New Roman"/>
                <w:color w:val="auto"/>
                <w:sz w:val="24"/>
                <w:szCs w:val="22"/>
                <w:highlight w:val="none"/>
                <w:lang w:eastAsia="zh-CN"/>
              </w:rPr>
              <w:t>，制定突发环境事件应急预案，并报送遂宁市大英生态环境局备案</w:t>
            </w:r>
            <w:r>
              <w:rPr>
                <w:rFonts w:hint="default" w:ascii="Times New Roman" w:hAnsi="Times New Roman" w:cs="Times New Roman"/>
                <w:color w:val="auto"/>
                <w:sz w:val="24"/>
                <w:szCs w:val="22"/>
                <w:highlight w:val="none"/>
              </w:rPr>
              <w:t>。</w:t>
            </w:r>
          </w:p>
          <w:p w14:paraId="09F6DD71">
            <w:pPr>
              <w:pStyle w:val="4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4-</w:t>
            </w:r>
            <w:r>
              <w:rPr>
                <w:rFonts w:hint="eastAsia" w:ascii="Times New Roman" w:hAnsi="Times New Roman" w:cs="Times New Roman"/>
                <w:color w:val="auto"/>
                <w:highlight w:val="none"/>
                <w:lang w:val="en-US" w:eastAsia="zh-CN"/>
              </w:rPr>
              <w:t>23</w:t>
            </w:r>
            <w:r>
              <w:rPr>
                <w:rFonts w:hint="default" w:ascii="Times New Roman" w:hAnsi="Times New Roman" w:cs="Times New Roman"/>
                <w:color w:val="auto"/>
                <w:highlight w:val="none"/>
              </w:rPr>
              <w:t>环境风险应急预案内容</w:t>
            </w:r>
          </w:p>
          <w:tbl>
            <w:tblPr>
              <w:tblStyle w:val="23"/>
              <w:tblW w:w="822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26"/>
              <w:gridCol w:w="2843"/>
              <w:gridCol w:w="4151"/>
            </w:tblGrid>
            <w:tr w14:paraId="39D7C2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1226" w:type="dxa"/>
                  <w:noWrap w:val="0"/>
                  <w:vAlign w:val="center"/>
                </w:tcPr>
                <w:p w14:paraId="05E33698">
                  <w:pPr>
                    <w:widowControl/>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序号</w:t>
                  </w:r>
                </w:p>
              </w:tc>
              <w:tc>
                <w:tcPr>
                  <w:tcW w:w="2843" w:type="dxa"/>
                  <w:noWrap w:val="0"/>
                  <w:vAlign w:val="center"/>
                </w:tcPr>
                <w:p w14:paraId="269C5D06">
                  <w:pPr>
                    <w:widowControl/>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项目</w:t>
                  </w:r>
                </w:p>
              </w:tc>
              <w:tc>
                <w:tcPr>
                  <w:tcW w:w="4151" w:type="dxa"/>
                  <w:noWrap w:val="0"/>
                  <w:vAlign w:val="center"/>
                </w:tcPr>
                <w:p w14:paraId="3F72F48C">
                  <w:pPr>
                    <w:widowControl/>
                    <w:adjustRightInd w:val="0"/>
                    <w:snapToGrid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内容及要求</w:t>
                  </w:r>
                </w:p>
              </w:tc>
            </w:tr>
            <w:tr w14:paraId="67F665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1226" w:type="dxa"/>
                  <w:noWrap w:val="0"/>
                  <w:vAlign w:val="center"/>
                </w:tcPr>
                <w:p w14:paraId="6D7BF461">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843" w:type="dxa"/>
                  <w:noWrap w:val="0"/>
                  <w:vAlign w:val="center"/>
                </w:tcPr>
                <w:p w14:paraId="60B7B0E4">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应急组织机构、人员</w:t>
                  </w:r>
                </w:p>
              </w:tc>
              <w:tc>
                <w:tcPr>
                  <w:tcW w:w="4151" w:type="dxa"/>
                  <w:noWrap w:val="0"/>
                  <w:vAlign w:val="center"/>
                </w:tcPr>
                <w:p w14:paraId="315BD7A8">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公司应急机构人员，地方政府应急联络人员</w:t>
                  </w:r>
                </w:p>
              </w:tc>
            </w:tr>
            <w:tr w14:paraId="1ABD00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1226" w:type="dxa"/>
                  <w:noWrap w:val="0"/>
                  <w:vAlign w:val="center"/>
                </w:tcPr>
                <w:p w14:paraId="040573B9">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843" w:type="dxa"/>
                  <w:noWrap w:val="0"/>
                  <w:vAlign w:val="center"/>
                </w:tcPr>
                <w:p w14:paraId="17256656">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预案分级响应条件</w:t>
                  </w:r>
                </w:p>
              </w:tc>
              <w:tc>
                <w:tcPr>
                  <w:tcW w:w="4151" w:type="dxa"/>
                  <w:noWrap w:val="0"/>
                  <w:vAlign w:val="center"/>
                </w:tcPr>
                <w:p w14:paraId="566F3DC3">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规定预案的级别及分级响应程序</w:t>
                  </w:r>
                </w:p>
              </w:tc>
            </w:tr>
            <w:tr w14:paraId="3E3C38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1226" w:type="dxa"/>
                  <w:noWrap w:val="0"/>
                  <w:vAlign w:val="center"/>
                </w:tcPr>
                <w:p w14:paraId="6D932C3A">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843" w:type="dxa"/>
                  <w:noWrap w:val="0"/>
                  <w:vAlign w:val="center"/>
                </w:tcPr>
                <w:p w14:paraId="1464210A">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应急救援保障</w:t>
                  </w:r>
                </w:p>
              </w:tc>
              <w:tc>
                <w:tcPr>
                  <w:tcW w:w="4151" w:type="dxa"/>
                  <w:noWrap w:val="0"/>
                  <w:vAlign w:val="center"/>
                </w:tcPr>
                <w:p w14:paraId="420EA212">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应急设施、设备与器材等</w:t>
                  </w:r>
                </w:p>
              </w:tc>
            </w:tr>
            <w:tr w14:paraId="145E75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6" w:type="dxa"/>
                  <w:noWrap w:val="0"/>
                  <w:vAlign w:val="center"/>
                </w:tcPr>
                <w:p w14:paraId="1B64933C">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843" w:type="dxa"/>
                  <w:noWrap w:val="0"/>
                  <w:vAlign w:val="center"/>
                </w:tcPr>
                <w:p w14:paraId="0ACA29E8">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报警、通讯联络方式</w:t>
                  </w:r>
                </w:p>
              </w:tc>
              <w:tc>
                <w:tcPr>
                  <w:tcW w:w="4151" w:type="dxa"/>
                  <w:noWrap w:val="0"/>
                  <w:vAlign w:val="center"/>
                </w:tcPr>
                <w:p w14:paraId="453E5C54">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规定应急状态下的</w:t>
                  </w:r>
                  <w:r>
                    <w:rPr>
                      <w:rFonts w:hint="eastAsia" w:cs="Times New Roman"/>
                      <w:color w:val="auto"/>
                      <w:sz w:val="21"/>
                      <w:szCs w:val="21"/>
                      <w:highlight w:val="none"/>
                      <w:lang w:eastAsia="zh-CN"/>
                    </w:rPr>
                    <w:t>报警通信</w:t>
                  </w:r>
                  <w:r>
                    <w:rPr>
                      <w:rFonts w:hint="default" w:ascii="Times New Roman" w:hAnsi="Times New Roman" w:eastAsia="宋体" w:cs="Times New Roman"/>
                      <w:color w:val="auto"/>
                      <w:sz w:val="21"/>
                      <w:szCs w:val="21"/>
                      <w:highlight w:val="none"/>
                    </w:rPr>
                    <w:t>方式；交通保障、管制</w:t>
                  </w:r>
                </w:p>
              </w:tc>
            </w:tr>
            <w:tr w14:paraId="6870E7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6" w:type="dxa"/>
                  <w:noWrap w:val="0"/>
                  <w:vAlign w:val="center"/>
                </w:tcPr>
                <w:p w14:paraId="4350BB5F">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843" w:type="dxa"/>
                  <w:noWrap w:val="0"/>
                  <w:vAlign w:val="center"/>
                </w:tcPr>
                <w:p w14:paraId="71463BE7">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应急环境监测、抢险、救援及</w:t>
                  </w:r>
                </w:p>
                <w:p w14:paraId="0FA6F578">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控制措施</w:t>
                  </w:r>
                </w:p>
              </w:tc>
              <w:tc>
                <w:tcPr>
                  <w:tcW w:w="4151" w:type="dxa"/>
                  <w:noWrap w:val="0"/>
                  <w:vAlign w:val="center"/>
                </w:tcPr>
                <w:p w14:paraId="3442AFD3">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委托监测机构</w:t>
                  </w:r>
                  <w:r>
                    <w:rPr>
                      <w:rFonts w:hint="default" w:ascii="Times New Roman" w:hAnsi="Times New Roman" w:eastAsia="宋体" w:cs="Times New Roman"/>
                      <w:color w:val="auto"/>
                      <w:sz w:val="21"/>
                      <w:szCs w:val="21"/>
                      <w:highlight w:val="none"/>
                    </w:rPr>
                    <w:t>对事故现场进行监测，对事故性质、参数与后果进行评估，为指挥部门提供决策根据</w:t>
                  </w:r>
                </w:p>
              </w:tc>
            </w:tr>
            <w:tr w14:paraId="52EF0C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6" w:type="dxa"/>
                  <w:noWrap w:val="0"/>
                  <w:vAlign w:val="center"/>
                </w:tcPr>
                <w:p w14:paraId="462ED00E">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843" w:type="dxa"/>
                  <w:noWrap w:val="0"/>
                  <w:vAlign w:val="center"/>
                </w:tcPr>
                <w:p w14:paraId="684F3E38">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w:t>
                  </w:r>
                  <w:r>
                    <w:rPr>
                      <w:rFonts w:hint="eastAsia" w:ascii="Times New Roman" w:hAnsi="Times New Roman" w:eastAsia="宋体" w:cs="Times New Roman"/>
                      <w:color w:val="auto"/>
                      <w:sz w:val="21"/>
                      <w:szCs w:val="21"/>
                      <w:highlight w:val="none"/>
                      <w:lang w:eastAsia="zh-CN"/>
                    </w:rPr>
                    <w:t>监测</w:t>
                  </w:r>
                  <w:r>
                    <w:rPr>
                      <w:rFonts w:hint="default" w:ascii="Times New Roman" w:hAnsi="Times New Roman" w:eastAsia="宋体" w:cs="Times New Roman"/>
                      <w:color w:val="auto"/>
                      <w:sz w:val="21"/>
                      <w:szCs w:val="21"/>
                      <w:highlight w:val="none"/>
                    </w:rPr>
                    <w:t>、防护措施、清除泄漏措施器材</w:t>
                  </w:r>
                </w:p>
              </w:tc>
              <w:tc>
                <w:tcPr>
                  <w:tcW w:w="4151" w:type="dxa"/>
                  <w:noWrap w:val="0"/>
                  <w:vAlign w:val="center"/>
                </w:tcPr>
                <w:p w14:paraId="003988DC">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事故现场、邻近区域、控制防火区域，控制和清除污染措施及相应设备</w:t>
                  </w:r>
                </w:p>
              </w:tc>
            </w:tr>
            <w:tr w14:paraId="66645B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1226" w:type="dxa"/>
                  <w:noWrap w:val="0"/>
                  <w:vAlign w:val="center"/>
                </w:tcPr>
                <w:p w14:paraId="63B7B0DD">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843" w:type="dxa"/>
                  <w:noWrap w:val="0"/>
                  <w:vAlign w:val="center"/>
                </w:tcPr>
                <w:p w14:paraId="65FE007E">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人员紧急撤离、疏散</w:t>
                  </w:r>
                </w:p>
              </w:tc>
              <w:tc>
                <w:tcPr>
                  <w:tcW w:w="4151" w:type="dxa"/>
                  <w:noWrap w:val="0"/>
                  <w:vAlign w:val="center"/>
                </w:tcPr>
                <w:p w14:paraId="6A3FFB89">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撤离组织计划及救护，医疗救护与公众健康</w:t>
                  </w:r>
                </w:p>
              </w:tc>
            </w:tr>
            <w:tr w14:paraId="0D9E3F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6" w:type="dxa"/>
                  <w:noWrap w:val="0"/>
                  <w:vAlign w:val="center"/>
                </w:tcPr>
                <w:p w14:paraId="752C2A5B">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2843" w:type="dxa"/>
                  <w:noWrap w:val="0"/>
                  <w:vAlign w:val="center"/>
                </w:tcPr>
                <w:p w14:paraId="0A9F8725">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事故应急救援关闭程序与恢复措施</w:t>
                  </w:r>
                </w:p>
              </w:tc>
              <w:tc>
                <w:tcPr>
                  <w:tcW w:w="4151" w:type="dxa"/>
                  <w:noWrap w:val="0"/>
                  <w:vAlign w:val="center"/>
                </w:tcPr>
                <w:p w14:paraId="2DF93CEB">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专业队伍抢救结束后，做好事故现场善</w:t>
                  </w:r>
                  <w:r>
                    <w:rPr>
                      <w:rFonts w:hint="eastAsia" w:ascii="Times New Roman" w:hAnsi="Times New Roman" w:eastAsia="宋体" w:cs="Times New Roman"/>
                      <w:color w:val="auto"/>
                      <w:sz w:val="21"/>
                      <w:szCs w:val="21"/>
                      <w:highlight w:val="none"/>
                      <w:lang w:eastAsia="zh-CN"/>
                    </w:rPr>
                    <w:t>后处</w:t>
                  </w:r>
                  <w:r>
                    <w:rPr>
                      <w:rFonts w:hint="default" w:ascii="Times New Roman" w:hAnsi="Times New Roman" w:eastAsia="宋体" w:cs="Times New Roman"/>
                      <w:color w:val="auto"/>
                      <w:sz w:val="21"/>
                      <w:szCs w:val="21"/>
                      <w:highlight w:val="none"/>
                    </w:rPr>
                    <w:t>理，邻近区域解除事故警戒及善后恢复措施，现场调查、清理、清洗工作恢复生产状态，组织生产。</w:t>
                  </w:r>
                </w:p>
              </w:tc>
            </w:tr>
            <w:tr w14:paraId="54D958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1226" w:type="dxa"/>
                  <w:noWrap w:val="0"/>
                  <w:vAlign w:val="center"/>
                </w:tcPr>
                <w:p w14:paraId="736DD156">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2843" w:type="dxa"/>
                  <w:noWrap w:val="0"/>
                  <w:vAlign w:val="center"/>
                </w:tcPr>
                <w:p w14:paraId="14EA91A8">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应急培训计划</w:t>
                  </w:r>
                </w:p>
              </w:tc>
              <w:tc>
                <w:tcPr>
                  <w:tcW w:w="4151" w:type="dxa"/>
                  <w:noWrap w:val="0"/>
                  <w:vAlign w:val="center"/>
                </w:tcPr>
                <w:p w14:paraId="65954D3A">
                  <w:pPr>
                    <w:adjustRightInd w:val="0"/>
                    <w:snapToGrid w:val="0"/>
                    <w:spacing w:line="36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制定计划，安排人员培训与演练</w:t>
                  </w:r>
                </w:p>
              </w:tc>
            </w:tr>
          </w:tbl>
          <w:p w14:paraId="65BD91DB">
            <w:pPr>
              <w:pStyle w:val="11"/>
              <w:rPr>
                <w:rFonts w:hint="default" w:ascii="Times New Roman" w:hAnsi="Times New Roman" w:cs="Times New Roman"/>
                <w:color w:val="auto"/>
                <w:highlight w:val="none"/>
                <w:lang w:val="en-US" w:eastAsia="zh-CN"/>
              </w:rPr>
            </w:pPr>
          </w:p>
          <w:p w14:paraId="0C81FA99">
            <w:pPr>
              <w:pStyle w:val="42"/>
              <w:ind w:firstLine="482"/>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lang w:val="en-US" w:eastAsia="zh-CN"/>
              </w:rPr>
              <w:t>9.</w:t>
            </w:r>
            <w:r>
              <w:rPr>
                <w:rFonts w:hint="default" w:ascii="Times New Roman" w:hAnsi="Times New Roman" w:cs="Times New Roman"/>
                <w:b/>
                <w:bCs/>
                <w:color w:val="auto"/>
                <w:highlight w:val="none"/>
              </w:rPr>
              <w:t>环保投资</w:t>
            </w:r>
          </w:p>
          <w:p w14:paraId="29A08E14">
            <w:pPr>
              <w:pStyle w:val="4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本项目总投资为</w:t>
            </w:r>
            <w:r>
              <w:rPr>
                <w:rFonts w:hint="eastAsia" w:ascii="Times New Roman" w:hAnsi="Times New Roman" w:cs="Times New Roman"/>
                <w:color w:val="auto"/>
                <w:highlight w:val="none"/>
                <w:lang w:val="en-US" w:eastAsia="zh-CN"/>
              </w:rPr>
              <w:t>2000</w:t>
            </w:r>
            <w:r>
              <w:rPr>
                <w:rFonts w:hint="default" w:ascii="Times New Roman" w:hAnsi="Times New Roman" w:cs="Times New Roman"/>
                <w:color w:val="auto"/>
                <w:highlight w:val="none"/>
              </w:rPr>
              <w:t>万元，其中环保投资</w:t>
            </w:r>
            <w:r>
              <w:rPr>
                <w:rFonts w:hint="eastAsia" w:ascii="Times New Roman" w:hAnsi="Times New Roman" w:cs="Times New Roman"/>
                <w:color w:val="auto"/>
                <w:highlight w:val="none"/>
                <w:lang w:val="en-US" w:eastAsia="zh-CN"/>
              </w:rPr>
              <w:t>26.4</w:t>
            </w:r>
            <w:r>
              <w:rPr>
                <w:rFonts w:hint="default" w:ascii="Times New Roman" w:hAnsi="Times New Roman" w:cs="Times New Roman"/>
                <w:color w:val="auto"/>
                <w:highlight w:val="none"/>
              </w:rPr>
              <w:t>万元，占总投资</w:t>
            </w:r>
            <w:r>
              <w:rPr>
                <w:rFonts w:hint="eastAsia" w:ascii="Times New Roman" w:hAnsi="Times New Roman" w:cs="Times New Roman"/>
                <w:color w:val="auto"/>
                <w:highlight w:val="none"/>
                <w:lang w:val="en-US" w:eastAsia="zh-CN"/>
              </w:rPr>
              <w:t>1.32</w:t>
            </w:r>
            <w:r>
              <w:rPr>
                <w:rFonts w:hint="default" w:ascii="Times New Roman" w:hAnsi="Times New Roman" w:cs="Times New Roman"/>
                <w:color w:val="auto"/>
                <w:highlight w:val="none"/>
              </w:rPr>
              <w:t>%，环保措施及投资情况如下。</w:t>
            </w:r>
          </w:p>
          <w:p w14:paraId="44779A91">
            <w:pPr>
              <w:pStyle w:val="43"/>
              <w:rPr>
                <w:rFonts w:hint="default" w:ascii="Times New Roman" w:hAnsi="Times New Roman"/>
                <w:color w:val="auto"/>
                <w:highlight w:val="none"/>
              </w:rPr>
            </w:pPr>
            <w:r>
              <w:rPr>
                <w:rFonts w:hint="default" w:ascii="Times New Roman" w:hAnsi="Times New Roman"/>
                <w:color w:val="auto"/>
                <w:highlight w:val="none"/>
              </w:rPr>
              <w:t>表</w:t>
            </w:r>
            <w:r>
              <w:rPr>
                <w:rFonts w:hint="eastAsia" w:ascii="Times New Roman" w:hAnsi="Times New Roman"/>
                <w:color w:val="auto"/>
                <w:highlight w:val="none"/>
                <w:lang w:val="en-US" w:eastAsia="zh-CN"/>
              </w:rPr>
              <w:t>4-24</w:t>
            </w:r>
            <w:r>
              <w:rPr>
                <w:rFonts w:hint="default" w:ascii="Times New Roman" w:hAnsi="Times New Roman"/>
                <w:color w:val="auto"/>
                <w:highlight w:val="none"/>
              </w:rPr>
              <w:t>主要环保设施及投资估算一览表</w:t>
            </w:r>
          </w:p>
          <w:tbl>
            <w:tblPr>
              <w:tblStyle w:val="23"/>
              <w:tblW w:w="8220" w:type="dxa"/>
              <w:jc w:val="center"/>
              <w:tblLayout w:type="fixed"/>
              <w:tblCellMar>
                <w:top w:w="0" w:type="dxa"/>
                <w:left w:w="108" w:type="dxa"/>
                <w:bottom w:w="0" w:type="dxa"/>
                <w:right w:w="108" w:type="dxa"/>
              </w:tblCellMar>
            </w:tblPr>
            <w:tblGrid>
              <w:gridCol w:w="1032"/>
              <w:gridCol w:w="1174"/>
              <w:gridCol w:w="4121"/>
              <w:gridCol w:w="1190"/>
              <w:gridCol w:w="703"/>
            </w:tblGrid>
            <w:tr w14:paraId="1D16E29F">
              <w:tblPrEx>
                <w:tblCellMar>
                  <w:top w:w="0" w:type="dxa"/>
                  <w:left w:w="108" w:type="dxa"/>
                  <w:bottom w:w="0" w:type="dxa"/>
                  <w:right w:w="108" w:type="dxa"/>
                </w:tblCellMar>
              </w:tblPrEx>
              <w:trPr>
                <w:trHeight w:val="285" w:hRule="atLeast"/>
                <w:jc w:val="center"/>
              </w:trPr>
              <w:tc>
                <w:tcPr>
                  <w:tcW w:w="1032" w:type="dxa"/>
                  <w:vMerge w:val="restart"/>
                  <w:tcBorders>
                    <w:top w:val="single" w:color="000000" w:sz="12" w:space="0"/>
                    <w:left w:val="nil"/>
                    <w:bottom w:val="nil"/>
                    <w:right w:val="single" w:color="000000" w:sz="8" w:space="0"/>
                  </w:tcBorders>
                  <w:noWrap w:val="0"/>
                  <w:vAlign w:val="center"/>
                </w:tcPr>
                <w:p w14:paraId="02AA3837">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环保</w:t>
                  </w:r>
                </w:p>
              </w:tc>
              <w:tc>
                <w:tcPr>
                  <w:tcW w:w="1174" w:type="dxa"/>
                  <w:vMerge w:val="restart"/>
                  <w:tcBorders>
                    <w:top w:val="single" w:color="000000" w:sz="12" w:space="0"/>
                    <w:left w:val="single" w:color="000000" w:sz="8" w:space="0"/>
                    <w:bottom w:val="single" w:color="000000" w:sz="8" w:space="0"/>
                    <w:right w:val="single" w:color="000000" w:sz="8" w:space="0"/>
                  </w:tcBorders>
                  <w:noWrap w:val="0"/>
                  <w:vAlign w:val="center"/>
                </w:tcPr>
                <w:p w14:paraId="1D6E58B1">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影响时段</w:t>
                  </w:r>
                </w:p>
              </w:tc>
              <w:tc>
                <w:tcPr>
                  <w:tcW w:w="4121" w:type="dxa"/>
                  <w:vMerge w:val="restart"/>
                  <w:tcBorders>
                    <w:top w:val="single" w:color="000000" w:sz="12" w:space="0"/>
                    <w:left w:val="single" w:color="000000" w:sz="8" w:space="0"/>
                    <w:bottom w:val="single" w:color="000000" w:sz="8" w:space="0"/>
                    <w:right w:val="single" w:color="000000" w:sz="8" w:space="0"/>
                  </w:tcBorders>
                  <w:noWrap w:val="0"/>
                  <w:vAlign w:val="center"/>
                </w:tcPr>
                <w:p w14:paraId="75FC0C49">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环保措施</w:t>
                  </w:r>
                </w:p>
              </w:tc>
              <w:tc>
                <w:tcPr>
                  <w:tcW w:w="1190" w:type="dxa"/>
                  <w:tcBorders>
                    <w:top w:val="single" w:color="000000" w:sz="12" w:space="0"/>
                    <w:left w:val="nil"/>
                    <w:bottom w:val="nil"/>
                    <w:right w:val="single" w:color="000000" w:sz="8" w:space="0"/>
                  </w:tcBorders>
                  <w:noWrap w:val="0"/>
                  <w:vAlign w:val="center"/>
                </w:tcPr>
                <w:p w14:paraId="495B88D7">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预计金额</w:t>
                  </w:r>
                </w:p>
              </w:tc>
              <w:tc>
                <w:tcPr>
                  <w:tcW w:w="703" w:type="dxa"/>
                  <w:vMerge w:val="restart"/>
                  <w:tcBorders>
                    <w:top w:val="single" w:color="000000" w:sz="12" w:space="0"/>
                    <w:left w:val="single" w:color="000000" w:sz="8" w:space="0"/>
                    <w:bottom w:val="single" w:color="000000" w:sz="8" w:space="0"/>
                    <w:right w:val="nil"/>
                  </w:tcBorders>
                  <w:noWrap w:val="0"/>
                  <w:vAlign w:val="center"/>
                </w:tcPr>
                <w:p w14:paraId="1526970B">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7CFB1E0B">
              <w:tblPrEx>
                <w:tblCellMar>
                  <w:top w:w="0" w:type="dxa"/>
                  <w:left w:w="108" w:type="dxa"/>
                  <w:bottom w:w="0" w:type="dxa"/>
                  <w:right w:w="108" w:type="dxa"/>
                </w:tblCellMar>
              </w:tblPrEx>
              <w:trPr>
                <w:trHeight w:val="285" w:hRule="atLeast"/>
                <w:jc w:val="center"/>
              </w:trPr>
              <w:tc>
                <w:tcPr>
                  <w:tcW w:w="1032" w:type="dxa"/>
                  <w:vMerge w:val="continue"/>
                  <w:tcBorders>
                    <w:top w:val="single" w:color="000000" w:sz="12" w:space="0"/>
                    <w:left w:val="nil"/>
                    <w:bottom w:val="nil"/>
                    <w:right w:val="single" w:color="000000" w:sz="8" w:space="0"/>
                  </w:tcBorders>
                  <w:noWrap w:val="0"/>
                  <w:vAlign w:val="center"/>
                </w:tcPr>
                <w:p w14:paraId="429873D1">
                  <w:pPr>
                    <w:widowControl/>
                    <w:jc w:val="left"/>
                    <w:rPr>
                      <w:rFonts w:ascii="宋体" w:hAnsi="宋体" w:cs="宋体"/>
                      <w:b/>
                      <w:bCs/>
                      <w:color w:val="auto"/>
                      <w:kern w:val="0"/>
                      <w:szCs w:val="21"/>
                      <w:highlight w:val="none"/>
                    </w:rPr>
                  </w:pPr>
                </w:p>
              </w:tc>
              <w:tc>
                <w:tcPr>
                  <w:tcW w:w="1174" w:type="dxa"/>
                  <w:vMerge w:val="continue"/>
                  <w:tcBorders>
                    <w:top w:val="single" w:color="000000" w:sz="12" w:space="0"/>
                    <w:left w:val="single" w:color="000000" w:sz="8" w:space="0"/>
                    <w:bottom w:val="single" w:color="000000" w:sz="8" w:space="0"/>
                    <w:right w:val="single" w:color="000000" w:sz="8" w:space="0"/>
                  </w:tcBorders>
                  <w:noWrap w:val="0"/>
                  <w:vAlign w:val="center"/>
                </w:tcPr>
                <w:p w14:paraId="019D70C6">
                  <w:pPr>
                    <w:widowControl/>
                    <w:jc w:val="left"/>
                    <w:rPr>
                      <w:rFonts w:ascii="宋体" w:hAnsi="宋体" w:cs="宋体"/>
                      <w:b/>
                      <w:bCs/>
                      <w:color w:val="auto"/>
                      <w:kern w:val="0"/>
                      <w:szCs w:val="21"/>
                      <w:highlight w:val="none"/>
                    </w:rPr>
                  </w:pPr>
                </w:p>
              </w:tc>
              <w:tc>
                <w:tcPr>
                  <w:tcW w:w="4121" w:type="dxa"/>
                  <w:vMerge w:val="continue"/>
                  <w:tcBorders>
                    <w:top w:val="single" w:color="000000" w:sz="12" w:space="0"/>
                    <w:left w:val="single" w:color="000000" w:sz="8" w:space="0"/>
                    <w:bottom w:val="single" w:color="000000" w:sz="8" w:space="0"/>
                    <w:right w:val="single" w:color="000000" w:sz="8" w:space="0"/>
                  </w:tcBorders>
                  <w:noWrap w:val="0"/>
                  <w:vAlign w:val="center"/>
                </w:tcPr>
                <w:p w14:paraId="133F32A2">
                  <w:pPr>
                    <w:widowControl/>
                    <w:jc w:val="left"/>
                    <w:rPr>
                      <w:rFonts w:ascii="宋体" w:hAnsi="宋体" w:cs="宋体"/>
                      <w:b/>
                      <w:bCs/>
                      <w:color w:val="auto"/>
                      <w:kern w:val="0"/>
                      <w:szCs w:val="21"/>
                      <w:highlight w:val="none"/>
                    </w:rPr>
                  </w:pPr>
                </w:p>
              </w:tc>
              <w:tc>
                <w:tcPr>
                  <w:tcW w:w="1190" w:type="dxa"/>
                  <w:tcBorders>
                    <w:top w:val="nil"/>
                    <w:left w:val="nil"/>
                    <w:bottom w:val="single" w:color="000000" w:sz="8" w:space="0"/>
                    <w:right w:val="single" w:color="000000" w:sz="8" w:space="0"/>
                  </w:tcBorders>
                  <w:noWrap w:val="0"/>
                  <w:vAlign w:val="center"/>
                </w:tcPr>
                <w:p w14:paraId="0564B1BD">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（万元）</w:t>
                  </w:r>
                </w:p>
              </w:tc>
              <w:tc>
                <w:tcPr>
                  <w:tcW w:w="703" w:type="dxa"/>
                  <w:vMerge w:val="continue"/>
                  <w:tcBorders>
                    <w:top w:val="single" w:color="000000" w:sz="12" w:space="0"/>
                    <w:left w:val="single" w:color="000000" w:sz="8" w:space="0"/>
                    <w:bottom w:val="single" w:color="000000" w:sz="8" w:space="0"/>
                    <w:right w:val="nil"/>
                  </w:tcBorders>
                  <w:noWrap w:val="0"/>
                  <w:vAlign w:val="center"/>
                </w:tcPr>
                <w:p w14:paraId="52D3C931">
                  <w:pPr>
                    <w:widowControl/>
                    <w:jc w:val="left"/>
                    <w:rPr>
                      <w:rFonts w:ascii="宋体" w:hAnsi="宋体" w:cs="宋体"/>
                      <w:b/>
                      <w:bCs/>
                      <w:color w:val="auto"/>
                      <w:kern w:val="0"/>
                      <w:szCs w:val="21"/>
                      <w:highlight w:val="none"/>
                    </w:rPr>
                  </w:pPr>
                </w:p>
              </w:tc>
            </w:tr>
            <w:tr w14:paraId="31840642">
              <w:tblPrEx>
                <w:tblCellMar>
                  <w:top w:w="0" w:type="dxa"/>
                  <w:left w:w="108" w:type="dxa"/>
                  <w:bottom w:w="0" w:type="dxa"/>
                  <w:right w:w="108" w:type="dxa"/>
                </w:tblCellMar>
              </w:tblPrEx>
              <w:trPr>
                <w:trHeight w:val="650" w:hRule="atLeast"/>
                <w:jc w:val="center"/>
              </w:trPr>
              <w:tc>
                <w:tcPr>
                  <w:tcW w:w="1032" w:type="dxa"/>
                  <w:vMerge w:val="restart"/>
                  <w:tcBorders>
                    <w:top w:val="single" w:color="auto" w:sz="4" w:space="0"/>
                    <w:left w:val="nil"/>
                    <w:bottom w:val="single" w:color="000000" w:sz="4" w:space="0"/>
                    <w:right w:val="single" w:color="000000" w:sz="8" w:space="0"/>
                  </w:tcBorders>
                  <w:noWrap w:val="0"/>
                  <w:vAlign w:val="center"/>
                </w:tcPr>
                <w:p w14:paraId="115FCF1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水污染防治</w:t>
                  </w:r>
                </w:p>
              </w:tc>
              <w:tc>
                <w:tcPr>
                  <w:tcW w:w="1174" w:type="dxa"/>
                  <w:tcBorders>
                    <w:top w:val="nil"/>
                    <w:left w:val="nil"/>
                    <w:bottom w:val="single" w:color="000000" w:sz="8" w:space="0"/>
                    <w:right w:val="single" w:color="000000" w:sz="8" w:space="0"/>
                  </w:tcBorders>
                  <w:noWrap w:val="0"/>
                  <w:vAlign w:val="center"/>
                </w:tcPr>
                <w:p w14:paraId="093484D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施工期</w:t>
                  </w:r>
                </w:p>
              </w:tc>
              <w:tc>
                <w:tcPr>
                  <w:tcW w:w="4121" w:type="dxa"/>
                  <w:tcBorders>
                    <w:top w:val="nil"/>
                    <w:left w:val="nil"/>
                    <w:bottom w:val="single" w:color="000000" w:sz="8" w:space="0"/>
                    <w:right w:val="single" w:color="000000" w:sz="8" w:space="0"/>
                  </w:tcBorders>
                  <w:noWrap w:val="0"/>
                  <w:vAlign w:val="center"/>
                </w:tcPr>
                <w:p w14:paraId="58B279DB">
                  <w:pPr>
                    <w:keepNext w:val="0"/>
                    <w:keepLines w:val="0"/>
                    <w:pageBreakBefore w:val="0"/>
                    <w:widowControl/>
                    <w:kinsoku/>
                    <w:wordWrap/>
                    <w:overflowPunct/>
                    <w:topLinePunct w:val="0"/>
                    <w:autoSpaceDE/>
                    <w:autoSpaceDN/>
                    <w:bidi w:val="0"/>
                    <w:adjustRightInd/>
                    <w:snapToGrid/>
                    <w:spacing w:line="240" w:lineRule="auto"/>
                    <w:ind w:firstLine="210" w:firstLineChars="100"/>
                    <w:textAlignment w:val="auto"/>
                    <w:rPr>
                      <w:rFonts w:ascii="宋体" w:hAnsi="宋体" w:cs="宋体"/>
                      <w:color w:val="auto"/>
                      <w:kern w:val="0"/>
                      <w:szCs w:val="21"/>
                      <w:highlight w:val="none"/>
                    </w:rPr>
                  </w:pPr>
                  <w:r>
                    <w:rPr>
                      <w:rFonts w:hint="eastAsia" w:ascii="宋体" w:hAnsi="宋体" w:cs="宋体"/>
                      <w:color w:val="auto"/>
                      <w:kern w:val="0"/>
                      <w:szCs w:val="21"/>
                      <w:highlight w:val="none"/>
                      <w:lang w:eastAsia="zh-CN"/>
                    </w:rPr>
                    <w:t>生活污水</w:t>
                  </w:r>
                  <w:r>
                    <w:rPr>
                      <w:rFonts w:hint="eastAsia" w:ascii="宋体" w:hAnsi="宋体" w:cs="宋体"/>
                      <w:color w:val="auto"/>
                      <w:kern w:val="0"/>
                      <w:szCs w:val="21"/>
                      <w:highlight w:val="none"/>
                    </w:rPr>
                    <w:t>由</w:t>
                  </w:r>
                  <w:r>
                    <w:rPr>
                      <w:rFonts w:hint="eastAsia" w:ascii="宋体" w:hAnsi="宋体" w:cs="宋体"/>
                      <w:color w:val="auto"/>
                      <w:kern w:val="0"/>
                      <w:szCs w:val="21"/>
                      <w:highlight w:val="none"/>
                      <w:lang w:eastAsia="zh-CN"/>
                    </w:rPr>
                    <w:t>化粪池</w:t>
                  </w:r>
                  <w:r>
                    <w:rPr>
                      <w:rFonts w:hint="eastAsia" w:ascii="宋体" w:hAnsi="宋体" w:cs="宋体"/>
                      <w:color w:val="auto"/>
                      <w:kern w:val="0"/>
                      <w:szCs w:val="21"/>
                      <w:highlight w:val="none"/>
                    </w:rPr>
                    <w:t>收集处理后排入市政污水管网送</w:t>
                  </w:r>
                  <w:r>
                    <w:rPr>
                      <w:rFonts w:hint="eastAsia" w:ascii="宋体" w:hAnsi="宋体" w:cs="宋体"/>
                      <w:color w:val="auto"/>
                      <w:kern w:val="0"/>
                      <w:szCs w:val="21"/>
                      <w:highlight w:val="none"/>
                      <w:lang w:eastAsia="zh-CN"/>
                    </w:rPr>
                    <w:t>大英工业废水处理厂</w:t>
                  </w:r>
                  <w:r>
                    <w:rPr>
                      <w:rFonts w:hint="eastAsia" w:ascii="宋体" w:hAnsi="宋体" w:cs="宋体"/>
                      <w:color w:val="auto"/>
                      <w:kern w:val="0"/>
                      <w:szCs w:val="21"/>
                      <w:highlight w:val="none"/>
                    </w:rPr>
                    <w:t>处理。</w:t>
                  </w:r>
                </w:p>
              </w:tc>
              <w:tc>
                <w:tcPr>
                  <w:tcW w:w="1190" w:type="dxa"/>
                  <w:tcBorders>
                    <w:top w:val="nil"/>
                    <w:left w:val="nil"/>
                    <w:bottom w:val="single" w:color="000000" w:sz="8" w:space="0"/>
                    <w:right w:val="single" w:color="000000" w:sz="8" w:space="0"/>
                  </w:tcBorders>
                  <w:noWrap w:val="0"/>
                  <w:vAlign w:val="center"/>
                </w:tcPr>
                <w:p w14:paraId="7C5722CC">
                  <w:pPr>
                    <w:widowControl/>
                    <w:jc w:val="center"/>
                    <w:rPr>
                      <w:color w:val="auto"/>
                      <w:kern w:val="0"/>
                      <w:szCs w:val="21"/>
                      <w:highlight w:val="none"/>
                    </w:rPr>
                  </w:pPr>
                  <w:r>
                    <w:rPr>
                      <w:color w:val="auto"/>
                      <w:kern w:val="0"/>
                      <w:szCs w:val="21"/>
                      <w:highlight w:val="none"/>
                    </w:rPr>
                    <w:t>/</w:t>
                  </w:r>
                </w:p>
              </w:tc>
              <w:tc>
                <w:tcPr>
                  <w:tcW w:w="703" w:type="dxa"/>
                  <w:tcBorders>
                    <w:top w:val="nil"/>
                    <w:left w:val="nil"/>
                    <w:bottom w:val="single" w:color="000000" w:sz="8" w:space="0"/>
                    <w:right w:val="nil"/>
                  </w:tcBorders>
                  <w:noWrap w:val="0"/>
                  <w:vAlign w:val="center"/>
                </w:tcPr>
                <w:p w14:paraId="16A186BB">
                  <w:pPr>
                    <w:widowControl/>
                    <w:jc w:val="center"/>
                    <w:rPr>
                      <w:rFonts w:ascii="宋体" w:hAnsi="宋体" w:cs="宋体"/>
                      <w:color w:val="auto"/>
                      <w:kern w:val="0"/>
                      <w:szCs w:val="21"/>
                      <w:highlight w:val="none"/>
                    </w:rPr>
                  </w:pPr>
                </w:p>
              </w:tc>
            </w:tr>
            <w:tr w14:paraId="5EB366E4">
              <w:tblPrEx>
                <w:tblCellMar>
                  <w:top w:w="0" w:type="dxa"/>
                  <w:left w:w="108" w:type="dxa"/>
                  <w:bottom w:w="0" w:type="dxa"/>
                  <w:right w:w="108" w:type="dxa"/>
                </w:tblCellMar>
              </w:tblPrEx>
              <w:trPr>
                <w:trHeight w:val="525" w:hRule="atLeast"/>
                <w:jc w:val="center"/>
              </w:trPr>
              <w:tc>
                <w:tcPr>
                  <w:tcW w:w="1032" w:type="dxa"/>
                  <w:vMerge w:val="continue"/>
                  <w:tcBorders>
                    <w:top w:val="single" w:color="auto" w:sz="4" w:space="0"/>
                    <w:left w:val="nil"/>
                    <w:bottom w:val="single" w:color="000000" w:sz="4" w:space="0"/>
                    <w:right w:val="single" w:color="000000" w:sz="8" w:space="0"/>
                  </w:tcBorders>
                  <w:noWrap w:val="0"/>
                  <w:vAlign w:val="center"/>
                </w:tcPr>
                <w:p w14:paraId="6B25C77E">
                  <w:pPr>
                    <w:widowControl/>
                    <w:jc w:val="left"/>
                    <w:rPr>
                      <w:rFonts w:ascii="宋体" w:hAnsi="宋体" w:cs="宋体"/>
                      <w:color w:val="auto"/>
                      <w:kern w:val="0"/>
                      <w:szCs w:val="21"/>
                      <w:highlight w:val="none"/>
                    </w:rPr>
                  </w:pPr>
                </w:p>
              </w:tc>
              <w:tc>
                <w:tcPr>
                  <w:tcW w:w="1174" w:type="dxa"/>
                  <w:tcBorders>
                    <w:top w:val="nil"/>
                    <w:left w:val="single" w:color="000000" w:sz="8" w:space="0"/>
                    <w:bottom w:val="single" w:color="000000" w:sz="8" w:space="0"/>
                    <w:right w:val="single" w:color="000000" w:sz="8" w:space="0"/>
                  </w:tcBorders>
                  <w:noWrap w:val="0"/>
                  <w:vAlign w:val="center"/>
                </w:tcPr>
                <w:p w14:paraId="3F9D25DE">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运营期</w:t>
                  </w:r>
                </w:p>
              </w:tc>
              <w:tc>
                <w:tcPr>
                  <w:tcW w:w="4121" w:type="dxa"/>
                  <w:tcBorders>
                    <w:top w:val="nil"/>
                    <w:left w:val="nil"/>
                    <w:bottom w:val="single" w:color="000000" w:sz="8" w:space="0"/>
                    <w:right w:val="single" w:color="000000" w:sz="8" w:space="0"/>
                  </w:tcBorders>
                  <w:noWrap w:val="0"/>
                  <w:vAlign w:val="center"/>
                </w:tcPr>
                <w:p w14:paraId="2800020A">
                  <w:pPr>
                    <w:keepNext w:val="0"/>
                    <w:keepLines w:val="0"/>
                    <w:pageBreakBefore w:val="0"/>
                    <w:widowControl/>
                    <w:kinsoku/>
                    <w:wordWrap/>
                    <w:overflowPunct/>
                    <w:topLinePunct w:val="0"/>
                    <w:autoSpaceDE/>
                    <w:autoSpaceDN/>
                    <w:bidi w:val="0"/>
                    <w:adjustRightInd/>
                    <w:snapToGrid/>
                    <w:spacing w:line="240" w:lineRule="auto"/>
                    <w:ind w:firstLine="210" w:firstLineChars="1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生活污水</w:t>
                  </w:r>
                  <w:r>
                    <w:rPr>
                      <w:rFonts w:hint="eastAsia" w:ascii="宋体" w:hAnsi="宋体" w:cs="宋体"/>
                      <w:color w:val="auto"/>
                      <w:kern w:val="0"/>
                      <w:szCs w:val="21"/>
                      <w:highlight w:val="none"/>
                    </w:rPr>
                    <w:t>由</w:t>
                  </w:r>
                  <w:r>
                    <w:rPr>
                      <w:rFonts w:hint="eastAsia" w:ascii="宋体" w:hAnsi="宋体" w:cs="宋体"/>
                      <w:color w:val="auto"/>
                      <w:kern w:val="0"/>
                      <w:szCs w:val="21"/>
                      <w:highlight w:val="none"/>
                      <w:lang w:eastAsia="zh-CN"/>
                    </w:rPr>
                    <w:t>化粪池</w:t>
                  </w:r>
                  <w:r>
                    <w:rPr>
                      <w:rFonts w:hint="eastAsia" w:ascii="宋体" w:hAnsi="宋体" w:cs="宋体"/>
                      <w:color w:val="auto"/>
                      <w:kern w:val="0"/>
                      <w:szCs w:val="21"/>
                      <w:highlight w:val="none"/>
                    </w:rPr>
                    <w:t>收集处理后排入市政污水管网送</w:t>
                  </w:r>
                  <w:r>
                    <w:rPr>
                      <w:rFonts w:hint="eastAsia" w:ascii="宋体" w:hAnsi="宋体" w:cs="宋体"/>
                      <w:color w:val="auto"/>
                      <w:kern w:val="0"/>
                      <w:szCs w:val="21"/>
                      <w:highlight w:val="none"/>
                      <w:lang w:eastAsia="zh-CN"/>
                    </w:rPr>
                    <w:t>大英工业废水处理厂</w:t>
                  </w:r>
                  <w:r>
                    <w:rPr>
                      <w:rFonts w:hint="eastAsia" w:ascii="宋体" w:hAnsi="宋体" w:cs="宋体"/>
                      <w:color w:val="auto"/>
                      <w:kern w:val="0"/>
                      <w:szCs w:val="21"/>
                      <w:highlight w:val="none"/>
                    </w:rPr>
                    <w:t>处理。</w:t>
                  </w:r>
                </w:p>
                <w:p w14:paraId="03BD5908">
                  <w:pPr>
                    <w:pStyle w:val="2"/>
                  </w:pPr>
                </w:p>
              </w:tc>
              <w:tc>
                <w:tcPr>
                  <w:tcW w:w="1190" w:type="dxa"/>
                  <w:tcBorders>
                    <w:top w:val="nil"/>
                    <w:left w:val="nil"/>
                    <w:bottom w:val="single" w:color="000000" w:sz="8" w:space="0"/>
                    <w:right w:val="single" w:color="000000" w:sz="8" w:space="0"/>
                  </w:tcBorders>
                  <w:noWrap w:val="0"/>
                  <w:vAlign w:val="center"/>
                </w:tcPr>
                <w:p w14:paraId="4CC37DC3">
                  <w:pPr>
                    <w:widowControl/>
                    <w:jc w:val="center"/>
                    <w:rPr>
                      <w:color w:val="auto"/>
                      <w:kern w:val="0"/>
                      <w:szCs w:val="21"/>
                      <w:highlight w:val="none"/>
                    </w:rPr>
                  </w:pPr>
                  <w:r>
                    <w:rPr>
                      <w:color w:val="auto"/>
                      <w:kern w:val="0"/>
                      <w:szCs w:val="21"/>
                      <w:highlight w:val="none"/>
                    </w:rPr>
                    <w:t>/</w:t>
                  </w:r>
                </w:p>
              </w:tc>
              <w:tc>
                <w:tcPr>
                  <w:tcW w:w="703" w:type="dxa"/>
                  <w:tcBorders>
                    <w:top w:val="nil"/>
                    <w:left w:val="nil"/>
                    <w:bottom w:val="single" w:color="000000" w:sz="8" w:space="0"/>
                    <w:right w:val="nil"/>
                  </w:tcBorders>
                  <w:noWrap w:val="0"/>
                  <w:vAlign w:val="center"/>
                </w:tcPr>
                <w:p w14:paraId="510B2686">
                  <w:pPr>
                    <w:widowControl/>
                    <w:jc w:val="center"/>
                    <w:rPr>
                      <w:rFonts w:ascii="宋体" w:hAnsi="宋体" w:cs="宋体"/>
                      <w:color w:val="auto"/>
                      <w:kern w:val="0"/>
                      <w:szCs w:val="21"/>
                      <w:highlight w:val="none"/>
                    </w:rPr>
                  </w:pPr>
                </w:p>
              </w:tc>
            </w:tr>
            <w:tr w14:paraId="31EE1B3E">
              <w:tblPrEx>
                <w:tblCellMar>
                  <w:top w:w="0" w:type="dxa"/>
                  <w:left w:w="108" w:type="dxa"/>
                  <w:bottom w:w="0" w:type="dxa"/>
                  <w:right w:w="108" w:type="dxa"/>
                </w:tblCellMar>
              </w:tblPrEx>
              <w:trPr>
                <w:trHeight w:val="435" w:hRule="atLeast"/>
                <w:jc w:val="center"/>
              </w:trPr>
              <w:tc>
                <w:tcPr>
                  <w:tcW w:w="1032" w:type="dxa"/>
                  <w:vMerge w:val="restart"/>
                  <w:tcBorders>
                    <w:top w:val="nil"/>
                    <w:left w:val="nil"/>
                    <w:bottom w:val="single" w:color="000000" w:sz="8" w:space="0"/>
                    <w:right w:val="single" w:color="000000" w:sz="8" w:space="0"/>
                  </w:tcBorders>
                  <w:noWrap w:val="0"/>
                  <w:vAlign w:val="center"/>
                </w:tcPr>
                <w:p w14:paraId="65DB0C44">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噪声防治</w:t>
                  </w:r>
                </w:p>
              </w:tc>
              <w:tc>
                <w:tcPr>
                  <w:tcW w:w="1174" w:type="dxa"/>
                  <w:tcBorders>
                    <w:top w:val="nil"/>
                    <w:left w:val="nil"/>
                    <w:bottom w:val="single" w:color="000000" w:sz="8" w:space="0"/>
                    <w:right w:val="single" w:color="000000" w:sz="8" w:space="0"/>
                  </w:tcBorders>
                  <w:noWrap w:val="0"/>
                  <w:vAlign w:val="center"/>
                </w:tcPr>
                <w:p w14:paraId="34CA319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施工期</w:t>
                  </w:r>
                </w:p>
              </w:tc>
              <w:tc>
                <w:tcPr>
                  <w:tcW w:w="4121" w:type="dxa"/>
                  <w:tcBorders>
                    <w:top w:val="nil"/>
                    <w:left w:val="nil"/>
                    <w:bottom w:val="single" w:color="000000" w:sz="8" w:space="0"/>
                    <w:right w:val="single" w:color="000000" w:sz="8" w:space="0"/>
                  </w:tcBorders>
                  <w:noWrap w:val="0"/>
                  <w:vAlign w:val="center"/>
                </w:tcPr>
                <w:p w14:paraId="59EC1FC0">
                  <w:pPr>
                    <w:keepNext w:val="0"/>
                    <w:keepLines w:val="0"/>
                    <w:pageBreakBefore w:val="0"/>
                    <w:widowControl/>
                    <w:kinsoku/>
                    <w:wordWrap/>
                    <w:overflowPunct/>
                    <w:topLinePunct w:val="0"/>
                    <w:autoSpaceDE/>
                    <w:autoSpaceDN/>
                    <w:bidi w:val="0"/>
                    <w:adjustRightInd/>
                    <w:snapToGrid/>
                    <w:spacing w:line="240" w:lineRule="auto"/>
                    <w:ind w:firstLine="210" w:firstLineChars="1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合理安排工期，避开休息时段施工</w:t>
                  </w:r>
                </w:p>
              </w:tc>
              <w:tc>
                <w:tcPr>
                  <w:tcW w:w="1190" w:type="dxa"/>
                  <w:tcBorders>
                    <w:top w:val="nil"/>
                    <w:left w:val="nil"/>
                    <w:bottom w:val="single" w:color="000000" w:sz="8" w:space="0"/>
                    <w:right w:val="single" w:color="000000" w:sz="8" w:space="0"/>
                  </w:tcBorders>
                  <w:noWrap w:val="0"/>
                  <w:vAlign w:val="center"/>
                </w:tcPr>
                <w:p w14:paraId="18F2DCCC">
                  <w:pPr>
                    <w:widowControl/>
                    <w:jc w:val="center"/>
                    <w:rPr>
                      <w:color w:val="auto"/>
                      <w:kern w:val="0"/>
                      <w:szCs w:val="21"/>
                      <w:highlight w:val="none"/>
                    </w:rPr>
                  </w:pPr>
                  <w:r>
                    <w:rPr>
                      <w:color w:val="auto"/>
                      <w:kern w:val="0"/>
                      <w:szCs w:val="21"/>
                      <w:highlight w:val="none"/>
                    </w:rPr>
                    <w:t>/</w:t>
                  </w:r>
                </w:p>
              </w:tc>
              <w:tc>
                <w:tcPr>
                  <w:tcW w:w="703" w:type="dxa"/>
                  <w:tcBorders>
                    <w:top w:val="nil"/>
                    <w:left w:val="nil"/>
                    <w:bottom w:val="single" w:color="000000" w:sz="8" w:space="0"/>
                    <w:right w:val="nil"/>
                  </w:tcBorders>
                  <w:noWrap w:val="0"/>
                  <w:vAlign w:val="center"/>
                </w:tcPr>
                <w:p w14:paraId="59680949">
                  <w:pPr>
                    <w:widowControl/>
                    <w:jc w:val="center"/>
                    <w:rPr>
                      <w:color w:val="auto"/>
                      <w:kern w:val="0"/>
                      <w:szCs w:val="21"/>
                      <w:highlight w:val="none"/>
                    </w:rPr>
                  </w:pPr>
                </w:p>
              </w:tc>
            </w:tr>
            <w:tr w14:paraId="725A9B11">
              <w:tblPrEx>
                <w:tblCellMar>
                  <w:top w:w="0" w:type="dxa"/>
                  <w:left w:w="108" w:type="dxa"/>
                  <w:bottom w:w="0" w:type="dxa"/>
                  <w:right w:w="108" w:type="dxa"/>
                </w:tblCellMar>
              </w:tblPrEx>
              <w:trPr>
                <w:trHeight w:val="525" w:hRule="atLeast"/>
                <w:jc w:val="center"/>
              </w:trPr>
              <w:tc>
                <w:tcPr>
                  <w:tcW w:w="1032" w:type="dxa"/>
                  <w:vMerge w:val="continue"/>
                  <w:tcBorders>
                    <w:top w:val="nil"/>
                    <w:left w:val="nil"/>
                    <w:bottom w:val="single" w:color="000000" w:sz="8" w:space="0"/>
                    <w:right w:val="single" w:color="000000" w:sz="8" w:space="0"/>
                  </w:tcBorders>
                  <w:noWrap w:val="0"/>
                  <w:vAlign w:val="center"/>
                </w:tcPr>
                <w:p w14:paraId="779D0AEA">
                  <w:pPr>
                    <w:widowControl/>
                    <w:jc w:val="left"/>
                    <w:rPr>
                      <w:rFonts w:ascii="宋体" w:hAnsi="宋体" w:cs="宋体"/>
                      <w:color w:val="auto"/>
                      <w:kern w:val="0"/>
                      <w:szCs w:val="21"/>
                      <w:highlight w:val="none"/>
                    </w:rPr>
                  </w:pPr>
                </w:p>
              </w:tc>
              <w:tc>
                <w:tcPr>
                  <w:tcW w:w="1174" w:type="dxa"/>
                  <w:tcBorders>
                    <w:top w:val="nil"/>
                    <w:left w:val="nil"/>
                    <w:bottom w:val="single" w:color="000000" w:sz="8" w:space="0"/>
                    <w:right w:val="single" w:color="000000" w:sz="8" w:space="0"/>
                  </w:tcBorders>
                  <w:noWrap w:val="0"/>
                  <w:vAlign w:val="center"/>
                </w:tcPr>
                <w:p w14:paraId="12E94EB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运营期</w:t>
                  </w:r>
                </w:p>
              </w:tc>
              <w:tc>
                <w:tcPr>
                  <w:tcW w:w="4121" w:type="dxa"/>
                  <w:tcBorders>
                    <w:top w:val="nil"/>
                    <w:left w:val="nil"/>
                    <w:bottom w:val="single" w:color="000000" w:sz="8" w:space="0"/>
                    <w:right w:val="single" w:color="000000" w:sz="8" w:space="0"/>
                  </w:tcBorders>
                  <w:noWrap w:val="0"/>
                  <w:vAlign w:val="center"/>
                </w:tcPr>
                <w:p w14:paraId="2C226552">
                  <w:pPr>
                    <w:keepNext w:val="0"/>
                    <w:keepLines w:val="0"/>
                    <w:pageBreakBefore w:val="0"/>
                    <w:widowControl/>
                    <w:kinsoku/>
                    <w:wordWrap/>
                    <w:overflowPunct/>
                    <w:topLinePunct w:val="0"/>
                    <w:autoSpaceDE/>
                    <w:autoSpaceDN/>
                    <w:bidi w:val="0"/>
                    <w:adjustRightInd/>
                    <w:snapToGrid/>
                    <w:spacing w:line="240" w:lineRule="auto"/>
                    <w:ind w:firstLine="210" w:firstLineChars="1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充分选用低噪声设备，主要振动设备设置减震设施、加强厂房封闭、加强设备润滑保养。</w:t>
                  </w:r>
                </w:p>
              </w:tc>
              <w:tc>
                <w:tcPr>
                  <w:tcW w:w="1190" w:type="dxa"/>
                  <w:tcBorders>
                    <w:top w:val="nil"/>
                    <w:left w:val="nil"/>
                    <w:bottom w:val="single" w:color="000000" w:sz="8" w:space="0"/>
                    <w:right w:val="single" w:color="000000" w:sz="8" w:space="0"/>
                  </w:tcBorders>
                  <w:noWrap w:val="0"/>
                  <w:vAlign w:val="center"/>
                </w:tcPr>
                <w:p w14:paraId="1376F617">
                  <w:pPr>
                    <w:widowControl/>
                    <w:jc w:val="center"/>
                    <w:rPr>
                      <w:color w:val="auto"/>
                      <w:kern w:val="0"/>
                      <w:szCs w:val="21"/>
                      <w:highlight w:val="none"/>
                    </w:rPr>
                  </w:pPr>
                  <w:r>
                    <w:rPr>
                      <w:rFonts w:hint="eastAsia"/>
                      <w:color w:val="auto"/>
                      <w:kern w:val="0"/>
                      <w:szCs w:val="21"/>
                      <w:highlight w:val="none"/>
                    </w:rPr>
                    <w:t>/</w:t>
                  </w:r>
                </w:p>
              </w:tc>
              <w:tc>
                <w:tcPr>
                  <w:tcW w:w="703" w:type="dxa"/>
                  <w:tcBorders>
                    <w:top w:val="nil"/>
                    <w:left w:val="nil"/>
                    <w:bottom w:val="single" w:color="000000" w:sz="8" w:space="0"/>
                    <w:right w:val="nil"/>
                  </w:tcBorders>
                  <w:noWrap w:val="0"/>
                  <w:vAlign w:val="center"/>
                </w:tcPr>
                <w:p w14:paraId="2C957281">
                  <w:pPr>
                    <w:widowControl/>
                    <w:jc w:val="center"/>
                    <w:rPr>
                      <w:color w:val="auto"/>
                      <w:kern w:val="0"/>
                      <w:szCs w:val="21"/>
                      <w:highlight w:val="none"/>
                    </w:rPr>
                  </w:pPr>
                </w:p>
              </w:tc>
            </w:tr>
            <w:tr w14:paraId="4BC40B63">
              <w:tblPrEx>
                <w:tblCellMar>
                  <w:top w:w="0" w:type="dxa"/>
                  <w:left w:w="108" w:type="dxa"/>
                  <w:bottom w:w="0" w:type="dxa"/>
                  <w:right w:w="108" w:type="dxa"/>
                </w:tblCellMar>
              </w:tblPrEx>
              <w:trPr>
                <w:trHeight w:val="525" w:hRule="atLeast"/>
                <w:jc w:val="center"/>
              </w:trPr>
              <w:tc>
                <w:tcPr>
                  <w:tcW w:w="1032" w:type="dxa"/>
                  <w:vMerge w:val="restart"/>
                  <w:tcBorders>
                    <w:top w:val="nil"/>
                    <w:left w:val="nil"/>
                    <w:bottom w:val="nil"/>
                    <w:right w:val="single" w:color="000000" w:sz="8" w:space="0"/>
                  </w:tcBorders>
                  <w:noWrap w:val="0"/>
                  <w:vAlign w:val="center"/>
                </w:tcPr>
                <w:p w14:paraId="22455F7A">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固废污染防治措施</w:t>
                  </w:r>
                </w:p>
              </w:tc>
              <w:tc>
                <w:tcPr>
                  <w:tcW w:w="1174" w:type="dxa"/>
                  <w:tcBorders>
                    <w:top w:val="nil"/>
                    <w:left w:val="nil"/>
                    <w:bottom w:val="single" w:color="000000" w:sz="8" w:space="0"/>
                    <w:right w:val="single" w:color="000000" w:sz="8" w:space="0"/>
                  </w:tcBorders>
                  <w:noWrap w:val="0"/>
                  <w:vAlign w:val="center"/>
                </w:tcPr>
                <w:p w14:paraId="6335556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施工期</w:t>
                  </w:r>
                </w:p>
              </w:tc>
              <w:tc>
                <w:tcPr>
                  <w:tcW w:w="4121" w:type="dxa"/>
                  <w:tcBorders>
                    <w:top w:val="nil"/>
                    <w:left w:val="nil"/>
                    <w:bottom w:val="single" w:color="000000" w:sz="8" w:space="0"/>
                    <w:right w:val="single" w:color="000000" w:sz="8" w:space="0"/>
                  </w:tcBorders>
                  <w:noWrap w:val="0"/>
                  <w:vAlign w:val="center"/>
                </w:tcPr>
                <w:p w14:paraId="1B5D6419">
                  <w:pPr>
                    <w:keepNext w:val="0"/>
                    <w:keepLines w:val="0"/>
                    <w:pageBreakBefore w:val="0"/>
                    <w:widowControl/>
                    <w:kinsoku/>
                    <w:wordWrap/>
                    <w:overflowPunct/>
                    <w:topLinePunct w:val="0"/>
                    <w:autoSpaceDE/>
                    <w:autoSpaceDN/>
                    <w:bidi w:val="0"/>
                    <w:adjustRightInd/>
                    <w:snapToGrid/>
                    <w:spacing w:line="240" w:lineRule="auto"/>
                    <w:ind w:firstLine="210" w:firstLineChars="1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施工</w:t>
                  </w:r>
                  <w:r>
                    <w:rPr>
                      <w:rFonts w:hint="eastAsia" w:ascii="宋体" w:hAnsi="宋体" w:cs="宋体"/>
                      <w:color w:val="auto"/>
                      <w:kern w:val="0"/>
                      <w:szCs w:val="21"/>
                      <w:highlight w:val="none"/>
                      <w:lang w:eastAsia="zh-CN"/>
                    </w:rPr>
                    <w:t>期间</w:t>
                  </w:r>
                  <w:r>
                    <w:rPr>
                      <w:rFonts w:hint="eastAsia" w:ascii="宋体" w:hAnsi="宋体" w:cs="宋体"/>
                      <w:color w:val="auto"/>
                      <w:kern w:val="0"/>
                      <w:szCs w:val="21"/>
                      <w:highlight w:val="none"/>
                    </w:rPr>
                    <w:t>产生的生活垃圾统一收集后交由</w:t>
                  </w:r>
                  <w:r>
                    <w:rPr>
                      <w:rFonts w:hint="eastAsia" w:ascii="宋体" w:hAnsi="宋体" w:cs="宋体"/>
                      <w:color w:val="auto"/>
                      <w:kern w:val="0"/>
                      <w:szCs w:val="21"/>
                      <w:highlight w:val="none"/>
                      <w:lang w:eastAsia="zh-CN"/>
                    </w:rPr>
                    <w:t>大英县</w:t>
                  </w:r>
                  <w:r>
                    <w:rPr>
                      <w:rFonts w:hint="eastAsia" w:ascii="宋体" w:hAnsi="宋体" w:cs="宋体"/>
                      <w:color w:val="auto"/>
                      <w:kern w:val="0"/>
                      <w:szCs w:val="21"/>
                      <w:highlight w:val="none"/>
                    </w:rPr>
                    <w:t>环卫部门处置。废包装材料统一收集后出售给资源回收部门。</w:t>
                  </w:r>
                </w:p>
              </w:tc>
              <w:tc>
                <w:tcPr>
                  <w:tcW w:w="1190" w:type="dxa"/>
                  <w:tcBorders>
                    <w:top w:val="nil"/>
                    <w:left w:val="nil"/>
                    <w:bottom w:val="single" w:color="000000" w:sz="8" w:space="0"/>
                    <w:right w:val="single" w:color="000000" w:sz="8" w:space="0"/>
                  </w:tcBorders>
                  <w:noWrap w:val="0"/>
                  <w:vAlign w:val="center"/>
                </w:tcPr>
                <w:p w14:paraId="674DB6FD">
                  <w:pPr>
                    <w:widowControl/>
                    <w:jc w:val="center"/>
                    <w:rPr>
                      <w:rFonts w:hint="eastAsia" w:eastAsia="宋体"/>
                      <w:color w:val="auto"/>
                      <w:kern w:val="0"/>
                      <w:szCs w:val="21"/>
                      <w:highlight w:val="none"/>
                      <w:lang w:eastAsia="zh-CN"/>
                    </w:rPr>
                  </w:pPr>
                  <w:r>
                    <w:rPr>
                      <w:color w:val="auto"/>
                      <w:kern w:val="0"/>
                      <w:szCs w:val="21"/>
                      <w:highlight w:val="none"/>
                    </w:rPr>
                    <w:t>0.</w:t>
                  </w:r>
                  <w:r>
                    <w:rPr>
                      <w:rFonts w:hint="eastAsia"/>
                      <w:color w:val="auto"/>
                      <w:kern w:val="0"/>
                      <w:szCs w:val="21"/>
                      <w:highlight w:val="none"/>
                      <w:lang w:val="en-US" w:eastAsia="zh-CN"/>
                    </w:rPr>
                    <w:t>2</w:t>
                  </w:r>
                </w:p>
              </w:tc>
              <w:tc>
                <w:tcPr>
                  <w:tcW w:w="703" w:type="dxa"/>
                  <w:tcBorders>
                    <w:top w:val="nil"/>
                    <w:left w:val="nil"/>
                    <w:bottom w:val="single" w:color="000000" w:sz="8" w:space="0"/>
                    <w:right w:val="nil"/>
                  </w:tcBorders>
                  <w:noWrap w:val="0"/>
                  <w:vAlign w:val="center"/>
                </w:tcPr>
                <w:p w14:paraId="42633878">
                  <w:pPr>
                    <w:widowControl/>
                    <w:jc w:val="center"/>
                    <w:rPr>
                      <w:color w:val="auto"/>
                      <w:kern w:val="0"/>
                      <w:szCs w:val="21"/>
                      <w:highlight w:val="none"/>
                    </w:rPr>
                  </w:pPr>
                  <w:r>
                    <w:rPr>
                      <w:color w:val="auto"/>
                      <w:kern w:val="0"/>
                      <w:szCs w:val="21"/>
                      <w:highlight w:val="none"/>
                    </w:rPr>
                    <w:t>　</w:t>
                  </w:r>
                </w:p>
              </w:tc>
            </w:tr>
            <w:tr w14:paraId="64C76DBF">
              <w:tblPrEx>
                <w:tblCellMar>
                  <w:top w:w="0" w:type="dxa"/>
                  <w:left w:w="108" w:type="dxa"/>
                  <w:bottom w:w="0" w:type="dxa"/>
                  <w:right w:w="108" w:type="dxa"/>
                </w:tblCellMar>
              </w:tblPrEx>
              <w:trPr>
                <w:trHeight w:val="285" w:hRule="atLeast"/>
                <w:jc w:val="center"/>
              </w:trPr>
              <w:tc>
                <w:tcPr>
                  <w:tcW w:w="1032" w:type="dxa"/>
                  <w:vMerge w:val="continue"/>
                  <w:tcBorders>
                    <w:top w:val="nil"/>
                    <w:left w:val="nil"/>
                    <w:bottom w:val="nil"/>
                    <w:right w:val="single" w:color="000000" w:sz="8" w:space="0"/>
                  </w:tcBorders>
                  <w:noWrap w:val="0"/>
                  <w:vAlign w:val="center"/>
                </w:tcPr>
                <w:p w14:paraId="54EA0E55">
                  <w:pPr>
                    <w:widowControl/>
                    <w:jc w:val="left"/>
                    <w:rPr>
                      <w:rFonts w:ascii="宋体" w:hAnsi="宋体" w:cs="宋体"/>
                      <w:color w:val="auto"/>
                      <w:kern w:val="0"/>
                      <w:szCs w:val="21"/>
                      <w:highlight w:val="none"/>
                    </w:rPr>
                  </w:pPr>
                </w:p>
              </w:tc>
              <w:tc>
                <w:tcPr>
                  <w:tcW w:w="1174" w:type="dxa"/>
                  <w:vMerge w:val="restart"/>
                  <w:tcBorders>
                    <w:top w:val="nil"/>
                    <w:left w:val="single" w:color="000000" w:sz="8" w:space="0"/>
                    <w:bottom w:val="single" w:color="000000" w:sz="8" w:space="0"/>
                    <w:right w:val="single" w:color="000000" w:sz="8" w:space="0"/>
                  </w:tcBorders>
                  <w:noWrap w:val="0"/>
                  <w:vAlign w:val="center"/>
                </w:tcPr>
                <w:p w14:paraId="5E2D5D1D">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运营期</w:t>
                  </w:r>
                </w:p>
              </w:tc>
              <w:tc>
                <w:tcPr>
                  <w:tcW w:w="4121" w:type="dxa"/>
                  <w:tcBorders>
                    <w:top w:val="nil"/>
                    <w:left w:val="nil"/>
                    <w:bottom w:val="single" w:color="000000" w:sz="8" w:space="0"/>
                    <w:right w:val="single" w:color="000000" w:sz="8" w:space="0"/>
                  </w:tcBorders>
                  <w:noWrap w:val="0"/>
                  <w:vAlign w:val="center"/>
                </w:tcPr>
                <w:p w14:paraId="4B0DE852">
                  <w:pPr>
                    <w:keepNext w:val="0"/>
                    <w:keepLines w:val="0"/>
                    <w:pageBreakBefore w:val="0"/>
                    <w:widowControl/>
                    <w:kinsoku/>
                    <w:wordWrap/>
                    <w:overflowPunct/>
                    <w:topLinePunct w:val="0"/>
                    <w:autoSpaceDE/>
                    <w:autoSpaceDN/>
                    <w:bidi w:val="0"/>
                    <w:adjustRightInd/>
                    <w:snapToGrid/>
                    <w:spacing w:line="240" w:lineRule="auto"/>
                    <w:ind w:firstLine="210" w:firstLineChars="1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生活垃圾收集后统一交由环卫部门处置</w:t>
                  </w:r>
                </w:p>
              </w:tc>
              <w:tc>
                <w:tcPr>
                  <w:tcW w:w="1190" w:type="dxa"/>
                  <w:tcBorders>
                    <w:top w:val="nil"/>
                    <w:left w:val="nil"/>
                    <w:bottom w:val="single" w:color="000000" w:sz="8" w:space="0"/>
                    <w:right w:val="single" w:color="000000" w:sz="8" w:space="0"/>
                  </w:tcBorders>
                  <w:noWrap w:val="0"/>
                  <w:vAlign w:val="center"/>
                </w:tcPr>
                <w:p w14:paraId="479BA208">
                  <w:pPr>
                    <w:widowControl/>
                    <w:jc w:val="center"/>
                    <w:rPr>
                      <w:rFonts w:hint="eastAsia" w:eastAsia="宋体"/>
                      <w:color w:val="auto"/>
                      <w:kern w:val="0"/>
                      <w:szCs w:val="21"/>
                      <w:highlight w:val="none"/>
                      <w:lang w:eastAsia="zh-CN"/>
                    </w:rPr>
                  </w:pPr>
                  <w:r>
                    <w:rPr>
                      <w:color w:val="auto"/>
                      <w:kern w:val="0"/>
                      <w:szCs w:val="21"/>
                      <w:highlight w:val="none"/>
                    </w:rPr>
                    <w:t>0.</w:t>
                  </w:r>
                  <w:r>
                    <w:rPr>
                      <w:rFonts w:hint="eastAsia"/>
                      <w:color w:val="auto"/>
                      <w:kern w:val="0"/>
                      <w:szCs w:val="21"/>
                      <w:highlight w:val="none"/>
                      <w:lang w:val="en-US" w:eastAsia="zh-CN"/>
                    </w:rPr>
                    <w:t>2</w:t>
                  </w:r>
                </w:p>
              </w:tc>
              <w:tc>
                <w:tcPr>
                  <w:tcW w:w="703" w:type="dxa"/>
                  <w:tcBorders>
                    <w:top w:val="nil"/>
                    <w:left w:val="nil"/>
                    <w:bottom w:val="single" w:color="000000" w:sz="8" w:space="0"/>
                    <w:right w:val="nil"/>
                  </w:tcBorders>
                  <w:noWrap w:val="0"/>
                  <w:vAlign w:val="center"/>
                </w:tcPr>
                <w:p w14:paraId="1E70AD1C">
                  <w:pPr>
                    <w:widowControl/>
                    <w:jc w:val="center"/>
                    <w:rPr>
                      <w:color w:val="auto"/>
                      <w:kern w:val="0"/>
                      <w:szCs w:val="21"/>
                      <w:highlight w:val="none"/>
                    </w:rPr>
                  </w:pPr>
                  <w:r>
                    <w:rPr>
                      <w:color w:val="auto"/>
                      <w:kern w:val="0"/>
                      <w:szCs w:val="21"/>
                      <w:highlight w:val="none"/>
                    </w:rPr>
                    <w:t>　</w:t>
                  </w:r>
                </w:p>
              </w:tc>
            </w:tr>
            <w:tr w14:paraId="5FFEC8CB">
              <w:tblPrEx>
                <w:tblCellMar>
                  <w:top w:w="0" w:type="dxa"/>
                  <w:left w:w="108" w:type="dxa"/>
                  <w:bottom w:w="0" w:type="dxa"/>
                  <w:right w:w="108" w:type="dxa"/>
                </w:tblCellMar>
              </w:tblPrEx>
              <w:trPr>
                <w:trHeight w:val="540" w:hRule="atLeast"/>
                <w:jc w:val="center"/>
              </w:trPr>
              <w:tc>
                <w:tcPr>
                  <w:tcW w:w="1032" w:type="dxa"/>
                  <w:vMerge w:val="continue"/>
                  <w:tcBorders>
                    <w:top w:val="nil"/>
                    <w:left w:val="nil"/>
                    <w:bottom w:val="nil"/>
                    <w:right w:val="single" w:color="000000" w:sz="8" w:space="0"/>
                  </w:tcBorders>
                  <w:noWrap w:val="0"/>
                  <w:vAlign w:val="center"/>
                </w:tcPr>
                <w:p w14:paraId="29727CF7">
                  <w:pPr>
                    <w:widowControl/>
                    <w:jc w:val="left"/>
                    <w:rPr>
                      <w:rFonts w:ascii="宋体" w:hAnsi="宋体" w:cs="宋体"/>
                      <w:color w:val="auto"/>
                      <w:kern w:val="0"/>
                      <w:szCs w:val="21"/>
                      <w:highlight w:val="none"/>
                    </w:rPr>
                  </w:pPr>
                </w:p>
              </w:tc>
              <w:tc>
                <w:tcPr>
                  <w:tcW w:w="1174" w:type="dxa"/>
                  <w:vMerge w:val="continue"/>
                  <w:tcBorders>
                    <w:top w:val="nil"/>
                    <w:left w:val="single" w:color="000000" w:sz="8" w:space="0"/>
                    <w:bottom w:val="single" w:color="000000" w:sz="8" w:space="0"/>
                    <w:right w:val="single" w:color="000000" w:sz="8" w:space="0"/>
                  </w:tcBorders>
                  <w:noWrap w:val="0"/>
                  <w:vAlign w:val="center"/>
                </w:tcPr>
                <w:p w14:paraId="10386AED">
                  <w:pPr>
                    <w:widowControl/>
                    <w:jc w:val="left"/>
                    <w:rPr>
                      <w:rFonts w:ascii="宋体" w:hAnsi="宋体" w:cs="宋体"/>
                      <w:color w:val="auto"/>
                      <w:kern w:val="0"/>
                      <w:szCs w:val="21"/>
                      <w:highlight w:val="none"/>
                    </w:rPr>
                  </w:pPr>
                </w:p>
              </w:tc>
              <w:tc>
                <w:tcPr>
                  <w:tcW w:w="4121" w:type="dxa"/>
                  <w:tcBorders>
                    <w:top w:val="nil"/>
                    <w:left w:val="nil"/>
                    <w:bottom w:val="single" w:color="000000" w:sz="8" w:space="0"/>
                    <w:right w:val="single" w:color="000000" w:sz="8" w:space="0"/>
                  </w:tcBorders>
                  <w:noWrap w:val="0"/>
                  <w:vAlign w:val="center"/>
                </w:tcPr>
                <w:p w14:paraId="1E1B713D">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依托现有</w:t>
                  </w:r>
                  <w:r>
                    <w:rPr>
                      <w:rFonts w:hint="eastAsia" w:ascii="宋体" w:hAnsi="宋体" w:cs="宋体"/>
                      <w:color w:val="auto"/>
                      <w:kern w:val="0"/>
                      <w:szCs w:val="21"/>
                      <w:highlight w:val="none"/>
                    </w:rPr>
                    <w:t>一般固废暂存</w:t>
                  </w:r>
                  <w:r>
                    <w:rPr>
                      <w:rFonts w:hint="eastAsia" w:ascii="宋体" w:hAnsi="宋体" w:cs="宋体"/>
                      <w:color w:val="auto"/>
                      <w:kern w:val="0"/>
                      <w:szCs w:val="21"/>
                      <w:highlight w:val="none"/>
                      <w:lang w:eastAsia="zh-CN"/>
                    </w:rPr>
                    <w:t>点</w:t>
                  </w:r>
                  <w:r>
                    <w:rPr>
                      <w:rFonts w:hint="eastAsia" w:ascii="宋体" w:hAnsi="宋体" w:cs="宋体"/>
                      <w:color w:val="auto"/>
                      <w:kern w:val="0"/>
                      <w:szCs w:val="21"/>
                      <w:highlight w:val="none"/>
                    </w:rPr>
                    <w:t>一处，用于收集本项目产生的一般固废。</w:t>
                  </w:r>
                </w:p>
              </w:tc>
              <w:tc>
                <w:tcPr>
                  <w:tcW w:w="1190" w:type="dxa"/>
                  <w:tcBorders>
                    <w:top w:val="nil"/>
                    <w:left w:val="nil"/>
                    <w:bottom w:val="single" w:color="000000" w:sz="8" w:space="0"/>
                    <w:right w:val="single" w:color="000000" w:sz="8" w:space="0"/>
                  </w:tcBorders>
                  <w:noWrap w:val="0"/>
                  <w:vAlign w:val="center"/>
                </w:tcPr>
                <w:p w14:paraId="0B220394">
                  <w:pPr>
                    <w:widowControl/>
                    <w:jc w:val="center"/>
                    <w:rPr>
                      <w:rFonts w:hint="eastAsia" w:eastAsia="宋体"/>
                      <w:color w:val="auto"/>
                      <w:kern w:val="0"/>
                      <w:szCs w:val="21"/>
                      <w:highlight w:val="none"/>
                      <w:lang w:eastAsia="zh-CN"/>
                    </w:rPr>
                  </w:pPr>
                  <w:r>
                    <w:rPr>
                      <w:rFonts w:hint="eastAsia"/>
                      <w:color w:val="auto"/>
                      <w:kern w:val="0"/>
                      <w:szCs w:val="21"/>
                      <w:highlight w:val="none"/>
                      <w:lang w:val="en-US" w:eastAsia="zh-CN"/>
                    </w:rPr>
                    <w:t>/</w:t>
                  </w:r>
                </w:p>
              </w:tc>
              <w:tc>
                <w:tcPr>
                  <w:tcW w:w="703" w:type="dxa"/>
                  <w:tcBorders>
                    <w:top w:val="nil"/>
                    <w:left w:val="nil"/>
                    <w:bottom w:val="single" w:color="000000" w:sz="8" w:space="0"/>
                    <w:right w:val="nil"/>
                  </w:tcBorders>
                  <w:noWrap w:val="0"/>
                  <w:vAlign w:val="center"/>
                </w:tcPr>
                <w:p w14:paraId="787AEA79">
                  <w:pPr>
                    <w:widowControl/>
                    <w:jc w:val="center"/>
                    <w:rPr>
                      <w:color w:val="auto"/>
                      <w:kern w:val="0"/>
                      <w:szCs w:val="21"/>
                      <w:highlight w:val="none"/>
                    </w:rPr>
                  </w:pPr>
                  <w:r>
                    <w:rPr>
                      <w:color w:val="auto"/>
                      <w:kern w:val="0"/>
                      <w:szCs w:val="21"/>
                      <w:highlight w:val="none"/>
                    </w:rPr>
                    <w:t>　</w:t>
                  </w:r>
                </w:p>
              </w:tc>
            </w:tr>
            <w:tr w14:paraId="060318D9">
              <w:tblPrEx>
                <w:tblCellMar>
                  <w:top w:w="0" w:type="dxa"/>
                  <w:left w:w="108" w:type="dxa"/>
                  <w:bottom w:w="0" w:type="dxa"/>
                  <w:right w:w="108" w:type="dxa"/>
                </w:tblCellMar>
              </w:tblPrEx>
              <w:trPr>
                <w:trHeight w:val="540" w:hRule="atLeast"/>
                <w:jc w:val="center"/>
              </w:trPr>
              <w:tc>
                <w:tcPr>
                  <w:tcW w:w="1032" w:type="dxa"/>
                  <w:vMerge w:val="continue"/>
                  <w:tcBorders>
                    <w:top w:val="nil"/>
                    <w:left w:val="nil"/>
                    <w:bottom w:val="nil"/>
                    <w:right w:val="single" w:color="000000" w:sz="8" w:space="0"/>
                  </w:tcBorders>
                  <w:noWrap w:val="0"/>
                  <w:vAlign w:val="center"/>
                </w:tcPr>
                <w:p w14:paraId="42B72E73">
                  <w:pPr>
                    <w:widowControl/>
                    <w:jc w:val="left"/>
                    <w:rPr>
                      <w:rFonts w:ascii="宋体" w:hAnsi="宋体" w:cs="宋体"/>
                      <w:color w:val="auto"/>
                      <w:kern w:val="0"/>
                      <w:szCs w:val="21"/>
                      <w:highlight w:val="none"/>
                    </w:rPr>
                  </w:pPr>
                </w:p>
              </w:tc>
              <w:tc>
                <w:tcPr>
                  <w:tcW w:w="1174" w:type="dxa"/>
                  <w:vMerge w:val="continue"/>
                  <w:tcBorders>
                    <w:top w:val="nil"/>
                    <w:left w:val="single" w:color="000000" w:sz="8" w:space="0"/>
                    <w:bottom w:val="single" w:color="000000" w:sz="8" w:space="0"/>
                    <w:right w:val="single" w:color="000000" w:sz="8" w:space="0"/>
                  </w:tcBorders>
                  <w:noWrap w:val="0"/>
                  <w:vAlign w:val="center"/>
                </w:tcPr>
                <w:p w14:paraId="1D3940CF">
                  <w:pPr>
                    <w:widowControl/>
                    <w:jc w:val="left"/>
                    <w:rPr>
                      <w:rFonts w:ascii="宋体" w:hAnsi="宋体" w:cs="宋体"/>
                      <w:color w:val="auto"/>
                      <w:kern w:val="0"/>
                      <w:szCs w:val="21"/>
                      <w:highlight w:val="none"/>
                    </w:rPr>
                  </w:pPr>
                </w:p>
              </w:tc>
              <w:tc>
                <w:tcPr>
                  <w:tcW w:w="4121" w:type="dxa"/>
                  <w:tcBorders>
                    <w:top w:val="nil"/>
                    <w:left w:val="nil"/>
                    <w:bottom w:val="single" w:color="000000" w:sz="8" w:space="0"/>
                    <w:right w:val="single" w:color="000000" w:sz="8" w:space="0"/>
                  </w:tcBorders>
                  <w:noWrap w:val="0"/>
                  <w:vAlign w:val="center"/>
                </w:tcPr>
                <w:p w14:paraId="5F38419B">
                  <w:pPr>
                    <w:keepNext w:val="0"/>
                    <w:keepLines w:val="0"/>
                    <w:pageBreakBefore w:val="0"/>
                    <w:widowControl/>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依托</w:t>
                  </w:r>
                  <w:r>
                    <w:rPr>
                      <w:rFonts w:hint="eastAsia" w:ascii="宋体" w:hAnsi="宋体" w:cs="宋体"/>
                      <w:color w:val="auto"/>
                      <w:kern w:val="0"/>
                      <w:szCs w:val="21"/>
                      <w:highlight w:val="none"/>
                    </w:rPr>
                    <w:t>危险废物暂存间一处，面积</w:t>
                  </w:r>
                  <w:r>
                    <w:rPr>
                      <w:rFonts w:hint="eastAsia"/>
                      <w:color w:val="auto"/>
                      <w:kern w:val="0"/>
                      <w:szCs w:val="21"/>
                      <w:highlight w:val="none"/>
                      <w:lang w:val="en-US" w:eastAsia="zh-CN"/>
                    </w:rPr>
                    <w:t>20</w:t>
                  </w:r>
                  <w:r>
                    <w:rPr>
                      <w:rFonts w:hint="eastAsia" w:ascii="宋体" w:hAnsi="宋体" w:cs="宋体"/>
                      <w:color w:val="auto"/>
                      <w:kern w:val="0"/>
                      <w:szCs w:val="21"/>
                      <w:highlight w:val="none"/>
                    </w:rPr>
                    <w:t>平方米，并按照重点防渗的相关要求进行防渗</w:t>
                  </w:r>
                  <w:r>
                    <w:rPr>
                      <w:rFonts w:hint="eastAsia" w:ascii="宋体" w:hAnsi="宋体" w:cs="宋体"/>
                      <w:color w:val="auto"/>
                      <w:kern w:val="0"/>
                      <w:szCs w:val="21"/>
                      <w:highlight w:val="none"/>
                      <w:lang w:val="en-US" w:eastAsia="zh-CN"/>
                    </w:rPr>
                    <w:t>检查。</w:t>
                  </w:r>
                </w:p>
              </w:tc>
              <w:tc>
                <w:tcPr>
                  <w:tcW w:w="1190" w:type="dxa"/>
                  <w:tcBorders>
                    <w:top w:val="nil"/>
                    <w:left w:val="nil"/>
                    <w:bottom w:val="single" w:color="000000" w:sz="8" w:space="0"/>
                    <w:right w:val="single" w:color="000000" w:sz="8" w:space="0"/>
                  </w:tcBorders>
                  <w:noWrap w:val="0"/>
                  <w:vAlign w:val="center"/>
                </w:tcPr>
                <w:p w14:paraId="4A26A6F6">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w:t>
                  </w:r>
                </w:p>
              </w:tc>
              <w:tc>
                <w:tcPr>
                  <w:tcW w:w="703" w:type="dxa"/>
                  <w:tcBorders>
                    <w:top w:val="nil"/>
                    <w:left w:val="nil"/>
                    <w:bottom w:val="single" w:color="000000" w:sz="8" w:space="0"/>
                    <w:right w:val="nil"/>
                  </w:tcBorders>
                  <w:noWrap w:val="0"/>
                  <w:vAlign w:val="center"/>
                </w:tcPr>
                <w:p w14:paraId="1602DEEB">
                  <w:pPr>
                    <w:widowControl/>
                    <w:jc w:val="center"/>
                    <w:rPr>
                      <w:color w:val="auto"/>
                      <w:kern w:val="0"/>
                      <w:szCs w:val="21"/>
                      <w:highlight w:val="none"/>
                    </w:rPr>
                  </w:pPr>
                  <w:r>
                    <w:rPr>
                      <w:color w:val="auto"/>
                      <w:kern w:val="0"/>
                      <w:szCs w:val="21"/>
                      <w:highlight w:val="none"/>
                    </w:rPr>
                    <w:t>　</w:t>
                  </w:r>
                </w:p>
              </w:tc>
            </w:tr>
            <w:tr w14:paraId="76B03ADC">
              <w:tblPrEx>
                <w:tblCellMar>
                  <w:top w:w="0" w:type="dxa"/>
                  <w:left w:w="108" w:type="dxa"/>
                  <w:bottom w:w="0" w:type="dxa"/>
                  <w:right w:w="108" w:type="dxa"/>
                </w:tblCellMar>
              </w:tblPrEx>
              <w:trPr>
                <w:trHeight w:val="90" w:hRule="atLeast"/>
                <w:jc w:val="center"/>
              </w:trPr>
              <w:tc>
                <w:tcPr>
                  <w:tcW w:w="1032" w:type="dxa"/>
                  <w:vMerge w:val="continue"/>
                  <w:tcBorders>
                    <w:top w:val="nil"/>
                    <w:left w:val="nil"/>
                    <w:bottom w:val="nil"/>
                    <w:right w:val="single" w:color="000000" w:sz="8" w:space="0"/>
                  </w:tcBorders>
                  <w:noWrap w:val="0"/>
                  <w:vAlign w:val="center"/>
                </w:tcPr>
                <w:p w14:paraId="70056A73">
                  <w:pPr>
                    <w:widowControl/>
                    <w:jc w:val="left"/>
                    <w:rPr>
                      <w:rFonts w:ascii="宋体" w:hAnsi="宋体" w:cs="宋体"/>
                      <w:color w:val="auto"/>
                      <w:kern w:val="0"/>
                      <w:szCs w:val="21"/>
                      <w:highlight w:val="none"/>
                    </w:rPr>
                  </w:pPr>
                </w:p>
              </w:tc>
              <w:tc>
                <w:tcPr>
                  <w:tcW w:w="1174" w:type="dxa"/>
                  <w:vMerge w:val="continue"/>
                  <w:tcBorders>
                    <w:top w:val="nil"/>
                    <w:left w:val="single" w:color="000000" w:sz="8" w:space="0"/>
                    <w:bottom w:val="single" w:color="000000" w:sz="8" w:space="0"/>
                    <w:right w:val="single" w:color="000000" w:sz="8" w:space="0"/>
                  </w:tcBorders>
                  <w:noWrap w:val="0"/>
                  <w:vAlign w:val="center"/>
                </w:tcPr>
                <w:p w14:paraId="39E70C3F">
                  <w:pPr>
                    <w:widowControl/>
                    <w:jc w:val="left"/>
                    <w:rPr>
                      <w:rFonts w:ascii="宋体" w:hAnsi="宋体" w:cs="宋体"/>
                      <w:color w:val="auto"/>
                      <w:kern w:val="0"/>
                      <w:szCs w:val="21"/>
                      <w:highlight w:val="none"/>
                    </w:rPr>
                  </w:pPr>
                </w:p>
              </w:tc>
              <w:tc>
                <w:tcPr>
                  <w:tcW w:w="4121" w:type="dxa"/>
                  <w:tcBorders>
                    <w:top w:val="nil"/>
                    <w:left w:val="nil"/>
                    <w:bottom w:val="single" w:color="000000" w:sz="8" w:space="0"/>
                    <w:right w:val="single" w:color="000000" w:sz="8" w:space="0"/>
                  </w:tcBorders>
                  <w:noWrap w:val="0"/>
                  <w:vAlign w:val="center"/>
                </w:tcPr>
                <w:p w14:paraId="6027DDA4">
                  <w:pPr>
                    <w:keepNext w:val="0"/>
                    <w:keepLines w:val="0"/>
                    <w:pageBreakBefore w:val="0"/>
                    <w:widowControl/>
                    <w:kinsoku/>
                    <w:wordWrap/>
                    <w:overflowPunct/>
                    <w:topLinePunct w:val="0"/>
                    <w:autoSpaceDE/>
                    <w:autoSpaceDN/>
                    <w:bidi w:val="0"/>
                    <w:adjustRightInd/>
                    <w:snapToGrid/>
                    <w:spacing w:line="240" w:lineRule="auto"/>
                    <w:ind w:firstLine="210" w:firstLineChars="1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按照危险废物管理的相关要求收集并暂存本项目产生的危险废物，贮存到一定量后定期委托资质单位处置。</w:t>
                  </w:r>
                </w:p>
              </w:tc>
              <w:tc>
                <w:tcPr>
                  <w:tcW w:w="1190" w:type="dxa"/>
                  <w:tcBorders>
                    <w:top w:val="nil"/>
                    <w:left w:val="nil"/>
                    <w:bottom w:val="single" w:color="000000" w:sz="8" w:space="0"/>
                    <w:right w:val="single" w:color="000000" w:sz="8" w:space="0"/>
                  </w:tcBorders>
                  <w:noWrap w:val="0"/>
                  <w:vAlign w:val="center"/>
                </w:tcPr>
                <w:p w14:paraId="572CA34B">
                  <w:pPr>
                    <w:widowControl/>
                    <w:jc w:val="center"/>
                    <w:rPr>
                      <w:color w:val="auto"/>
                      <w:kern w:val="0"/>
                      <w:szCs w:val="21"/>
                      <w:highlight w:val="none"/>
                    </w:rPr>
                  </w:pPr>
                  <w:r>
                    <w:rPr>
                      <w:rFonts w:hint="eastAsia"/>
                      <w:color w:val="auto"/>
                      <w:kern w:val="0"/>
                      <w:szCs w:val="21"/>
                      <w:highlight w:val="none"/>
                      <w:lang w:val="en-US" w:eastAsia="zh-CN"/>
                    </w:rPr>
                    <w:t>1</w:t>
                  </w:r>
                  <w:r>
                    <w:rPr>
                      <w:rFonts w:hint="eastAsia"/>
                      <w:color w:val="auto"/>
                      <w:kern w:val="0"/>
                      <w:szCs w:val="21"/>
                      <w:highlight w:val="none"/>
                    </w:rPr>
                    <w:t>.0</w:t>
                  </w:r>
                </w:p>
              </w:tc>
              <w:tc>
                <w:tcPr>
                  <w:tcW w:w="703" w:type="dxa"/>
                  <w:tcBorders>
                    <w:top w:val="nil"/>
                    <w:left w:val="nil"/>
                    <w:bottom w:val="single" w:color="000000" w:sz="8" w:space="0"/>
                    <w:right w:val="nil"/>
                  </w:tcBorders>
                  <w:noWrap w:val="0"/>
                  <w:vAlign w:val="center"/>
                </w:tcPr>
                <w:p w14:paraId="10207977">
                  <w:pPr>
                    <w:widowControl/>
                    <w:jc w:val="center"/>
                    <w:rPr>
                      <w:color w:val="auto"/>
                      <w:kern w:val="0"/>
                      <w:szCs w:val="21"/>
                      <w:highlight w:val="none"/>
                    </w:rPr>
                  </w:pPr>
                  <w:r>
                    <w:rPr>
                      <w:color w:val="auto"/>
                      <w:kern w:val="0"/>
                      <w:szCs w:val="21"/>
                      <w:highlight w:val="none"/>
                    </w:rPr>
                    <w:t>　</w:t>
                  </w:r>
                </w:p>
              </w:tc>
            </w:tr>
            <w:tr w14:paraId="4369CEEE">
              <w:tblPrEx>
                <w:tblCellMar>
                  <w:top w:w="0" w:type="dxa"/>
                  <w:left w:w="108" w:type="dxa"/>
                  <w:bottom w:w="0" w:type="dxa"/>
                  <w:right w:w="108" w:type="dxa"/>
                </w:tblCellMar>
              </w:tblPrEx>
              <w:trPr>
                <w:trHeight w:val="504" w:hRule="atLeast"/>
                <w:jc w:val="center"/>
              </w:trPr>
              <w:tc>
                <w:tcPr>
                  <w:tcW w:w="1032" w:type="dxa"/>
                  <w:vMerge w:val="restart"/>
                  <w:tcBorders>
                    <w:top w:val="single" w:color="auto" w:sz="4" w:space="0"/>
                    <w:left w:val="nil"/>
                    <w:bottom w:val="single" w:color="000000" w:sz="4" w:space="0"/>
                    <w:right w:val="single" w:color="000000" w:sz="8" w:space="0"/>
                  </w:tcBorders>
                  <w:noWrap w:val="0"/>
                  <w:vAlign w:val="center"/>
                </w:tcPr>
                <w:p w14:paraId="7B93DA3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大气污染防治措施</w:t>
                  </w:r>
                </w:p>
              </w:tc>
              <w:tc>
                <w:tcPr>
                  <w:tcW w:w="1174" w:type="dxa"/>
                  <w:tcBorders>
                    <w:top w:val="nil"/>
                    <w:left w:val="nil"/>
                    <w:bottom w:val="single" w:color="000000" w:sz="8" w:space="0"/>
                    <w:right w:val="single" w:color="000000" w:sz="8" w:space="0"/>
                  </w:tcBorders>
                  <w:noWrap w:val="0"/>
                  <w:vAlign w:val="center"/>
                </w:tcPr>
                <w:p w14:paraId="12EC245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施工期</w:t>
                  </w:r>
                </w:p>
              </w:tc>
              <w:tc>
                <w:tcPr>
                  <w:tcW w:w="4121" w:type="dxa"/>
                  <w:tcBorders>
                    <w:top w:val="nil"/>
                    <w:left w:val="nil"/>
                    <w:bottom w:val="single" w:color="000000" w:sz="8" w:space="0"/>
                    <w:right w:val="single" w:color="000000" w:sz="8" w:space="0"/>
                  </w:tcBorders>
                  <w:noWrap w:val="0"/>
                  <w:vAlign w:val="center"/>
                </w:tcPr>
                <w:p w14:paraId="5C02EB1E">
                  <w:pPr>
                    <w:keepNext w:val="0"/>
                    <w:keepLines w:val="0"/>
                    <w:pageBreakBefore w:val="0"/>
                    <w:widowControl/>
                    <w:kinsoku/>
                    <w:wordWrap/>
                    <w:overflowPunct/>
                    <w:topLinePunct w:val="0"/>
                    <w:autoSpaceDE/>
                    <w:autoSpaceDN/>
                    <w:bidi w:val="0"/>
                    <w:adjustRightInd/>
                    <w:snapToGrid/>
                    <w:spacing w:line="240" w:lineRule="auto"/>
                    <w:ind w:firstLine="210" w:firstLineChars="1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加强厂区保洁，降低运输扬尘。</w:t>
                  </w:r>
                </w:p>
              </w:tc>
              <w:tc>
                <w:tcPr>
                  <w:tcW w:w="1190" w:type="dxa"/>
                  <w:tcBorders>
                    <w:top w:val="nil"/>
                    <w:left w:val="nil"/>
                    <w:bottom w:val="single" w:color="000000" w:sz="8" w:space="0"/>
                    <w:right w:val="single" w:color="000000" w:sz="8" w:space="0"/>
                  </w:tcBorders>
                  <w:noWrap w:val="0"/>
                  <w:vAlign w:val="center"/>
                </w:tcPr>
                <w:p w14:paraId="7476A66E">
                  <w:pPr>
                    <w:widowControl/>
                    <w:jc w:val="center"/>
                    <w:rPr>
                      <w:color w:val="auto"/>
                      <w:kern w:val="0"/>
                      <w:szCs w:val="21"/>
                      <w:highlight w:val="none"/>
                    </w:rPr>
                  </w:pPr>
                  <w:r>
                    <w:rPr>
                      <w:color w:val="auto"/>
                      <w:kern w:val="0"/>
                      <w:szCs w:val="21"/>
                      <w:highlight w:val="none"/>
                    </w:rPr>
                    <w:t>/</w:t>
                  </w:r>
                </w:p>
              </w:tc>
              <w:tc>
                <w:tcPr>
                  <w:tcW w:w="703" w:type="dxa"/>
                  <w:tcBorders>
                    <w:top w:val="nil"/>
                    <w:left w:val="nil"/>
                    <w:bottom w:val="single" w:color="000000" w:sz="8" w:space="0"/>
                    <w:right w:val="nil"/>
                  </w:tcBorders>
                  <w:noWrap w:val="0"/>
                  <w:vAlign w:val="center"/>
                </w:tcPr>
                <w:p w14:paraId="361C5046">
                  <w:pPr>
                    <w:widowControl/>
                    <w:rPr>
                      <w:color w:val="auto"/>
                      <w:kern w:val="0"/>
                      <w:szCs w:val="21"/>
                      <w:highlight w:val="none"/>
                    </w:rPr>
                  </w:pPr>
                  <w:r>
                    <w:rPr>
                      <w:color w:val="auto"/>
                      <w:kern w:val="0"/>
                      <w:szCs w:val="21"/>
                      <w:highlight w:val="none"/>
                    </w:rPr>
                    <w:t>　</w:t>
                  </w:r>
                </w:p>
              </w:tc>
            </w:tr>
            <w:tr w14:paraId="46473997">
              <w:tblPrEx>
                <w:tblCellMar>
                  <w:top w:w="0" w:type="dxa"/>
                  <w:left w:w="108" w:type="dxa"/>
                  <w:bottom w:w="0" w:type="dxa"/>
                  <w:right w:w="108" w:type="dxa"/>
                </w:tblCellMar>
              </w:tblPrEx>
              <w:trPr>
                <w:trHeight w:val="540" w:hRule="atLeast"/>
                <w:jc w:val="center"/>
              </w:trPr>
              <w:tc>
                <w:tcPr>
                  <w:tcW w:w="1032" w:type="dxa"/>
                  <w:vMerge w:val="continue"/>
                  <w:tcBorders>
                    <w:top w:val="single" w:color="auto" w:sz="4" w:space="0"/>
                    <w:left w:val="nil"/>
                    <w:bottom w:val="single" w:color="000000" w:sz="4" w:space="0"/>
                    <w:right w:val="single" w:color="000000" w:sz="8" w:space="0"/>
                  </w:tcBorders>
                  <w:noWrap w:val="0"/>
                  <w:vAlign w:val="center"/>
                </w:tcPr>
                <w:p w14:paraId="6F462CD6">
                  <w:pPr>
                    <w:widowControl/>
                    <w:jc w:val="left"/>
                    <w:rPr>
                      <w:rFonts w:ascii="宋体" w:hAnsi="宋体" w:cs="宋体"/>
                      <w:color w:val="auto"/>
                      <w:kern w:val="0"/>
                      <w:szCs w:val="21"/>
                      <w:highlight w:val="none"/>
                    </w:rPr>
                  </w:pPr>
                </w:p>
              </w:tc>
              <w:tc>
                <w:tcPr>
                  <w:tcW w:w="1174" w:type="dxa"/>
                  <w:tcBorders>
                    <w:top w:val="nil"/>
                    <w:left w:val="nil"/>
                    <w:bottom w:val="single" w:color="000000" w:sz="8" w:space="0"/>
                    <w:right w:val="single" w:color="000000" w:sz="8" w:space="0"/>
                  </w:tcBorders>
                  <w:noWrap w:val="0"/>
                  <w:vAlign w:val="center"/>
                </w:tcPr>
                <w:p w14:paraId="1778F85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运营期</w:t>
                  </w:r>
                </w:p>
              </w:tc>
              <w:tc>
                <w:tcPr>
                  <w:tcW w:w="4121" w:type="dxa"/>
                  <w:tcBorders>
                    <w:top w:val="nil"/>
                    <w:left w:val="nil"/>
                    <w:bottom w:val="single" w:color="000000" w:sz="8" w:space="0"/>
                    <w:right w:val="single" w:color="000000" w:sz="8" w:space="0"/>
                  </w:tcBorders>
                  <w:noWrap w:val="0"/>
                  <w:vAlign w:val="center"/>
                </w:tcPr>
                <w:p w14:paraId="103FE87D">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①上料及炼胶粉尘和有机废气处理系统进</w:t>
                  </w:r>
                  <w:r>
                    <w:rPr>
                      <w:rFonts w:hint="default" w:cs="Times New Roman"/>
                      <w:color w:val="auto"/>
                      <w:sz w:val="21"/>
                      <w:szCs w:val="21"/>
                      <w:highlight w:val="none"/>
                      <w:lang w:val="en-US" w:eastAsia="zh-CN"/>
                    </w:rPr>
                    <w:t>行升级改造，提升废气处理能力至25000m³/h</w:t>
                  </w:r>
                  <w:r>
                    <w:rPr>
                      <w:rFonts w:hint="default" w:ascii="Times New Roman" w:hAnsi="Times New Roman" w:cs="Times New Roman"/>
                      <w:color w:val="auto"/>
                      <w:sz w:val="21"/>
                      <w:szCs w:val="21"/>
                      <w:highlight w:val="none"/>
                      <w:lang w:val="en-US" w:eastAsia="zh-CN"/>
                    </w:rPr>
                    <w:t>。</w:t>
                  </w:r>
                </w:p>
                <w:p w14:paraId="62153003">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both"/>
                    <w:textAlignment w:val="auto"/>
                    <w:rPr>
                      <w:rFonts w:hint="default" w:ascii="Times New Roman" w:hAnsi="Times New Roman" w:cs="Times New Roman"/>
                      <w:color w:val="auto"/>
                      <w:szCs w:val="21"/>
                      <w:highlight w:val="none"/>
                      <w:lang w:val="en-US" w:eastAsia="zh-CN"/>
                    </w:rPr>
                  </w:pPr>
                  <w:r>
                    <w:rPr>
                      <w:rFonts w:hint="default" w:cs="Times New Roman"/>
                      <w:color w:val="auto"/>
                      <w:sz w:val="21"/>
                      <w:szCs w:val="21"/>
                      <w:highlight w:val="none"/>
                      <w:lang w:val="en-US" w:eastAsia="zh-CN"/>
                    </w:rPr>
                    <w:t>②对硫化废气处理系统处理工艺进行改造，将原光氧升级改造为</w:t>
                  </w:r>
                  <w:r>
                    <w:rPr>
                      <w:rFonts w:hint="eastAsia" w:cs="Times New Roman"/>
                      <w:color w:val="auto"/>
                      <w:sz w:val="21"/>
                      <w:szCs w:val="21"/>
                      <w:highlight w:val="none"/>
                      <w:lang w:val="en-US" w:eastAsia="zh-CN"/>
                    </w:rPr>
                    <w:t>干湿过滤+</w:t>
                  </w:r>
                  <w:r>
                    <w:rPr>
                      <w:rFonts w:hint="default" w:cs="Times New Roman"/>
                      <w:color w:val="auto"/>
                      <w:sz w:val="21"/>
                      <w:szCs w:val="21"/>
                      <w:highlight w:val="none"/>
                      <w:lang w:val="en-US" w:eastAsia="zh-CN"/>
                    </w:rPr>
                    <w:t>二级活性炭吸附处理系统。</w:t>
                  </w:r>
                </w:p>
              </w:tc>
              <w:tc>
                <w:tcPr>
                  <w:tcW w:w="1190" w:type="dxa"/>
                  <w:tcBorders>
                    <w:top w:val="nil"/>
                    <w:left w:val="nil"/>
                    <w:bottom w:val="single" w:color="000000" w:sz="8" w:space="0"/>
                    <w:right w:val="single" w:color="000000" w:sz="8" w:space="0"/>
                  </w:tcBorders>
                  <w:noWrap w:val="0"/>
                  <w:vAlign w:val="center"/>
                </w:tcPr>
                <w:p w14:paraId="5376FDEF">
                  <w:pPr>
                    <w:widowControl/>
                    <w:jc w:val="center"/>
                    <w:rPr>
                      <w:color w:val="auto"/>
                      <w:kern w:val="0"/>
                      <w:szCs w:val="21"/>
                      <w:highlight w:val="none"/>
                    </w:rPr>
                  </w:pPr>
                  <w:r>
                    <w:rPr>
                      <w:rFonts w:hint="eastAsia"/>
                      <w:color w:val="auto"/>
                      <w:kern w:val="0"/>
                      <w:szCs w:val="21"/>
                      <w:highlight w:val="none"/>
                      <w:lang w:val="en-US" w:eastAsia="zh-CN"/>
                    </w:rPr>
                    <w:t>25</w:t>
                  </w:r>
                  <w:r>
                    <w:rPr>
                      <w:rFonts w:hint="eastAsia"/>
                      <w:color w:val="auto"/>
                      <w:kern w:val="0"/>
                      <w:szCs w:val="21"/>
                      <w:highlight w:val="none"/>
                    </w:rPr>
                    <w:t>.0</w:t>
                  </w:r>
                </w:p>
              </w:tc>
              <w:tc>
                <w:tcPr>
                  <w:tcW w:w="703" w:type="dxa"/>
                  <w:tcBorders>
                    <w:top w:val="nil"/>
                    <w:left w:val="nil"/>
                    <w:bottom w:val="single" w:color="000000" w:sz="8" w:space="0"/>
                    <w:right w:val="nil"/>
                  </w:tcBorders>
                  <w:noWrap w:val="0"/>
                  <w:vAlign w:val="center"/>
                </w:tcPr>
                <w:p w14:paraId="70B7631E">
                  <w:pPr>
                    <w:widowControl/>
                    <w:rPr>
                      <w:color w:val="auto"/>
                      <w:kern w:val="0"/>
                      <w:szCs w:val="21"/>
                      <w:highlight w:val="none"/>
                    </w:rPr>
                  </w:pPr>
                  <w:r>
                    <w:rPr>
                      <w:color w:val="auto"/>
                      <w:kern w:val="0"/>
                      <w:szCs w:val="21"/>
                      <w:highlight w:val="none"/>
                    </w:rPr>
                    <w:t>　</w:t>
                  </w:r>
                </w:p>
              </w:tc>
            </w:tr>
            <w:tr w14:paraId="38D11E02">
              <w:tblPrEx>
                <w:tblCellMar>
                  <w:top w:w="0" w:type="dxa"/>
                  <w:left w:w="108" w:type="dxa"/>
                  <w:bottom w:w="0" w:type="dxa"/>
                  <w:right w:w="108" w:type="dxa"/>
                </w:tblCellMar>
              </w:tblPrEx>
              <w:trPr>
                <w:trHeight w:val="1455" w:hRule="atLeast"/>
                <w:jc w:val="center"/>
              </w:trPr>
              <w:tc>
                <w:tcPr>
                  <w:tcW w:w="1032" w:type="dxa"/>
                  <w:tcBorders>
                    <w:top w:val="nil"/>
                    <w:left w:val="nil"/>
                    <w:bottom w:val="single" w:color="auto" w:sz="4" w:space="0"/>
                    <w:right w:val="single" w:color="000000" w:sz="8" w:space="0"/>
                  </w:tcBorders>
                  <w:noWrap w:val="0"/>
                  <w:vAlign w:val="center"/>
                </w:tcPr>
                <w:p w14:paraId="035B59E4">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地下水防渗措施</w:t>
                  </w:r>
                </w:p>
              </w:tc>
              <w:tc>
                <w:tcPr>
                  <w:tcW w:w="1174" w:type="dxa"/>
                  <w:tcBorders>
                    <w:top w:val="nil"/>
                    <w:left w:val="nil"/>
                    <w:bottom w:val="single" w:color="000000" w:sz="8" w:space="0"/>
                    <w:right w:val="single" w:color="000000" w:sz="8" w:space="0"/>
                  </w:tcBorders>
                  <w:noWrap w:val="0"/>
                  <w:vAlign w:val="center"/>
                </w:tcPr>
                <w:p w14:paraId="06C6066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运营期</w:t>
                  </w:r>
                </w:p>
              </w:tc>
              <w:tc>
                <w:tcPr>
                  <w:tcW w:w="4121" w:type="dxa"/>
                  <w:tcBorders>
                    <w:top w:val="nil"/>
                    <w:left w:val="nil"/>
                    <w:bottom w:val="single" w:color="000000" w:sz="8" w:space="0"/>
                    <w:right w:val="single" w:color="000000" w:sz="8" w:space="0"/>
                  </w:tcBorders>
                  <w:noWrap w:val="0"/>
                  <w:vAlign w:val="center"/>
                </w:tcPr>
                <w:p w14:paraId="61273A09">
                  <w:pPr>
                    <w:keepNext w:val="0"/>
                    <w:keepLines w:val="0"/>
                    <w:pageBreakBefore w:val="0"/>
                    <w:widowControl/>
                    <w:kinsoku/>
                    <w:wordWrap/>
                    <w:overflowPunct/>
                    <w:topLinePunct w:val="0"/>
                    <w:autoSpaceDE/>
                    <w:autoSpaceDN/>
                    <w:bidi w:val="0"/>
                    <w:adjustRightInd/>
                    <w:snapToGrid/>
                    <w:spacing w:line="240" w:lineRule="auto"/>
                    <w:ind w:firstLine="210" w:firstLineChars="100"/>
                    <w:textAlignment w:val="auto"/>
                    <w:rPr>
                      <w:color w:val="auto"/>
                      <w:kern w:val="0"/>
                      <w:szCs w:val="21"/>
                      <w:highlight w:val="none"/>
                    </w:rPr>
                  </w:pPr>
                  <w:r>
                    <w:rPr>
                      <w:color w:val="auto"/>
                      <w:kern w:val="0"/>
                      <w:szCs w:val="21"/>
                      <w:highlight w:val="none"/>
                    </w:rPr>
                    <w:t>危废间采用2毫米以上的高密度聚乙烯或其他人工防渗材料组成，渗透系数应小于1.0×10</w:t>
                  </w:r>
                  <w:r>
                    <w:rPr>
                      <w:color w:val="auto"/>
                      <w:kern w:val="0"/>
                      <w:szCs w:val="21"/>
                      <w:highlight w:val="none"/>
                      <w:vertAlign w:val="superscript"/>
                    </w:rPr>
                    <w:t>-10</w:t>
                  </w:r>
                  <w:r>
                    <w:rPr>
                      <w:color w:val="auto"/>
                      <w:kern w:val="0"/>
                      <w:szCs w:val="21"/>
                      <w:highlight w:val="none"/>
                    </w:rPr>
                    <w:t>cm/s；</w:t>
                  </w:r>
                  <w:r>
                    <w:rPr>
                      <w:rFonts w:hint="eastAsia"/>
                      <w:color w:val="auto"/>
                      <w:kern w:val="0"/>
                      <w:szCs w:val="21"/>
                      <w:highlight w:val="none"/>
                      <w:lang w:val="en-US" w:eastAsia="zh-CN"/>
                    </w:rPr>
                    <w:t>其他</w:t>
                  </w:r>
                  <w:r>
                    <w:rPr>
                      <w:color w:val="auto"/>
                      <w:kern w:val="0"/>
                      <w:szCs w:val="21"/>
                      <w:highlight w:val="none"/>
                    </w:rPr>
                    <w:t>区域采用一般地面硬化即可。</w:t>
                  </w:r>
                </w:p>
              </w:tc>
              <w:tc>
                <w:tcPr>
                  <w:tcW w:w="1190" w:type="dxa"/>
                  <w:tcBorders>
                    <w:top w:val="nil"/>
                    <w:left w:val="nil"/>
                    <w:bottom w:val="single" w:color="000000" w:sz="8" w:space="0"/>
                    <w:right w:val="single" w:color="000000" w:sz="8" w:space="0"/>
                  </w:tcBorders>
                  <w:noWrap w:val="0"/>
                  <w:vAlign w:val="center"/>
                </w:tcPr>
                <w:p w14:paraId="1764A3F4">
                  <w:pPr>
                    <w:widowControl/>
                    <w:jc w:val="center"/>
                    <w:rPr>
                      <w:color w:val="auto"/>
                      <w:kern w:val="0"/>
                      <w:szCs w:val="21"/>
                      <w:highlight w:val="none"/>
                    </w:rPr>
                  </w:pPr>
                  <w:r>
                    <w:rPr>
                      <w:rFonts w:hint="eastAsia"/>
                      <w:color w:val="auto"/>
                      <w:kern w:val="0"/>
                      <w:szCs w:val="21"/>
                      <w:highlight w:val="none"/>
                    </w:rPr>
                    <w:t>/</w:t>
                  </w:r>
                </w:p>
              </w:tc>
              <w:tc>
                <w:tcPr>
                  <w:tcW w:w="703" w:type="dxa"/>
                  <w:tcBorders>
                    <w:top w:val="nil"/>
                    <w:left w:val="nil"/>
                    <w:bottom w:val="single" w:color="000000" w:sz="8" w:space="0"/>
                    <w:right w:val="nil"/>
                  </w:tcBorders>
                  <w:noWrap w:val="0"/>
                  <w:vAlign w:val="center"/>
                </w:tcPr>
                <w:p w14:paraId="05B54749">
                  <w:pPr>
                    <w:widowControl/>
                    <w:rPr>
                      <w:rFonts w:ascii="宋体" w:hAnsi="宋体" w:cs="宋体"/>
                      <w:color w:val="auto"/>
                      <w:kern w:val="0"/>
                      <w:szCs w:val="21"/>
                      <w:highlight w:val="none"/>
                    </w:rPr>
                  </w:pPr>
                  <w:r>
                    <w:rPr>
                      <w:rFonts w:hint="eastAsia" w:ascii="宋体" w:hAnsi="宋体" w:cs="宋体"/>
                      <w:color w:val="auto"/>
                      <w:kern w:val="0"/>
                      <w:szCs w:val="21"/>
                      <w:highlight w:val="none"/>
                    </w:rPr>
                    <w:t>纳入固废污染防治投资</w:t>
                  </w:r>
                </w:p>
              </w:tc>
            </w:tr>
            <w:tr w14:paraId="4BE0DFAC">
              <w:tblPrEx>
                <w:tblCellMar>
                  <w:top w:w="0" w:type="dxa"/>
                  <w:left w:w="108" w:type="dxa"/>
                  <w:bottom w:w="0" w:type="dxa"/>
                  <w:right w:w="108" w:type="dxa"/>
                </w:tblCellMar>
              </w:tblPrEx>
              <w:trPr>
                <w:trHeight w:val="432" w:hRule="atLeast"/>
                <w:jc w:val="center"/>
              </w:trPr>
              <w:tc>
                <w:tcPr>
                  <w:tcW w:w="6327" w:type="dxa"/>
                  <w:gridSpan w:val="3"/>
                  <w:tcBorders>
                    <w:top w:val="nil"/>
                    <w:left w:val="nil"/>
                    <w:bottom w:val="single" w:color="000000" w:sz="12" w:space="0"/>
                    <w:right w:val="single" w:color="000000" w:sz="8" w:space="0"/>
                  </w:tcBorders>
                  <w:noWrap w:val="0"/>
                  <w:vAlign w:val="center"/>
                </w:tcPr>
                <w:p w14:paraId="7AE7CD5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合计</w:t>
                  </w:r>
                </w:p>
              </w:tc>
              <w:tc>
                <w:tcPr>
                  <w:tcW w:w="1190" w:type="dxa"/>
                  <w:tcBorders>
                    <w:top w:val="nil"/>
                    <w:left w:val="nil"/>
                    <w:bottom w:val="single" w:color="000000" w:sz="12" w:space="0"/>
                    <w:right w:val="single" w:color="000000" w:sz="8" w:space="0"/>
                  </w:tcBorders>
                  <w:noWrap w:val="0"/>
                  <w:vAlign w:val="center"/>
                </w:tcPr>
                <w:p w14:paraId="6BAE1654">
                  <w:pPr>
                    <w:widowControl/>
                    <w:jc w:val="center"/>
                    <w:rPr>
                      <w:rFonts w:hint="default"/>
                      <w:color w:val="auto"/>
                      <w:kern w:val="0"/>
                      <w:szCs w:val="21"/>
                      <w:highlight w:val="none"/>
                      <w:lang w:val="en-US"/>
                    </w:rPr>
                  </w:pPr>
                  <w:r>
                    <w:rPr>
                      <w:rFonts w:hint="eastAsia"/>
                      <w:color w:val="auto"/>
                      <w:kern w:val="0"/>
                      <w:szCs w:val="21"/>
                      <w:highlight w:val="none"/>
                      <w:lang w:val="en-US" w:eastAsia="zh-CN"/>
                    </w:rPr>
                    <w:t>26.4</w:t>
                  </w:r>
                </w:p>
              </w:tc>
              <w:tc>
                <w:tcPr>
                  <w:tcW w:w="703" w:type="dxa"/>
                  <w:tcBorders>
                    <w:top w:val="nil"/>
                    <w:left w:val="nil"/>
                    <w:bottom w:val="single" w:color="000000" w:sz="12" w:space="0"/>
                    <w:right w:val="nil"/>
                  </w:tcBorders>
                  <w:noWrap w:val="0"/>
                  <w:vAlign w:val="center"/>
                </w:tcPr>
                <w:p w14:paraId="7ADB36AC">
                  <w:pPr>
                    <w:widowControl/>
                    <w:jc w:val="center"/>
                    <w:rPr>
                      <w:color w:val="auto"/>
                      <w:kern w:val="0"/>
                      <w:szCs w:val="21"/>
                      <w:highlight w:val="none"/>
                    </w:rPr>
                  </w:pPr>
                  <w:r>
                    <w:rPr>
                      <w:color w:val="auto"/>
                      <w:kern w:val="0"/>
                      <w:szCs w:val="21"/>
                      <w:highlight w:val="none"/>
                    </w:rPr>
                    <w:t>　</w:t>
                  </w:r>
                </w:p>
              </w:tc>
            </w:tr>
          </w:tbl>
          <w:p w14:paraId="0E43842B">
            <w:pPr>
              <w:pStyle w:val="32"/>
              <w:rPr>
                <w:rFonts w:hint="default"/>
                <w:color w:val="auto"/>
                <w:highlight w:val="none"/>
                <w:vertAlign w:val="baseline"/>
              </w:rPr>
            </w:pPr>
          </w:p>
          <w:p w14:paraId="7D6AF7D6">
            <w:pPr>
              <w:pStyle w:val="32"/>
              <w:numPr>
                <w:ilvl w:val="-1"/>
                <w:numId w:val="0"/>
              </w:numPr>
              <w:rPr>
                <w:rFonts w:hint="default"/>
                <w:color w:val="auto"/>
                <w:highlight w:val="none"/>
                <w:vertAlign w:val="baseline"/>
                <w:lang w:val="en-US" w:eastAsia="zh-CN"/>
              </w:rPr>
            </w:pPr>
          </w:p>
          <w:p w14:paraId="714C85FD">
            <w:pPr>
              <w:pStyle w:val="42"/>
              <w:numPr>
                <w:ilvl w:val="0"/>
                <w:numId w:val="0"/>
              </w:numPr>
              <w:ind w:firstLine="0" w:firstLineChars="0"/>
              <w:jc w:val="both"/>
              <w:rPr>
                <w:b/>
                <w:bCs/>
                <w:color w:val="000000" w:themeColor="text1"/>
                <w:sz w:val="28"/>
                <w:szCs w:val="32"/>
                <w:highlight w:val="none"/>
                <w14:textFill>
                  <w14:solidFill>
                    <w14:schemeClr w14:val="tx1"/>
                  </w14:solidFill>
                </w14:textFill>
              </w:rPr>
            </w:pPr>
            <w:r>
              <w:rPr>
                <w:rFonts w:hint="eastAsia" w:ascii="Times New Roman" w:hAnsi="Times New Roman" w:cs="Times New Roman"/>
                <w:b/>
                <w:bCs/>
                <w:color w:val="auto"/>
                <w:highlight w:val="none"/>
                <w:lang w:val="en-US" w:eastAsia="zh-CN"/>
              </w:rPr>
              <w:t>10.</w:t>
            </w:r>
            <w:r>
              <w:rPr>
                <w:rFonts w:hint="eastAsia" w:ascii="Times New Roman" w:hAnsi="Times New Roman" w:cs="Times New Roman"/>
                <w:b/>
                <w:bCs/>
                <w:color w:val="auto"/>
                <w:kern w:val="2"/>
                <w:sz w:val="24"/>
                <w:szCs w:val="21"/>
                <w:highlight w:val="none"/>
                <w:lang w:val="en-US" w:eastAsia="zh-CN" w:bidi="ar-SA"/>
              </w:rPr>
              <w:t>改扩</w:t>
            </w:r>
            <w:r>
              <w:rPr>
                <w:rFonts w:hint="eastAsia" w:cs="Times New Roman"/>
                <w:b/>
                <w:bCs/>
                <w:color w:val="000000" w:themeColor="text1"/>
                <w:kern w:val="2"/>
                <w:sz w:val="24"/>
                <w:szCs w:val="21"/>
                <w:highlight w:val="none"/>
                <w:lang w:val="en-US" w:eastAsia="zh-CN" w:bidi="ar-SA"/>
                <w14:textFill>
                  <w14:solidFill>
                    <w14:schemeClr w14:val="tx1"/>
                  </w14:solidFill>
                </w14:textFill>
              </w:rPr>
              <w:t>建</w:t>
            </w:r>
            <w:r>
              <w:rPr>
                <w:rFonts w:hint="default" w:ascii="Times New Roman" w:hAnsi="Times New Roman" w:eastAsia="宋体" w:cs="Times New Roman"/>
                <w:b/>
                <w:bCs/>
                <w:color w:val="000000" w:themeColor="text1"/>
                <w:kern w:val="2"/>
                <w:sz w:val="24"/>
                <w:szCs w:val="21"/>
                <w:highlight w:val="none"/>
                <w:lang w:val="en-US" w:eastAsia="zh-CN" w:bidi="ar-SA"/>
                <w14:textFill>
                  <w14:solidFill>
                    <w14:schemeClr w14:val="tx1"/>
                  </w14:solidFill>
                </w14:textFill>
              </w:rPr>
              <w:t>“三本账”</w:t>
            </w:r>
          </w:p>
          <w:p w14:paraId="25736380">
            <w:pPr>
              <w:keepNext w:val="0"/>
              <w:keepLines w:val="0"/>
              <w:widowControl/>
              <w:suppressLineNumbers w:val="0"/>
              <w:ind w:firstLine="720" w:firstLineChars="300"/>
              <w:jc w:val="left"/>
            </w:pPr>
            <w:r>
              <w:rPr>
                <w:rFonts w:hint="eastAsia" w:ascii="宋体" w:hAnsi="宋体" w:eastAsia="宋体" w:cs="宋体"/>
                <w:color w:val="000000"/>
                <w:kern w:val="0"/>
                <w:sz w:val="24"/>
                <w:szCs w:val="24"/>
                <w:lang w:val="en-US" w:eastAsia="zh-CN" w:bidi="ar"/>
              </w:rPr>
              <w:t>项目改扩建前后全厂污染物排放“</w:t>
            </w:r>
            <w:r>
              <w:rPr>
                <w:rFonts w:hint="eastAsia" w:ascii="宋体" w:hAnsi="宋体" w:cs="宋体"/>
                <w:color w:val="000000"/>
                <w:kern w:val="0"/>
                <w:sz w:val="24"/>
                <w:szCs w:val="24"/>
                <w:lang w:val="en-US" w:eastAsia="zh-CN" w:bidi="ar"/>
              </w:rPr>
              <w:t>三本账</w:t>
            </w:r>
            <w:r>
              <w:rPr>
                <w:rFonts w:hint="eastAsia" w:ascii="宋体" w:hAnsi="宋体" w:eastAsia="宋体" w:cs="宋体"/>
                <w:color w:val="000000"/>
                <w:kern w:val="0"/>
                <w:sz w:val="24"/>
                <w:szCs w:val="24"/>
                <w:lang w:val="en-US" w:eastAsia="zh-CN" w:bidi="ar"/>
              </w:rPr>
              <w:t>”如下表所示。</w:t>
            </w:r>
          </w:p>
          <w:p w14:paraId="217C097A">
            <w:pPr>
              <w:pStyle w:val="32"/>
              <w:numPr>
                <w:ilvl w:val="-1"/>
                <w:numId w:val="0"/>
              </w:numPr>
              <w:rPr>
                <w:rFonts w:hint="default"/>
                <w:color w:val="auto"/>
                <w:highlight w:val="none"/>
                <w:vertAlign w:val="baseline"/>
                <w:lang w:val="en-US" w:eastAsia="zh-CN"/>
              </w:rPr>
            </w:pPr>
          </w:p>
          <w:p w14:paraId="34D9C927">
            <w:pPr>
              <w:pStyle w:val="32"/>
              <w:numPr>
                <w:ilvl w:val="-1"/>
                <w:numId w:val="0"/>
              </w:numPr>
              <w:rPr>
                <w:rFonts w:hint="default"/>
                <w:color w:val="auto"/>
                <w:highlight w:val="none"/>
                <w:vertAlign w:val="baseline"/>
                <w:lang w:val="en-US" w:eastAsia="zh-CN"/>
              </w:rPr>
            </w:pPr>
          </w:p>
          <w:p w14:paraId="2009687D">
            <w:pPr>
              <w:pStyle w:val="32"/>
              <w:numPr>
                <w:ilvl w:val="-1"/>
                <w:numId w:val="0"/>
              </w:numPr>
              <w:rPr>
                <w:rFonts w:hint="default"/>
                <w:color w:val="auto"/>
                <w:highlight w:val="none"/>
                <w:vertAlign w:val="baseline"/>
                <w:lang w:val="en-US" w:eastAsia="zh-CN"/>
              </w:rPr>
            </w:pPr>
          </w:p>
          <w:p w14:paraId="02B7B85A">
            <w:pPr>
              <w:pStyle w:val="32"/>
              <w:numPr>
                <w:ilvl w:val="-1"/>
                <w:numId w:val="0"/>
              </w:numPr>
              <w:rPr>
                <w:rFonts w:hint="default"/>
                <w:color w:val="auto"/>
                <w:highlight w:val="none"/>
                <w:vertAlign w:val="baseline"/>
                <w:lang w:val="en-US" w:eastAsia="zh-CN"/>
              </w:rPr>
            </w:pPr>
          </w:p>
          <w:p w14:paraId="46BBAE20">
            <w:pPr>
              <w:pStyle w:val="32"/>
              <w:numPr>
                <w:ilvl w:val="-1"/>
                <w:numId w:val="0"/>
              </w:numPr>
              <w:rPr>
                <w:rFonts w:hint="default"/>
                <w:color w:val="auto"/>
                <w:highlight w:val="none"/>
                <w:vertAlign w:val="baseline"/>
                <w:lang w:val="en-US" w:eastAsia="zh-CN"/>
              </w:rPr>
            </w:pPr>
          </w:p>
          <w:p w14:paraId="32AF29DA">
            <w:pPr>
              <w:pStyle w:val="32"/>
              <w:numPr>
                <w:ilvl w:val="-1"/>
                <w:numId w:val="0"/>
              </w:numPr>
              <w:rPr>
                <w:rFonts w:hint="default"/>
                <w:color w:val="auto"/>
                <w:highlight w:val="none"/>
                <w:vertAlign w:val="baseline"/>
                <w:lang w:val="en-US" w:eastAsia="zh-CN"/>
              </w:rPr>
            </w:pPr>
          </w:p>
          <w:p w14:paraId="3615E549">
            <w:pPr>
              <w:pStyle w:val="32"/>
              <w:numPr>
                <w:ilvl w:val="-1"/>
                <w:numId w:val="0"/>
              </w:numPr>
              <w:rPr>
                <w:rFonts w:hint="default"/>
                <w:color w:val="auto"/>
                <w:highlight w:val="none"/>
                <w:vertAlign w:val="baseline"/>
                <w:lang w:val="en-US" w:eastAsia="zh-CN"/>
              </w:rPr>
            </w:pPr>
          </w:p>
          <w:p w14:paraId="4262C86A">
            <w:pPr>
              <w:pStyle w:val="32"/>
              <w:numPr>
                <w:ilvl w:val="-1"/>
                <w:numId w:val="0"/>
              </w:numPr>
              <w:rPr>
                <w:rFonts w:hint="default"/>
                <w:color w:val="auto"/>
                <w:highlight w:val="none"/>
                <w:vertAlign w:val="baseline"/>
                <w:lang w:val="en-US" w:eastAsia="zh-CN"/>
              </w:rPr>
            </w:pPr>
          </w:p>
          <w:p w14:paraId="05D0EEBA">
            <w:pPr>
              <w:pStyle w:val="32"/>
              <w:numPr>
                <w:ilvl w:val="-1"/>
                <w:numId w:val="0"/>
              </w:numPr>
              <w:rPr>
                <w:rFonts w:hint="default"/>
                <w:color w:val="auto"/>
                <w:highlight w:val="none"/>
                <w:vertAlign w:val="baseline"/>
                <w:lang w:val="en-US" w:eastAsia="zh-CN"/>
              </w:rPr>
            </w:pPr>
          </w:p>
          <w:p w14:paraId="284691BF">
            <w:pPr>
              <w:pStyle w:val="32"/>
              <w:numPr>
                <w:ilvl w:val="-1"/>
                <w:numId w:val="0"/>
              </w:numPr>
              <w:rPr>
                <w:rFonts w:hint="default"/>
                <w:color w:val="auto"/>
                <w:highlight w:val="none"/>
                <w:vertAlign w:val="baseline"/>
                <w:lang w:val="en-US" w:eastAsia="zh-CN"/>
              </w:rPr>
            </w:pPr>
          </w:p>
          <w:p w14:paraId="17917081">
            <w:pPr>
              <w:pStyle w:val="32"/>
              <w:numPr>
                <w:ilvl w:val="-1"/>
                <w:numId w:val="0"/>
              </w:numPr>
              <w:rPr>
                <w:rFonts w:hint="default"/>
                <w:color w:val="auto"/>
                <w:highlight w:val="none"/>
                <w:vertAlign w:val="baseline"/>
                <w:lang w:val="en-US" w:eastAsia="zh-CN"/>
              </w:rPr>
            </w:pPr>
          </w:p>
          <w:p w14:paraId="09107C7C">
            <w:pPr>
              <w:pStyle w:val="32"/>
              <w:numPr>
                <w:ilvl w:val="-1"/>
                <w:numId w:val="0"/>
              </w:numPr>
              <w:rPr>
                <w:rFonts w:hint="default"/>
                <w:color w:val="auto"/>
                <w:highlight w:val="none"/>
                <w:vertAlign w:val="baseline"/>
                <w:lang w:val="en-US" w:eastAsia="zh-CN"/>
              </w:rPr>
            </w:pPr>
          </w:p>
          <w:p w14:paraId="16AB5CD5">
            <w:pPr>
              <w:pStyle w:val="32"/>
              <w:numPr>
                <w:ilvl w:val="-1"/>
                <w:numId w:val="0"/>
              </w:numPr>
              <w:rPr>
                <w:rFonts w:hint="default"/>
                <w:color w:val="auto"/>
                <w:highlight w:val="none"/>
                <w:vertAlign w:val="baseline"/>
                <w:lang w:val="en-US" w:eastAsia="zh-CN"/>
              </w:rPr>
            </w:pPr>
          </w:p>
          <w:p w14:paraId="3AEEEBFA">
            <w:pPr>
              <w:pStyle w:val="32"/>
              <w:numPr>
                <w:ilvl w:val="-1"/>
                <w:numId w:val="0"/>
              </w:numPr>
              <w:rPr>
                <w:rFonts w:hint="default"/>
                <w:color w:val="auto"/>
                <w:highlight w:val="none"/>
                <w:vertAlign w:val="baseline"/>
                <w:lang w:val="en-US" w:eastAsia="zh-CN"/>
              </w:rPr>
            </w:pPr>
          </w:p>
          <w:p w14:paraId="47E9B480">
            <w:pPr>
              <w:pStyle w:val="32"/>
              <w:numPr>
                <w:ilvl w:val="-1"/>
                <w:numId w:val="0"/>
              </w:numPr>
              <w:rPr>
                <w:rFonts w:hint="default"/>
                <w:color w:val="auto"/>
                <w:highlight w:val="none"/>
                <w:vertAlign w:val="baseline"/>
                <w:lang w:val="en-US" w:eastAsia="zh-CN"/>
              </w:rPr>
            </w:pPr>
          </w:p>
          <w:p w14:paraId="3772C149">
            <w:pPr>
              <w:pStyle w:val="32"/>
              <w:numPr>
                <w:ilvl w:val="-1"/>
                <w:numId w:val="0"/>
              </w:numPr>
              <w:rPr>
                <w:rFonts w:hint="default"/>
                <w:color w:val="auto"/>
                <w:highlight w:val="none"/>
                <w:vertAlign w:val="baseline"/>
                <w:lang w:val="en-US" w:eastAsia="zh-CN"/>
              </w:rPr>
            </w:pPr>
          </w:p>
          <w:p w14:paraId="3EC0ADC7">
            <w:pPr>
              <w:pStyle w:val="32"/>
              <w:numPr>
                <w:ilvl w:val="-1"/>
                <w:numId w:val="0"/>
              </w:numPr>
              <w:rPr>
                <w:rFonts w:hint="default"/>
                <w:color w:val="auto"/>
                <w:highlight w:val="none"/>
                <w:vertAlign w:val="baseline"/>
                <w:lang w:val="en-US" w:eastAsia="zh-CN"/>
              </w:rPr>
            </w:pPr>
          </w:p>
          <w:p w14:paraId="562C0F8A">
            <w:pPr>
              <w:pStyle w:val="32"/>
              <w:numPr>
                <w:ilvl w:val="-1"/>
                <w:numId w:val="0"/>
              </w:numPr>
              <w:rPr>
                <w:rFonts w:hint="default"/>
                <w:color w:val="auto"/>
                <w:highlight w:val="none"/>
                <w:vertAlign w:val="baseline"/>
                <w:lang w:val="en-US" w:eastAsia="zh-CN"/>
              </w:rPr>
            </w:pPr>
          </w:p>
          <w:p w14:paraId="29E44410">
            <w:pPr>
              <w:pStyle w:val="32"/>
              <w:numPr>
                <w:ilvl w:val="-1"/>
                <w:numId w:val="0"/>
              </w:numPr>
              <w:rPr>
                <w:rFonts w:hint="default"/>
                <w:color w:val="auto"/>
                <w:highlight w:val="none"/>
                <w:vertAlign w:val="baseline"/>
                <w:lang w:val="en-US" w:eastAsia="zh-CN"/>
              </w:rPr>
            </w:pPr>
          </w:p>
          <w:p w14:paraId="3D73175B">
            <w:pPr>
              <w:pStyle w:val="32"/>
              <w:numPr>
                <w:ilvl w:val="-1"/>
                <w:numId w:val="0"/>
              </w:numPr>
              <w:rPr>
                <w:rFonts w:hint="default"/>
                <w:color w:val="auto"/>
                <w:highlight w:val="none"/>
                <w:vertAlign w:val="baseline"/>
                <w:lang w:val="en-US" w:eastAsia="zh-CN"/>
              </w:rPr>
            </w:pPr>
          </w:p>
          <w:p w14:paraId="219FE5A3">
            <w:pPr>
              <w:pStyle w:val="32"/>
              <w:numPr>
                <w:ilvl w:val="-1"/>
                <w:numId w:val="0"/>
              </w:numPr>
              <w:rPr>
                <w:rFonts w:hint="default"/>
                <w:color w:val="auto"/>
                <w:highlight w:val="none"/>
                <w:vertAlign w:val="baseline"/>
                <w:lang w:val="en-US" w:eastAsia="zh-CN"/>
              </w:rPr>
            </w:pPr>
          </w:p>
          <w:p w14:paraId="20F5123E">
            <w:pPr>
              <w:pStyle w:val="32"/>
              <w:numPr>
                <w:ilvl w:val="-1"/>
                <w:numId w:val="0"/>
              </w:numPr>
              <w:rPr>
                <w:rFonts w:hint="default"/>
                <w:color w:val="auto"/>
                <w:highlight w:val="none"/>
                <w:vertAlign w:val="baseline"/>
                <w:lang w:val="en-US" w:eastAsia="zh-CN"/>
              </w:rPr>
            </w:pPr>
          </w:p>
          <w:p w14:paraId="2BBEF271">
            <w:pPr>
              <w:pStyle w:val="32"/>
              <w:numPr>
                <w:ilvl w:val="-1"/>
                <w:numId w:val="0"/>
              </w:numPr>
              <w:rPr>
                <w:rFonts w:hint="default"/>
                <w:color w:val="auto"/>
                <w:highlight w:val="none"/>
                <w:vertAlign w:val="baseline"/>
                <w:lang w:val="en-US" w:eastAsia="zh-CN"/>
              </w:rPr>
            </w:pPr>
          </w:p>
          <w:p w14:paraId="4BC97DFE">
            <w:pPr>
              <w:pStyle w:val="32"/>
              <w:numPr>
                <w:ilvl w:val="-1"/>
                <w:numId w:val="0"/>
              </w:numPr>
              <w:rPr>
                <w:rFonts w:hint="default"/>
                <w:color w:val="auto"/>
                <w:highlight w:val="none"/>
                <w:vertAlign w:val="baseline"/>
                <w:lang w:val="en-US" w:eastAsia="zh-CN"/>
              </w:rPr>
            </w:pPr>
          </w:p>
          <w:p w14:paraId="58767FA7">
            <w:pPr>
              <w:pStyle w:val="32"/>
              <w:numPr>
                <w:ilvl w:val="-1"/>
                <w:numId w:val="0"/>
              </w:numPr>
              <w:rPr>
                <w:rFonts w:hint="default"/>
                <w:color w:val="auto"/>
                <w:highlight w:val="none"/>
                <w:vertAlign w:val="baseline"/>
                <w:lang w:val="en-US" w:eastAsia="zh-CN"/>
              </w:rPr>
            </w:pPr>
          </w:p>
          <w:p w14:paraId="0C9E9E8B">
            <w:pPr>
              <w:pStyle w:val="32"/>
              <w:numPr>
                <w:ilvl w:val="-1"/>
                <w:numId w:val="0"/>
              </w:numPr>
              <w:rPr>
                <w:rFonts w:hint="default"/>
                <w:color w:val="auto"/>
                <w:highlight w:val="none"/>
                <w:vertAlign w:val="baseline"/>
                <w:lang w:val="en-US" w:eastAsia="zh-CN"/>
              </w:rPr>
            </w:pPr>
          </w:p>
          <w:p w14:paraId="2A1D8845">
            <w:pPr>
              <w:pStyle w:val="32"/>
              <w:numPr>
                <w:ilvl w:val="-1"/>
                <w:numId w:val="0"/>
              </w:numPr>
              <w:rPr>
                <w:rFonts w:hint="default"/>
                <w:color w:val="auto"/>
                <w:highlight w:val="none"/>
                <w:vertAlign w:val="baseline"/>
                <w:lang w:val="en-US" w:eastAsia="zh-CN"/>
              </w:rPr>
            </w:pPr>
          </w:p>
          <w:p w14:paraId="39E0879E">
            <w:pPr>
              <w:pStyle w:val="32"/>
              <w:numPr>
                <w:ilvl w:val="-1"/>
                <w:numId w:val="0"/>
              </w:numPr>
              <w:rPr>
                <w:rFonts w:hint="default"/>
                <w:color w:val="auto"/>
                <w:highlight w:val="none"/>
                <w:vertAlign w:val="baseline"/>
                <w:lang w:val="en-US" w:eastAsia="zh-CN"/>
              </w:rPr>
            </w:pPr>
          </w:p>
          <w:p w14:paraId="3CFA6055">
            <w:pPr>
              <w:pStyle w:val="32"/>
              <w:numPr>
                <w:ilvl w:val="-1"/>
                <w:numId w:val="0"/>
              </w:numPr>
              <w:rPr>
                <w:rFonts w:hint="default"/>
                <w:color w:val="auto"/>
                <w:highlight w:val="none"/>
                <w:vertAlign w:val="baseline"/>
                <w:lang w:val="en-US" w:eastAsia="zh-CN"/>
              </w:rPr>
            </w:pPr>
          </w:p>
          <w:p w14:paraId="29F94D97">
            <w:pPr>
              <w:pStyle w:val="32"/>
              <w:numPr>
                <w:ilvl w:val="-1"/>
                <w:numId w:val="0"/>
              </w:numPr>
              <w:rPr>
                <w:rFonts w:hint="default"/>
                <w:color w:val="auto"/>
                <w:highlight w:val="none"/>
                <w:vertAlign w:val="baseline"/>
                <w:lang w:val="en-US" w:eastAsia="zh-CN"/>
              </w:rPr>
            </w:pPr>
          </w:p>
        </w:tc>
      </w:tr>
    </w:tbl>
    <w:p w14:paraId="41C28F8C">
      <w:pPr>
        <w:rPr>
          <w:rFonts w:hint="default"/>
          <w:color w:val="auto"/>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F644DD3">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2" w:name="_Hlk54167917"/>
      <w:r>
        <w:rPr>
          <w:rFonts w:hint="default" w:ascii="Times New Roman" w:hAnsi="Times New Roman" w:eastAsia="黑体" w:cs="Times New Roman"/>
          <w:snapToGrid w:val="0"/>
          <w:color w:val="auto"/>
          <w:sz w:val="30"/>
          <w:szCs w:val="30"/>
          <w:highlight w:val="none"/>
        </w:rPr>
        <w:t>环境保护措施监督检查清单</w:t>
      </w:r>
      <w:bookmarkEnd w:id="2"/>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579"/>
        <w:gridCol w:w="1410"/>
        <w:gridCol w:w="1755"/>
        <w:gridCol w:w="2641"/>
      </w:tblGrid>
      <w:tr w14:paraId="6440C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tcBorders>
              <w:tl2br w:val="single" w:color="auto" w:sz="4" w:space="0"/>
            </w:tcBorders>
            <w:noWrap w:val="0"/>
            <w:vAlign w:val="top"/>
          </w:tcPr>
          <w:p w14:paraId="7298A6C0">
            <w:pPr>
              <w:adjustRightInd w:val="0"/>
              <w:snapToGrid w:val="0"/>
              <w:ind w:firstLine="84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内容</w:t>
            </w:r>
          </w:p>
          <w:p w14:paraId="71029024">
            <w:pPr>
              <w:adjustRightInd w:val="0"/>
              <w:snapToGrid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要素</w:t>
            </w:r>
          </w:p>
        </w:tc>
        <w:tc>
          <w:tcPr>
            <w:tcW w:w="1579" w:type="dxa"/>
            <w:noWrap w:val="0"/>
            <w:vAlign w:val="center"/>
          </w:tcPr>
          <w:p w14:paraId="7E6B7FA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排放口</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编号、</w:t>
            </w:r>
          </w:p>
          <w:p w14:paraId="60C73F9E">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名称</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/污染源</w:t>
            </w:r>
          </w:p>
        </w:tc>
        <w:tc>
          <w:tcPr>
            <w:tcW w:w="1410" w:type="dxa"/>
            <w:noWrap w:val="0"/>
            <w:vAlign w:val="center"/>
          </w:tcPr>
          <w:p w14:paraId="14F5CB60">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污染物项目</w:t>
            </w:r>
          </w:p>
        </w:tc>
        <w:tc>
          <w:tcPr>
            <w:tcW w:w="1755" w:type="dxa"/>
            <w:noWrap w:val="0"/>
            <w:vAlign w:val="center"/>
          </w:tcPr>
          <w:p w14:paraId="6070DFB1">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环境保护措施</w:t>
            </w:r>
          </w:p>
        </w:tc>
        <w:tc>
          <w:tcPr>
            <w:tcW w:w="2641" w:type="dxa"/>
            <w:noWrap w:val="0"/>
            <w:vAlign w:val="center"/>
          </w:tcPr>
          <w:p w14:paraId="18099E91">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执行标准</w:t>
            </w:r>
          </w:p>
        </w:tc>
      </w:tr>
      <w:tr w14:paraId="69402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1415" w:type="dxa"/>
            <w:vMerge w:val="restart"/>
            <w:noWrap w:val="0"/>
            <w:vAlign w:val="center"/>
          </w:tcPr>
          <w:p w14:paraId="78347E10">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大气环境</w:t>
            </w:r>
          </w:p>
        </w:tc>
        <w:tc>
          <w:tcPr>
            <w:tcW w:w="1579" w:type="dxa"/>
            <w:noWrap w:val="0"/>
            <w:vAlign w:val="center"/>
          </w:tcPr>
          <w:p w14:paraId="3F6158F8">
            <w:pPr>
              <w:adjustRightInd w:val="0"/>
              <w:snapToGrid w:val="0"/>
              <w:spacing w:line="240" w:lineRule="auto"/>
              <w:ind w:firstLine="0" w:firstLineChars="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硫化废气</w:t>
            </w:r>
            <w:r>
              <w:rPr>
                <w:rFonts w:hint="default" w:ascii="Times New Roman" w:hAnsi="Times New Roman" w:cs="Times New Roman"/>
                <w:color w:val="auto"/>
                <w:sz w:val="24"/>
                <w:szCs w:val="24"/>
                <w:highlight w:val="none"/>
                <w:lang w:eastAsia="zh-CN"/>
              </w:rPr>
              <w:t>排放口</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DA001</w:t>
            </w:r>
            <w:r>
              <w:rPr>
                <w:rFonts w:hint="eastAsia" w:cs="Times New Roman"/>
                <w:color w:val="auto"/>
                <w:sz w:val="24"/>
                <w:szCs w:val="24"/>
                <w:highlight w:val="none"/>
                <w:lang w:eastAsia="zh-CN"/>
              </w:rPr>
              <w:t>）</w:t>
            </w:r>
          </w:p>
        </w:tc>
        <w:tc>
          <w:tcPr>
            <w:tcW w:w="1410" w:type="dxa"/>
            <w:noWrap w:val="0"/>
            <w:vAlign w:val="center"/>
          </w:tcPr>
          <w:p w14:paraId="56F24145">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VOCs、C</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S、H</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S、臭气浓度</w:t>
            </w:r>
          </w:p>
        </w:tc>
        <w:tc>
          <w:tcPr>
            <w:tcW w:w="1755" w:type="dxa"/>
            <w:noWrap w:val="0"/>
            <w:vAlign w:val="center"/>
          </w:tcPr>
          <w:p w14:paraId="0687DF54">
            <w:pPr>
              <w:adjustRightInd w:val="0"/>
              <w:snapToGrid w:val="0"/>
              <w:jc w:val="center"/>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 xml:space="preserve">干湿过滤+二级活性炭吸附处理后离地15m排放 </w:t>
            </w:r>
          </w:p>
        </w:tc>
        <w:tc>
          <w:tcPr>
            <w:tcW w:w="2641" w:type="dxa"/>
            <w:vMerge w:val="restart"/>
            <w:noWrap w:val="0"/>
            <w:vAlign w:val="center"/>
          </w:tcPr>
          <w:p w14:paraId="63A797F0">
            <w:pPr>
              <w:adjustRightInd w:val="0"/>
              <w:snapToGrid w:val="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1"/>
                <w:szCs w:val="21"/>
                <w:highlight w:val="none"/>
                <w:lang w:val="en-US" w:eastAsia="zh-CN"/>
              </w:rPr>
              <w:t>VOCs</w:t>
            </w:r>
            <w:r>
              <w:rPr>
                <w:rFonts w:hint="default" w:ascii="Times New Roman" w:hAnsi="Times New Roman" w:cs="Times New Roman"/>
                <w:color w:val="auto"/>
                <w:sz w:val="21"/>
                <w:szCs w:val="21"/>
                <w:highlight w:val="none"/>
                <w:lang w:eastAsia="zh-CN"/>
              </w:rPr>
              <w:t>排放执行《四川省固定污染源大气挥发性有机物排放标准》（</w:t>
            </w:r>
            <w:r>
              <w:rPr>
                <w:rFonts w:hint="default" w:ascii="Times New Roman" w:hAnsi="Times New Roman" w:cs="Times New Roman"/>
                <w:color w:val="auto"/>
                <w:sz w:val="21"/>
                <w:szCs w:val="21"/>
                <w:highlight w:val="none"/>
                <w:lang w:val="en-US" w:eastAsia="zh-CN"/>
              </w:rPr>
              <w:t>DB51/2377-2017</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橡胶制品行业排放标准</w:t>
            </w:r>
            <w:r>
              <w:rPr>
                <w:rFonts w:hint="default" w:ascii="Times New Roman" w:hAnsi="Times New Roman" w:cs="Times New Roman"/>
                <w:color w:val="auto"/>
                <w:sz w:val="21"/>
                <w:szCs w:val="21"/>
                <w:highlight w:val="none"/>
                <w:lang w:eastAsia="zh-CN"/>
              </w:rPr>
              <w:t>、颗粒物执行</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橡胶制品工业污染物排放标准</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GB27632</w:t>
            </w:r>
            <w:r>
              <w:rPr>
                <w:rFonts w:hint="default" w:ascii="Times New Roman" w:hAnsi="Times New Roman" w:cs="Times New Roman"/>
                <w:color w:val="auto"/>
                <w:sz w:val="21"/>
                <w:szCs w:val="21"/>
                <w:highlight w:val="none"/>
                <w:lang w:val="en-US" w:eastAsia="zh-CN"/>
              </w:rPr>
              <w:t>-2011</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恶臭废气执行《恶臭污染物排放标准》（GB14554-1993）</w:t>
            </w:r>
          </w:p>
        </w:tc>
      </w:tr>
      <w:tr w14:paraId="0E393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15" w:type="dxa"/>
            <w:vMerge w:val="continue"/>
            <w:noWrap w:val="0"/>
            <w:vAlign w:val="center"/>
          </w:tcPr>
          <w:p w14:paraId="24EC4B15">
            <w:pPr>
              <w:adjustRightInd w:val="0"/>
              <w:snapToGrid w:val="0"/>
              <w:jc w:val="center"/>
              <w:rPr>
                <w:rFonts w:hint="default" w:ascii="Times New Roman" w:hAnsi="Times New Roman" w:cs="Times New Roman"/>
                <w:color w:val="auto"/>
                <w:sz w:val="24"/>
                <w:szCs w:val="24"/>
                <w:highlight w:val="none"/>
              </w:rPr>
            </w:pPr>
          </w:p>
        </w:tc>
        <w:tc>
          <w:tcPr>
            <w:tcW w:w="1579" w:type="dxa"/>
            <w:noWrap w:val="0"/>
            <w:vAlign w:val="center"/>
          </w:tcPr>
          <w:p w14:paraId="249BFD2D">
            <w:pPr>
              <w:adjustRightInd w:val="0"/>
              <w:snapToGrid w:val="0"/>
              <w:spacing w:line="240" w:lineRule="auto"/>
              <w:ind w:firstLine="0" w:firstLineChars="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炼胶废气排放口（DA002）</w:t>
            </w:r>
          </w:p>
        </w:tc>
        <w:tc>
          <w:tcPr>
            <w:tcW w:w="1410" w:type="dxa"/>
            <w:noWrap w:val="0"/>
            <w:vAlign w:val="center"/>
          </w:tcPr>
          <w:p w14:paraId="145F6BF1">
            <w:pPr>
              <w:adjustRightInd w:val="0"/>
              <w:snapToGrid w:val="0"/>
              <w:jc w:val="center"/>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颗粒物、VOCs、C</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S、臭气浓度</w:t>
            </w:r>
          </w:p>
        </w:tc>
        <w:tc>
          <w:tcPr>
            <w:tcW w:w="1755" w:type="dxa"/>
            <w:noWrap w:val="0"/>
            <w:vAlign w:val="center"/>
          </w:tcPr>
          <w:p w14:paraId="0BB361F2">
            <w:pPr>
              <w:adjustRightInd w:val="0"/>
              <w:snapToGrid w:val="0"/>
              <w:jc w:val="center"/>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布袋除尘+二级活性炭吸附处理后离地15m排放</w:t>
            </w:r>
          </w:p>
        </w:tc>
        <w:tc>
          <w:tcPr>
            <w:tcW w:w="2641" w:type="dxa"/>
            <w:vMerge w:val="continue"/>
            <w:noWrap w:val="0"/>
            <w:vAlign w:val="center"/>
          </w:tcPr>
          <w:p w14:paraId="1A6C4678">
            <w:pPr>
              <w:adjustRightInd w:val="0"/>
              <w:snapToGrid w:val="0"/>
              <w:jc w:val="both"/>
              <w:rPr>
                <w:rFonts w:hint="eastAsia" w:cs="Times New Roman"/>
                <w:color w:val="auto"/>
                <w:sz w:val="24"/>
                <w:szCs w:val="24"/>
                <w:highlight w:val="none"/>
                <w:lang w:val="en-US" w:eastAsia="zh-CN"/>
              </w:rPr>
            </w:pPr>
          </w:p>
        </w:tc>
      </w:tr>
      <w:tr w14:paraId="273A7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415" w:type="dxa"/>
            <w:vMerge w:val="continue"/>
            <w:noWrap w:val="0"/>
            <w:vAlign w:val="center"/>
          </w:tcPr>
          <w:p w14:paraId="50BF83BD">
            <w:pPr>
              <w:adjustRightInd w:val="0"/>
              <w:snapToGrid w:val="0"/>
              <w:jc w:val="center"/>
              <w:rPr>
                <w:rFonts w:hint="default" w:ascii="Times New Roman" w:hAnsi="Times New Roman" w:cs="Times New Roman"/>
                <w:color w:val="auto"/>
                <w:sz w:val="24"/>
                <w:szCs w:val="24"/>
                <w:highlight w:val="none"/>
              </w:rPr>
            </w:pPr>
          </w:p>
        </w:tc>
        <w:tc>
          <w:tcPr>
            <w:tcW w:w="1579" w:type="dxa"/>
            <w:noWrap w:val="0"/>
            <w:vAlign w:val="center"/>
          </w:tcPr>
          <w:p w14:paraId="6681E83F">
            <w:pPr>
              <w:adjustRightInd w:val="0"/>
              <w:snapToGrid w:val="0"/>
              <w:spacing w:line="240" w:lineRule="auto"/>
              <w:ind w:firstLine="0" w:firstLineChars="0"/>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天然气锅炉燃烧废气</w:t>
            </w:r>
          </w:p>
          <w:p w14:paraId="0814FD13">
            <w:pPr>
              <w:adjustRightInd w:val="0"/>
              <w:snapToGrid w:val="0"/>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(DA008)</w:t>
            </w:r>
          </w:p>
        </w:tc>
        <w:tc>
          <w:tcPr>
            <w:tcW w:w="1410" w:type="dxa"/>
            <w:noWrap w:val="0"/>
            <w:vAlign w:val="center"/>
          </w:tcPr>
          <w:p w14:paraId="35E75111">
            <w:pPr>
              <w:adjustRightInd w:val="0"/>
              <w:snapToGrid w:val="0"/>
              <w:jc w:val="center"/>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颗粒物、氮氧化物、二氧化硫、林格曼黑度</w:t>
            </w:r>
          </w:p>
        </w:tc>
        <w:tc>
          <w:tcPr>
            <w:tcW w:w="1755" w:type="dxa"/>
            <w:noWrap w:val="0"/>
            <w:vAlign w:val="center"/>
          </w:tcPr>
          <w:p w14:paraId="5EEE6CF8">
            <w:pPr>
              <w:adjustRightInd w:val="0"/>
              <w:snapToGrid w:val="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天然气经低氮燃烧机燃烧供热后经</w:t>
            </w:r>
            <w:r>
              <w:rPr>
                <w:rFonts w:hint="default" w:ascii="Times New Roman" w:hAnsi="Times New Roman" w:cs="Times New Roman"/>
                <w:color w:val="auto"/>
                <w:sz w:val="24"/>
                <w:szCs w:val="24"/>
                <w:highlight w:val="none"/>
                <w:lang w:val="en-US" w:eastAsia="zh-CN"/>
              </w:rPr>
              <w:t>离地</w:t>
            </w:r>
            <w:r>
              <w:rPr>
                <w:rFonts w:hint="eastAsia" w:cs="Times New Roman"/>
                <w:color w:val="auto"/>
                <w:sz w:val="24"/>
                <w:szCs w:val="24"/>
                <w:highlight w:val="none"/>
                <w:lang w:val="en-US" w:eastAsia="zh-CN"/>
              </w:rPr>
              <w:t>12</w:t>
            </w:r>
            <w:r>
              <w:rPr>
                <w:rFonts w:hint="default" w:ascii="Times New Roman" w:hAnsi="Times New Roman" w:cs="Times New Roman"/>
                <w:color w:val="auto"/>
                <w:sz w:val="24"/>
                <w:szCs w:val="24"/>
                <w:highlight w:val="none"/>
                <w:lang w:val="en-US" w:eastAsia="zh-CN"/>
              </w:rPr>
              <w:t>m</w:t>
            </w:r>
            <w:r>
              <w:rPr>
                <w:rFonts w:hint="eastAsia" w:ascii="Times New Roman" w:hAnsi="Times New Roman" w:cs="Times New Roman"/>
                <w:color w:val="auto"/>
                <w:sz w:val="24"/>
                <w:szCs w:val="24"/>
                <w:highlight w:val="none"/>
                <w:lang w:val="en-US" w:eastAsia="zh-CN"/>
              </w:rPr>
              <w:t>的排气筒（DA00</w:t>
            </w:r>
            <w:r>
              <w:rPr>
                <w:rFonts w:hint="eastAsia" w:cs="Times New Roman"/>
                <w:color w:val="auto"/>
                <w:sz w:val="24"/>
                <w:szCs w:val="24"/>
                <w:highlight w:val="none"/>
                <w:lang w:val="en-US" w:eastAsia="zh-CN"/>
              </w:rPr>
              <w:t>8</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排放</w:t>
            </w:r>
          </w:p>
        </w:tc>
        <w:tc>
          <w:tcPr>
            <w:tcW w:w="2641" w:type="dxa"/>
            <w:noWrap w:val="0"/>
            <w:vAlign w:val="center"/>
          </w:tcPr>
          <w:p w14:paraId="3601A4F7">
            <w:pPr>
              <w:adjustRightInd w:val="0"/>
              <w:snapToGrid w:val="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《锅炉大气污染物排放标准》（GB13271-2014）</w:t>
            </w:r>
          </w:p>
        </w:tc>
      </w:tr>
      <w:tr w14:paraId="351887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vMerge w:val="restart"/>
            <w:noWrap w:val="0"/>
            <w:vAlign w:val="center"/>
          </w:tcPr>
          <w:p w14:paraId="2BDDDE45">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地表水环境</w:t>
            </w:r>
          </w:p>
        </w:tc>
        <w:tc>
          <w:tcPr>
            <w:tcW w:w="1579" w:type="dxa"/>
            <w:noWrap w:val="0"/>
            <w:vAlign w:val="center"/>
          </w:tcPr>
          <w:p w14:paraId="0CB53D5F">
            <w:pPr>
              <w:adjustRightInd w:val="0"/>
              <w:snapToGrid w:val="0"/>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生活废水</w:t>
            </w:r>
          </w:p>
        </w:tc>
        <w:tc>
          <w:tcPr>
            <w:tcW w:w="1410" w:type="dxa"/>
            <w:noWrap w:val="0"/>
            <w:vAlign w:val="center"/>
          </w:tcPr>
          <w:p w14:paraId="5FFE54F5">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COD、BOD</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-N、TP、TN等</w:t>
            </w:r>
          </w:p>
        </w:tc>
        <w:tc>
          <w:tcPr>
            <w:tcW w:w="1755" w:type="dxa"/>
            <w:noWrap w:val="0"/>
            <w:vAlign w:val="center"/>
          </w:tcPr>
          <w:p w14:paraId="138F30A4">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生活废水</w:t>
            </w:r>
            <w:r>
              <w:rPr>
                <w:rFonts w:hint="eastAsia" w:cs="Times New Roman"/>
                <w:color w:val="auto"/>
                <w:sz w:val="24"/>
                <w:szCs w:val="24"/>
                <w:highlight w:val="none"/>
                <w:lang w:eastAsia="zh-CN"/>
              </w:rPr>
              <w:t>化粪池</w:t>
            </w:r>
            <w:r>
              <w:rPr>
                <w:rFonts w:hint="default" w:ascii="Times New Roman" w:hAnsi="Times New Roman" w:cs="Times New Roman"/>
                <w:color w:val="auto"/>
                <w:sz w:val="24"/>
                <w:szCs w:val="24"/>
                <w:highlight w:val="none"/>
                <w:lang w:eastAsia="zh-CN"/>
              </w:rPr>
              <w:t>处理后排入市政污水管网送</w:t>
            </w:r>
            <w:r>
              <w:rPr>
                <w:rFonts w:hint="eastAsia" w:cs="Times New Roman"/>
                <w:color w:val="auto"/>
                <w:sz w:val="24"/>
                <w:szCs w:val="24"/>
                <w:highlight w:val="none"/>
                <w:lang w:eastAsia="zh-CN"/>
              </w:rPr>
              <w:t>大英县工业污水处理厂</w:t>
            </w:r>
            <w:r>
              <w:rPr>
                <w:rFonts w:hint="default" w:ascii="Times New Roman" w:hAnsi="Times New Roman" w:cs="Times New Roman"/>
                <w:color w:val="auto"/>
                <w:sz w:val="24"/>
                <w:szCs w:val="24"/>
                <w:highlight w:val="none"/>
                <w:lang w:eastAsia="zh-CN"/>
              </w:rPr>
              <w:t>处理</w:t>
            </w:r>
          </w:p>
        </w:tc>
        <w:tc>
          <w:tcPr>
            <w:tcW w:w="2641" w:type="dxa"/>
            <w:noWrap w:val="0"/>
            <w:vAlign w:val="center"/>
          </w:tcPr>
          <w:p w14:paraId="46A86E68">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《污水综合排放标准》（GB8978-1996）</w:t>
            </w:r>
            <w:r>
              <w:rPr>
                <w:rFonts w:hint="default" w:ascii="Times New Roman" w:hAnsi="Times New Roman" w:cs="Times New Roman"/>
                <w:color w:val="auto"/>
                <w:sz w:val="24"/>
                <w:szCs w:val="24"/>
                <w:highlight w:val="none"/>
                <w:lang w:eastAsia="zh-CN"/>
              </w:rPr>
              <w:t>三级</w:t>
            </w:r>
          </w:p>
        </w:tc>
      </w:tr>
      <w:tr w14:paraId="508507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1415" w:type="dxa"/>
            <w:vMerge w:val="continue"/>
            <w:noWrap w:val="0"/>
            <w:vAlign w:val="center"/>
          </w:tcPr>
          <w:p w14:paraId="201FC199">
            <w:pPr>
              <w:adjustRightInd w:val="0"/>
              <w:snapToGrid w:val="0"/>
              <w:jc w:val="center"/>
              <w:rPr>
                <w:rFonts w:hint="default" w:ascii="Times New Roman" w:hAnsi="Times New Roman" w:cs="Times New Roman"/>
                <w:color w:val="auto"/>
                <w:sz w:val="24"/>
                <w:szCs w:val="24"/>
                <w:highlight w:val="none"/>
              </w:rPr>
            </w:pPr>
          </w:p>
        </w:tc>
        <w:tc>
          <w:tcPr>
            <w:tcW w:w="1579" w:type="dxa"/>
            <w:noWrap w:val="0"/>
            <w:vAlign w:val="center"/>
          </w:tcPr>
          <w:p w14:paraId="6D875585">
            <w:pPr>
              <w:adjustRightInd w:val="0"/>
              <w:snapToGrid w:val="0"/>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生产废水</w:t>
            </w:r>
          </w:p>
        </w:tc>
        <w:tc>
          <w:tcPr>
            <w:tcW w:w="1410" w:type="dxa"/>
            <w:noWrap w:val="0"/>
            <w:vAlign w:val="center"/>
          </w:tcPr>
          <w:p w14:paraId="205BDDED">
            <w:pPr>
              <w:adjustRightInd w:val="0"/>
              <w:snapToGrid w:val="0"/>
              <w:jc w:val="center"/>
              <w:rPr>
                <w:rFonts w:hint="eastAsia" w:ascii="Times New Roman" w:hAnsi="Times New Roman" w:cs="Times New Roman"/>
                <w:color w:val="auto"/>
                <w:sz w:val="24"/>
                <w:szCs w:val="24"/>
                <w:highlight w:val="none"/>
              </w:rPr>
            </w:pPr>
            <w:r>
              <w:rPr>
                <w:rFonts w:hint="eastAsia"/>
                <w:color w:val="auto"/>
                <w:sz w:val="24"/>
                <w:szCs w:val="24"/>
                <w:highlight w:val="none"/>
                <w:lang w:eastAsia="zh-CN"/>
              </w:rPr>
              <w:t>pH 值、悬浮物、化学需氧量、五日生化需氧量、氨氮、总氮、总磷、石油类</w:t>
            </w:r>
          </w:p>
        </w:tc>
        <w:tc>
          <w:tcPr>
            <w:tcW w:w="1755" w:type="dxa"/>
            <w:noWrap w:val="0"/>
            <w:vAlign w:val="center"/>
          </w:tcPr>
          <w:p w14:paraId="549B67BB">
            <w:pPr>
              <w:adjustRightInd w:val="0"/>
              <w:snapToGrid w:val="0"/>
              <w:jc w:val="center"/>
              <w:rPr>
                <w:rFonts w:hint="eastAsia" w:ascii="Times New Roman" w:hAnsi="Times New Roman" w:cs="Times New Roman"/>
                <w:color w:val="auto"/>
                <w:sz w:val="24"/>
                <w:szCs w:val="24"/>
                <w:highlight w:val="none"/>
                <w:lang w:eastAsia="zh-CN"/>
              </w:rPr>
            </w:pPr>
            <w:r>
              <w:rPr>
                <w:rFonts w:hint="eastAsia" w:cs="Times New Roman"/>
                <w:color w:val="auto"/>
                <w:sz w:val="24"/>
                <w:szCs w:val="24"/>
                <w:highlight w:val="none"/>
                <w:lang w:val="en-US" w:eastAsia="zh-CN"/>
              </w:rPr>
              <w:t>清洗废水经沉淀池处理后循环使用1个月后更新排入市政污水管网送</w:t>
            </w:r>
            <w:r>
              <w:rPr>
                <w:rFonts w:hint="eastAsia" w:ascii="Times New Roman" w:hAnsi="Times New Roman" w:cs="Times New Roman"/>
                <w:color w:val="auto"/>
                <w:sz w:val="24"/>
                <w:szCs w:val="24"/>
                <w:highlight w:val="none"/>
                <w:lang w:eastAsia="zh-CN"/>
              </w:rPr>
              <w:t>大英县工业污水处理厂</w:t>
            </w:r>
            <w:r>
              <w:rPr>
                <w:rFonts w:hint="eastAsia" w:ascii="Times New Roman" w:hAnsi="Times New Roman" w:cs="Times New Roman"/>
                <w:color w:val="auto"/>
                <w:sz w:val="24"/>
                <w:szCs w:val="24"/>
                <w:highlight w:val="none"/>
              </w:rPr>
              <w:t>处理</w:t>
            </w:r>
          </w:p>
        </w:tc>
        <w:tc>
          <w:tcPr>
            <w:tcW w:w="2641" w:type="dxa"/>
            <w:noWrap w:val="0"/>
            <w:vAlign w:val="center"/>
          </w:tcPr>
          <w:p w14:paraId="4B736DAB">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橡胶制品工业污染物排放标准</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GB27632</w:t>
            </w:r>
            <w:r>
              <w:rPr>
                <w:rFonts w:hint="default" w:ascii="Times New Roman" w:hAnsi="Times New Roman" w:cs="Times New Roman"/>
                <w:color w:val="auto"/>
                <w:sz w:val="24"/>
                <w:szCs w:val="24"/>
                <w:highlight w:val="none"/>
                <w:lang w:val="en-US" w:eastAsia="zh-CN"/>
              </w:rPr>
              <w:t>-2011</w:t>
            </w:r>
            <w:r>
              <w:rPr>
                <w:rFonts w:hint="default" w:ascii="Times New Roman" w:hAnsi="Times New Roman" w:cs="Times New Roman"/>
                <w:color w:val="auto"/>
                <w:sz w:val="24"/>
                <w:szCs w:val="24"/>
                <w:highlight w:val="none"/>
              </w:rPr>
              <w:t>）</w:t>
            </w:r>
          </w:p>
        </w:tc>
      </w:tr>
      <w:tr w14:paraId="12AEB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noWrap w:val="0"/>
            <w:vAlign w:val="center"/>
          </w:tcPr>
          <w:p w14:paraId="7D7F9DA5">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w:t>
            </w:r>
          </w:p>
        </w:tc>
        <w:tc>
          <w:tcPr>
            <w:tcW w:w="1579" w:type="dxa"/>
            <w:noWrap w:val="0"/>
            <w:vAlign w:val="center"/>
          </w:tcPr>
          <w:p w14:paraId="3FF795B2">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生产线</w:t>
            </w:r>
          </w:p>
        </w:tc>
        <w:tc>
          <w:tcPr>
            <w:tcW w:w="1410" w:type="dxa"/>
            <w:noWrap w:val="0"/>
            <w:vAlign w:val="center"/>
          </w:tcPr>
          <w:p w14:paraId="7D3D33C6">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设备噪声</w:t>
            </w:r>
          </w:p>
        </w:tc>
        <w:tc>
          <w:tcPr>
            <w:tcW w:w="1755" w:type="dxa"/>
            <w:noWrap w:val="0"/>
            <w:vAlign w:val="center"/>
          </w:tcPr>
          <w:p w14:paraId="62446ACD">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建筑结构屏蔽、设置减震设施、距离衰减</w:t>
            </w:r>
          </w:p>
        </w:tc>
        <w:tc>
          <w:tcPr>
            <w:tcW w:w="2641" w:type="dxa"/>
            <w:noWrap w:val="0"/>
            <w:vAlign w:val="center"/>
          </w:tcPr>
          <w:p w14:paraId="3089D026">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《工业企业厂界环境噪声排放标准》（GB12348-2008）3类标准</w:t>
            </w:r>
          </w:p>
        </w:tc>
      </w:tr>
      <w:tr w14:paraId="7FE63A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noWrap w:val="0"/>
            <w:vAlign w:val="center"/>
          </w:tcPr>
          <w:p w14:paraId="28705F13">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电磁辐射</w:t>
            </w:r>
          </w:p>
        </w:tc>
        <w:tc>
          <w:tcPr>
            <w:tcW w:w="7385" w:type="dxa"/>
            <w:gridSpan w:val="4"/>
            <w:noWrap w:val="0"/>
            <w:vAlign w:val="center"/>
          </w:tcPr>
          <w:p w14:paraId="2F2E3240">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不涉及</w:t>
            </w:r>
          </w:p>
        </w:tc>
      </w:tr>
      <w:tr w14:paraId="72493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14:paraId="1E07FBF1">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固体废物</w:t>
            </w:r>
          </w:p>
        </w:tc>
        <w:tc>
          <w:tcPr>
            <w:tcW w:w="7385" w:type="dxa"/>
            <w:gridSpan w:val="4"/>
            <w:noWrap w:val="0"/>
            <w:vAlign w:val="center"/>
          </w:tcPr>
          <w:p w14:paraId="4FCBB8E7">
            <w:pPr>
              <w:spacing w:line="420" w:lineRule="auto"/>
              <w:ind w:firstLine="480" w:firstLineChars="200"/>
              <w:rPr>
                <w:rFonts w:hint="default" w:ascii="Times New Roman" w:hAnsi="Times New Roman" w:eastAsia="宋体" w:cs="Times New Roman"/>
                <w:color w:val="auto"/>
                <w:sz w:val="24"/>
                <w:szCs w:val="20"/>
                <w:highlight w:val="none"/>
                <w:lang w:eastAsia="zh-CN"/>
              </w:rPr>
            </w:pPr>
            <w:r>
              <w:rPr>
                <w:rFonts w:hint="default" w:ascii="Times New Roman" w:hAnsi="Times New Roman" w:eastAsia="宋体" w:cs="Times New Roman"/>
                <w:color w:val="auto"/>
                <w:sz w:val="24"/>
                <w:szCs w:val="20"/>
                <w:highlight w:val="none"/>
              </w:rPr>
              <w:t>运营期间本项目产生的固废主要为</w:t>
            </w:r>
            <w:r>
              <w:rPr>
                <w:rFonts w:hint="eastAsia" w:cs="Times New Roman"/>
                <w:color w:val="auto"/>
                <w:sz w:val="24"/>
                <w:szCs w:val="20"/>
                <w:highlight w:val="none"/>
                <w:lang w:eastAsia="zh-CN"/>
              </w:rPr>
              <w:t>：</w:t>
            </w:r>
            <w:r>
              <w:rPr>
                <w:rFonts w:hint="eastAsia" w:ascii="Times New Roman" w:hAnsi="Times New Roman" w:eastAsia="宋体" w:cs="Times New Roman"/>
                <w:sz w:val="24"/>
                <w:szCs w:val="20"/>
                <w:lang w:val="en-US" w:eastAsia="zh-CN"/>
              </w:rPr>
              <w:t>不合格产品及废边角料、</w:t>
            </w:r>
            <w:r>
              <w:rPr>
                <w:rFonts w:ascii="Times New Roman" w:hAnsi="Times New Roman" w:eastAsia="宋体" w:cs="Times New Roman"/>
                <w:sz w:val="24"/>
                <w:szCs w:val="20"/>
              </w:rPr>
              <w:t>生活垃圾、废弃包装物、</w:t>
            </w:r>
            <w:r>
              <w:rPr>
                <w:rFonts w:hint="eastAsia" w:ascii="Times New Roman" w:hAnsi="Times New Roman" w:eastAsia="宋体" w:cs="Times New Roman"/>
                <w:sz w:val="24"/>
                <w:szCs w:val="20"/>
                <w:lang w:eastAsia="zh-CN"/>
              </w:rPr>
              <w:t>废润滑油</w:t>
            </w:r>
            <w:r>
              <w:rPr>
                <w:rFonts w:ascii="Times New Roman" w:hAnsi="Times New Roman" w:eastAsia="宋体" w:cs="Times New Roman"/>
                <w:sz w:val="24"/>
                <w:szCs w:val="20"/>
              </w:rPr>
              <w:t>及</w:t>
            </w:r>
            <w:r>
              <w:rPr>
                <w:rFonts w:hint="eastAsia" w:ascii="Times New Roman" w:hAnsi="Times New Roman" w:eastAsia="宋体" w:cs="Times New Roman"/>
                <w:sz w:val="24"/>
                <w:szCs w:val="20"/>
                <w:lang w:eastAsia="zh-CN"/>
              </w:rPr>
              <w:t>废润滑油</w:t>
            </w:r>
            <w:r>
              <w:rPr>
                <w:rFonts w:ascii="Times New Roman" w:hAnsi="Times New Roman" w:eastAsia="宋体" w:cs="Times New Roman"/>
                <w:sz w:val="24"/>
                <w:szCs w:val="20"/>
              </w:rPr>
              <w:t>桶</w:t>
            </w:r>
            <w:r>
              <w:rPr>
                <w:rFonts w:hint="eastAsia" w:ascii="Times New Roman" w:hAnsi="Times New Roman" w:eastAsia="宋体" w:cs="Times New Roman"/>
                <w:sz w:val="24"/>
                <w:szCs w:val="20"/>
              </w:rPr>
              <w:t>、</w:t>
            </w:r>
            <w:r>
              <w:rPr>
                <w:rFonts w:hint="eastAsia" w:cs="Times New Roman"/>
                <w:sz w:val="24"/>
                <w:szCs w:val="20"/>
                <w:lang w:eastAsia="zh-CN"/>
              </w:rPr>
              <w:t>废含油</w:t>
            </w:r>
            <w:r>
              <w:rPr>
                <w:rFonts w:hint="eastAsia" w:ascii="Times New Roman" w:hAnsi="Times New Roman" w:eastAsia="宋体" w:cs="Times New Roman"/>
                <w:sz w:val="24"/>
                <w:szCs w:val="20"/>
              </w:rPr>
              <w:t>手套</w:t>
            </w:r>
            <w:r>
              <w:rPr>
                <w:rFonts w:hint="eastAsia" w:ascii="Times New Roman" w:hAnsi="Times New Roman" w:eastAsia="宋体" w:cs="Times New Roman"/>
                <w:sz w:val="24"/>
                <w:szCs w:val="20"/>
                <w:lang w:eastAsia="zh-CN"/>
              </w:rPr>
              <w:t>、废活性炭</w:t>
            </w:r>
            <w:r>
              <w:rPr>
                <w:rFonts w:hint="eastAsia" w:eastAsia="宋体" w:cs="Times New Roman"/>
                <w:sz w:val="24"/>
                <w:szCs w:val="20"/>
                <w:lang w:val="en-US" w:eastAsia="zh-CN"/>
              </w:rPr>
              <w:t>等</w:t>
            </w:r>
            <w:r>
              <w:rPr>
                <w:rFonts w:hint="default" w:ascii="Times New Roman" w:hAnsi="Times New Roman" w:eastAsia="宋体" w:cs="Times New Roman"/>
                <w:color w:val="auto"/>
                <w:sz w:val="24"/>
                <w:szCs w:val="20"/>
                <w:highlight w:val="none"/>
                <w:lang w:eastAsia="zh-CN"/>
              </w:rPr>
              <w:t>。</w:t>
            </w:r>
          </w:p>
          <w:p w14:paraId="6BEB78B7">
            <w:pPr>
              <w:pStyle w:val="2"/>
              <w:bidi w:val="0"/>
              <w:ind w:firstLine="480" w:firstLineChars="200"/>
              <w:rPr>
                <w:rFonts w:hint="default" w:ascii="Times New Roman" w:hAnsi="Times New Roman" w:cs="Times New Roman"/>
                <w:color w:val="auto"/>
                <w:sz w:val="24"/>
                <w:szCs w:val="24"/>
                <w:highlight w:val="none"/>
              </w:rPr>
            </w:pPr>
            <w:r>
              <w:rPr>
                <w:rFonts w:hint="eastAsia" w:ascii="Times New Roman" w:hAnsi="Times New Roman" w:eastAsia="宋体" w:cs="Times New Roman"/>
                <w:sz w:val="24"/>
                <w:szCs w:val="20"/>
                <w:lang w:val="en-US" w:eastAsia="zh-CN"/>
              </w:rPr>
              <w:t>不合格产品及废边角料</w:t>
            </w:r>
            <w:r>
              <w:rPr>
                <w:rFonts w:hint="default" w:ascii="Times New Roman" w:hAnsi="Times New Roman" w:cs="Times New Roman"/>
                <w:color w:val="auto"/>
                <w:sz w:val="24"/>
                <w:szCs w:val="24"/>
                <w:highlight w:val="none"/>
              </w:rPr>
              <w:t>统一收集后出售给</w:t>
            </w:r>
            <w:r>
              <w:rPr>
                <w:rFonts w:hint="eastAsia" w:cs="Times New Roman"/>
                <w:color w:val="auto"/>
                <w:sz w:val="24"/>
                <w:szCs w:val="24"/>
                <w:highlight w:val="none"/>
                <w:lang w:val="en-US" w:eastAsia="zh-CN"/>
              </w:rPr>
              <w:t>橡胶</w:t>
            </w:r>
            <w:r>
              <w:rPr>
                <w:rFonts w:hint="eastAsia" w:cs="Times New Roman"/>
                <w:color w:val="auto"/>
                <w:sz w:val="24"/>
                <w:szCs w:val="24"/>
                <w:highlight w:val="none"/>
                <w:lang w:eastAsia="zh-CN"/>
              </w:rPr>
              <w:t>回收单位</w:t>
            </w:r>
            <w:r>
              <w:rPr>
                <w:rFonts w:hint="default" w:ascii="Times New Roman" w:hAnsi="Times New Roman" w:cs="Times New Roman"/>
                <w:color w:val="auto"/>
                <w:sz w:val="24"/>
                <w:szCs w:val="24"/>
                <w:highlight w:val="none"/>
              </w:rPr>
              <w:t>使用</w:t>
            </w:r>
            <w:r>
              <w:rPr>
                <w:rFonts w:hint="default" w:ascii="Times New Roman" w:hAnsi="Times New Roman" w:cs="Times New Roman"/>
                <w:color w:val="auto"/>
                <w:sz w:val="24"/>
                <w:szCs w:val="24"/>
                <w:highlight w:val="none"/>
                <w:lang w:eastAsia="zh-CN"/>
              </w:rPr>
              <w:t>；生活垃圾统一收集后交由环卫部门处置；</w:t>
            </w:r>
            <w:r>
              <w:rPr>
                <w:rFonts w:ascii="Times New Roman" w:hAnsi="Times New Roman" w:eastAsia="宋体" w:cs="Times New Roman"/>
                <w:sz w:val="24"/>
                <w:szCs w:val="20"/>
              </w:rPr>
              <w:t>废弃包装物</w:t>
            </w:r>
            <w:r>
              <w:rPr>
                <w:rFonts w:hint="eastAsia" w:ascii="Times New Roman" w:hAnsi="Times New Roman" w:cs="Times New Roman"/>
                <w:sz w:val="24"/>
                <w:szCs w:val="20"/>
                <w:lang w:val="en-US" w:eastAsia="zh-CN"/>
              </w:rPr>
              <w:t>收集后出售给废品收购单位，</w:t>
            </w:r>
            <w:r>
              <w:rPr>
                <w:rFonts w:hint="eastAsia" w:ascii="Times New Roman" w:hAnsi="Times New Roman" w:eastAsia="宋体" w:cs="Times New Roman"/>
                <w:color w:val="auto"/>
                <w:sz w:val="24"/>
                <w:szCs w:val="20"/>
                <w:highlight w:val="none"/>
                <w:lang w:val="en-US" w:eastAsia="zh-CN"/>
              </w:rPr>
              <w:t>废</w:t>
            </w:r>
            <w:r>
              <w:rPr>
                <w:color w:val="auto"/>
                <w:sz w:val="24"/>
                <w:szCs w:val="20"/>
                <w:highlight w:val="none"/>
              </w:rPr>
              <w:t>润滑油及废润滑油桶、废含</w:t>
            </w:r>
            <w:r>
              <w:rPr>
                <w:rFonts w:hint="eastAsia"/>
                <w:color w:val="auto"/>
                <w:sz w:val="24"/>
                <w:szCs w:val="20"/>
                <w:highlight w:val="none"/>
                <w:lang w:val="en-US" w:eastAsia="zh-CN"/>
              </w:rPr>
              <w:t>油</w:t>
            </w:r>
            <w:r>
              <w:rPr>
                <w:color w:val="auto"/>
                <w:sz w:val="24"/>
                <w:szCs w:val="20"/>
                <w:highlight w:val="none"/>
              </w:rPr>
              <w:t>手套及抹布</w:t>
            </w:r>
            <w:r>
              <w:rPr>
                <w:rFonts w:hint="default" w:ascii="Times New Roman" w:hAnsi="Times New Roman" w:cs="Times New Roman"/>
                <w:color w:val="auto"/>
                <w:sz w:val="24"/>
                <w:szCs w:val="24"/>
                <w:highlight w:val="none"/>
                <w:lang w:eastAsia="zh-CN"/>
              </w:rPr>
              <w:t>统一收集后交由资质单位处置。</w:t>
            </w:r>
          </w:p>
        </w:tc>
      </w:tr>
      <w:tr w14:paraId="3D097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14:paraId="6C2C63D8">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土壤及地下水</w:t>
            </w:r>
          </w:p>
          <w:p w14:paraId="2A27F584">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污染防治措施</w:t>
            </w:r>
          </w:p>
        </w:tc>
        <w:tc>
          <w:tcPr>
            <w:tcW w:w="7385" w:type="dxa"/>
            <w:gridSpan w:val="4"/>
            <w:noWrap w:val="0"/>
            <w:vAlign w:val="center"/>
          </w:tcPr>
          <w:p w14:paraId="5C8C564C">
            <w:pPr>
              <w:keepNext w:val="0"/>
              <w:keepLines w:val="0"/>
              <w:pageBreakBefore w:val="0"/>
              <w:widowControl w:val="0"/>
              <w:kinsoku/>
              <w:wordWrap/>
              <w:overflowPunct/>
              <w:topLinePunct w:val="0"/>
              <w:autoSpaceDE/>
              <w:autoSpaceDN/>
              <w:bidi w:val="0"/>
              <w:adjustRightInd/>
              <w:snapToGrid/>
              <w:spacing w:line="42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危废间重点防渗要求为：采用2毫米以上的高密度聚乙烯或其他人工防渗材料组成，渗透系数应小于1.0×10</w:t>
            </w:r>
            <w:r>
              <w:rPr>
                <w:rFonts w:hint="default" w:ascii="Times New Roman" w:hAnsi="Times New Roman" w:cs="Times New Roman"/>
                <w:color w:val="auto"/>
                <w:sz w:val="24"/>
                <w:szCs w:val="24"/>
                <w:highlight w:val="none"/>
                <w:vertAlign w:val="superscript"/>
                <w:lang w:eastAsia="zh-CN"/>
              </w:rPr>
              <w:t>-10</w:t>
            </w:r>
            <w:r>
              <w:rPr>
                <w:rFonts w:hint="default" w:ascii="Times New Roman" w:hAnsi="Times New Roman" w:cs="Times New Roman"/>
                <w:color w:val="auto"/>
                <w:sz w:val="24"/>
                <w:szCs w:val="24"/>
                <w:highlight w:val="none"/>
                <w:lang w:eastAsia="zh-CN"/>
              </w:rPr>
              <w:t>cm/s。</w:t>
            </w:r>
          </w:p>
          <w:p w14:paraId="4EBD7538">
            <w:pPr>
              <w:keepNext w:val="0"/>
              <w:keepLines w:val="0"/>
              <w:pageBreakBefore w:val="0"/>
              <w:widowControl w:val="0"/>
              <w:kinsoku/>
              <w:wordWrap/>
              <w:overflowPunct/>
              <w:topLinePunct w:val="0"/>
              <w:autoSpaceDE/>
              <w:autoSpaceDN/>
              <w:bidi w:val="0"/>
              <w:adjustRightInd/>
              <w:snapToGrid/>
              <w:spacing w:line="42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本项目除重点防渗区以外的其他生产区域为一般防渗区，一般防渗区应采用等效黏土防渗层Mb≥1.5m，K≤1×10</w:t>
            </w:r>
            <w:r>
              <w:rPr>
                <w:rFonts w:hint="default" w:ascii="Times New Roman" w:hAnsi="Times New Roman" w:cs="Times New Roman"/>
                <w:color w:val="auto"/>
                <w:sz w:val="24"/>
                <w:szCs w:val="24"/>
                <w:highlight w:val="none"/>
                <w:vertAlign w:val="superscript"/>
                <w:lang w:eastAsia="zh-CN"/>
              </w:rPr>
              <w:t>-7</w:t>
            </w:r>
            <w:r>
              <w:rPr>
                <w:rFonts w:hint="default" w:ascii="Times New Roman" w:hAnsi="Times New Roman" w:cs="Times New Roman"/>
                <w:color w:val="auto"/>
                <w:sz w:val="24"/>
                <w:szCs w:val="24"/>
                <w:highlight w:val="none"/>
                <w:lang w:eastAsia="zh-CN"/>
              </w:rPr>
              <w:t>cm/s；或参照GB16889执行</w:t>
            </w:r>
          </w:p>
          <w:p w14:paraId="720DC279">
            <w:pPr>
              <w:keepNext w:val="0"/>
              <w:keepLines w:val="0"/>
              <w:pageBreakBefore w:val="0"/>
              <w:widowControl w:val="0"/>
              <w:kinsoku/>
              <w:wordWrap/>
              <w:overflowPunct/>
              <w:topLinePunct w:val="0"/>
              <w:autoSpaceDE/>
              <w:autoSpaceDN/>
              <w:bidi w:val="0"/>
              <w:adjustRightInd/>
              <w:snapToGrid/>
              <w:spacing w:line="42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除重点防渗区和一般防渗区以外的区域为简单防渗区，简单防渗区采取一般地面硬化即可。</w:t>
            </w:r>
          </w:p>
        </w:tc>
      </w:tr>
      <w:tr w14:paraId="7D5619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415" w:type="dxa"/>
            <w:noWrap w:val="0"/>
            <w:vAlign w:val="center"/>
          </w:tcPr>
          <w:p w14:paraId="32E7F3F9">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生态保护措施</w:t>
            </w:r>
          </w:p>
        </w:tc>
        <w:tc>
          <w:tcPr>
            <w:tcW w:w="7385" w:type="dxa"/>
            <w:gridSpan w:val="4"/>
            <w:noWrap w:val="0"/>
            <w:vAlign w:val="center"/>
          </w:tcPr>
          <w:p w14:paraId="26FDF8FB">
            <w:pPr>
              <w:pStyle w:val="2"/>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不涉及</w:t>
            </w:r>
          </w:p>
        </w:tc>
      </w:tr>
      <w:tr w14:paraId="6E0018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415" w:type="dxa"/>
            <w:noWrap w:val="0"/>
            <w:vAlign w:val="center"/>
          </w:tcPr>
          <w:p w14:paraId="44ED1435">
            <w:pPr>
              <w:adjustRightInd w:val="0"/>
              <w:snapToGrid w:val="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环境风险</w:t>
            </w:r>
          </w:p>
          <w:p w14:paraId="47E65460">
            <w:pPr>
              <w:adjustRightInd w:val="0"/>
              <w:snapToGrid w:val="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防范措施</w:t>
            </w:r>
          </w:p>
        </w:tc>
        <w:tc>
          <w:tcPr>
            <w:tcW w:w="7385" w:type="dxa"/>
            <w:gridSpan w:val="4"/>
            <w:noWrap w:val="0"/>
            <w:vAlign w:val="center"/>
          </w:tcPr>
          <w:p w14:paraId="1BBDE6DD">
            <w:pPr>
              <w:pStyle w:val="4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①加强管理，严格控制</w:t>
            </w:r>
            <w:r>
              <w:rPr>
                <w:rFonts w:hint="eastAsia" w:ascii="Times New Roman" w:hAnsi="Times New Roman" w:cs="Times New Roman"/>
                <w:color w:val="auto"/>
                <w:highlight w:val="none"/>
                <w:lang w:eastAsia="zh-CN"/>
              </w:rPr>
              <w:t>润滑</w:t>
            </w:r>
            <w:r>
              <w:rPr>
                <w:rFonts w:hint="default" w:ascii="Times New Roman" w:hAnsi="Times New Roman" w:cs="Times New Roman"/>
                <w:color w:val="auto"/>
                <w:highlight w:val="none"/>
              </w:rPr>
              <w:t>油</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石蜡油</w:t>
            </w:r>
            <w:r>
              <w:rPr>
                <w:rFonts w:hint="default" w:ascii="Times New Roman" w:hAnsi="Times New Roman" w:cs="Times New Roman"/>
                <w:color w:val="auto"/>
                <w:highlight w:val="none"/>
              </w:rPr>
              <w:t>在厂区的储存量，降低风险物质整体存在量，以从源头上降低环境风险。</w:t>
            </w:r>
          </w:p>
          <w:p w14:paraId="3A9155B2">
            <w:pPr>
              <w:pStyle w:val="4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②危废暂存间暂存的危废指派专人管理，并采取防盗、防渗、防泄漏、防流散等措施，暂存间内配置足够的灭火设施及应急吸附收纳等应急物资。</w:t>
            </w:r>
          </w:p>
          <w:p w14:paraId="12F3FE65">
            <w:pPr>
              <w:pStyle w:val="4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③按照《危险废物贮存污染控制标准》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GB18597－20</w:t>
            </w:r>
            <w:r>
              <w:rPr>
                <w:rFonts w:hint="eastAsia" w:ascii="Times New Roman" w:hAnsi="Times New Roman" w:cs="Times New Roman"/>
                <w:color w:val="auto"/>
                <w:highlight w:val="none"/>
                <w:lang w:val="en-US" w:eastAsia="zh-CN"/>
              </w:rPr>
              <w:t>23</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的规定管理危废暂存间，并做好防渗、防泄漏、防遗撒措施。危险废物定期交由资质单位处置。</w:t>
            </w:r>
          </w:p>
          <w:p w14:paraId="7B32CE77">
            <w:pPr>
              <w:pStyle w:val="4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④加强原料管理，仓库内严禁烟火，仓库暂存区域设置干粉灭火器，以备紧急状态下扑灭初期火灾。</w:t>
            </w:r>
          </w:p>
          <w:p w14:paraId="0DB1DB84">
            <w:pPr>
              <w:pStyle w:val="42"/>
              <w:ind w:firstLine="48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⑤生产设备和电气线路应良好接地，电气设备采用防爆型设备，地面应采取防止火花、静电产生措施，设备清洁时禁止采用压缩空气吹扫，生产车间内严禁烟火，建立安全操作规程，建立健全全员安全生产责任制，加强职工防火防爆知识培训，防止因安全事故引发次生环境事故。</w:t>
            </w:r>
          </w:p>
          <w:p w14:paraId="0B871218">
            <w:pPr>
              <w:pStyle w:val="42"/>
              <w:ind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⑥</w:t>
            </w:r>
            <w:r>
              <w:rPr>
                <w:rFonts w:hint="default" w:ascii="Times New Roman" w:hAnsi="Times New Roman" w:cs="Times New Roman"/>
                <w:color w:val="auto"/>
                <w:highlight w:val="none"/>
              </w:rPr>
              <w:t>制定《突发环境事件应急预案》，成立突发环境事件应急处置领导小组和应急救援兼职队伍，平时做好救援队伍的组织、训练和演练，并对工人进行自救和互救知识的宣传教育。</w:t>
            </w:r>
          </w:p>
          <w:p w14:paraId="6DB5B7C2">
            <w:pPr>
              <w:pStyle w:val="42"/>
              <w:bidi w:val="0"/>
              <w:ind w:firstLine="0" w:firstLineChars="0"/>
              <w:rPr>
                <w:rFonts w:hint="default" w:ascii="Times New Roman" w:hAnsi="Times New Roman" w:cs="Times New Roman"/>
                <w:color w:val="auto"/>
                <w:sz w:val="24"/>
                <w:szCs w:val="24"/>
                <w:highlight w:val="none"/>
              </w:rPr>
            </w:pPr>
          </w:p>
        </w:tc>
      </w:tr>
      <w:tr w14:paraId="5564BE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15" w:type="dxa"/>
            <w:noWrap w:val="0"/>
            <w:vAlign w:val="center"/>
          </w:tcPr>
          <w:p w14:paraId="4062597D">
            <w:pPr>
              <w:adjustRightInd w:val="0"/>
              <w:snapToGrid w:val="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其他环境</w:t>
            </w:r>
          </w:p>
          <w:p w14:paraId="358D568A">
            <w:pPr>
              <w:adjustRightInd w:val="0"/>
              <w:snapToGrid w:val="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管理要求</w:t>
            </w:r>
          </w:p>
        </w:tc>
        <w:tc>
          <w:tcPr>
            <w:tcW w:w="7385" w:type="dxa"/>
            <w:gridSpan w:val="4"/>
            <w:noWrap w:val="0"/>
            <w:vAlign w:val="center"/>
          </w:tcPr>
          <w:p w14:paraId="607EE473">
            <w:pPr>
              <w:pStyle w:val="42"/>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①</w:t>
            </w:r>
            <w:r>
              <w:rPr>
                <w:rFonts w:hint="default" w:ascii="Times New Roman" w:hAnsi="Times New Roman" w:cs="Times New Roman"/>
                <w:color w:val="auto"/>
                <w:sz w:val="24"/>
                <w:szCs w:val="24"/>
                <w:highlight w:val="none"/>
              </w:rPr>
              <w:t>项目发生实际排污前，登录全国排污许可证管理信息平台</w:t>
            </w:r>
            <w:r>
              <w:rPr>
                <w:rFonts w:hint="default" w:ascii="Times New Roman" w:hAnsi="Times New Roman" w:cs="Times New Roman"/>
                <w:color w:val="auto"/>
                <w:sz w:val="24"/>
                <w:szCs w:val="24"/>
                <w:highlight w:val="none"/>
                <w:lang w:eastAsia="zh-CN"/>
              </w:rPr>
              <w:t>办理排污许可</w:t>
            </w:r>
            <w:r>
              <w:rPr>
                <w:rFonts w:hint="eastAsia" w:ascii="Times New Roman" w:hAnsi="Times New Roman" w:cs="Times New Roman"/>
                <w:color w:val="auto"/>
                <w:sz w:val="24"/>
                <w:szCs w:val="24"/>
                <w:highlight w:val="none"/>
                <w:lang w:val="en-US" w:eastAsia="zh-CN"/>
              </w:rPr>
              <w:t>登记</w:t>
            </w:r>
            <w:r>
              <w:rPr>
                <w:rFonts w:hint="default" w:ascii="Times New Roman" w:hAnsi="Times New Roman" w:cs="Times New Roman"/>
                <w:color w:val="auto"/>
                <w:sz w:val="24"/>
                <w:szCs w:val="24"/>
                <w:highlight w:val="none"/>
                <w:lang w:eastAsia="zh-CN"/>
              </w:rPr>
              <w:t>手续</w:t>
            </w:r>
            <w:r>
              <w:rPr>
                <w:rFonts w:hint="default" w:ascii="Times New Roman" w:hAnsi="Times New Roman" w:cs="Times New Roman"/>
                <w:color w:val="auto"/>
                <w:sz w:val="24"/>
                <w:szCs w:val="24"/>
                <w:highlight w:val="none"/>
              </w:rPr>
              <w:t>。</w:t>
            </w:r>
          </w:p>
          <w:p w14:paraId="573741AE">
            <w:pPr>
              <w:pStyle w:val="42"/>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②</w:t>
            </w:r>
            <w:r>
              <w:rPr>
                <w:rFonts w:hint="default" w:ascii="Times New Roman" w:hAnsi="Times New Roman" w:cs="Times New Roman"/>
                <w:color w:val="auto"/>
                <w:sz w:val="24"/>
                <w:szCs w:val="24"/>
                <w:highlight w:val="none"/>
              </w:rPr>
              <w:t>严格落实本环评提出的各项环保措施，</w:t>
            </w:r>
            <w:r>
              <w:rPr>
                <w:rFonts w:hint="default" w:ascii="Times New Roman" w:hAnsi="Times New Roman" w:cs="Times New Roman"/>
                <w:color w:val="auto"/>
                <w:sz w:val="24"/>
                <w:szCs w:val="24"/>
                <w:highlight w:val="none"/>
                <w:lang w:eastAsia="zh-CN"/>
              </w:rPr>
              <w:t>严格落实“三同时”制度</w:t>
            </w:r>
            <w:r>
              <w:rPr>
                <w:rFonts w:hint="default" w:ascii="Times New Roman" w:hAnsi="Times New Roman" w:cs="Times New Roman"/>
                <w:color w:val="auto"/>
                <w:sz w:val="24"/>
                <w:szCs w:val="24"/>
                <w:highlight w:val="none"/>
              </w:rPr>
              <w:t>。项目竣工后严格按照国家规定的程序和方式组织竣工验收。</w:t>
            </w:r>
          </w:p>
          <w:p w14:paraId="1836330D">
            <w:pPr>
              <w:pStyle w:val="42"/>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③</w:t>
            </w:r>
            <w:r>
              <w:rPr>
                <w:rFonts w:hint="eastAsia" w:ascii="Times New Roman" w:hAnsi="Times New Roman" w:cs="Times New Roman"/>
                <w:color w:val="auto"/>
                <w:sz w:val="24"/>
                <w:szCs w:val="24"/>
                <w:highlight w:val="none"/>
                <w:lang w:eastAsia="zh-CN"/>
              </w:rPr>
              <w:t>本次</w:t>
            </w:r>
            <w:r>
              <w:rPr>
                <w:rFonts w:hint="default" w:ascii="Times New Roman" w:hAnsi="Times New Roman" w:cs="Times New Roman"/>
                <w:color w:val="auto"/>
                <w:sz w:val="24"/>
                <w:szCs w:val="24"/>
                <w:highlight w:val="none"/>
                <w:lang w:eastAsia="zh-CN"/>
              </w:rPr>
              <w:t>环评获批后</w:t>
            </w:r>
            <w:r>
              <w:rPr>
                <w:rFonts w:hint="default" w:ascii="Times New Roman" w:hAnsi="Times New Roman" w:cs="Times New Roman"/>
                <w:color w:val="auto"/>
                <w:sz w:val="24"/>
                <w:szCs w:val="24"/>
                <w:highlight w:val="none"/>
                <w:lang w:val="en-US" w:eastAsia="zh-CN"/>
              </w:rPr>
              <w:t>5年后动工建设的应重新报原审批部门审查，发生重大变化的应重新报批</w:t>
            </w:r>
            <w:r>
              <w:rPr>
                <w:rFonts w:hint="default" w:ascii="Times New Roman" w:hAnsi="Times New Roman" w:cs="Times New Roman"/>
                <w:color w:val="auto"/>
                <w:sz w:val="24"/>
                <w:szCs w:val="24"/>
                <w:highlight w:val="none"/>
              </w:rPr>
              <w:t>。</w:t>
            </w:r>
          </w:p>
          <w:p w14:paraId="35ECECB8">
            <w:pPr>
              <w:pStyle w:val="42"/>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④</w:t>
            </w:r>
            <w:r>
              <w:rPr>
                <w:rFonts w:hint="default" w:ascii="Times New Roman" w:hAnsi="Times New Roman" w:cs="Times New Roman"/>
                <w:color w:val="auto"/>
                <w:sz w:val="24"/>
                <w:szCs w:val="24"/>
                <w:highlight w:val="none"/>
              </w:rPr>
              <w:t>定期保养设备，</w:t>
            </w:r>
            <w:r>
              <w:rPr>
                <w:rFonts w:hint="eastAsia" w:ascii="Times New Roman" w:hAnsi="Times New Roman" w:cs="Times New Roman"/>
                <w:color w:val="auto"/>
                <w:sz w:val="24"/>
                <w:szCs w:val="24"/>
                <w:highlight w:val="none"/>
                <w:lang w:eastAsia="zh-CN"/>
              </w:rPr>
              <w:t>防止</w:t>
            </w:r>
            <w:r>
              <w:rPr>
                <w:rFonts w:hint="default" w:ascii="Times New Roman" w:hAnsi="Times New Roman" w:cs="Times New Roman"/>
                <w:color w:val="auto"/>
                <w:sz w:val="24"/>
                <w:szCs w:val="24"/>
                <w:highlight w:val="none"/>
              </w:rPr>
              <w:t>设备因保养不适当造成设备异常运行而增加噪声产生量；做好厂房隔声、设备减振，确保厂界噪声达标。</w:t>
            </w:r>
          </w:p>
          <w:p w14:paraId="3BF945C7">
            <w:pPr>
              <w:pStyle w:val="42"/>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⑤</w:t>
            </w:r>
            <w:r>
              <w:rPr>
                <w:rFonts w:hint="default" w:ascii="Times New Roman" w:hAnsi="Times New Roman" w:cs="Times New Roman"/>
                <w:color w:val="auto"/>
                <w:sz w:val="24"/>
                <w:szCs w:val="24"/>
                <w:highlight w:val="none"/>
              </w:rPr>
              <w:t>生活垃圾等应每天及时清运，防止夏季恶臭气味的产生，清除蚊蝇和寄生虫卵产生场所。</w:t>
            </w:r>
          </w:p>
          <w:p w14:paraId="34242FD0">
            <w:pPr>
              <w:pStyle w:val="42"/>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⑥</w:t>
            </w:r>
            <w:r>
              <w:rPr>
                <w:rFonts w:hint="default" w:ascii="Times New Roman" w:hAnsi="Times New Roman" w:cs="Times New Roman"/>
                <w:color w:val="auto"/>
                <w:sz w:val="24"/>
                <w:szCs w:val="24"/>
                <w:highlight w:val="none"/>
              </w:rPr>
              <w:t>切实加强各环保设施的日常维护管理，定期检查运行情况，确保处理效果，</w:t>
            </w:r>
            <w:r>
              <w:rPr>
                <w:rFonts w:hint="eastAsia" w:ascii="Times New Roman" w:hAnsi="Times New Roman" w:cs="Times New Roman"/>
                <w:color w:val="auto"/>
                <w:sz w:val="24"/>
                <w:szCs w:val="24"/>
                <w:highlight w:val="none"/>
                <w:lang w:eastAsia="zh-CN"/>
              </w:rPr>
              <w:t>避免</w:t>
            </w:r>
            <w:r>
              <w:rPr>
                <w:rFonts w:hint="default" w:ascii="Times New Roman" w:hAnsi="Times New Roman" w:cs="Times New Roman"/>
                <w:color w:val="auto"/>
                <w:sz w:val="24"/>
                <w:szCs w:val="24"/>
                <w:highlight w:val="none"/>
              </w:rPr>
              <w:t>环保设施处于“非正常工况”，</w:t>
            </w:r>
            <w:r>
              <w:rPr>
                <w:rFonts w:hint="default" w:ascii="Times New Roman" w:hAnsi="Times New Roman" w:cs="Times New Roman"/>
                <w:color w:val="auto"/>
                <w:sz w:val="24"/>
                <w:szCs w:val="24"/>
                <w:highlight w:val="none"/>
                <w:lang w:eastAsia="zh-CN"/>
              </w:rPr>
              <w:t>减少</w:t>
            </w:r>
            <w:r>
              <w:rPr>
                <w:rFonts w:hint="default" w:ascii="Times New Roman" w:hAnsi="Times New Roman" w:cs="Times New Roman"/>
                <w:color w:val="auto"/>
                <w:sz w:val="24"/>
                <w:szCs w:val="24"/>
                <w:highlight w:val="none"/>
              </w:rPr>
              <w:t>各类污染物排放，以减轻对环境的影响。加强环境管理，</w:t>
            </w:r>
            <w:r>
              <w:rPr>
                <w:rFonts w:hint="eastAsia" w:ascii="Times New Roman" w:hAnsi="Times New Roman" w:cs="Times New Roman"/>
                <w:color w:val="auto"/>
                <w:sz w:val="24"/>
                <w:szCs w:val="24"/>
                <w:highlight w:val="none"/>
                <w:lang w:eastAsia="zh-CN"/>
              </w:rPr>
              <w:t>增强</w:t>
            </w:r>
            <w:r>
              <w:rPr>
                <w:rFonts w:hint="default" w:ascii="Times New Roman" w:hAnsi="Times New Roman" w:cs="Times New Roman"/>
                <w:color w:val="auto"/>
                <w:sz w:val="24"/>
                <w:szCs w:val="24"/>
                <w:highlight w:val="none"/>
              </w:rPr>
              <w:t>职工环保意识，设置专人负责环境管理，落实环境管理制度，确保各项治理设施正常稳定运行。</w:t>
            </w:r>
          </w:p>
          <w:p w14:paraId="71498D63">
            <w:pPr>
              <w:pStyle w:val="42"/>
              <w:bidi w:val="0"/>
              <w:rPr>
                <w:rFonts w:hint="default" w:ascii="Times New Roman" w:hAnsi="Times New Roman" w:cs="Times New Roman"/>
                <w:color w:val="auto"/>
                <w:sz w:val="24"/>
                <w:szCs w:val="24"/>
                <w:highlight w:val="none"/>
                <w:lang w:val="en-US"/>
              </w:rPr>
            </w:pPr>
          </w:p>
          <w:p w14:paraId="41DF6654">
            <w:pPr>
              <w:adjustRightInd w:val="0"/>
              <w:snapToGrid w:val="0"/>
              <w:rPr>
                <w:rFonts w:hint="default" w:ascii="Times New Roman" w:hAnsi="Times New Roman" w:cs="Times New Roman"/>
                <w:color w:val="auto"/>
                <w:sz w:val="24"/>
                <w:szCs w:val="24"/>
                <w:highlight w:val="none"/>
              </w:rPr>
            </w:pPr>
          </w:p>
        </w:tc>
      </w:tr>
    </w:tbl>
    <w:p w14:paraId="23CA7396">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cs="Times New Roman"/>
          <w:snapToGrid w:val="0"/>
          <w:color w:val="auto"/>
          <w:sz w:val="30"/>
          <w:szCs w:val="30"/>
          <w:highlight w:val="none"/>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D9F4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4EA2D8B3">
            <w:pPr>
              <w:keepNext w:val="0"/>
              <w:keepLines w:val="0"/>
              <w:pageBreakBefore w:val="0"/>
              <w:widowControl w:val="0"/>
              <w:kinsoku/>
              <w:wordWrap/>
              <w:overflowPunct/>
              <w:topLinePunct w:val="0"/>
              <w:autoSpaceDE/>
              <w:autoSpaceDN/>
              <w:bidi w:val="0"/>
              <w:adjustRightInd/>
              <w:snapToGrid/>
              <w:spacing w:before="313" w:beforeLines="100" w:line="420" w:lineRule="auto"/>
              <w:ind w:left="0" w:firstLine="480" w:firstLineChars="200"/>
              <w:jc w:val="both"/>
              <w:textAlignment w:val="auto"/>
              <w:rPr>
                <w:rFonts w:ascii="Times New Roman" w:hAnsi="Times New Roman" w:eastAsia="宋体" w:cs="Times New Roman"/>
                <w:color w:val="auto"/>
                <w:sz w:val="24"/>
                <w:szCs w:val="20"/>
                <w:highlight w:val="none"/>
              </w:rPr>
            </w:pPr>
            <w:bookmarkStart w:id="3" w:name="OLE_LINK18"/>
            <w:r>
              <w:rPr>
                <w:rFonts w:hint="eastAsia" w:ascii="Times New Roman" w:hAnsi="Times New Roman" w:eastAsia="宋体" w:cs="Times New Roman"/>
                <w:color w:val="auto"/>
                <w:sz w:val="24"/>
                <w:szCs w:val="20"/>
                <w:highlight w:val="none"/>
                <w:lang w:eastAsia="zh-CN"/>
              </w:rPr>
              <w:t>根据分析</w:t>
            </w:r>
            <w:r>
              <w:rPr>
                <w:rFonts w:ascii="Times New Roman" w:hAnsi="Times New Roman" w:eastAsia="宋体" w:cs="Times New Roman"/>
                <w:color w:val="auto"/>
                <w:sz w:val="24"/>
                <w:szCs w:val="20"/>
                <w:highlight w:val="none"/>
              </w:rPr>
              <w:t>，本项目的建设符合国家产业政策，符合</w:t>
            </w:r>
            <w:r>
              <w:rPr>
                <w:rFonts w:hint="eastAsia" w:ascii="Times New Roman" w:hAnsi="Times New Roman" w:eastAsia="宋体" w:cs="Times New Roman"/>
                <w:color w:val="auto"/>
                <w:sz w:val="24"/>
                <w:szCs w:val="24"/>
                <w:highlight w:val="none"/>
              </w:rPr>
              <w:t>大英县</w:t>
            </w:r>
            <w:r>
              <w:rPr>
                <w:rFonts w:ascii="Times New Roman" w:hAnsi="Times New Roman" w:eastAsia="宋体" w:cs="Times New Roman"/>
                <w:color w:val="auto"/>
                <w:sz w:val="24"/>
                <w:szCs w:val="24"/>
                <w:highlight w:val="none"/>
              </w:rPr>
              <w:t>的相关规划。</w:t>
            </w:r>
            <w:r>
              <w:rPr>
                <w:rFonts w:ascii="Times New Roman" w:hAnsi="Times New Roman" w:eastAsia="宋体" w:cs="Times New Roman"/>
                <w:color w:val="auto"/>
                <w:sz w:val="24"/>
                <w:szCs w:val="20"/>
                <w:highlight w:val="none"/>
              </w:rPr>
              <w:t>环保措施具有可行性，项目的建设和</w:t>
            </w:r>
            <w:r>
              <w:rPr>
                <w:rFonts w:hint="eastAsia" w:cs="Times New Roman"/>
                <w:color w:val="auto"/>
                <w:sz w:val="24"/>
                <w:szCs w:val="20"/>
                <w:highlight w:val="none"/>
                <w:lang w:eastAsia="zh-CN"/>
              </w:rPr>
              <w:t>运营</w:t>
            </w:r>
            <w:r>
              <w:rPr>
                <w:rFonts w:ascii="Times New Roman" w:hAnsi="Times New Roman" w:eastAsia="宋体" w:cs="Times New Roman"/>
                <w:color w:val="auto"/>
                <w:sz w:val="24"/>
                <w:szCs w:val="20"/>
                <w:highlight w:val="none"/>
              </w:rPr>
              <w:t>不会对区域环境质量造成明显影响。因此本评价认为，项目在落实本环评提出的环保措施后，施工期和运营期产生的负面影响是可以得到有效控制的，并能为环境所接受。因此，从</w:t>
            </w:r>
            <w:r>
              <w:rPr>
                <w:rFonts w:hint="eastAsia" w:ascii="Times New Roman" w:hAnsi="Times New Roman" w:eastAsia="宋体" w:cs="Times New Roman"/>
                <w:color w:val="auto"/>
                <w:sz w:val="24"/>
                <w:szCs w:val="20"/>
                <w:highlight w:val="none"/>
                <w:lang w:eastAsia="zh-CN"/>
              </w:rPr>
              <w:t>环境影响评价</w:t>
            </w:r>
            <w:r>
              <w:rPr>
                <w:rFonts w:ascii="Times New Roman" w:hAnsi="Times New Roman" w:eastAsia="宋体" w:cs="Times New Roman"/>
                <w:color w:val="auto"/>
                <w:sz w:val="24"/>
                <w:szCs w:val="20"/>
                <w:highlight w:val="none"/>
              </w:rPr>
              <w:t>角度来说，本项目的建设是可行的。</w:t>
            </w:r>
            <w:bookmarkEnd w:id="3"/>
          </w:p>
          <w:p w14:paraId="7ACC8E4A">
            <w:pPr>
              <w:keepNext w:val="0"/>
              <w:keepLines w:val="0"/>
              <w:pageBreakBefore w:val="0"/>
              <w:widowControl w:val="0"/>
              <w:kinsoku/>
              <w:wordWrap/>
              <w:overflowPunct/>
              <w:topLinePunct w:val="0"/>
              <w:autoSpaceDE/>
              <w:autoSpaceDN/>
              <w:bidi w:val="0"/>
              <w:adjustRightInd/>
              <w:snapToGrid/>
              <w:spacing w:before="313" w:beforeLines="100" w:line="420" w:lineRule="auto"/>
              <w:ind w:left="0" w:firstLine="480" w:firstLineChars="200"/>
              <w:jc w:val="both"/>
              <w:textAlignment w:val="auto"/>
              <w:rPr>
                <w:rFonts w:hint="eastAsia" w:ascii="Times New Roman" w:hAnsi="Times New Roman" w:eastAsia="宋体" w:cs="Times New Roman"/>
                <w:color w:val="auto"/>
                <w:sz w:val="24"/>
                <w:szCs w:val="20"/>
                <w:highlight w:val="none"/>
                <w:lang w:val="en-US" w:eastAsia="zh-CN"/>
              </w:rPr>
            </w:pPr>
          </w:p>
          <w:p w14:paraId="1AA2CDD8">
            <w:pPr>
              <w:spacing w:line="360" w:lineRule="auto"/>
              <w:jc w:val="both"/>
              <w:rPr>
                <w:rFonts w:ascii="宋体" w:cs="宋体"/>
                <w:color w:val="auto"/>
                <w:sz w:val="24"/>
                <w:highlight w:val="none"/>
              </w:rPr>
            </w:pPr>
          </w:p>
        </w:tc>
      </w:tr>
    </w:tbl>
    <w:p w14:paraId="4D81BDF7"/>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B4BEC65-EF03-4C44-B4F2-4FA0F17AA3F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D5F6B323-CFEE-49E4-9892-8B6740193EFC}"/>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3" w:fontKey="{43972F21-F396-4BA2-914C-AA3601679126}"/>
  </w:font>
  <w:font w:name="方正小标宋_GBK">
    <w:altName w:val="微软雅黑"/>
    <w:panose1 w:val="02000000000000000000"/>
    <w:charset w:val="7A"/>
    <w:family w:val="script"/>
    <w:pitch w:val="default"/>
    <w:sig w:usb0="00000000" w:usb1="00000000" w:usb2="00082016" w:usb3="00000000" w:csb0="00040001" w:csb1="00000000"/>
    <w:embedRegular r:id="rId4" w:fontKey="{B1F3E7A7-AE49-41EB-A8D3-973FD4FE1A1D}"/>
  </w:font>
  <w:font w:name="Arial Unicode MS">
    <w:altName w:val="宋体"/>
    <w:panose1 w:val="020B0604020202020204"/>
    <w:charset w:val="86"/>
    <w:family w:val="auto"/>
    <w:pitch w:val="default"/>
    <w:sig w:usb0="00000000" w:usb1="00000000" w:usb2="0000003F" w:usb3="00000000" w:csb0="603F01FF" w:csb1="FFFF0000"/>
  </w:font>
  <w:font w:name="Helvetica">
    <w:altName w:val="Arial"/>
    <w:panose1 w:val="00000000000000000000"/>
    <w:charset w:val="00"/>
    <w:family w:val="roman"/>
    <w:pitch w:val="default"/>
    <w:sig w:usb0="00000000" w:usb1="00000000" w:usb2="00000000" w:usb3="00000000" w:csb0="00000001" w:csb1="00000000"/>
    <w:embedRegular r:id="rId5" w:fontKey="{A11DB370-9C39-400D-AFB5-FA823A15F143}"/>
  </w:font>
  <w:font w:name="Segoe UI">
    <w:panose1 w:val="020B0502040204020203"/>
    <w:charset w:val="00"/>
    <w:family w:val="auto"/>
    <w:pitch w:val="default"/>
    <w:sig w:usb0="E4002EFF" w:usb1="C000E47F" w:usb2="00000009" w:usb3="00000000" w:csb0="200001FF" w:csb1="00000000"/>
    <w:embedRegular r:id="rId6" w:fontKey="{D1AE9A0A-E3D8-458A-827D-EB1A74CD56FD}"/>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auto"/>
    <w:pitch w:val="default"/>
    <w:sig w:usb0="00000000" w:usb1="00000000" w:usb2="00000000" w:usb3="00000000" w:csb0="00040001" w:csb1="00000000"/>
    <w:embedRegular r:id="rId7" w:fontKey="{F278D785-209B-41F6-A56A-FD9D13F2E9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09012">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2F8D5">
    <w:pPr>
      <w:pStyle w:val="1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BBBC69">
                          <w:pPr>
                            <w:pStyle w:val="1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4</w:t>
                          </w:r>
                          <w:r>
                            <w:rPr>
                              <w:sz w:val="21"/>
                              <w:szCs w:val="21"/>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KwRDNzAEAAJ0DAAAOAAAAAAAAAAEAIAAAAB4BAABkcnMvZTJv&#10;RG9jLnhtbFBLBQYAAAAABgAGAFkBAABcBQAAAAA=&#10;">
              <v:fill on="f" focussize="0,0"/>
              <v:stroke on="f"/>
              <v:imagedata o:title=""/>
              <o:lock v:ext="edit" aspectratio="f"/>
              <v:textbox inset="0mm,0mm,0mm,0mm" style="mso-fit-shape-to-text:t;">
                <w:txbxContent>
                  <w:p w14:paraId="7DBBBC69">
                    <w:pPr>
                      <w:pStyle w:val="1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4</w:t>
                    </w:r>
                    <w:r>
                      <w:rPr>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3059C">
    <w:pPr>
      <w:pStyle w:val="15"/>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ED9A22">
                          <w:pPr>
                            <w:pStyle w:val="15"/>
                          </w:pPr>
                          <w:r>
                            <w:fldChar w:fldCharType="begin"/>
                          </w:r>
                          <w:r>
                            <w:instrText xml:space="preserve"> PAGE  \* MERGEFORMAT </w:instrText>
                          </w:r>
                          <w:r>
                            <w:fldChar w:fldCharType="separate"/>
                          </w:r>
                          <w:r>
                            <w:t>15</w:t>
                          </w:r>
                          <w:r>
                            <w:fldChar w:fldCharType="end"/>
                          </w: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DA35WzAEAAJ0DAAAOAAAAAAAAAAEAIAAAAB4BAABkcnMvZTJv&#10;RG9jLnhtbFBLBQYAAAAABgAGAFkBAABcBQAAAAA=&#10;">
              <v:fill on="f" focussize="0,0"/>
              <v:stroke on="f"/>
              <v:imagedata o:title=""/>
              <o:lock v:ext="edit" aspectratio="f"/>
              <v:textbox inset="0mm,0mm,0mm,0mm" style="mso-fit-shape-to-text:t;">
                <w:txbxContent>
                  <w:p w14:paraId="00ED9A22">
                    <w:pPr>
                      <w:pStyle w:val="15"/>
                    </w:pPr>
                    <w:r>
                      <w:fldChar w:fldCharType="begin"/>
                    </w:r>
                    <w:r>
                      <w:instrText xml:space="preserve"> PAGE  \* MERGEFORMAT </w:instrText>
                    </w:r>
                    <w:r>
                      <w:fldChar w:fldCharType="separate"/>
                    </w:r>
                    <w:r>
                      <w:t>15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AB0F9C"/>
    <w:multiLevelType w:val="singleLevel"/>
    <w:tmpl w:val="91AB0F9C"/>
    <w:lvl w:ilvl="0" w:tentative="0">
      <w:start w:val="2"/>
      <w:numFmt w:val="decimal"/>
      <w:suff w:val="nothing"/>
      <w:lvlText w:val="%1、"/>
      <w:lvlJc w:val="left"/>
      <w:pPr>
        <w:ind w:left="-300"/>
      </w:pPr>
    </w:lvl>
  </w:abstractNum>
  <w:abstractNum w:abstractNumId="1">
    <w:nsid w:val="B912CC63"/>
    <w:multiLevelType w:val="singleLevel"/>
    <w:tmpl w:val="B912CC63"/>
    <w:lvl w:ilvl="0" w:tentative="0">
      <w:start w:val="1"/>
      <w:numFmt w:val="decimal"/>
      <w:suff w:val="nothing"/>
      <w:lvlText w:val="（%1）"/>
      <w:lvlJc w:val="left"/>
    </w:lvl>
  </w:abstractNum>
  <w:abstractNum w:abstractNumId="2">
    <w:nsid w:val="D42784DD"/>
    <w:multiLevelType w:val="singleLevel"/>
    <w:tmpl w:val="D42784DD"/>
    <w:lvl w:ilvl="0" w:tentative="0">
      <w:start w:val="1"/>
      <w:numFmt w:val="decimal"/>
      <w:suff w:val="nothing"/>
      <w:lvlText w:val="（%1）"/>
      <w:lvlJc w:val="left"/>
      <w:pPr>
        <w:ind w:left="0" w:firstLine="122"/>
      </w:pPr>
    </w:lvl>
  </w:abstractNum>
  <w:abstractNum w:abstractNumId="3">
    <w:nsid w:val="D702E1FE"/>
    <w:multiLevelType w:val="singleLevel"/>
    <w:tmpl w:val="D702E1FE"/>
    <w:lvl w:ilvl="0" w:tentative="0">
      <w:start w:val="3"/>
      <w:numFmt w:val="chineseCounting"/>
      <w:suff w:val="nothing"/>
      <w:lvlText w:val="%1、"/>
      <w:lvlJc w:val="left"/>
      <w:rPr>
        <w:rFonts w:hint="eastAsia"/>
      </w:rPr>
    </w:lvl>
  </w:abstractNum>
  <w:abstractNum w:abstractNumId="4">
    <w:nsid w:val="F866A9C9"/>
    <w:multiLevelType w:val="singleLevel"/>
    <w:tmpl w:val="F866A9C9"/>
    <w:lvl w:ilvl="0" w:tentative="0">
      <w:start w:val="2"/>
      <w:numFmt w:val="decimal"/>
      <w:suff w:val="nothing"/>
      <w:lvlText w:val="（%1）"/>
      <w:lvlJc w:val="left"/>
    </w:lvl>
  </w:abstractNum>
  <w:abstractNum w:abstractNumId="5">
    <w:nsid w:val="00000005"/>
    <w:multiLevelType w:val="singleLevel"/>
    <w:tmpl w:val="00000005"/>
    <w:lvl w:ilvl="0" w:tentative="0">
      <w:start w:val="1"/>
      <w:numFmt w:val="decimal"/>
      <w:suff w:val="nothing"/>
      <w:lvlText w:val="%1、"/>
      <w:lvlJc w:val="left"/>
    </w:lvl>
  </w:abstractNum>
  <w:abstractNum w:abstractNumId="6">
    <w:nsid w:val="3277C77E"/>
    <w:multiLevelType w:val="singleLevel"/>
    <w:tmpl w:val="3277C77E"/>
    <w:lvl w:ilvl="0" w:tentative="0">
      <w:start w:val="1"/>
      <w:numFmt w:val="decimal"/>
      <w:suff w:val="nothing"/>
      <w:lvlText w:val="%1、"/>
      <w:lvlJc w:val="left"/>
    </w:lvl>
  </w:abstractNum>
  <w:abstractNum w:abstractNumId="7">
    <w:nsid w:val="3C95E218"/>
    <w:multiLevelType w:val="singleLevel"/>
    <w:tmpl w:val="3C95E218"/>
    <w:lvl w:ilvl="0" w:tentative="0">
      <w:start w:val="1"/>
      <w:numFmt w:val="decimal"/>
      <w:suff w:val="nothing"/>
      <w:lvlText w:val="%1）"/>
      <w:lvlJc w:val="left"/>
    </w:lvl>
  </w:abstractNum>
  <w:abstractNum w:abstractNumId="8">
    <w:nsid w:val="4EFAB09F"/>
    <w:multiLevelType w:val="singleLevel"/>
    <w:tmpl w:val="4EFAB09F"/>
    <w:lvl w:ilvl="0" w:tentative="0">
      <w:start w:val="1"/>
      <w:numFmt w:val="upperLetter"/>
      <w:suff w:val="nothing"/>
      <w:lvlText w:val="%1、"/>
      <w:lvlJc w:val="left"/>
    </w:lvl>
  </w:abstractNum>
  <w:num w:numId="1">
    <w:abstractNumId w:val="2"/>
  </w:num>
  <w:num w:numId="2">
    <w:abstractNumId w:val="0"/>
  </w:num>
  <w:num w:numId="3">
    <w:abstractNumId w:val="3"/>
  </w:num>
  <w:num w:numId="4">
    <w:abstractNumId w:val="5"/>
  </w:num>
  <w:num w:numId="5">
    <w:abstractNumId w:val="6"/>
  </w:num>
  <w:num w:numId="6">
    <w:abstractNumId w:val="7"/>
  </w:num>
  <w:num w:numId="7">
    <w:abstractNumId w:val="4"/>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kYTQxMjI4YjdiMTU4YjhkYjc4ZGEyNTllNDY2ZmY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42D4"/>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716"/>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21D9"/>
    <w:rsid w:val="00356653"/>
    <w:rsid w:val="0035743F"/>
    <w:rsid w:val="00357BE2"/>
    <w:rsid w:val="0036170C"/>
    <w:rsid w:val="00366E0F"/>
    <w:rsid w:val="00381A72"/>
    <w:rsid w:val="00384676"/>
    <w:rsid w:val="00390857"/>
    <w:rsid w:val="003A4BF3"/>
    <w:rsid w:val="003A6B66"/>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25B2D"/>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2EF7"/>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641FB"/>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6409"/>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1278"/>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3F3C5D"/>
    <w:rsid w:val="015D1E09"/>
    <w:rsid w:val="01695955"/>
    <w:rsid w:val="0179546C"/>
    <w:rsid w:val="01844D0B"/>
    <w:rsid w:val="01846A0F"/>
    <w:rsid w:val="01C26E13"/>
    <w:rsid w:val="01CB024B"/>
    <w:rsid w:val="01E167F5"/>
    <w:rsid w:val="020331A7"/>
    <w:rsid w:val="020A4A48"/>
    <w:rsid w:val="023218CA"/>
    <w:rsid w:val="02697903"/>
    <w:rsid w:val="02DA76BF"/>
    <w:rsid w:val="02F23AB4"/>
    <w:rsid w:val="02F96569"/>
    <w:rsid w:val="02FA25DD"/>
    <w:rsid w:val="03082F4B"/>
    <w:rsid w:val="03317654"/>
    <w:rsid w:val="03361D14"/>
    <w:rsid w:val="036F6B27"/>
    <w:rsid w:val="03973085"/>
    <w:rsid w:val="03C2759E"/>
    <w:rsid w:val="03C76963"/>
    <w:rsid w:val="03C84489"/>
    <w:rsid w:val="03EA7B21"/>
    <w:rsid w:val="03F35447"/>
    <w:rsid w:val="03FB03BA"/>
    <w:rsid w:val="040E4592"/>
    <w:rsid w:val="041F679F"/>
    <w:rsid w:val="04425A79"/>
    <w:rsid w:val="04726A52"/>
    <w:rsid w:val="04974597"/>
    <w:rsid w:val="04BE40CC"/>
    <w:rsid w:val="04C16F30"/>
    <w:rsid w:val="04E75897"/>
    <w:rsid w:val="05162CD5"/>
    <w:rsid w:val="05720AEB"/>
    <w:rsid w:val="0580326D"/>
    <w:rsid w:val="05BB42A5"/>
    <w:rsid w:val="05EC1406"/>
    <w:rsid w:val="05F83EAE"/>
    <w:rsid w:val="063D0DA6"/>
    <w:rsid w:val="063E7D85"/>
    <w:rsid w:val="06BC6527"/>
    <w:rsid w:val="07293586"/>
    <w:rsid w:val="07295285"/>
    <w:rsid w:val="07441A17"/>
    <w:rsid w:val="0751041D"/>
    <w:rsid w:val="07636392"/>
    <w:rsid w:val="07756CB4"/>
    <w:rsid w:val="07770C56"/>
    <w:rsid w:val="07894FB0"/>
    <w:rsid w:val="078F59E9"/>
    <w:rsid w:val="07DB2536"/>
    <w:rsid w:val="07F730C0"/>
    <w:rsid w:val="080A4AD9"/>
    <w:rsid w:val="081A063F"/>
    <w:rsid w:val="082E5202"/>
    <w:rsid w:val="083245C7"/>
    <w:rsid w:val="08395955"/>
    <w:rsid w:val="085B58CB"/>
    <w:rsid w:val="088B6211"/>
    <w:rsid w:val="08A234FA"/>
    <w:rsid w:val="08D77648"/>
    <w:rsid w:val="08E6462C"/>
    <w:rsid w:val="08EE7D90"/>
    <w:rsid w:val="0901561F"/>
    <w:rsid w:val="092217DD"/>
    <w:rsid w:val="09345771"/>
    <w:rsid w:val="093A7294"/>
    <w:rsid w:val="09E638BB"/>
    <w:rsid w:val="09FA45C2"/>
    <w:rsid w:val="0A0C3FB8"/>
    <w:rsid w:val="0A263993"/>
    <w:rsid w:val="0A2D3AC2"/>
    <w:rsid w:val="0A41242B"/>
    <w:rsid w:val="0A557AA3"/>
    <w:rsid w:val="0A5B3FCC"/>
    <w:rsid w:val="0A80731A"/>
    <w:rsid w:val="0AA43DAB"/>
    <w:rsid w:val="0AA755DF"/>
    <w:rsid w:val="0AB87005"/>
    <w:rsid w:val="0B047F5B"/>
    <w:rsid w:val="0B120D44"/>
    <w:rsid w:val="0B1C1FC9"/>
    <w:rsid w:val="0BC30E54"/>
    <w:rsid w:val="0BC945AB"/>
    <w:rsid w:val="0BD27BF6"/>
    <w:rsid w:val="0C0421B3"/>
    <w:rsid w:val="0C13125D"/>
    <w:rsid w:val="0C1D7860"/>
    <w:rsid w:val="0C3B3C7D"/>
    <w:rsid w:val="0C651669"/>
    <w:rsid w:val="0C6A432F"/>
    <w:rsid w:val="0C756913"/>
    <w:rsid w:val="0C9C64B3"/>
    <w:rsid w:val="0CAB2EAE"/>
    <w:rsid w:val="0CD01F68"/>
    <w:rsid w:val="0CDD3410"/>
    <w:rsid w:val="0CE148D2"/>
    <w:rsid w:val="0D3C364C"/>
    <w:rsid w:val="0D5154EF"/>
    <w:rsid w:val="0D621C7D"/>
    <w:rsid w:val="0D7C256C"/>
    <w:rsid w:val="0DAD6BC9"/>
    <w:rsid w:val="0DCB52A1"/>
    <w:rsid w:val="0DE14AC5"/>
    <w:rsid w:val="0DE92646"/>
    <w:rsid w:val="0E145FD5"/>
    <w:rsid w:val="0E2315D2"/>
    <w:rsid w:val="0E39220B"/>
    <w:rsid w:val="0E4E2C9E"/>
    <w:rsid w:val="0E73034D"/>
    <w:rsid w:val="0E8139DB"/>
    <w:rsid w:val="0E8F4521"/>
    <w:rsid w:val="0EF16F8A"/>
    <w:rsid w:val="0F13775A"/>
    <w:rsid w:val="0F5F45FE"/>
    <w:rsid w:val="0F76748F"/>
    <w:rsid w:val="0F9A112B"/>
    <w:rsid w:val="0FAE09D7"/>
    <w:rsid w:val="0FF040AA"/>
    <w:rsid w:val="10091618"/>
    <w:rsid w:val="10130B2C"/>
    <w:rsid w:val="10256733"/>
    <w:rsid w:val="106D2F64"/>
    <w:rsid w:val="10B63710"/>
    <w:rsid w:val="10BA0C81"/>
    <w:rsid w:val="10F10820"/>
    <w:rsid w:val="10F41CFC"/>
    <w:rsid w:val="10FC4B71"/>
    <w:rsid w:val="111C2F7A"/>
    <w:rsid w:val="113B0990"/>
    <w:rsid w:val="11641C95"/>
    <w:rsid w:val="116577BB"/>
    <w:rsid w:val="11665CA1"/>
    <w:rsid w:val="116946CE"/>
    <w:rsid w:val="116D71F8"/>
    <w:rsid w:val="11905098"/>
    <w:rsid w:val="11BA3663"/>
    <w:rsid w:val="12057C3A"/>
    <w:rsid w:val="122D652B"/>
    <w:rsid w:val="122E4051"/>
    <w:rsid w:val="12445622"/>
    <w:rsid w:val="125E4238"/>
    <w:rsid w:val="126349AF"/>
    <w:rsid w:val="128A572B"/>
    <w:rsid w:val="1297339E"/>
    <w:rsid w:val="12A65ED6"/>
    <w:rsid w:val="130663F9"/>
    <w:rsid w:val="133F386E"/>
    <w:rsid w:val="13491142"/>
    <w:rsid w:val="135576AB"/>
    <w:rsid w:val="1358795A"/>
    <w:rsid w:val="13621BB7"/>
    <w:rsid w:val="13734411"/>
    <w:rsid w:val="138A175B"/>
    <w:rsid w:val="13916645"/>
    <w:rsid w:val="13951726"/>
    <w:rsid w:val="13D83EAC"/>
    <w:rsid w:val="14263231"/>
    <w:rsid w:val="14396509"/>
    <w:rsid w:val="14DD2C3C"/>
    <w:rsid w:val="14E338A7"/>
    <w:rsid w:val="14F615A9"/>
    <w:rsid w:val="15C7252E"/>
    <w:rsid w:val="15DD1FEF"/>
    <w:rsid w:val="16087E1D"/>
    <w:rsid w:val="16210154"/>
    <w:rsid w:val="16433DC7"/>
    <w:rsid w:val="1657024C"/>
    <w:rsid w:val="16677B31"/>
    <w:rsid w:val="16895AB9"/>
    <w:rsid w:val="1699418F"/>
    <w:rsid w:val="169F376F"/>
    <w:rsid w:val="16B1614D"/>
    <w:rsid w:val="16C551B7"/>
    <w:rsid w:val="171F3471"/>
    <w:rsid w:val="173159F1"/>
    <w:rsid w:val="17550A1B"/>
    <w:rsid w:val="17621497"/>
    <w:rsid w:val="1763721D"/>
    <w:rsid w:val="17701D14"/>
    <w:rsid w:val="17710C68"/>
    <w:rsid w:val="17735226"/>
    <w:rsid w:val="18037F78"/>
    <w:rsid w:val="18077516"/>
    <w:rsid w:val="18411931"/>
    <w:rsid w:val="185A794E"/>
    <w:rsid w:val="186A1297"/>
    <w:rsid w:val="188E0195"/>
    <w:rsid w:val="189C0E0B"/>
    <w:rsid w:val="189F624C"/>
    <w:rsid w:val="18AE7C99"/>
    <w:rsid w:val="190B27A0"/>
    <w:rsid w:val="192432CE"/>
    <w:rsid w:val="19CF1C75"/>
    <w:rsid w:val="19D2505F"/>
    <w:rsid w:val="19DD2996"/>
    <w:rsid w:val="1A002777"/>
    <w:rsid w:val="1A1C66C0"/>
    <w:rsid w:val="1A337511"/>
    <w:rsid w:val="1A42393B"/>
    <w:rsid w:val="1A6320AD"/>
    <w:rsid w:val="1A68631B"/>
    <w:rsid w:val="1A730DD5"/>
    <w:rsid w:val="1A8C5DB8"/>
    <w:rsid w:val="1AAD45DE"/>
    <w:rsid w:val="1AD02149"/>
    <w:rsid w:val="1AE212B4"/>
    <w:rsid w:val="1AF001F0"/>
    <w:rsid w:val="1B046F80"/>
    <w:rsid w:val="1B1C713C"/>
    <w:rsid w:val="1B3267B5"/>
    <w:rsid w:val="1B40161D"/>
    <w:rsid w:val="1B441859"/>
    <w:rsid w:val="1B610FF3"/>
    <w:rsid w:val="1B6606B1"/>
    <w:rsid w:val="1BD772A2"/>
    <w:rsid w:val="1C026332"/>
    <w:rsid w:val="1C0302FC"/>
    <w:rsid w:val="1C037E84"/>
    <w:rsid w:val="1C1F67D0"/>
    <w:rsid w:val="1C4E1577"/>
    <w:rsid w:val="1C5E7925"/>
    <w:rsid w:val="1C76645C"/>
    <w:rsid w:val="1C8F3957"/>
    <w:rsid w:val="1CCD7586"/>
    <w:rsid w:val="1CE61A3F"/>
    <w:rsid w:val="1CF01C4F"/>
    <w:rsid w:val="1CFD070F"/>
    <w:rsid w:val="1D2C1D40"/>
    <w:rsid w:val="1D330575"/>
    <w:rsid w:val="1D331421"/>
    <w:rsid w:val="1D3E1AFE"/>
    <w:rsid w:val="1D5C39D0"/>
    <w:rsid w:val="1D5F6196"/>
    <w:rsid w:val="1D6132A5"/>
    <w:rsid w:val="1D8E56D5"/>
    <w:rsid w:val="1DD261D8"/>
    <w:rsid w:val="1DD27F86"/>
    <w:rsid w:val="1DF46C75"/>
    <w:rsid w:val="1E7172E9"/>
    <w:rsid w:val="1E7A43DA"/>
    <w:rsid w:val="1E872FCB"/>
    <w:rsid w:val="1E916852"/>
    <w:rsid w:val="1EAF40A9"/>
    <w:rsid w:val="1EFA59E6"/>
    <w:rsid w:val="1F147B51"/>
    <w:rsid w:val="1F187646"/>
    <w:rsid w:val="1F8E6E86"/>
    <w:rsid w:val="1FAB3DAD"/>
    <w:rsid w:val="1FE7539E"/>
    <w:rsid w:val="1FFE1506"/>
    <w:rsid w:val="202445EA"/>
    <w:rsid w:val="20671BE0"/>
    <w:rsid w:val="206F7D0E"/>
    <w:rsid w:val="20790B8D"/>
    <w:rsid w:val="207A032B"/>
    <w:rsid w:val="20963CB8"/>
    <w:rsid w:val="20A81A1B"/>
    <w:rsid w:val="20B07FB6"/>
    <w:rsid w:val="20B646FB"/>
    <w:rsid w:val="20CF4C51"/>
    <w:rsid w:val="20E20A6D"/>
    <w:rsid w:val="20E86627"/>
    <w:rsid w:val="212A1E87"/>
    <w:rsid w:val="212B00D9"/>
    <w:rsid w:val="213B74B1"/>
    <w:rsid w:val="215A2310"/>
    <w:rsid w:val="217F21D3"/>
    <w:rsid w:val="21DE318A"/>
    <w:rsid w:val="21EF5B80"/>
    <w:rsid w:val="21F949F4"/>
    <w:rsid w:val="22250FCC"/>
    <w:rsid w:val="22270C24"/>
    <w:rsid w:val="22573150"/>
    <w:rsid w:val="22576990"/>
    <w:rsid w:val="22C407E5"/>
    <w:rsid w:val="22D327D6"/>
    <w:rsid w:val="22F47480"/>
    <w:rsid w:val="2322058C"/>
    <w:rsid w:val="234901C3"/>
    <w:rsid w:val="23815D4C"/>
    <w:rsid w:val="23A0578C"/>
    <w:rsid w:val="23DE1C48"/>
    <w:rsid w:val="23FC3FAF"/>
    <w:rsid w:val="240210CD"/>
    <w:rsid w:val="24174945"/>
    <w:rsid w:val="248F6BD1"/>
    <w:rsid w:val="249441E7"/>
    <w:rsid w:val="24BB3F69"/>
    <w:rsid w:val="24BF09F7"/>
    <w:rsid w:val="24FE5B05"/>
    <w:rsid w:val="252D53FE"/>
    <w:rsid w:val="254C60A9"/>
    <w:rsid w:val="25C12DBA"/>
    <w:rsid w:val="25EC2D81"/>
    <w:rsid w:val="25F45EFD"/>
    <w:rsid w:val="25F969F8"/>
    <w:rsid w:val="26062EC3"/>
    <w:rsid w:val="26217CFD"/>
    <w:rsid w:val="26413EFB"/>
    <w:rsid w:val="266E65C6"/>
    <w:rsid w:val="267B4FA6"/>
    <w:rsid w:val="26B07514"/>
    <w:rsid w:val="26B66697"/>
    <w:rsid w:val="26D57D33"/>
    <w:rsid w:val="26EA7BDE"/>
    <w:rsid w:val="26EF7DFB"/>
    <w:rsid w:val="27155488"/>
    <w:rsid w:val="27174C5C"/>
    <w:rsid w:val="27351CB2"/>
    <w:rsid w:val="2753728B"/>
    <w:rsid w:val="27602AA7"/>
    <w:rsid w:val="27686929"/>
    <w:rsid w:val="277057A2"/>
    <w:rsid w:val="27972BCC"/>
    <w:rsid w:val="2820596A"/>
    <w:rsid w:val="28237D5C"/>
    <w:rsid w:val="282961E1"/>
    <w:rsid w:val="2865547B"/>
    <w:rsid w:val="28695E01"/>
    <w:rsid w:val="28940C5A"/>
    <w:rsid w:val="28983C59"/>
    <w:rsid w:val="28EF5E90"/>
    <w:rsid w:val="29206EB8"/>
    <w:rsid w:val="293461B3"/>
    <w:rsid w:val="29595666"/>
    <w:rsid w:val="295E7D6B"/>
    <w:rsid w:val="29874881"/>
    <w:rsid w:val="298A635B"/>
    <w:rsid w:val="29A7676B"/>
    <w:rsid w:val="29C42F93"/>
    <w:rsid w:val="29E10344"/>
    <w:rsid w:val="29E325E0"/>
    <w:rsid w:val="29EE456B"/>
    <w:rsid w:val="29EF7F41"/>
    <w:rsid w:val="29F00112"/>
    <w:rsid w:val="2A110E94"/>
    <w:rsid w:val="2A452503"/>
    <w:rsid w:val="2A467D32"/>
    <w:rsid w:val="2AAD0D12"/>
    <w:rsid w:val="2AC256E9"/>
    <w:rsid w:val="2AC31382"/>
    <w:rsid w:val="2AF92FF6"/>
    <w:rsid w:val="2AFC4894"/>
    <w:rsid w:val="2B062DDC"/>
    <w:rsid w:val="2B147E30"/>
    <w:rsid w:val="2B441D73"/>
    <w:rsid w:val="2B716DF2"/>
    <w:rsid w:val="2BA936A8"/>
    <w:rsid w:val="2BAF037E"/>
    <w:rsid w:val="2C061E34"/>
    <w:rsid w:val="2C315A5A"/>
    <w:rsid w:val="2C4B1C25"/>
    <w:rsid w:val="2C5A79A9"/>
    <w:rsid w:val="2C8763E0"/>
    <w:rsid w:val="2CBC4EEC"/>
    <w:rsid w:val="2D031F0A"/>
    <w:rsid w:val="2D890B44"/>
    <w:rsid w:val="2D9E56F5"/>
    <w:rsid w:val="2DA23164"/>
    <w:rsid w:val="2DA97DF9"/>
    <w:rsid w:val="2DBE22D5"/>
    <w:rsid w:val="2DCE076A"/>
    <w:rsid w:val="2DE47C35"/>
    <w:rsid w:val="2DF45CF7"/>
    <w:rsid w:val="2E6115DE"/>
    <w:rsid w:val="2E667F96"/>
    <w:rsid w:val="2E8226AB"/>
    <w:rsid w:val="2E960B5C"/>
    <w:rsid w:val="2EAE60AC"/>
    <w:rsid w:val="2EAF6B70"/>
    <w:rsid w:val="2F1F79DF"/>
    <w:rsid w:val="2F3D7770"/>
    <w:rsid w:val="2F622FA8"/>
    <w:rsid w:val="2F6824F8"/>
    <w:rsid w:val="2F9F4F27"/>
    <w:rsid w:val="2FBE05D3"/>
    <w:rsid w:val="2FD065E6"/>
    <w:rsid w:val="2FD96870"/>
    <w:rsid w:val="2FEB12D8"/>
    <w:rsid w:val="2FF06809"/>
    <w:rsid w:val="3050201B"/>
    <w:rsid w:val="30580BC9"/>
    <w:rsid w:val="307B0E4C"/>
    <w:rsid w:val="308C42AB"/>
    <w:rsid w:val="30943D5A"/>
    <w:rsid w:val="30C41C15"/>
    <w:rsid w:val="30D77936"/>
    <w:rsid w:val="30E81B43"/>
    <w:rsid w:val="30E87D95"/>
    <w:rsid w:val="310E5FC1"/>
    <w:rsid w:val="311E2ED7"/>
    <w:rsid w:val="315619EE"/>
    <w:rsid w:val="315971CC"/>
    <w:rsid w:val="315C449C"/>
    <w:rsid w:val="31603C8E"/>
    <w:rsid w:val="31687D65"/>
    <w:rsid w:val="317678B5"/>
    <w:rsid w:val="318F2126"/>
    <w:rsid w:val="31B82709"/>
    <w:rsid w:val="31D05482"/>
    <w:rsid w:val="31E156ED"/>
    <w:rsid w:val="31FD161E"/>
    <w:rsid w:val="32400B34"/>
    <w:rsid w:val="32472899"/>
    <w:rsid w:val="32655415"/>
    <w:rsid w:val="32715B68"/>
    <w:rsid w:val="32770AE2"/>
    <w:rsid w:val="329E6876"/>
    <w:rsid w:val="32CC0FF0"/>
    <w:rsid w:val="32F01183"/>
    <w:rsid w:val="32FA3DAF"/>
    <w:rsid w:val="33160DF0"/>
    <w:rsid w:val="332A09AF"/>
    <w:rsid w:val="332F1EE3"/>
    <w:rsid w:val="333015F2"/>
    <w:rsid w:val="333A15F4"/>
    <w:rsid w:val="33420F85"/>
    <w:rsid w:val="334B6320"/>
    <w:rsid w:val="33BC2E13"/>
    <w:rsid w:val="33CD0744"/>
    <w:rsid w:val="33CE2CB8"/>
    <w:rsid w:val="33D934D4"/>
    <w:rsid w:val="33F3581F"/>
    <w:rsid w:val="33F95E15"/>
    <w:rsid w:val="33FA0BE5"/>
    <w:rsid w:val="33FE2F6A"/>
    <w:rsid w:val="340E07E5"/>
    <w:rsid w:val="34235BF7"/>
    <w:rsid w:val="343A1CD5"/>
    <w:rsid w:val="34401C96"/>
    <w:rsid w:val="34607876"/>
    <w:rsid w:val="34B97ED5"/>
    <w:rsid w:val="34BC5B05"/>
    <w:rsid w:val="35417559"/>
    <w:rsid w:val="354F3660"/>
    <w:rsid w:val="35586B6B"/>
    <w:rsid w:val="35643762"/>
    <w:rsid w:val="358C5FA8"/>
    <w:rsid w:val="35B20971"/>
    <w:rsid w:val="35C15DF1"/>
    <w:rsid w:val="35CF1523"/>
    <w:rsid w:val="35CF507F"/>
    <w:rsid w:val="36074A7F"/>
    <w:rsid w:val="36121410"/>
    <w:rsid w:val="362115CD"/>
    <w:rsid w:val="3645478B"/>
    <w:rsid w:val="36923549"/>
    <w:rsid w:val="369E4A52"/>
    <w:rsid w:val="36B75FBF"/>
    <w:rsid w:val="36BD0C45"/>
    <w:rsid w:val="36CE1B09"/>
    <w:rsid w:val="36F020EC"/>
    <w:rsid w:val="37515F68"/>
    <w:rsid w:val="377240E4"/>
    <w:rsid w:val="37B74F66"/>
    <w:rsid w:val="37E00298"/>
    <w:rsid w:val="37E40B8A"/>
    <w:rsid w:val="380D1E8F"/>
    <w:rsid w:val="38111AC4"/>
    <w:rsid w:val="3844274C"/>
    <w:rsid w:val="389425B0"/>
    <w:rsid w:val="38A071A7"/>
    <w:rsid w:val="38B302F9"/>
    <w:rsid w:val="38F12CD3"/>
    <w:rsid w:val="38F66DC7"/>
    <w:rsid w:val="38F94775"/>
    <w:rsid w:val="39096AFA"/>
    <w:rsid w:val="392971ED"/>
    <w:rsid w:val="39325651"/>
    <w:rsid w:val="39423DBA"/>
    <w:rsid w:val="39643D30"/>
    <w:rsid w:val="397E5FE3"/>
    <w:rsid w:val="39882115"/>
    <w:rsid w:val="39A64349"/>
    <w:rsid w:val="39AD25AF"/>
    <w:rsid w:val="39AE76A2"/>
    <w:rsid w:val="39C06330"/>
    <w:rsid w:val="3A343405"/>
    <w:rsid w:val="3A4C1ABC"/>
    <w:rsid w:val="3A7E592A"/>
    <w:rsid w:val="3A84407A"/>
    <w:rsid w:val="3A872856"/>
    <w:rsid w:val="3AB6680E"/>
    <w:rsid w:val="3ABC52C8"/>
    <w:rsid w:val="3AC32A96"/>
    <w:rsid w:val="3ADD4E9F"/>
    <w:rsid w:val="3AFF5FA2"/>
    <w:rsid w:val="3B0E78A2"/>
    <w:rsid w:val="3B3763D1"/>
    <w:rsid w:val="3B471B5C"/>
    <w:rsid w:val="3B5B5607"/>
    <w:rsid w:val="3BAE1DDD"/>
    <w:rsid w:val="3BD776F8"/>
    <w:rsid w:val="3C237ED3"/>
    <w:rsid w:val="3C293439"/>
    <w:rsid w:val="3C2F6E1E"/>
    <w:rsid w:val="3C4B1A87"/>
    <w:rsid w:val="3C4F64BA"/>
    <w:rsid w:val="3C655E40"/>
    <w:rsid w:val="3C6B7ACC"/>
    <w:rsid w:val="3CB21257"/>
    <w:rsid w:val="3CDA245A"/>
    <w:rsid w:val="3D000214"/>
    <w:rsid w:val="3D1E06B7"/>
    <w:rsid w:val="3D29776B"/>
    <w:rsid w:val="3D4D7748"/>
    <w:rsid w:val="3D5C625D"/>
    <w:rsid w:val="3D7876E5"/>
    <w:rsid w:val="3DA203CD"/>
    <w:rsid w:val="3DCE0312"/>
    <w:rsid w:val="3DDB0561"/>
    <w:rsid w:val="3DDC2A2F"/>
    <w:rsid w:val="3E266F05"/>
    <w:rsid w:val="3E285C74"/>
    <w:rsid w:val="3E2B7513"/>
    <w:rsid w:val="3E3824EF"/>
    <w:rsid w:val="3E483D6A"/>
    <w:rsid w:val="3E5D51F2"/>
    <w:rsid w:val="3E7A5DA4"/>
    <w:rsid w:val="3E9A6446"/>
    <w:rsid w:val="3EA202FD"/>
    <w:rsid w:val="3EDA0523"/>
    <w:rsid w:val="3F32667F"/>
    <w:rsid w:val="3F8812E7"/>
    <w:rsid w:val="3FE6036D"/>
    <w:rsid w:val="40171E65"/>
    <w:rsid w:val="407A6407"/>
    <w:rsid w:val="4091157D"/>
    <w:rsid w:val="40AE52C3"/>
    <w:rsid w:val="40B44F66"/>
    <w:rsid w:val="411424E0"/>
    <w:rsid w:val="411918A4"/>
    <w:rsid w:val="414D59F2"/>
    <w:rsid w:val="41C7371B"/>
    <w:rsid w:val="41F12885"/>
    <w:rsid w:val="4200449D"/>
    <w:rsid w:val="421107CE"/>
    <w:rsid w:val="421E331A"/>
    <w:rsid w:val="423A3BCC"/>
    <w:rsid w:val="424E57D2"/>
    <w:rsid w:val="425F2140"/>
    <w:rsid w:val="426052B1"/>
    <w:rsid w:val="42770F78"/>
    <w:rsid w:val="42B26C49"/>
    <w:rsid w:val="42C43A19"/>
    <w:rsid w:val="42D75F84"/>
    <w:rsid w:val="42F0695E"/>
    <w:rsid w:val="431F5686"/>
    <w:rsid w:val="433A6FE6"/>
    <w:rsid w:val="43480868"/>
    <w:rsid w:val="4350713C"/>
    <w:rsid w:val="43617533"/>
    <w:rsid w:val="436653E0"/>
    <w:rsid w:val="43670FED"/>
    <w:rsid w:val="43712958"/>
    <w:rsid w:val="43B21FB2"/>
    <w:rsid w:val="43C4431A"/>
    <w:rsid w:val="43E837B0"/>
    <w:rsid w:val="43E96ADA"/>
    <w:rsid w:val="440D5690"/>
    <w:rsid w:val="4438322D"/>
    <w:rsid w:val="448824A8"/>
    <w:rsid w:val="44B951CC"/>
    <w:rsid w:val="44CD14E0"/>
    <w:rsid w:val="44F20B0B"/>
    <w:rsid w:val="452E5F4C"/>
    <w:rsid w:val="453C2005"/>
    <w:rsid w:val="45467762"/>
    <w:rsid w:val="45612018"/>
    <w:rsid w:val="456D637F"/>
    <w:rsid w:val="458946E9"/>
    <w:rsid w:val="459971D1"/>
    <w:rsid w:val="45A47C0E"/>
    <w:rsid w:val="45A51959"/>
    <w:rsid w:val="45AD2F03"/>
    <w:rsid w:val="4617731E"/>
    <w:rsid w:val="46205483"/>
    <w:rsid w:val="464F6AB6"/>
    <w:rsid w:val="46577FD6"/>
    <w:rsid w:val="46836F00"/>
    <w:rsid w:val="46D544C0"/>
    <w:rsid w:val="46D955A7"/>
    <w:rsid w:val="46DC429C"/>
    <w:rsid w:val="46EE1035"/>
    <w:rsid w:val="47133957"/>
    <w:rsid w:val="476A1F07"/>
    <w:rsid w:val="478A71EC"/>
    <w:rsid w:val="47A07E0C"/>
    <w:rsid w:val="47D2703E"/>
    <w:rsid w:val="4870272E"/>
    <w:rsid w:val="48934632"/>
    <w:rsid w:val="489932CB"/>
    <w:rsid w:val="48D16F09"/>
    <w:rsid w:val="49375FB7"/>
    <w:rsid w:val="494B47AD"/>
    <w:rsid w:val="495132D5"/>
    <w:rsid w:val="49526DD6"/>
    <w:rsid w:val="495319E4"/>
    <w:rsid w:val="496E3EC0"/>
    <w:rsid w:val="49D56585"/>
    <w:rsid w:val="49DC7715"/>
    <w:rsid w:val="4A023139"/>
    <w:rsid w:val="4A280DAA"/>
    <w:rsid w:val="4A7638C4"/>
    <w:rsid w:val="4A7B576F"/>
    <w:rsid w:val="4A805AFA"/>
    <w:rsid w:val="4ABF170F"/>
    <w:rsid w:val="4AEE4087"/>
    <w:rsid w:val="4AEF3676"/>
    <w:rsid w:val="4AF561A9"/>
    <w:rsid w:val="4B1F0AA3"/>
    <w:rsid w:val="4B683330"/>
    <w:rsid w:val="4B806873"/>
    <w:rsid w:val="4B860A3F"/>
    <w:rsid w:val="4BDE6259"/>
    <w:rsid w:val="4BFA0524"/>
    <w:rsid w:val="4C0F3FD0"/>
    <w:rsid w:val="4C4A0649"/>
    <w:rsid w:val="4C52210E"/>
    <w:rsid w:val="4C612351"/>
    <w:rsid w:val="4C7E5ECA"/>
    <w:rsid w:val="4C876AA5"/>
    <w:rsid w:val="4CC07196"/>
    <w:rsid w:val="4CC27294"/>
    <w:rsid w:val="4CCA2BFB"/>
    <w:rsid w:val="4CCB793C"/>
    <w:rsid w:val="4D0E00FB"/>
    <w:rsid w:val="4D176606"/>
    <w:rsid w:val="4D444B4C"/>
    <w:rsid w:val="4DC6348D"/>
    <w:rsid w:val="4DE77E7F"/>
    <w:rsid w:val="4DEC4FB0"/>
    <w:rsid w:val="4E075D8A"/>
    <w:rsid w:val="4E3417F9"/>
    <w:rsid w:val="4E55643D"/>
    <w:rsid w:val="4E5C7274"/>
    <w:rsid w:val="4E6011DC"/>
    <w:rsid w:val="4EBB5985"/>
    <w:rsid w:val="4EC00FAD"/>
    <w:rsid w:val="4EC372F3"/>
    <w:rsid w:val="4ED137BE"/>
    <w:rsid w:val="4ED85BEA"/>
    <w:rsid w:val="4EDE2BD4"/>
    <w:rsid w:val="4F02606E"/>
    <w:rsid w:val="4F637D7D"/>
    <w:rsid w:val="4F6F2157"/>
    <w:rsid w:val="4F8F55C7"/>
    <w:rsid w:val="4F9843DC"/>
    <w:rsid w:val="4FB235F0"/>
    <w:rsid w:val="4FC62A8C"/>
    <w:rsid w:val="4FE20F0D"/>
    <w:rsid w:val="4FE51165"/>
    <w:rsid w:val="4FE51552"/>
    <w:rsid w:val="4FF27E90"/>
    <w:rsid w:val="500F554E"/>
    <w:rsid w:val="501E0C85"/>
    <w:rsid w:val="50256650"/>
    <w:rsid w:val="50504C4B"/>
    <w:rsid w:val="50750E8F"/>
    <w:rsid w:val="509C6E7C"/>
    <w:rsid w:val="50BB4EA3"/>
    <w:rsid w:val="50D17AA6"/>
    <w:rsid w:val="50E325F7"/>
    <w:rsid w:val="50F419E6"/>
    <w:rsid w:val="511A74C3"/>
    <w:rsid w:val="512247A5"/>
    <w:rsid w:val="513D0753"/>
    <w:rsid w:val="513D15DF"/>
    <w:rsid w:val="5162104E"/>
    <w:rsid w:val="51750D79"/>
    <w:rsid w:val="51892F55"/>
    <w:rsid w:val="51B45F98"/>
    <w:rsid w:val="51F77051"/>
    <w:rsid w:val="5246001F"/>
    <w:rsid w:val="526C4884"/>
    <w:rsid w:val="52826A83"/>
    <w:rsid w:val="52A90328"/>
    <w:rsid w:val="52AA7D41"/>
    <w:rsid w:val="52C26D3D"/>
    <w:rsid w:val="52D7336D"/>
    <w:rsid w:val="532D47BE"/>
    <w:rsid w:val="53456529"/>
    <w:rsid w:val="536D782E"/>
    <w:rsid w:val="539C3AF4"/>
    <w:rsid w:val="53A039CC"/>
    <w:rsid w:val="53A1505A"/>
    <w:rsid w:val="53E13AAD"/>
    <w:rsid w:val="5402266C"/>
    <w:rsid w:val="54063E08"/>
    <w:rsid w:val="540B06B2"/>
    <w:rsid w:val="541C54DC"/>
    <w:rsid w:val="543437E8"/>
    <w:rsid w:val="548E0A81"/>
    <w:rsid w:val="54AE06C3"/>
    <w:rsid w:val="54AF45A2"/>
    <w:rsid w:val="54B75204"/>
    <w:rsid w:val="54BA402F"/>
    <w:rsid w:val="54CD59F5"/>
    <w:rsid w:val="54D86127"/>
    <w:rsid w:val="54EC36DC"/>
    <w:rsid w:val="54EF0E42"/>
    <w:rsid w:val="54F73313"/>
    <w:rsid w:val="54F80955"/>
    <w:rsid w:val="55322ADD"/>
    <w:rsid w:val="555170A7"/>
    <w:rsid w:val="5587536D"/>
    <w:rsid w:val="558D30EB"/>
    <w:rsid w:val="559B174B"/>
    <w:rsid w:val="55A539C7"/>
    <w:rsid w:val="55CE0CF4"/>
    <w:rsid w:val="560F413B"/>
    <w:rsid w:val="561641AD"/>
    <w:rsid w:val="5628266D"/>
    <w:rsid w:val="56301712"/>
    <w:rsid w:val="56403F6F"/>
    <w:rsid w:val="564D3869"/>
    <w:rsid w:val="56611CC8"/>
    <w:rsid w:val="569A740C"/>
    <w:rsid w:val="56B22A9C"/>
    <w:rsid w:val="56C25D1D"/>
    <w:rsid w:val="56E9366F"/>
    <w:rsid w:val="56F06464"/>
    <w:rsid w:val="57743881"/>
    <w:rsid w:val="578515EA"/>
    <w:rsid w:val="57925A39"/>
    <w:rsid w:val="57AA72A2"/>
    <w:rsid w:val="57B43C7D"/>
    <w:rsid w:val="57B72A76"/>
    <w:rsid w:val="57C3426C"/>
    <w:rsid w:val="57CE1F93"/>
    <w:rsid w:val="57E74053"/>
    <w:rsid w:val="58131D55"/>
    <w:rsid w:val="583F79EB"/>
    <w:rsid w:val="585A4825"/>
    <w:rsid w:val="588743D1"/>
    <w:rsid w:val="5887701A"/>
    <w:rsid w:val="58B77EC9"/>
    <w:rsid w:val="59044790"/>
    <w:rsid w:val="592117E6"/>
    <w:rsid w:val="59462FFB"/>
    <w:rsid w:val="59513E7A"/>
    <w:rsid w:val="59883613"/>
    <w:rsid w:val="59A51048"/>
    <w:rsid w:val="59C0439F"/>
    <w:rsid w:val="59E80F84"/>
    <w:rsid w:val="5A2F3A8F"/>
    <w:rsid w:val="5A421A14"/>
    <w:rsid w:val="5A52762D"/>
    <w:rsid w:val="5A715E56"/>
    <w:rsid w:val="5A737E20"/>
    <w:rsid w:val="5AB346C0"/>
    <w:rsid w:val="5AB63874"/>
    <w:rsid w:val="5ABE2233"/>
    <w:rsid w:val="5ACD5E7D"/>
    <w:rsid w:val="5AE900E2"/>
    <w:rsid w:val="5B085A6F"/>
    <w:rsid w:val="5B4610D1"/>
    <w:rsid w:val="5B4F43E9"/>
    <w:rsid w:val="5BBA3B11"/>
    <w:rsid w:val="5BDF5D95"/>
    <w:rsid w:val="5BF60D08"/>
    <w:rsid w:val="5BFE7528"/>
    <w:rsid w:val="5C4F0418"/>
    <w:rsid w:val="5C5D0D87"/>
    <w:rsid w:val="5CD67F23"/>
    <w:rsid w:val="5D1C3851"/>
    <w:rsid w:val="5D37095F"/>
    <w:rsid w:val="5D79574D"/>
    <w:rsid w:val="5D8440F2"/>
    <w:rsid w:val="5D967E50"/>
    <w:rsid w:val="5DA532CF"/>
    <w:rsid w:val="5DC51FF9"/>
    <w:rsid w:val="5E0A0A9B"/>
    <w:rsid w:val="5E2467F1"/>
    <w:rsid w:val="5E7128C8"/>
    <w:rsid w:val="5EA26C39"/>
    <w:rsid w:val="5ECC3FA2"/>
    <w:rsid w:val="5EE50BC0"/>
    <w:rsid w:val="5EFC478C"/>
    <w:rsid w:val="5F04373C"/>
    <w:rsid w:val="5F1A2B43"/>
    <w:rsid w:val="5F301D28"/>
    <w:rsid w:val="5F553F98"/>
    <w:rsid w:val="5FB837BB"/>
    <w:rsid w:val="60034A58"/>
    <w:rsid w:val="602A5424"/>
    <w:rsid w:val="60340051"/>
    <w:rsid w:val="60692500"/>
    <w:rsid w:val="60714E01"/>
    <w:rsid w:val="60822B6A"/>
    <w:rsid w:val="60CC405A"/>
    <w:rsid w:val="60FA6BA5"/>
    <w:rsid w:val="614822A7"/>
    <w:rsid w:val="61493688"/>
    <w:rsid w:val="61625A1B"/>
    <w:rsid w:val="61BD341C"/>
    <w:rsid w:val="61C3355C"/>
    <w:rsid w:val="61E215D8"/>
    <w:rsid w:val="62143C96"/>
    <w:rsid w:val="621B3775"/>
    <w:rsid w:val="622540F5"/>
    <w:rsid w:val="622A170C"/>
    <w:rsid w:val="62364782"/>
    <w:rsid w:val="625E3163"/>
    <w:rsid w:val="626C196B"/>
    <w:rsid w:val="62C34DD9"/>
    <w:rsid w:val="62E0001C"/>
    <w:rsid w:val="62F12229"/>
    <w:rsid w:val="62F35FA1"/>
    <w:rsid w:val="62FB4E56"/>
    <w:rsid w:val="633A25E5"/>
    <w:rsid w:val="6394356A"/>
    <w:rsid w:val="6396315E"/>
    <w:rsid w:val="63A57E1E"/>
    <w:rsid w:val="63C61B2C"/>
    <w:rsid w:val="63D40BE9"/>
    <w:rsid w:val="63DC4C88"/>
    <w:rsid w:val="63DD455C"/>
    <w:rsid w:val="63DF02D4"/>
    <w:rsid w:val="640F0BB9"/>
    <w:rsid w:val="64102431"/>
    <w:rsid w:val="644C27A0"/>
    <w:rsid w:val="64872C61"/>
    <w:rsid w:val="648A0240"/>
    <w:rsid w:val="64A16B26"/>
    <w:rsid w:val="64A5243A"/>
    <w:rsid w:val="64A86918"/>
    <w:rsid w:val="64AD1B28"/>
    <w:rsid w:val="64F531DE"/>
    <w:rsid w:val="65250EF3"/>
    <w:rsid w:val="65373578"/>
    <w:rsid w:val="653A1C66"/>
    <w:rsid w:val="654D35CF"/>
    <w:rsid w:val="65825C2B"/>
    <w:rsid w:val="65A15240"/>
    <w:rsid w:val="65CD52C7"/>
    <w:rsid w:val="65F937A2"/>
    <w:rsid w:val="6638104F"/>
    <w:rsid w:val="667447B3"/>
    <w:rsid w:val="66976C44"/>
    <w:rsid w:val="669B6741"/>
    <w:rsid w:val="66C20165"/>
    <w:rsid w:val="66DE7682"/>
    <w:rsid w:val="66E0683D"/>
    <w:rsid w:val="671F124A"/>
    <w:rsid w:val="671F55B7"/>
    <w:rsid w:val="6738702B"/>
    <w:rsid w:val="6744072E"/>
    <w:rsid w:val="675B27E4"/>
    <w:rsid w:val="677A33C6"/>
    <w:rsid w:val="678278F4"/>
    <w:rsid w:val="67C57790"/>
    <w:rsid w:val="67D11C12"/>
    <w:rsid w:val="681F6961"/>
    <w:rsid w:val="68570D81"/>
    <w:rsid w:val="68610A2F"/>
    <w:rsid w:val="68805514"/>
    <w:rsid w:val="68AE4433"/>
    <w:rsid w:val="69316E2F"/>
    <w:rsid w:val="69407A67"/>
    <w:rsid w:val="694E2071"/>
    <w:rsid w:val="695515EC"/>
    <w:rsid w:val="69700AC4"/>
    <w:rsid w:val="69766163"/>
    <w:rsid w:val="697A3B33"/>
    <w:rsid w:val="698200F7"/>
    <w:rsid w:val="69AF5EEE"/>
    <w:rsid w:val="69D44760"/>
    <w:rsid w:val="6A004944"/>
    <w:rsid w:val="6A303637"/>
    <w:rsid w:val="6A413A96"/>
    <w:rsid w:val="6A520EC7"/>
    <w:rsid w:val="6A585B4A"/>
    <w:rsid w:val="6A782DA5"/>
    <w:rsid w:val="6A7C687C"/>
    <w:rsid w:val="6AB57FE0"/>
    <w:rsid w:val="6AF503DD"/>
    <w:rsid w:val="6AF87E20"/>
    <w:rsid w:val="6AF9611F"/>
    <w:rsid w:val="6B2668AF"/>
    <w:rsid w:val="6B28418D"/>
    <w:rsid w:val="6B322639"/>
    <w:rsid w:val="6B404453"/>
    <w:rsid w:val="6B8F25DF"/>
    <w:rsid w:val="6B930322"/>
    <w:rsid w:val="6BB87D88"/>
    <w:rsid w:val="6BFA3EFD"/>
    <w:rsid w:val="6C0B435C"/>
    <w:rsid w:val="6C23227E"/>
    <w:rsid w:val="6C636C38"/>
    <w:rsid w:val="6C783B29"/>
    <w:rsid w:val="6C871509"/>
    <w:rsid w:val="6CD97FB6"/>
    <w:rsid w:val="6CE95D1F"/>
    <w:rsid w:val="6D4741B1"/>
    <w:rsid w:val="6D602485"/>
    <w:rsid w:val="6D6C2BD8"/>
    <w:rsid w:val="6D9640F9"/>
    <w:rsid w:val="6DB34098"/>
    <w:rsid w:val="6DB545B6"/>
    <w:rsid w:val="6DC67A0E"/>
    <w:rsid w:val="6DE02FB4"/>
    <w:rsid w:val="6DF37591"/>
    <w:rsid w:val="6E0259F3"/>
    <w:rsid w:val="6E177947"/>
    <w:rsid w:val="6E251CF8"/>
    <w:rsid w:val="6E514CED"/>
    <w:rsid w:val="6E585BEC"/>
    <w:rsid w:val="6E5A6ED5"/>
    <w:rsid w:val="6E7647DF"/>
    <w:rsid w:val="6E8C72E7"/>
    <w:rsid w:val="6EB563D5"/>
    <w:rsid w:val="6ED92677"/>
    <w:rsid w:val="6EDA6095"/>
    <w:rsid w:val="6EE40F43"/>
    <w:rsid w:val="6F225983"/>
    <w:rsid w:val="6F282B2F"/>
    <w:rsid w:val="6F5222A2"/>
    <w:rsid w:val="6F9A5386"/>
    <w:rsid w:val="6FC84312"/>
    <w:rsid w:val="6FF16124"/>
    <w:rsid w:val="6FFC5590"/>
    <w:rsid w:val="701A591C"/>
    <w:rsid w:val="703D58F5"/>
    <w:rsid w:val="706D1DD0"/>
    <w:rsid w:val="70856B87"/>
    <w:rsid w:val="70990DA5"/>
    <w:rsid w:val="70BD180A"/>
    <w:rsid w:val="70D527EE"/>
    <w:rsid w:val="70D869F1"/>
    <w:rsid w:val="70EB475C"/>
    <w:rsid w:val="70FA674D"/>
    <w:rsid w:val="71285626"/>
    <w:rsid w:val="71312C91"/>
    <w:rsid w:val="713C566B"/>
    <w:rsid w:val="715B5300"/>
    <w:rsid w:val="715D3FF5"/>
    <w:rsid w:val="71CA25C3"/>
    <w:rsid w:val="71D27F8A"/>
    <w:rsid w:val="71E05943"/>
    <w:rsid w:val="721728AC"/>
    <w:rsid w:val="72325662"/>
    <w:rsid w:val="7234777A"/>
    <w:rsid w:val="72553024"/>
    <w:rsid w:val="726227FC"/>
    <w:rsid w:val="726D4D03"/>
    <w:rsid w:val="72833651"/>
    <w:rsid w:val="72990018"/>
    <w:rsid w:val="73122968"/>
    <w:rsid w:val="731F5D5E"/>
    <w:rsid w:val="73247AB1"/>
    <w:rsid w:val="733C0072"/>
    <w:rsid w:val="733D53BC"/>
    <w:rsid w:val="738E4690"/>
    <w:rsid w:val="73984A13"/>
    <w:rsid w:val="73C51AD5"/>
    <w:rsid w:val="73FA042D"/>
    <w:rsid w:val="73FE37C0"/>
    <w:rsid w:val="74143FCA"/>
    <w:rsid w:val="741707B3"/>
    <w:rsid w:val="741E793C"/>
    <w:rsid w:val="742D60A2"/>
    <w:rsid w:val="742E508B"/>
    <w:rsid w:val="745E3944"/>
    <w:rsid w:val="74642F3A"/>
    <w:rsid w:val="74895FBC"/>
    <w:rsid w:val="74C81F5C"/>
    <w:rsid w:val="74DA4F63"/>
    <w:rsid w:val="74E25322"/>
    <w:rsid w:val="75287D2D"/>
    <w:rsid w:val="752B5127"/>
    <w:rsid w:val="75393126"/>
    <w:rsid w:val="754361E3"/>
    <w:rsid w:val="75444A6B"/>
    <w:rsid w:val="75546F0E"/>
    <w:rsid w:val="757F1917"/>
    <w:rsid w:val="75842A89"/>
    <w:rsid w:val="75A44ED9"/>
    <w:rsid w:val="75A82C1C"/>
    <w:rsid w:val="75B74B2E"/>
    <w:rsid w:val="75BD0A98"/>
    <w:rsid w:val="75CD2682"/>
    <w:rsid w:val="762F6E99"/>
    <w:rsid w:val="7635099D"/>
    <w:rsid w:val="763E3477"/>
    <w:rsid w:val="76911902"/>
    <w:rsid w:val="7696032B"/>
    <w:rsid w:val="769F6178"/>
    <w:rsid w:val="76A34233"/>
    <w:rsid w:val="76B63116"/>
    <w:rsid w:val="76BF021D"/>
    <w:rsid w:val="77453BED"/>
    <w:rsid w:val="77660698"/>
    <w:rsid w:val="77762421"/>
    <w:rsid w:val="77805B80"/>
    <w:rsid w:val="77825B3C"/>
    <w:rsid w:val="77AF6556"/>
    <w:rsid w:val="77B56B1F"/>
    <w:rsid w:val="77E758A9"/>
    <w:rsid w:val="77F4039A"/>
    <w:rsid w:val="780F09F4"/>
    <w:rsid w:val="78586E83"/>
    <w:rsid w:val="788D434B"/>
    <w:rsid w:val="789045CC"/>
    <w:rsid w:val="78A771BA"/>
    <w:rsid w:val="78A90480"/>
    <w:rsid w:val="793629F7"/>
    <w:rsid w:val="794A6ED6"/>
    <w:rsid w:val="795135CD"/>
    <w:rsid w:val="7973359B"/>
    <w:rsid w:val="79817A0B"/>
    <w:rsid w:val="79BF6786"/>
    <w:rsid w:val="79D55FA9"/>
    <w:rsid w:val="79FC1B20"/>
    <w:rsid w:val="7A080CC1"/>
    <w:rsid w:val="7A1E081D"/>
    <w:rsid w:val="7A1F0FD2"/>
    <w:rsid w:val="7A364017"/>
    <w:rsid w:val="7A49604F"/>
    <w:rsid w:val="7A4B626B"/>
    <w:rsid w:val="7A74131E"/>
    <w:rsid w:val="7A8265E1"/>
    <w:rsid w:val="7A990D85"/>
    <w:rsid w:val="7AA37E55"/>
    <w:rsid w:val="7AF75AAB"/>
    <w:rsid w:val="7B024B7C"/>
    <w:rsid w:val="7B25086A"/>
    <w:rsid w:val="7B686D42"/>
    <w:rsid w:val="7B7346A4"/>
    <w:rsid w:val="7B767318"/>
    <w:rsid w:val="7B771C06"/>
    <w:rsid w:val="7B841746"/>
    <w:rsid w:val="7C004F06"/>
    <w:rsid w:val="7C196A16"/>
    <w:rsid w:val="7C217593"/>
    <w:rsid w:val="7C2226CE"/>
    <w:rsid w:val="7C6C5AC7"/>
    <w:rsid w:val="7CC3033B"/>
    <w:rsid w:val="7CC6544B"/>
    <w:rsid w:val="7CD158CD"/>
    <w:rsid w:val="7CDC13FD"/>
    <w:rsid w:val="7D0239FF"/>
    <w:rsid w:val="7D1A60DC"/>
    <w:rsid w:val="7D5E40CD"/>
    <w:rsid w:val="7D627B54"/>
    <w:rsid w:val="7D6C5F61"/>
    <w:rsid w:val="7D747887"/>
    <w:rsid w:val="7D787177"/>
    <w:rsid w:val="7DBE3BDC"/>
    <w:rsid w:val="7DCC32B5"/>
    <w:rsid w:val="7DCD56F2"/>
    <w:rsid w:val="7DD33735"/>
    <w:rsid w:val="7DDB3462"/>
    <w:rsid w:val="7DF4591C"/>
    <w:rsid w:val="7E2752FE"/>
    <w:rsid w:val="7E5F432C"/>
    <w:rsid w:val="7EB9595A"/>
    <w:rsid w:val="7F001CE7"/>
    <w:rsid w:val="7F0B18FA"/>
    <w:rsid w:val="7F207CC7"/>
    <w:rsid w:val="7F78365F"/>
    <w:rsid w:val="7F7B7923"/>
    <w:rsid w:val="7FA1141F"/>
    <w:rsid w:val="7FA81EB0"/>
    <w:rsid w:val="7FBA26AD"/>
    <w:rsid w:val="7FC5261C"/>
    <w:rsid w:val="7FC7259B"/>
    <w:rsid w:val="7FE23374"/>
    <w:rsid w:val="7FE47E50"/>
    <w:rsid w:val="7FE7434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ascii="Times New Roman" w:hAnsi="Times New Roman" w:eastAsia="黑体" w:cs="Times New Roman"/>
      <w:b/>
      <w:bCs/>
      <w:color w:val="000000"/>
      <w:kern w:val="44"/>
      <w:sz w:val="30"/>
      <w:szCs w:val="30"/>
    </w:rPr>
  </w:style>
  <w:style w:type="paragraph" w:styleId="4">
    <w:name w:val="heading 2"/>
    <w:basedOn w:val="1"/>
    <w:next w:val="1"/>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qFormat/>
    <w:uiPriority w:val="0"/>
    <w:pPr>
      <w:keepNext/>
      <w:keepLines/>
      <w:spacing w:before="50" w:beforeLines="50" w:beforeAutospacing="0" w:after="50" w:afterLines="50" w:afterAutospacing="0" w:line="413" w:lineRule="auto"/>
      <w:ind w:firstLine="0" w:firstLineChars="0"/>
      <w:outlineLvl w:val="2"/>
    </w:pPr>
    <w:rPr>
      <w:rFonts w:ascii="Times New Roman" w:hAnsi="Times New Roman" w:eastAsia="宋体" w:cs="Times New Roman"/>
      <w:b/>
      <w:sz w:val="28"/>
    </w:rPr>
  </w:style>
  <w:style w:type="character" w:default="1" w:styleId="25">
    <w:name w:val="Default Paragraph Font"/>
    <w:qFormat/>
    <w:uiPriority w:val="0"/>
    <w:rPr>
      <w:rFonts w:ascii="Times New Roman" w:hAnsi="Times New Roman" w:eastAsia="宋体" w:cs="Times New Roman"/>
    </w:rPr>
  </w:style>
  <w:style w:type="table" w:default="1" w:styleId="23">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2">
    <w:name w:val="Body Text Indent 2"/>
    <w:basedOn w:val="1"/>
    <w:qFormat/>
    <w:uiPriority w:val="0"/>
    <w:pPr>
      <w:spacing w:line="420" w:lineRule="auto"/>
    </w:pPr>
    <w:rPr>
      <w:rFonts w:ascii="Times New Roman" w:hAnsi="Times New Roman" w:eastAsia="宋体" w:cs="Times New Roman"/>
    </w:rPr>
  </w:style>
  <w:style w:type="paragraph" w:styleId="6">
    <w:name w:val="Normal Indent"/>
    <w:basedOn w:val="1"/>
    <w:qFormat/>
    <w:uiPriority w:val="0"/>
    <w:rPr>
      <w:rFonts w:ascii="仿宋_GB2312" w:hAnsi="Times New Roman" w:eastAsia="仿宋_GB2312" w:cs="Times New Roman"/>
      <w:snapToGrid w:val="0"/>
      <w:kern w:val="0"/>
      <w:sz w:val="28"/>
    </w:rPr>
  </w:style>
  <w:style w:type="paragraph" w:styleId="7">
    <w:name w:val="caption"/>
    <w:basedOn w:val="1"/>
    <w:next w:val="1"/>
    <w:qFormat/>
    <w:uiPriority w:val="0"/>
    <w:rPr>
      <w:rFonts w:ascii="Arial" w:hAnsi="Arial" w:eastAsia="黑体" w:cs="Times New Roman"/>
      <w:sz w:val="20"/>
    </w:rPr>
  </w:style>
  <w:style w:type="paragraph" w:styleId="8">
    <w:name w:val="toa heading"/>
    <w:basedOn w:val="1"/>
    <w:next w:val="1"/>
    <w:qFormat/>
    <w:uiPriority w:val="0"/>
    <w:pPr>
      <w:spacing w:before="120"/>
    </w:pPr>
    <w:rPr>
      <w:rFonts w:ascii="Arial" w:hAnsi="Arial" w:eastAsia="宋体" w:cs="Arial"/>
      <w:szCs w:val="24"/>
    </w:rPr>
  </w:style>
  <w:style w:type="paragraph" w:styleId="9">
    <w:name w:val="annotation text"/>
    <w:basedOn w:val="1"/>
    <w:link w:val="34"/>
    <w:qFormat/>
    <w:uiPriority w:val="0"/>
    <w:pPr>
      <w:jc w:val="left"/>
    </w:pPr>
    <w:rPr>
      <w:rFonts w:ascii="Times New Roman" w:hAnsi="Times New Roman" w:eastAsia="宋体" w:cs="Times New Roman"/>
      <w:kern w:val="0"/>
      <w:sz w:val="24"/>
      <w:szCs w:val="20"/>
    </w:rPr>
  </w:style>
  <w:style w:type="paragraph" w:styleId="10">
    <w:name w:val="index 6"/>
    <w:basedOn w:val="1"/>
    <w:next w:val="1"/>
    <w:qFormat/>
    <w:uiPriority w:val="0"/>
    <w:pPr>
      <w:ind w:left="2100"/>
    </w:pPr>
    <w:rPr>
      <w:rFonts w:ascii="黑体" w:hAnsi="Times New Roman" w:eastAsia="黑体" w:cs="Times New Roman"/>
      <w:szCs w:val="24"/>
    </w:rPr>
  </w:style>
  <w:style w:type="paragraph" w:styleId="11">
    <w:name w:val="Body Text"/>
    <w:basedOn w:val="1"/>
    <w:next w:val="1"/>
    <w:link w:val="33"/>
    <w:qFormat/>
    <w:uiPriority w:val="0"/>
    <w:pPr>
      <w:widowControl/>
      <w:snapToGrid w:val="0"/>
      <w:spacing w:before="60" w:after="160" w:line="259" w:lineRule="auto"/>
      <w:ind w:right="113"/>
    </w:pPr>
    <w:rPr>
      <w:rFonts w:ascii="Times New Roman" w:hAnsi="Times New Roman" w:eastAsia="宋体" w:cs="Times New Roman"/>
      <w:kern w:val="0"/>
      <w:sz w:val="18"/>
      <w:szCs w:val="20"/>
    </w:rPr>
  </w:style>
  <w:style w:type="paragraph" w:styleId="12">
    <w:name w:val="Body Text Indent"/>
    <w:basedOn w:val="1"/>
    <w:link w:val="35"/>
    <w:qFormat/>
    <w:uiPriority w:val="0"/>
    <w:pPr>
      <w:spacing w:after="120"/>
      <w:ind w:left="420" w:leftChars="200"/>
    </w:pPr>
    <w:rPr>
      <w:rFonts w:ascii="Times New Roman" w:hAnsi="Times New Roman" w:eastAsia="宋体" w:cs="Times New Roman"/>
      <w:kern w:val="0"/>
      <w:sz w:val="24"/>
      <w:szCs w:val="20"/>
    </w:rPr>
  </w:style>
  <w:style w:type="paragraph" w:styleId="13">
    <w:name w:val="Date"/>
    <w:basedOn w:val="1"/>
    <w:next w:val="1"/>
    <w:link w:val="36"/>
    <w:qFormat/>
    <w:uiPriority w:val="0"/>
    <w:pPr>
      <w:ind w:left="100" w:leftChars="2500"/>
    </w:pPr>
    <w:rPr>
      <w:rFonts w:ascii="Times New Roman" w:hAnsi="Times New Roman" w:eastAsia="宋体" w:cs="Times New Roman"/>
      <w:kern w:val="0"/>
      <w:sz w:val="24"/>
      <w:szCs w:val="20"/>
    </w:rPr>
  </w:style>
  <w:style w:type="paragraph" w:styleId="14">
    <w:name w:val="Balloon Text"/>
    <w:basedOn w:val="1"/>
    <w:link w:val="37"/>
    <w:qFormat/>
    <w:uiPriority w:val="0"/>
    <w:rPr>
      <w:rFonts w:ascii="Times New Roman" w:hAnsi="Times New Roman" w:eastAsia="宋体" w:cs="Times New Roman"/>
      <w:kern w:val="0"/>
      <w:sz w:val="18"/>
      <w:szCs w:val="20"/>
    </w:rPr>
  </w:style>
  <w:style w:type="paragraph" w:styleId="15">
    <w:name w:val="footer"/>
    <w:basedOn w:val="1"/>
    <w:link w:val="38"/>
    <w:qFormat/>
    <w:uiPriority w:val="0"/>
    <w:pPr>
      <w:tabs>
        <w:tab w:val="center" w:pos="4153"/>
        <w:tab w:val="right" w:pos="8306"/>
      </w:tabs>
      <w:snapToGrid w:val="0"/>
      <w:jc w:val="left"/>
    </w:pPr>
    <w:rPr>
      <w:rFonts w:ascii="Times New Roman" w:hAnsi="Times New Roman" w:eastAsia="宋体" w:cs="Times New Roman"/>
      <w:kern w:val="0"/>
      <w:sz w:val="18"/>
      <w:szCs w:val="20"/>
    </w:rPr>
  </w:style>
  <w:style w:type="paragraph" w:styleId="16">
    <w:name w:val="header"/>
    <w:basedOn w:val="1"/>
    <w:next w:val="1"/>
    <w:link w:val="39"/>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20"/>
    </w:rPr>
  </w:style>
  <w:style w:type="paragraph" w:styleId="17">
    <w:name w:val="index heading"/>
    <w:basedOn w:val="1"/>
    <w:next w:val="18"/>
    <w:semiHidden/>
    <w:qFormat/>
    <w:uiPriority w:val="0"/>
    <w:rPr>
      <w:rFonts w:ascii="Arial" w:hAnsi="Arial" w:cs="Arial"/>
      <w:b/>
      <w:bCs/>
    </w:rPr>
  </w:style>
  <w:style w:type="paragraph" w:styleId="18">
    <w:name w:val="index 1"/>
    <w:basedOn w:val="1"/>
    <w:next w:val="1"/>
    <w:qFormat/>
    <w:uiPriority w:val="0"/>
    <w:pPr>
      <w:tabs>
        <w:tab w:val="left" w:pos="5580"/>
      </w:tabs>
      <w:spacing w:line="280" w:lineRule="exact"/>
    </w:pPr>
    <w:rPr>
      <w:rFonts w:ascii="宋体" w:hAnsi="宋体"/>
      <w:spacing w:val="10"/>
    </w:rPr>
  </w:style>
  <w:style w:type="paragraph" w:styleId="19">
    <w:name w:val="Body Text 2"/>
    <w:basedOn w:val="1"/>
    <w:qFormat/>
    <w:uiPriority w:val="0"/>
    <w:rPr>
      <w:sz w:val="24"/>
    </w:rPr>
  </w:style>
  <w:style w:type="paragraph" w:styleId="20">
    <w:name w:val="Normal (Web)"/>
    <w:basedOn w:val="1"/>
    <w:link w:val="40"/>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21">
    <w:name w:val="annotation subject"/>
    <w:basedOn w:val="9"/>
    <w:next w:val="9"/>
    <w:link w:val="41"/>
    <w:qFormat/>
    <w:uiPriority w:val="0"/>
    <w:rPr>
      <w:rFonts w:ascii="Times New Roman" w:hAnsi="Times New Roman" w:eastAsia="宋体" w:cs="Times New Roman"/>
      <w:b/>
      <w:sz w:val="24"/>
      <w:szCs w:val="20"/>
    </w:rPr>
  </w:style>
  <w:style w:type="paragraph" w:styleId="22">
    <w:name w:val="Body Text First Indent 2"/>
    <w:basedOn w:val="12"/>
    <w:next w:val="1"/>
    <w:qFormat/>
    <w:uiPriority w:val="0"/>
    <w:pPr>
      <w:ind w:firstLine="420"/>
    </w:pPr>
    <w:rPr>
      <w:rFonts w:ascii="Times New Roman" w:hAnsi="Times New Roman" w:eastAsia="宋体" w:cs="Times New Roman"/>
    </w:rPr>
  </w:style>
  <w:style w:type="table" w:styleId="24">
    <w:name w:val="Table Grid"/>
    <w:basedOn w:val="23"/>
    <w:qFormat/>
    <w:uiPriority w:val="0"/>
    <w:rPr>
      <w:rFonts w:ascii="Times New Roman" w:hAnsi="Times New Roman" w:eastAsia="宋体" w:cs="Times New Roman"/>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qFormat/>
    <w:uiPriority w:val="0"/>
    <w:rPr>
      <w:rFonts w:ascii="Times New Roman" w:hAnsi="Times New Roman" w:eastAsia="宋体" w:cs="Times New Roman"/>
    </w:rPr>
  </w:style>
  <w:style w:type="character" w:styleId="28">
    <w:name w:val="FollowedHyperlink"/>
    <w:basedOn w:val="25"/>
    <w:qFormat/>
    <w:uiPriority w:val="0"/>
    <w:rPr>
      <w:rFonts w:ascii="Times New Roman" w:hAnsi="Times New Roman" w:eastAsia="宋体" w:cs="Times New Roman"/>
      <w:color w:val="000000"/>
      <w:u w:val="none"/>
    </w:rPr>
  </w:style>
  <w:style w:type="character" w:styleId="29">
    <w:name w:val="Emphasis"/>
    <w:basedOn w:val="25"/>
    <w:qFormat/>
    <w:uiPriority w:val="0"/>
    <w:rPr>
      <w:rFonts w:ascii="Times New Roman" w:hAnsi="Times New Roman" w:eastAsia="宋体" w:cs="Times New Roman"/>
    </w:rPr>
  </w:style>
  <w:style w:type="character" w:styleId="30">
    <w:name w:val="Hyperlink"/>
    <w:basedOn w:val="25"/>
    <w:qFormat/>
    <w:uiPriority w:val="0"/>
    <w:rPr>
      <w:rFonts w:ascii="Times New Roman" w:hAnsi="Times New Roman" w:eastAsia="宋体" w:cs="Times New Roman"/>
      <w:color w:val="000000"/>
      <w:u w:val="none"/>
    </w:rPr>
  </w:style>
  <w:style w:type="character" w:styleId="31">
    <w:name w:val="annotation reference"/>
    <w:qFormat/>
    <w:uiPriority w:val="0"/>
    <w:rPr>
      <w:rFonts w:ascii="Times New Roman" w:hAnsi="Times New Roman" w:eastAsia="宋体" w:cs="Times New Roman"/>
      <w:sz w:val="21"/>
    </w:rPr>
  </w:style>
  <w:style w:type="paragraph" w:customStyle="1" w:styleId="32">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3">
    <w:name w:val="正文文本 Char"/>
    <w:link w:val="11"/>
    <w:qFormat/>
    <w:uiPriority w:val="0"/>
    <w:rPr>
      <w:rFonts w:ascii="Times New Roman" w:hAnsi="Times New Roman" w:eastAsia="宋体" w:cs="Times New Roman"/>
      <w:sz w:val="18"/>
    </w:rPr>
  </w:style>
  <w:style w:type="character" w:customStyle="1" w:styleId="34">
    <w:name w:val="批注文字 Char"/>
    <w:link w:val="9"/>
    <w:qFormat/>
    <w:uiPriority w:val="0"/>
    <w:rPr>
      <w:rFonts w:ascii="Times New Roman" w:hAnsi="Times New Roman" w:eastAsia="宋体" w:cs="Times New Roman"/>
      <w:sz w:val="24"/>
    </w:rPr>
  </w:style>
  <w:style w:type="character" w:customStyle="1" w:styleId="35">
    <w:name w:val="正文文本缩进 Char"/>
    <w:link w:val="12"/>
    <w:qFormat/>
    <w:uiPriority w:val="0"/>
    <w:rPr>
      <w:rFonts w:ascii="Times New Roman" w:hAnsi="Times New Roman" w:eastAsia="宋体" w:cs="Times New Roman"/>
      <w:sz w:val="24"/>
    </w:rPr>
  </w:style>
  <w:style w:type="character" w:customStyle="1" w:styleId="36">
    <w:name w:val="日期 Char"/>
    <w:link w:val="13"/>
    <w:qFormat/>
    <w:uiPriority w:val="0"/>
    <w:rPr>
      <w:rFonts w:ascii="Times New Roman" w:hAnsi="Times New Roman" w:eastAsia="宋体" w:cs="Times New Roman"/>
      <w:sz w:val="24"/>
    </w:rPr>
  </w:style>
  <w:style w:type="character" w:customStyle="1" w:styleId="37">
    <w:name w:val="批注框文本 Char"/>
    <w:link w:val="14"/>
    <w:qFormat/>
    <w:uiPriority w:val="0"/>
    <w:rPr>
      <w:rFonts w:ascii="Times New Roman" w:hAnsi="Times New Roman" w:eastAsia="宋体" w:cs="Times New Roman"/>
      <w:sz w:val="18"/>
    </w:rPr>
  </w:style>
  <w:style w:type="character" w:customStyle="1" w:styleId="38">
    <w:name w:val="页脚 Char"/>
    <w:link w:val="15"/>
    <w:qFormat/>
    <w:uiPriority w:val="0"/>
    <w:rPr>
      <w:rFonts w:ascii="Times New Roman" w:hAnsi="Times New Roman" w:eastAsia="宋体" w:cs="Times New Roman"/>
      <w:sz w:val="18"/>
    </w:rPr>
  </w:style>
  <w:style w:type="character" w:customStyle="1" w:styleId="39">
    <w:name w:val="页眉 Char"/>
    <w:link w:val="16"/>
    <w:qFormat/>
    <w:uiPriority w:val="0"/>
    <w:rPr>
      <w:rFonts w:ascii="Times New Roman" w:hAnsi="Times New Roman" w:eastAsia="宋体" w:cs="Times New Roman"/>
      <w:sz w:val="18"/>
    </w:rPr>
  </w:style>
  <w:style w:type="character" w:customStyle="1" w:styleId="40">
    <w:name w:val="普通(网站) Char"/>
    <w:link w:val="20"/>
    <w:qFormat/>
    <w:uiPriority w:val="0"/>
    <w:rPr>
      <w:rFonts w:ascii="宋体" w:hAnsi="宋体" w:eastAsia="宋体" w:cs="Times New Roman"/>
      <w:sz w:val="24"/>
    </w:rPr>
  </w:style>
  <w:style w:type="character" w:customStyle="1" w:styleId="41">
    <w:name w:val="批注主题 Char"/>
    <w:link w:val="21"/>
    <w:qFormat/>
    <w:uiPriority w:val="0"/>
    <w:rPr>
      <w:rFonts w:ascii="Times New Roman" w:hAnsi="Times New Roman" w:eastAsia="宋体" w:cs="Times New Roman"/>
      <w:b/>
      <w:kern w:val="2"/>
      <w:sz w:val="24"/>
    </w:rPr>
  </w:style>
  <w:style w:type="paragraph" w:customStyle="1" w:styleId="42">
    <w:name w:val="环评正文"/>
    <w:basedOn w:val="1"/>
    <w:link w:val="95"/>
    <w:qFormat/>
    <w:uiPriority w:val="0"/>
    <w:pPr>
      <w:adjustRightInd w:val="0"/>
      <w:snapToGrid w:val="0"/>
      <w:spacing w:line="420" w:lineRule="auto"/>
      <w:ind w:firstLine="720" w:firstLineChars="200"/>
      <w:jc w:val="left"/>
    </w:pPr>
    <w:rPr>
      <w:rFonts w:hint="eastAsia" w:ascii="宋体" w:hAnsi="宋体" w:eastAsia="宋体" w:cs="宋体"/>
      <w:sz w:val="24"/>
      <w:szCs w:val="21"/>
    </w:rPr>
  </w:style>
  <w:style w:type="paragraph" w:customStyle="1" w:styleId="43">
    <w:name w:val="环评表头"/>
    <w:basedOn w:val="1"/>
    <w:qFormat/>
    <w:uiPriority w:val="0"/>
    <w:pPr>
      <w:spacing w:line="360" w:lineRule="auto"/>
      <w:ind w:firstLine="0"/>
      <w:jc w:val="center"/>
    </w:pPr>
    <w:rPr>
      <w:rFonts w:hint="eastAsia" w:ascii="宋体" w:hAnsi="宋体" w:eastAsia="宋体" w:cs="Times New Roman"/>
      <w:b/>
      <w:bCs/>
      <w:sz w:val="24"/>
    </w:rPr>
  </w:style>
  <w:style w:type="paragraph" w:customStyle="1" w:styleId="44">
    <w:name w:val="正文-欣欣"/>
    <w:basedOn w:val="1"/>
    <w:qFormat/>
    <w:uiPriority w:val="0"/>
    <w:pPr>
      <w:ind w:firstLine="200"/>
    </w:pPr>
    <w:rPr>
      <w:rFonts w:ascii="Times New Roman" w:hAnsi="Times New Roman" w:eastAsia="宋体" w:cs="Times New Roman"/>
      <w:szCs w:val="30"/>
    </w:rPr>
  </w:style>
  <w:style w:type="character" w:customStyle="1" w:styleId="45">
    <w:name w:val="font21"/>
    <w:basedOn w:val="25"/>
    <w:qFormat/>
    <w:uiPriority w:val="0"/>
    <w:rPr>
      <w:rFonts w:hint="eastAsia" w:ascii="宋体" w:hAnsi="宋体" w:eastAsia="宋体" w:cs="宋体"/>
      <w:b/>
      <w:bCs/>
      <w:color w:val="000000"/>
      <w:sz w:val="24"/>
      <w:szCs w:val="24"/>
      <w:u w:val="none"/>
    </w:rPr>
  </w:style>
  <w:style w:type="paragraph" w:customStyle="1" w:styleId="46">
    <w:name w:val="报告表正文"/>
    <w:basedOn w:val="1"/>
    <w:qFormat/>
    <w:uiPriority w:val="0"/>
    <w:pPr>
      <w:adjustRightInd w:val="0"/>
      <w:spacing w:line="312" w:lineRule="auto"/>
      <w:ind w:left="113" w:right="113" w:firstLine="482"/>
      <w:jc w:val="left"/>
      <w:textAlignment w:val="baseline"/>
    </w:pPr>
    <w:rPr>
      <w:rFonts w:ascii="Times New Roman" w:hAnsi="Times New Roman" w:eastAsia="宋体" w:cs="Times New Roman"/>
      <w:kern w:val="0"/>
      <w:sz w:val="24"/>
    </w:rPr>
  </w:style>
  <w:style w:type="character" w:customStyle="1" w:styleId="47">
    <w:name w:val="font112"/>
    <w:basedOn w:val="25"/>
    <w:qFormat/>
    <w:uiPriority w:val="0"/>
    <w:rPr>
      <w:rFonts w:hint="default" w:ascii="Times New Roman" w:hAnsi="Times New Roman" w:eastAsia="宋体" w:cs="Times New Roman"/>
      <w:b/>
      <w:bCs/>
      <w:color w:val="000000"/>
      <w:sz w:val="18"/>
      <w:szCs w:val="18"/>
      <w:u w:val="none"/>
      <w:vertAlign w:val="superscript"/>
    </w:rPr>
  </w:style>
  <w:style w:type="character" w:customStyle="1" w:styleId="48">
    <w:name w:val="font11"/>
    <w:basedOn w:val="25"/>
    <w:qFormat/>
    <w:uiPriority w:val="0"/>
    <w:rPr>
      <w:rFonts w:hint="eastAsia" w:ascii="宋体" w:hAnsi="宋体" w:eastAsia="宋体" w:cs="宋体"/>
      <w:b/>
      <w:bCs/>
      <w:color w:val="000000"/>
      <w:sz w:val="24"/>
      <w:szCs w:val="24"/>
      <w:u w:val="none"/>
    </w:rPr>
  </w:style>
  <w:style w:type="character" w:customStyle="1" w:styleId="49">
    <w:name w:val="表格 Char"/>
    <w:link w:val="50"/>
    <w:qFormat/>
    <w:uiPriority w:val="0"/>
    <w:rPr>
      <w:rFonts w:ascii="宋体" w:hAnsi="宋体" w:eastAsia="宋体" w:cs="Times New Roman"/>
      <w:sz w:val="21"/>
    </w:rPr>
  </w:style>
  <w:style w:type="paragraph" w:customStyle="1" w:styleId="50">
    <w:name w:val="环评表格"/>
    <w:basedOn w:val="1"/>
    <w:next w:val="1"/>
    <w:link w:val="49"/>
    <w:qFormat/>
    <w:uiPriority w:val="0"/>
    <w:pPr>
      <w:adjustRightInd w:val="0"/>
      <w:snapToGrid w:val="0"/>
      <w:spacing w:line="360" w:lineRule="auto"/>
      <w:jc w:val="center"/>
    </w:pPr>
    <w:rPr>
      <w:rFonts w:ascii="宋体" w:hAnsi="宋体" w:eastAsia="宋体" w:cs="Times New Roman"/>
      <w:kern w:val="0"/>
      <w:szCs w:val="20"/>
    </w:rPr>
  </w:style>
  <w:style w:type="character" w:customStyle="1" w:styleId="51">
    <w:name w:val="页脚 字符"/>
    <w:basedOn w:val="25"/>
    <w:qFormat/>
    <w:uiPriority w:val="0"/>
    <w:rPr>
      <w:rFonts w:ascii="Times New Roman" w:hAnsi="Times New Roman" w:eastAsia="宋体" w:cs="Times New Roman"/>
    </w:rPr>
  </w:style>
  <w:style w:type="paragraph" w:customStyle="1" w:styleId="52">
    <w:name w:val="环评标题2"/>
    <w:basedOn w:val="4"/>
    <w:next w:val="1"/>
    <w:qFormat/>
    <w:uiPriority w:val="0"/>
    <w:pPr>
      <w:spacing w:beforeLines="50" w:after="0" w:line="500" w:lineRule="exact"/>
      <w:ind w:firstLine="0" w:firstLineChars="0"/>
    </w:pPr>
    <w:rPr>
      <w:rFonts w:ascii="Times New Roman" w:hAnsi="Times New Roman" w:eastAsia="宋体" w:cs="Times New Roman"/>
      <w:sz w:val="28"/>
    </w:rPr>
  </w:style>
  <w:style w:type="character" w:customStyle="1" w:styleId="53">
    <w:name w:val="fontstyle01"/>
    <w:qFormat/>
    <w:uiPriority w:val="0"/>
    <w:rPr>
      <w:rFonts w:ascii="宋体" w:hAnsi="宋体" w:eastAsia="宋体" w:cs="宋体"/>
      <w:color w:val="000000"/>
      <w:sz w:val="24"/>
      <w:szCs w:val="24"/>
    </w:rPr>
  </w:style>
  <w:style w:type="paragraph" w:customStyle="1" w:styleId="54">
    <w:name w:val="Default"/>
    <w:qFormat/>
    <w:uiPriority w:val="0"/>
    <w:pPr>
      <w:widowControl w:val="0"/>
      <w:autoSpaceDE w:val="0"/>
      <w:autoSpaceDN w:val="0"/>
      <w:adjustRightInd w:val="0"/>
      <w:spacing w:line="420" w:lineRule="auto"/>
      <w:ind w:firstLine="480" w:firstLineChars="200"/>
    </w:pPr>
    <w:rPr>
      <w:rFonts w:ascii="仿宋_GB2312" w:hAnsi="仿宋_GB2312" w:eastAsia="宋体" w:cs="仿宋_GB2312"/>
      <w:color w:val="000000"/>
      <w:sz w:val="24"/>
      <w:szCs w:val="24"/>
      <w:lang w:val="en-US" w:eastAsia="zh-CN" w:bidi="ar-SA"/>
    </w:rPr>
  </w:style>
  <w:style w:type="paragraph" w:customStyle="1" w:styleId="55">
    <w:name w:val="样式1"/>
    <w:basedOn w:val="17"/>
    <w:next w:val="1"/>
    <w:qFormat/>
    <w:uiPriority w:val="0"/>
    <w:pPr>
      <w:snapToGrid w:val="0"/>
      <w:jc w:val="center"/>
    </w:pPr>
    <w:rPr>
      <w:rFonts w:hint="eastAsia" w:ascii="宋体"/>
      <w:sz w:val="24"/>
    </w:rPr>
  </w:style>
  <w:style w:type="paragraph" w:customStyle="1" w:styleId="56">
    <w:name w:val="表格-内容"/>
    <w:basedOn w:val="1"/>
    <w:qFormat/>
    <w:uiPriority w:val="0"/>
    <w:pPr>
      <w:spacing w:line="300" w:lineRule="exact"/>
      <w:ind w:firstLine="0" w:firstLineChars="0"/>
      <w:jc w:val="center"/>
    </w:pPr>
    <w:rPr>
      <w:rFonts w:ascii="Times New Roman" w:hAnsi="Times New Roman" w:eastAsia="宋体" w:cs="Times New Roman"/>
      <w:sz w:val="21"/>
      <w:szCs w:val="21"/>
    </w:rPr>
  </w:style>
  <w:style w:type="paragraph" w:customStyle="1" w:styleId="57">
    <w:name w:val="空一行"/>
    <w:basedOn w:val="1"/>
    <w:next w:val="44"/>
    <w:qFormat/>
    <w:uiPriority w:val="0"/>
    <w:pPr>
      <w:adjustRightInd w:val="0"/>
      <w:ind w:left="482"/>
      <w:jc w:val="left"/>
    </w:pPr>
    <w:rPr>
      <w:rFonts w:ascii="Times New Roman" w:hAnsi="Times New Roman" w:eastAsia="宋体" w:cs="Times New Roman"/>
    </w:rPr>
  </w:style>
  <w:style w:type="paragraph" w:customStyle="1" w:styleId="58">
    <w:name w:val="样式 四号 左侧:  1.53 厘米"/>
    <w:basedOn w:val="1"/>
    <w:qFormat/>
    <w:uiPriority w:val="0"/>
    <w:pPr>
      <w:adjustRightInd w:val="0"/>
    </w:pPr>
    <w:rPr>
      <w:rFonts w:ascii="Times New Roman" w:hAnsi="Times New Roman" w:eastAsia="宋体" w:cs="Times New Roman"/>
      <w:w w:val="90"/>
      <w:sz w:val="28"/>
      <w:szCs w:val="28"/>
    </w:rPr>
  </w:style>
  <w:style w:type="paragraph" w:customStyle="1" w:styleId="59">
    <w:name w:val="样式 样式 四号 左侧:  1.53 厘米 + 首行缩进:  2 字符"/>
    <w:basedOn w:val="58"/>
    <w:qFormat/>
    <w:uiPriority w:val="0"/>
    <w:pPr>
      <w:ind w:left="200" w:leftChars="200"/>
    </w:pPr>
    <w:rPr>
      <w:rFonts w:ascii="Times New Roman" w:hAnsi="Times New Roman" w:eastAsia="宋体" w:cs="Times New Roman"/>
      <w:szCs w:val="20"/>
    </w:rPr>
  </w:style>
  <w:style w:type="paragraph" w:customStyle="1" w:styleId="60">
    <w:name w:val="样式 样式 样式 四号 左侧:  1.53 厘米 + 首行缩进:  2 字符 + 居中 左侧:  2 字符 首行缩进:  2..."/>
    <w:basedOn w:val="59"/>
    <w:qFormat/>
    <w:uiPriority w:val="0"/>
    <w:pPr>
      <w:ind w:firstLine="0" w:firstLineChars="0"/>
      <w:jc w:val="center"/>
    </w:pPr>
    <w:rPr>
      <w:rFonts w:ascii="Times New Roman" w:hAnsi="Times New Roman" w:eastAsia="宋体" w:cs="Times New Roman"/>
    </w:rPr>
  </w:style>
  <w:style w:type="paragraph" w:customStyle="1" w:styleId="61">
    <w:name w:val="Body text|1"/>
    <w:basedOn w:val="1"/>
    <w:qFormat/>
    <w:uiPriority w:val="0"/>
    <w:pPr>
      <w:spacing w:line="430" w:lineRule="auto"/>
      <w:ind w:firstLine="400"/>
    </w:pPr>
    <w:rPr>
      <w:rFonts w:ascii="宋体" w:hAnsi="宋体" w:eastAsia="宋体" w:cs="宋体"/>
      <w:color w:val="231F20"/>
      <w:lang w:val="zh-TW" w:eastAsia="zh-TW" w:bidi="zh-TW"/>
    </w:rPr>
  </w:style>
  <w:style w:type="paragraph" w:customStyle="1" w:styleId="62">
    <w:name w:val="标题4"/>
    <w:basedOn w:val="1"/>
    <w:qFormat/>
    <w:uiPriority w:val="0"/>
    <w:pPr>
      <w:ind w:firstLine="482"/>
    </w:pPr>
    <w:rPr>
      <w:rFonts w:ascii="Times New Roman" w:hAnsi="Times New Roman" w:eastAsia="宋体" w:cs="Times New Roman"/>
      <w:b/>
      <w:bCs/>
      <w:szCs w:val="24"/>
    </w:rPr>
  </w:style>
  <w:style w:type="character" w:customStyle="1" w:styleId="63">
    <w:name w:val="font31"/>
    <w:basedOn w:val="25"/>
    <w:qFormat/>
    <w:uiPriority w:val="0"/>
    <w:rPr>
      <w:rFonts w:hint="default" w:ascii="Times New Roman" w:hAnsi="Times New Roman" w:eastAsia="宋体" w:cs="Times New Roman"/>
      <w:b/>
      <w:bCs/>
      <w:color w:val="000000"/>
      <w:sz w:val="24"/>
      <w:szCs w:val="24"/>
      <w:u w:val="none"/>
    </w:rPr>
  </w:style>
  <w:style w:type="character" w:customStyle="1" w:styleId="64">
    <w:name w:val="font101"/>
    <w:basedOn w:val="25"/>
    <w:qFormat/>
    <w:uiPriority w:val="0"/>
    <w:rPr>
      <w:rFonts w:hint="default" w:ascii="Times New Roman" w:hAnsi="Times New Roman" w:eastAsia="宋体" w:cs="Times New Roman"/>
      <w:b/>
      <w:bCs/>
      <w:color w:val="000000"/>
      <w:sz w:val="24"/>
      <w:szCs w:val="24"/>
      <w:u w:val="none"/>
      <w:vertAlign w:val="superscript"/>
    </w:rPr>
  </w:style>
  <w:style w:type="character" w:customStyle="1" w:styleId="65">
    <w:name w:val="font51"/>
    <w:basedOn w:val="25"/>
    <w:qFormat/>
    <w:uiPriority w:val="0"/>
    <w:rPr>
      <w:rFonts w:hint="default" w:ascii="Times New Roman" w:hAnsi="Times New Roman" w:eastAsia="宋体" w:cs="Times New Roman"/>
      <w:color w:val="000000"/>
      <w:sz w:val="21"/>
      <w:szCs w:val="21"/>
      <w:u w:val="none"/>
    </w:rPr>
  </w:style>
  <w:style w:type="character" w:customStyle="1" w:styleId="66">
    <w:name w:val="font61"/>
    <w:basedOn w:val="25"/>
    <w:qFormat/>
    <w:uiPriority w:val="0"/>
    <w:rPr>
      <w:rFonts w:hint="default" w:ascii="Times New Roman" w:hAnsi="Times New Roman" w:eastAsia="宋体" w:cs="Times New Roman"/>
      <w:color w:val="000000"/>
      <w:sz w:val="13"/>
      <w:szCs w:val="13"/>
      <w:u w:val="none"/>
    </w:rPr>
  </w:style>
  <w:style w:type="character" w:customStyle="1" w:styleId="67">
    <w:name w:val="font41"/>
    <w:basedOn w:val="25"/>
    <w:qFormat/>
    <w:uiPriority w:val="0"/>
    <w:rPr>
      <w:rFonts w:hint="default" w:ascii="Times New Roman" w:hAnsi="Times New Roman" w:eastAsia="宋体" w:cs="Times New Roman"/>
      <w:color w:val="000000"/>
      <w:sz w:val="21"/>
      <w:szCs w:val="21"/>
      <w:u w:val="none"/>
    </w:rPr>
  </w:style>
  <w:style w:type="paragraph" w:customStyle="1" w:styleId="68">
    <w:name w:val="Table Paragraph"/>
    <w:basedOn w:val="1"/>
    <w:qFormat/>
    <w:uiPriority w:val="0"/>
    <w:rPr>
      <w:rFonts w:ascii="Times New Roman" w:hAnsi="Times New Roman" w:eastAsia="Times New Roman" w:cs="Times New Roman"/>
      <w:lang w:val="en-US" w:eastAsia="en-US" w:bidi="en-US"/>
    </w:rPr>
  </w:style>
  <w:style w:type="character" w:customStyle="1" w:styleId="69">
    <w:name w:val="radio-btn"/>
    <w:basedOn w:val="25"/>
    <w:qFormat/>
    <w:uiPriority w:val="0"/>
    <w:rPr>
      <w:rFonts w:ascii="Times New Roman" w:hAnsi="Times New Roman" w:eastAsia="宋体" w:cs="Times New Roman"/>
      <w:sz w:val="24"/>
      <w:szCs w:val="24"/>
    </w:rPr>
  </w:style>
  <w:style w:type="character" w:customStyle="1" w:styleId="70">
    <w:name w:val="radio-btn1"/>
    <w:basedOn w:val="25"/>
    <w:qFormat/>
    <w:uiPriority w:val="0"/>
    <w:rPr>
      <w:rFonts w:ascii="Times New Roman" w:hAnsi="Times New Roman" w:eastAsia="宋体" w:cs="Times New Roman"/>
      <w:sz w:val="21"/>
      <w:szCs w:val="21"/>
    </w:rPr>
  </w:style>
  <w:style w:type="character" w:customStyle="1" w:styleId="71">
    <w:name w:val="radio-btn2"/>
    <w:basedOn w:val="25"/>
    <w:qFormat/>
    <w:uiPriority w:val="0"/>
    <w:rPr>
      <w:rFonts w:ascii="Times New Roman" w:hAnsi="Times New Roman" w:eastAsia="宋体" w:cs="Times New Roman"/>
      <w:sz w:val="24"/>
      <w:szCs w:val="24"/>
    </w:rPr>
  </w:style>
  <w:style w:type="character" w:customStyle="1" w:styleId="72">
    <w:name w:val="cur"/>
    <w:basedOn w:val="25"/>
    <w:qFormat/>
    <w:uiPriority w:val="0"/>
    <w:rPr>
      <w:rFonts w:ascii="Times New Roman" w:hAnsi="Times New Roman" w:eastAsia="宋体" w:cs="Times New Roman"/>
      <w:color w:val="FFFFFF"/>
      <w:shd w:val="clear" w:color="auto" w:fill="2F6B98"/>
    </w:rPr>
  </w:style>
  <w:style w:type="character" w:customStyle="1" w:styleId="73">
    <w:name w:val="znspantitle"/>
    <w:basedOn w:val="25"/>
    <w:qFormat/>
    <w:uiPriority w:val="0"/>
    <w:rPr>
      <w:rFonts w:ascii="Times New Roman" w:hAnsi="Times New Roman" w:eastAsia="宋体" w:cs="Times New Roman"/>
      <w:b/>
      <w:bCs/>
      <w:color w:val="333333"/>
    </w:rPr>
  </w:style>
  <w:style w:type="character" w:customStyle="1" w:styleId="74">
    <w:name w:val="lable"/>
    <w:basedOn w:val="25"/>
    <w:qFormat/>
    <w:uiPriority w:val="0"/>
    <w:rPr>
      <w:rFonts w:ascii="Times New Roman" w:hAnsi="Times New Roman" w:eastAsia="宋体" w:cs="Times New Roman"/>
      <w:sz w:val="24"/>
      <w:szCs w:val="24"/>
    </w:rPr>
  </w:style>
  <w:style w:type="character" w:customStyle="1" w:styleId="75">
    <w:name w:val="lishishuju"/>
    <w:basedOn w:val="25"/>
    <w:qFormat/>
    <w:uiPriority w:val="0"/>
    <w:rPr>
      <w:rFonts w:ascii="Times New Roman" w:hAnsi="Times New Roman" w:eastAsia="宋体" w:cs="Times New Roman"/>
      <w:b/>
      <w:bCs/>
      <w:color w:val="000052"/>
      <w:sz w:val="24"/>
      <w:szCs w:val="24"/>
      <w:bdr w:val="single" w:color="E3E3E3" w:sz="6" w:space="0"/>
    </w:rPr>
  </w:style>
  <w:style w:type="character" w:customStyle="1" w:styleId="76">
    <w:name w:val="cur1"/>
    <w:basedOn w:val="25"/>
    <w:qFormat/>
    <w:uiPriority w:val="0"/>
    <w:rPr>
      <w:rFonts w:ascii="Times New Roman" w:hAnsi="Times New Roman" w:eastAsia="宋体" w:cs="Times New Roman"/>
      <w:color w:val="FFFFFF"/>
      <w:shd w:val="clear" w:color="auto" w:fill="2F6B98"/>
    </w:rPr>
  </w:style>
  <w:style w:type="paragraph" w:customStyle="1" w:styleId="77">
    <w:name w:val="表格标题"/>
    <w:basedOn w:val="7"/>
    <w:qFormat/>
    <w:uiPriority w:val="0"/>
    <w:pPr>
      <w:spacing w:line="360" w:lineRule="auto"/>
      <w:jc w:val="center"/>
    </w:pPr>
    <w:rPr>
      <w:rFonts w:ascii="Times New Roman" w:hAnsi="Times New Roman" w:eastAsia="宋体" w:cs="Arial"/>
      <w:b/>
      <w:sz w:val="21"/>
    </w:rPr>
  </w:style>
  <w:style w:type="paragraph" w:customStyle="1" w:styleId="78">
    <w:name w:val="表格内容"/>
    <w:basedOn w:val="77"/>
    <w:qFormat/>
    <w:uiPriority w:val="0"/>
    <w:pPr>
      <w:spacing w:line="240" w:lineRule="auto"/>
    </w:pPr>
    <w:rPr>
      <w:rFonts w:ascii="Times New Roman" w:hAnsi="Times New Roman" w:eastAsia="楷体_GB2312" w:cs="Times New Roman"/>
      <w:b w:val="0"/>
    </w:rPr>
  </w:style>
  <w:style w:type="character" w:customStyle="1" w:styleId="79">
    <w:name w:val="font71"/>
    <w:basedOn w:val="25"/>
    <w:qFormat/>
    <w:uiPriority w:val="0"/>
    <w:rPr>
      <w:rFonts w:hint="default" w:ascii="Times New Roman" w:hAnsi="Times New Roman" w:eastAsia="宋体" w:cs="Times New Roman"/>
      <w:color w:val="000000"/>
      <w:sz w:val="21"/>
      <w:szCs w:val="21"/>
      <w:u w:val="none"/>
      <w:vertAlign w:val="superscript"/>
    </w:rPr>
  </w:style>
  <w:style w:type="character" w:customStyle="1" w:styleId="80">
    <w:name w:val="font01"/>
    <w:basedOn w:val="25"/>
    <w:qFormat/>
    <w:uiPriority w:val="0"/>
    <w:rPr>
      <w:rFonts w:hint="default" w:ascii="Times New Roman" w:hAnsi="Times New Roman" w:eastAsia="宋体" w:cs="Times New Roman"/>
      <w:color w:val="000000"/>
      <w:sz w:val="22"/>
      <w:szCs w:val="22"/>
      <w:u w:val="none"/>
    </w:rPr>
  </w:style>
  <w:style w:type="paragraph" w:customStyle="1" w:styleId="81">
    <w:name w:val="【正文.】"/>
    <w:basedOn w:val="1"/>
    <w:qFormat/>
    <w:uiPriority w:val="0"/>
    <w:pPr>
      <w:ind w:firstLine="200"/>
    </w:pPr>
    <w:rPr>
      <w:rFonts w:ascii="Times New Roman" w:hAnsi="Times New Roman" w:eastAsia="宋体" w:cs="Times New Roman"/>
      <w:snapToGrid w:val="0"/>
      <w:kern w:val="0"/>
    </w:rPr>
  </w:style>
  <w:style w:type="paragraph" w:customStyle="1" w:styleId="82">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83">
    <w:name w:val="Table Grid_0"/>
    <w:basedOn w:val="23"/>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4">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85">
    <w:name w:val="表格"/>
    <w:basedOn w:val="1"/>
    <w:qFormat/>
    <w:uiPriority w:val="0"/>
    <w:pPr>
      <w:jc w:val="center"/>
    </w:pPr>
    <w:rPr>
      <w:rFonts w:ascii="Times New Roman"/>
      <w:sz w:val="24"/>
      <w:szCs w:val="24"/>
    </w:rPr>
  </w:style>
  <w:style w:type="paragraph" w:customStyle="1" w:styleId="86">
    <w:name w:val="WPSOffice手动目录 2"/>
    <w:qFormat/>
    <w:uiPriority w:val="0"/>
    <w:pPr>
      <w:ind w:left="200" w:leftChars="200"/>
    </w:pPr>
    <w:rPr>
      <w:rFonts w:ascii="Calibri" w:hAnsi="Calibri" w:eastAsia="宋体" w:cs="Times New Roman"/>
      <w:lang w:val="en-US" w:eastAsia="zh-CN" w:bidi="ar-SA"/>
    </w:rPr>
  </w:style>
  <w:style w:type="character" w:customStyle="1" w:styleId="87">
    <w:name w:val="font81"/>
    <w:basedOn w:val="25"/>
    <w:qFormat/>
    <w:uiPriority w:val="0"/>
    <w:rPr>
      <w:rFonts w:hint="eastAsia" w:ascii="宋体" w:hAnsi="宋体" w:eastAsia="宋体" w:cs="宋体"/>
      <w:b/>
      <w:bCs/>
      <w:color w:val="000000"/>
      <w:sz w:val="11"/>
      <w:szCs w:val="11"/>
      <w:u w:val="none"/>
    </w:rPr>
  </w:style>
  <w:style w:type="character" w:customStyle="1" w:styleId="88">
    <w:name w:val="font91"/>
    <w:basedOn w:val="25"/>
    <w:qFormat/>
    <w:uiPriority w:val="0"/>
    <w:rPr>
      <w:rFonts w:hint="default" w:ascii="Times New Roman" w:hAnsi="Times New Roman" w:cs="Times New Roman"/>
      <w:b/>
      <w:bCs/>
      <w:color w:val="000000"/>
      <w:sz w:val="11"/>
      <w:szCs w:val="11"/>
      <w:u w:val="none"/>
    </w:rPr>
  </w:style>
  <w:style w:type="paragraph" w:customStyle="1" w:styleId="89">
    <w:name w:val="报告表格文字"/>
    <w:basedOn w:val="90"/>
    <w:autoRedefine/>
    <w:qFormat/>
    <w:uiPriority w:val="0"/>
    <w:pPr>
      <w:spacing w:line="240" w:lineRule="auto"/>
      <w:ind w:firstLine="0" w:firstLineChars="0"/>
      <w:jc w:val="center"/>
    </w:pPr>
    <w:rPr>
      <w:sz w:val="21"/>
    </w:rPr>
  </w:style>
  <w:style w:type="paragraph" w:customStyle="1" w:styleId="90">
    <w:name w:val="报告正文"/>
    <w:basedOn w:val="1"/>
    <w:autoRedefine/>
    <w:qFormat/>
    <w:uiPriority w:val="0"/>
    <w:pPr>
      <w:spacing w:line="360" w:lineRule="auto"/>
      <w:ind w:firstLine="200" w:firstLineChars="200"/>
      <w:jc w:val="left"/>
    </w:pPr>
    <w:rPr>
      <w:rFonts w:eastAsia="仿宋"/>
      <w:szCs w:val="24"/>
    </w:rPr>
  </w:style>
  <w:style w:type="paragraph" w:customStyle="1" w:styleId="91">
    <w:name w:val="表文字"/>
    <w:qFormat/>
    <w:uiPriority w:val="0"/>
    <w:pPr>
      <w:topLinePunct/>
      <w:adjustRightInd w:val="0"/>
      <w:spacing w:line="270" w:lineRule="exact"/>
      <w:jc w:val="center"/>
    </w:pPr>
    <w:rPr>
      <w:rFonts w:ascii="Times New Roman" w:hAnsi="Times New Roman" w:eastAsia="宋体" w:cs="Times New Roman"/>
      <w:kern w:val="18"/>
      <w:sz w:val="18"/>
      <w:lang w:val="en-US" w:eastAsia="zh-CN" w:bidi="ar-SA"/>
    </w:rPr>
  </w:style>
  <w:style w:type="paragraph" w:customStyle="1" w:styleId="92">
    <w:name w:val="报告正文（一号线）"/>
    <w:basedOn w:val="1"/>
    <w:autoRedefine/>
    <w:qFormat/>
    <w:uiPriority w:val="0"/>
    <w:pPr>
      <w:snapToGrid w:val="0"/>
      <w:spacing w:line="360" w:lineRule="auto"/>
      <w:ind w:firstLine="200" w:firstLineChars="200"/>
      <w:jc w:val="left"/>
    </w:pPr>
    <w:rPr>
      <w:rFonts w:ascii="Times New Roman" w:hAnsi="Times New Roman" w:eastAsia="宋体" w:cs="Times New Roman"/>
      <w:color w:val="0000FF"/>
      <w:sz w:val="24"/>
    </w:rPr>
  </w:style>
  <w:style w:type="paragraph" w:customStyle="1" w:styleId="93">
    <w:name w:val="Table Text"/>
    <w:basedOn w:val="1"/>
    <w:semiHidden/>
    <w:qFormat/>
    <w:uiPriority w:val="0"/>
    <w:rPr>
      <w:rFonts w:ascii="宋体" w:hAnsi="宋体" w:eastAsia="宋体" w:cs="宋体"/>
      <w:sz w:val="24"/>
      <w:szCs w:val="24"/>
      <w:lang w:val="en-US" w:eastAsia="en-US" w:bidi="ar-SA"/>
    </w:rPr>
  </w:style>
  <w:style w:type="table" w:customStyle="1" w:styleId="94">
    <w:name w:val="Table Normal"/>
    <w:semiHidden/>
    <w:unhideWhenUsed/>
    <w:qFormat/>
    <w:uiPriority w:val="0"/>
    <w:tblPr>
      <w:tblCellMar>
        <w:top w:w="0" w:type="dxa"/>
        <w:left w:w="0" w:type="dxa"/>
        <w:bottom w:w="0" w:type="dxa"/>
        <w:right w:w="0" w:type="dxa"/>
      </w:tblCellMar>
    </w:tblPr>
  </w:style>
  <w:style w:type="character" w:customStyle="1" w:styleId="95">
    <w:name w:val="环评正文 Char"/>
    <w:link w:val="42"/>
    <w:qFormat/>
    <w:uiPriority w:val="0"/>
    <w:rPr>
      <w:rFonts w:hint="eastAsia" w:ascii="宋体" w:hAnsi="宋体" w:eastAsia="宋体" w:cs="宋体"/>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wmf"/><Relationship Id="rId14" Type="http://schemas.openxmlformats.org/officeDocument/2006/relationships/oleObject" Target="embeddings/oleObject2.bin"/><Relationship Id="rId13" Type="http://schemas.openxmlformats.org/officeDocument/2006/relationships/image" Target="media/image6.wmf"/><Relationship Id="rId12" Type="http://schemas.openxmlformats.org/officeDocument/2006/relationships/oleObject" Target="embeddings/oleObject1.bin"/><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IyMTk4MDUyNzQ0IiwKCSJHcm91cElkIiA6ICIzMjAyNDg3NzIiLAoJIkltYWdlIiA6ICJpVkJPUncwS0dnb0FBQUFOU1VoRVVnQUFCUE1BQUFHakNBWUFBQUJKMWxEK0FBQUFBWE5TUjBJQXJzNGM2UUFBSUFCSlJFRlVlSnpzM1hsOEUyWCtCL0RQTTBuYVVDaVVjbGdRa0lXcVdHaWJtUzRpS09zS2VGOElnaTZDdVB0RDhUNFFCVVZsRlc4RVFVVmREMEJBWFhGMXhRTlhVQkNSUzJrbVBTZ2dGU3RVS0ZET2xoNDBtZS92anpZeGJkT1RRb3Q4M3E4WHJ5VFBOYytVVHBMNTlqa0F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Z1B2Ry93RWxoU2hja0NqNXh3QUFBQUJKUlU1RXJrSmdnZz09IiwKCSJUaGVtZSIgOiAiIiwKCSJUeXBlIiA6ICJmbG93IiwKCSJVc2VySWQiIDogIiIsCgkiVmVyc2lvbiIgOiAiND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85</Pages>
  <Words>272</Words>
  <Characters>327</Characters>
  <Lines>13</Lines>
  <Paragraphs>3</Paragraphs>
  <TotalTime>4</TotalTime>
  <ScaleCrop>false</ScaleCrop>
  <LinksUpToDate>false</LinksUpToDate>
  <CharactersWithSpaces>369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xxxx</cp:lastModifiedBy>
  <cp:lastPrinted>2020-12-29T02:43:00Z</cp:lastPrinted>
  <dcterms:modified xsi:type="dcterms:W3CDTF">2025-08-12T03:33:47Z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SaveFontToCloudKey">
    <vt:lpwstr>340409171_cloud</vt:lpwstr>
  </property>
  <property fmtid="{D5CDD505-2E9C-101B-9397-08002B2CF9AE}" pid="4" name="ICV">
    <vt:lpwstr>6CED12BC22FB424F99EC30E6839DC604_13</vt:lpwstr>
  </property>
  <property fmtid="{D5CDD505-2E9C-101B-9397-08002B2CF9AE}" pid="5" name="KSOTemplateDocerSaveRecord">
    <vt:lpwstr>eyJoZGlkIjoiMDZhOGMxODUwMjdlY2IzN2QwNDFlNTdlNzkwNGUyY2UiLCJ1c2VySWQiOiIxNjYxMjk4MDQ1In0=</vt:lpwstr>
  </property>
</Properties>
</file>