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FFBA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jc w:val="both"/>
        <w:textAlignment w:val="baseline"/>
        <w:rPr>
          <w:rFonts w:hint="default" w:ascii="Times New Roman" w:hAnsi="Times New Roman" w:eastAsia="仿宋_GB2312" w:cs="Times New Roman"/>
          <w:color w:val="auto"/>
          <w:sz w:val="32"/>
          <w:szCs w:val="32"/>
          <w:highlight w:val="none"/>
        </w:rPr>
      </w:pPr>
    </w:p>
    <w:p w14:paraId="73A2D6D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jc w:val="right"/>
        <w:textAlignment w:val="baseline"/>
        <w:rPr>
          <w:rFonts w:hint="default" w:ascii="Times New Roman" w:hAnsi="Times New Roman" w:eastAsia="仿宋_GB2312" w:cs="Times New Roman"/>
          <w:color w:val="auto"/>
          <w:sz w:val="32"/>
          <w:szCs w:val="32"/>
          <w:highlight w:val="none"/>
        </w:rPr>
      </w:pPr>
    </w:p>
    <w:p w14:paraId="3038DAAF">
      <w:pPr>
        <w:keepNext w:val="0"/>
        <w:keepLines w:val="0"/>
        <w:pageBreakBefore w:val="0"/>
        <w:widowControl w:val="0"/>
        <w:kinsoku/>
        <w:wordWrap/>
        <w:overflowPunct/>
        <w:topLinePunct w:val="0"/>
        <w:autoSpaceDE/>
        <w:autoSpaceDN/>
        <w:bidi w:val="0"/>
        <w:spacing w:line="600" w:lineRule="exact"/>
        <w:ind w:left="0" w:leftChars="0" w:right="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大英县卫生健康局</w:t>
      </w:r>
    </w:p>
    <w:p w14:paraId="3AC0EA3C">
      <w:pPr>
        <w:keepNext w:val="0"/>
        <w:keepLines w:val="0"/>
        <w:pageBreakBefore w:val="0"/>
        <w:widowControl w:val="0"/>
        <w:kinsoku/>
        <w:wordWrap/>
        <w:overflowPunct/>
        <w:topLinePunct w:val="0"/>
        <w:autoSpaceDE/>
        <w:autoSpaceDN/>
        <w:bidi w:val="0"/>
        <w:spacing w:line="600" w:lineRule="exact"/>
        <w:ind w:left="0" w:leftChars="0" w:right="0"/>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4</w:t>
      </w:r>
      <w:r>
        <w:rPr>
          <w:rFonts w:hint="eastAsia" w:ascii="方正小标宋简体" w:hAnsi="方正小标宋简体" w:eastAsia="方正小标宋简体" w:cs="方正小标宋简体"/>
          <w:color w:val="auto"/>
          <w:sz w:val="44"/>
          <w:szCs w:val="44"/>
          <w:highlight w:val="none"/>
        </w:rPr>
        <w:t>年县级部门整体支出绩效评价报告</w:t>
      </w:r>
    </w:p>
    <w:p w14:paraId="1448A673">
      <w:pPr>
        <w:keepNext w:val="0"/>
        <w:keepLines w:val="0"/>
        <w:pageBreakBefore w:val="0"/>
        <w:widowControl w:val="0"/>
        <w:kinsoku/>
        <w:wordWrap/>
        <w:overflowPunct/>
        <w:topLinePunct w:val="0"/>
        <w:autoSpaceDE/>
        <w:autoSpaceDN/>
        <w:bidi w:val="0"/>
        <w:spacing w:line="600" w:lineRule="exact"/>
        <w:ind w:left="0" w:leftChars="0" w:right="0"/>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包括机关和下属单位</w:t>
      </w:r>
      <w:r>
        <w:rPr>
          <w:rFonts w:hint="eastAsia" w:ascii="方正小标宋简体" w:hAnsi="方正小标宋简体" w:eastAsia="方正小标宋简体" w:cs="方正小标宋简体"/>
          <w:color w:val="auto"/>
          <w:sz w:val="44"/>
          <w:szCs w:val="44"/>
          <w:highlight w:val="none"/>
          <w:lang w:eastAsia="zh-CN"/>
        </w:rPr>
        <w:t>）</w:t>
      </w:r>
    </w:p>
    <w:p w14:paraId="373F62B1">
      <w:pPr>
        <w:keepNext w:val="0"/>
        <w:keepLines w:val="0"/>
        <w:pageBreakBefore w:val="0"/>
        <w:widowControl w:val="0"/>
        <w:kinsoku/>
        <w:wordWrap/>
        <w:overflowPunct/>
        <w:topLinePunct w:val="0"/>
        <w:autoSpaceDE/>
        <w:autoSpaceDN/>
        <w:bidi w:val="0"/>
        <w:spacing w:line="600" w:lineRule="exact"/>
        <w:ind w:left="0" w:leftChars="0" w:right="0"/>
        <w:jc w:val="both"/>
        <w:rPr>
          <w:rFonts w:hint="default" w:ascii="Times New Roman" w:hAnsi="Times New Roman" w:eastAsia="仿宋_GB2312" w:cs="Times New Roman"/>
          <w:color w:val="auto"/>
          <w:sz w:val="32"/>
          <w:szCs w:val="32"/>
          <w:highlight w:val="none"/>
        </w:rPr>
      </w:pPr>
    </w:p>
    <w:p w14:paraId="306BF045">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baseline"/>
        <w:rPr>
          <w:rFonts w:hint="eastAsia" w:ascii="Times New Roman" w:hAnsi="Times New Roman"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县财政局：</w:t>
      </w:r>
    </w:p>
    <w:p w14:paraId="259CC40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根据县财政局</w:t>
      </w:r>
      <w:bookmarkStart w:id="0" w:name="OLE_LINK8"/>
      <w:r>
        <w:rPr>
          <w:rFonts w:hint="default" w:ascii="Times New Roman" w:hAnsi="Times New Roman" w:eastAsia="仿宋_GB2312" w:cs="Times New Roman"/>
          <w:color w:val="auto"/>
          <w:sz w:val="32"/>
          <w:szCs w:val="32"/>
          <w:highlight w:val="none"/>
        </w:rPr>
        <w:t>《关于开展202</w:t>
      </w:r>
      <w:r>
        <w:rPr>
          <w:rFonts w:hint="eastAsia"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部门、项目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政策</w:t>
      </w:r>
      <w:r>
        <w:rPr>
          <w:rFonts w:hint="default" w:ascii="Times New Roman" w:hAnsi="Times New Roman" w:eastAsia="仿宋_GB2312" w:cs="Times New Roman"/>
          <w:color w:val="auto"/>
          <w:sz w:val="32"/>
          <w:szCs w:val="32"/>
          <w:highlight w:val="none"/>
        </w:rPr>
        <w:t>支出绩效自评工作的通知》</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大财发〔202</w:t>
      </w:r>
      <w:r>
        <w:rPr>
          <w:rFonts w:hint="eastAsia"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cs="Times New Roman"/>
          <w:color w:val="auto"/>
          <w:sz w:val="32"/>
          <w:szCs w:val="32"/>
          <w:highlight w:val="none"/>
          <w:lang w:val="en-US" w:eastAsia="zh-CN"/>
        </w:rPr>
        <w:t>93</w:t>
      </w:r>
      <w:r>
        <w:rPr>
          <w:rFonts w:hint="default" w:ascii="Times New Roman" w:hAnsi="Times New Roman" w:eastAsia="仿宋_GB2312" w:cs="Times New Roman"/>
          <w:color w:val="auto"/>
          <w:sz w:val="32"/>
          <w:szCs w:val="32"/>
          <w:highlight w:val="none"/>
        </w:rPr>
        <w:t>号</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文件精神</w:t>
      </w:r>
      <w:bookmarkEnd w:id="0"/>
      <w:r>
        <w:rPr>
          <w:rFonts w:hint="default" w:ascii="Times New Roman" w:hAnsi="Times New Roman" w:eastAsia="仿宋_GB2312" w:cs="Times New Roman"/>
          <w:color w:val="auto"/>
          <w:sz w:val="32"/>
          <w:szCs w:val="32"/>
          <w:highlight w:val="none"/>
        </w:rPr>
        <w:t>，县卫生健康局本着独立、客观、公正、科学的原则，积极安排绩效自评工作。本次评价工作由分管领导牵头，抽取各股室业务骨干，组建绩效评价工作小组。工作小组负责对部门整体支出和项目支出进行绩效评价。本次绩效评价的所有指标均按照县财政局《关于开展202</w:t>
      </w:r>
      <w:r>
        <w:rPr>
          <w:rFonts w:hint="eastAsia"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部门、项目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政策</w:t>
      </w:r>
      <w:r>
        <w:rPr>
          <w:rFonts w:hint="default" w:ascii="Times New Roman" w:hAnsi="Times New Roman" w:eastAsia="仿宋_GB2312" w:cs="Times New Roman"/>
          <w:color w:val="auto"/>
          <w:sz w:val="32"/>
          <w:szCs w:val="32"/>
          <w:highlight w:val="none"/>
        </w:rPr>
        <w:t>支出绩效自评工作的通知》</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大财发〔202</w:t>
      </w:r>
      <w:r>
        <w:rPr>
          <w:rFonts w:hint="eastAsia"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cs="Times New Roman"/>
          <w:color w:val="auto"/>
          <w:sz w:val="32"/>
          <w:szCs w:val="32"/>
          <w:highlight w:val="none"/>
          <w:lang w:val="en-US" w:eastAsia="zh-CN"/>
        </w:rPr>
        <w:t>93</w:t>
      </w:r>
      <w:r>
        <w:rPr>
          <w:rFonts w:hint="default" w:ascii="Times New Roman" w:hAnsi="Times New Roman" w:eastAsia="仿宋_GB2312" w:cs="Times New Roman"/>
          <w:color w:val="auto"/>
          <w:sz w:val="32"/>
          <w:szCs w:val="32"/>
          <w:highlight w:val="none"/>
        </w:rPr>
        <w:t>号</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标准执行。现将具体评价情况报告如下</w:t>
      </w:r>
      <w:r>
        <w:rPr>
          <w:rFonts w:hint="default" w:ascii="Times New Roman" w:hAnsi="Times New Roman" w:eastAsia="仿宋_GB2312" w:cs="Times New Roman"/>
          <w:color w:val="auto"/>
          <w:sz w:val="32"/>
          <w:szCs w:val="32"/>
          <w:highlight w:val="none"/>
          <w:lang w:val="en-US" w:eastAsia="zh-CN"/>
        </w:rPr>
        <w:t>。</w:t>
      </w:r>
    </w:p>
    <w:p w14:paraId="3481ACE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一、部门</w:t>
      </w:r>
      <w:r>
        <w:rPr>
          <w:rFonts w:hint="eastAsia" w:ascii="Times New Roman" w:hAnsi="Times New Roman" w:eastAsia="黑体" w:cs="Times New Roman"/>
          <w:color w:val="auto"/>
          <w:sz w:val="32"/>
          <w:szCs w:val="32"/>
          <w:highlight w:val="none"/>
          <w:lang w:val="en-US" w:eastAsia="zh-CN"/>
        </w:rPr>
        <w:t>基本情况</w:t>
      </w:r>
    </w:p>
    <w:p w14:paraId="75FC859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一</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机构组成</w:t>
      </w:r>
    </w:p>
    <w:p w14:paraId="6474201E">
      <w:pPr>
        <w:pStyle w:val="15"/>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150" w:beforeAutospacing="0" w:after="15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县卫生健康局预算单位1</w:t>
      </w:r>
      <w:r>
        <w:rPr>
          <w:rFonts w:hint="eastAsia"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个，其中行政单位1个、参照公务员法管理的事业单位1个、其他事业单位1</w:t>
      </w: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个。主要包括：大英县卫生健康局、大英县</w:t>
      </w:r>
      <w:r>
        <w:rPr>
          <w:rFonts w:hint="default" w:ascii="Times New Roman" w:hAnsi="Times New Roman" w:cs="Times New Roman"/>
          <w:color w:val="auto"/>
          <w:sz w:val="32"/>
          <w:szCs w:val="32"/>
          <w:highlight w:val="none"/>
          <w:lang w:val="en-US" w:eastAsia="zh-CN"/>
        </w:rPr>
        <w:t>卫生健康综合行政</w:t>
      </w:r>
      <w:r>
        <w:rPr>
          <w:rFonts w:hint="default" w:ascii="Times New Roman" w:hAnsi="Times New Roman" w:eastAsia="仿宋_GB2312" w:cs="Times New Roman"/>
          <w:color w:val="auto"/>
          <w:sz w:val="32"/>
          <w:szCs w:val="32"/>
          <w:highlight w:val="none"/>
        </w:rPr>
        <w:t>执法大队、大英县疾病预防控制中心、大英县妇幼保健</w:t>
      </w:r>
      <w:r>
        <w:rPr>
          <w:rFonts w:hint="default" w:ascii="Times New Roman" w:hAnsi="Times New Roman" w:cs="Times New Roman"/>
          <w:color w:val="auto"/>
          <w:sz w:val="32"/>
          <w:szCs w:val="32"/>
          <w:highlight w:val="none"/>
          <w:lang w:val="en-US" w:eastAsia="zh-CN"/>
        </w:rPr>
        <w:t>院</w:t>
      </w:r>
      <w:r>
        <w:rPr>
          <w:rFonts w:hint="default" w:ascii="Times New Roman" w:hAnsi="Times New Roman" w:eastAsia="仿宋_GB2312" w:cs="Times New Roman"/>
          <w:color w:val="auto"/>
          <w:sz w:val="32"/>
          <w:szCs w:val="32"/>
          <w:highlight w:val="none"/>
        </w:rPr>
        <w:t>、大英县人民医院、大英县中医医院、大英县隆盛中心卫生院、大英县河边中心卫生院、大英县玉峰中心卫生院、大英县天保中心卫生院、大英县回马镇卫生院、大英县金元镇卫生院、</w:t>
      </w:r>
      <w:r>
        <w:rPr>
          <w:rFonts w:hint="eastAsia" w:ascii="仿宋_GB2312" w:hAnsi="仿宋_GB2312" w:eastAsia="仿宋_GB2312" w:cs="仿宋_GB2312"/>
          <w:b w:val="0"/>
          <w:bCs w:val="0"/>
          <w:kern w:val="0"/>
          <w:sz w:val="32"/>
          <w:szCs w:val="32"/>
          <w:shd w:val="clear" w:color="auto" w:fill="FFFFFF"/>
          <w:lang w:val="en-US" w:eastAsia="zh-CN" w:bidi="ar"/>
        </w:rPr>
        <w:t>大英县蓬莱镇通仙卫生院</w:t>
      </w:r>
      <w:r>
        <w:rPr>
          <w:rFonts w:hint="eastAsia" w:ascii="仿宋_GB2312" w:hAnsi="仿宋_GB2312" w:cs="仿宋_GB2312"/>
          <w:b w:val="0"/>
          <w:bCs w:val="0"/>
          <w:kern w:val="0"/>
          <w:sz w:val="32"/>
          <w:szCs w:val="32"/>
          <w:shd w:val="clear" w:color="auto" w:fill="FFFFFF"/>
          <w:lang w:val="en-US" w:eastAsia="zh-CN" w:bidi="ar"/>
        </w:rPr>
        <w:t>、</w:t>
      </w:r>
      <w:r>
        <w:rPr>
          <w:rFonts w:hint="default" w:ascii="Times New Roman" w:hAnsi="Times New Roman" w:eastAsia="仿宋_GB2312" w:cs="Times New Roman"/>
          <w:color w:val="auto"/>
          <w:sz w:val="32"/>
          <w:szCs w:val="32"/>
          <w:highlight w:val="none"/>
        </w:rPr>
        <w:t>大英县卓筒井镇卫生院、大英县象山镇卫生院</w:t>
      </w:r>
      <w:r>
        <w:rPr>
          <w:rFonts w:hint="eastAsia" w:cs="Times New Roman"/>
          <w:color w:val="auto"/>
          <w:sz w:val="32"/>
          <w:szCs w:val="32"/>
          <w:highlight w:val="none"/>
          <w:lang w:eastAsia="zh-CN"/>
        </w:rPr>
        <w:t>、</w:t>
      </w:r>
      <w:r>
        <w:rPr>
          <w:rFonts w:hint="eastAsia" w:ascii="仿宋_GB2312" w:hAnsi="仿宋_GB2312" w:eastAsia="仿宋_GB2312" w:cs="仿宋_GB2312"/>
          <w:b w:val="0"/>
          <w:bCs w:val="0"/>
          <w:kern w:val="0"/>
          <w:sz w:val="32"/>
          <w:szCs w:val="32"/>
          <w:shd w:val="clear" w:color="auto" w:fill="FFFFFF"/>
          <w:lang w:val="en-US" w:eastAsia="zh-CN" w:bidi="ar"/>
        </w:rPr>
        <w:t>大英县盐井街道社区卫生服务中心</w:t>
      </w:r>
      <w:r>
        <w:rPr>
          <w:rFonts w:hint="eastAsia" w:ascii="仿宋_GB2312" w:hAnsi="仿宋_GB2312" w:cs="仿宋_GB2312"/>
          <w:b w:val="0"/>
          <w:bCs w:val="0"/>
          <w:kern w:val="0"/>
          <w:sz w:val="32"/>
          <w:szCs w:val="32"/>
          <w:shd w:val="clear" w:color="auto" w:fill="FFFFFF"/>
          <w:lang w:val="en-US" w:eastAsia="zh-CN" w:bidi="ar"/>
        </w:rPr>
        <w:t>。</w:t>
      </w:r>
      <w:bookmarkStart w:id="21" w:name="_GoBack"/>
      <w:bookmarkEnd w:id="21"/>
    </w:p>
    <w:p w14:paraId="5CA868D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二</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机构职能</w:t>
      </w:r>
    </w:p>
    <w:p w14:paraId="5A525CA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组织拟订全县卫生健康政策。负责拟订全县卫生健康事业发展政策、规划并组织实施。统筹规划全县卫生健康资源配置。制定并组织实施推进卫生健康基本公共服务均等化、普惠化、便捷化和公共资源向基层延伸等政策措施。</w:t>
      </w:r>
    </w:p>
    <w:p w14:paraId="59F3259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牵头推进全县深化医药卫生体制改革，研究提出重大政策、措施的建议。牵头负责全县分级诊疗、现代医院管理、综合监管等基本医疗卫生制度建设。制定并组织实施推动卫生健康公共服务提供主体多元化、方式多样化的政策措施。</w:t>
      </w:r>
    </w:p>
    <w:p w14:paraId="3324149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制定并组织落实全县疾病预防控制规划、免疫规划以及严重危害人民健康的艾滋病等重大传染病、寄生虫病、地方病等公共卫生问题的干预措施。负责全县卫生应急工作，组织指导全县突发公共卫生事件预防控制和各类突发公共事件的医疗卫生救援。按照权限发布传染病疫情信息、突发公共卫生事件应急处置信息。依照国家检疫传染病和监测传染病目录，参与开展检疫监测工作。</w:t>
      </w:r>
    </w:p>
    <w:p w14:paraId="0DFFC65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贯彻实施中医药发展规划和技术规范，负责中医医疗机构的监督管理，促进中医药资源的保护、开发和合理利用。</w:t>
      </w:r>
    </w:p>
    <w:p w14:paraId="356F6F7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5.贯彻落实国家应对人口老龄化政策措施。负责推进老年健康服务体系建设和医养结合工作。承担县老龄工作委员会日常工作。</w:t>
      </w:r>
    </w:p>
    <w:p w14:paraId="4C007B2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贯彻落实国家药物政策和国家基本药物制度。开展药械使用监测、临床综合评价和短缺药品预警，组织执行国家药典和国家基本药物目录，落实基本药物使用的政策措施。按照国家和省、市相关要求会同有关部门制定和实施食品安全风险监测计划。依法开展食品安全企业标准备案。</w:t>
      </w:r>
    </w:p>
    <w:p w14:paraId="3642BE4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7.负责职责范围内的职业卫生、放射卫生、环境卫生、学校卫生、公共场所卫生、饮用水卫生等公共卫生的监督管理。负责传染病防治监督，健全卫生健康综合监管体系。</w:t>
      </w:r>
    </w:p>
    <w:p w14:paraId="054CA6D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负责全县医疗机构的监督管理，制定医疗机构、医疗服务行业管理办法并组织实施。会同有关部门实施卫生健康专业技术人员资格标准。组织实施医疗服务规范、卫生健康专业技术人员执业规则和服务规范。</w:t>
      </w:r>
    </w:p>
    <w:p w14:paraId="5E7B254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9.负责全县计划生育管理和服务工作。开展人口监测预警，研究提出人口与家庭发展相关政策建议，贯彻落实计划生育政策。</w:t>
      </w:r>
    </w:p>
    <w:p w14:paraId="6DC52AA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10.指导基层医疗卫生、妇幼健康服务体系和基层卫生队伍建设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推进卫生健康科技创新发展。</w:t>
      </w:r>
    </w:p>
    <w:p w14:paraId="40211AD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11.负责县确定的保健对象的医疗保健工作。负责县直有关部门</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单位</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离休干部医疗管理工作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负责重要会议与重大活动的医疗卫生保障工作。</w:t>
      </w:r>
    </w:p>
    <w:p w14:paraId="0A12022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指导县计划生育协会的业务工作，代管县计生协会机关</w:t>
      </w:r>
      <w:r>
        <w:rPr>
          <w:rFonts w:hint="default" w:ascii="Times New Roman" w:hAnsi="Times New Roman" w:eastAsia="仿宋_GB2312" w:cs="Times New Roman"/>
          <w:color w:val="auto"/>
          <w:sz w:val="32"/>
          <w:szCs w:val="32"/>
          <w:highlight w:val="none"/>
          <w:lang w:eastAsia="zh-CN"/>
        </w:rPr>
        <w:t>。</w:t>
      </w:r>
    </w:p>
    <w:p w14:paraId="2918A10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13.负责职责范围内的安全生产和职业健康、生态环境保护、审批服务便民化等工作。</w:t>
      </w:r>
    </w:p>
    <w:p w14:paraId="1AB1167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14.完成县委和县政府交办的其他任务。</w:t>
      </w:r>
    </w:p>
    <w:p w14:paraId="717F26E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三</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人员概况</w:t>
      </w:r>
    </w:p>
    <w:p w14:paraId="3AD74FD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截止202</w:t>
      </w: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年12月31日，县卫健系统</w:t>
      </w:r>
      <w:r>
        <w:rPr>
          <w:rFonts w:hint="default" w:ascii="Times New Roman" w:hAnsi="Times New Roman" w:cs="Times New Roman"/>
          <w:color w:val="auto"/>
          <w:sz w:val="32"/>
          <w:szCs w:val="32"/>
          <w:highlight w:val="none"/>
          <w:lang w:val="en-US" w:eastAsia="zh-CN"/>
        </w:rPr>
        <w:t>编制</w:t>
      </w:r>
      <w:r>
        <w:rPr>
          <w:rFonts w:hint="eastAsia" w:ascii="Times New Roman" w:hAnsi="Times New Roman" w:cs="Times New Roman"/>
          <w:color w:val="auto"/>
          <w:sz w:val="32"/>
          <w:szCs w:val="32"/>
          <w:highlight w:val="none"/>
          <w:lang w:val="en-US" w:eastAsia="zh-CN"/>
        </w:rPr>
        <w:t>969</w:t>
      </w:r>
      <w:r>
        <w:rPr>
          <w:rFonts w:hint="default" w:ascii="Times New Roman" w:hAnsi="Times New Roman" w:eastAsia="仿宋_GB2312" w:cs="Times New Roman"/>
          <w:color w:val="auto"/>
          <w:sz w:val="32"/>
          <w:szCs w:val="32"/>
          <w:highlight w:val="none"/>
        </w:rPr>
        <w:t>人，实有在编在职人员</w:t>
      </w:r>
      <w:r>
        <w:rPr>
          <w:rFonts w:hint="eastAsia" w:ascii="Times New Roman" w:hAnsi="Times New Roman" w:cs="Times New Roman"/>
          <w:color w:val="auto"/>
          <w:sz w:val="32"/>
          <w:szCs w:val="32"/>
          <w:highlight w:val="none"/>
          <w:lang w:val="en-US" w:eastAsia="zh-CN"/>
        </w:rPr>
        <w:t>922</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zh-CN"/>
        </w:rPr>
        <w:t>其中：行政编制</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zh-CN"/>
        </w:rPr>
        <w:t>人，实有</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zh-CN"/>
        </w:rPr>
        <w:t>人；</w:t>
      </w:r>
      <w:r>
        <w:rPr>
          <w:rFonts w:hint="default" w:ascii="Times New Roman" w:hAnsi="Times New Roman" w:cs="Times New Roman"/>
          <w:color w:val="auto"/>
          <w:kern w:val="0"/>
          <w:szCs w:val="32"/>
          <w:highlight w:val="none"/>
          <w:shd w:val="clear" w:color="auto" w:fill="FFFFFF"/>
          <w:lang w:val="zh-CN"/>
        </w:rPr>
        <w:t>事业编制</w:t>
      </w:r>
      <w:r>
        <w:rPr>
          <w:rFonts w:hint="eastAsia" w:ascii="Times New Roman" w:hAnsi="Times New Roman" w:cs="Times New Roman"/>
          <w:color w:val="auto"/>
          <w:kern w:val="0"/>
          <w:szCs w:val="32"/>
          <w:highlight w:val="none"/>
          <w:shd w:val="clear" w:color="auto" w:fill="FFFFFF"/>
          <w:lang w:val="en-US" w:eastAsia="zh-CN"/>
        </w:rPr>
        <w:t>954</w:t>
      </w:r>
      <w:r>
        <w:rPr>
          <w:rFonts w:hint="default" w:ascii="Times New Roman" w:hAnsi="Times New Roman" w:cs="Times New Roman"/>
          <w:color w:val="auto"/>
          <w:kern w:val="0"/>
          <w:szCs w:val="32"/>
          <w:highlight w:val="none"/>
          <w:shd w:val="clear" w:color="auto" w:fill="FFFFFF"/>
          <w:lang w:val="zh-CN"/>
        </w:rPr>
        <w:t>人，实有</w:t>
      </w:r>
      <w:r>
        <w:rPr>
          <w:rFonts w:hint="eastAsia" w:ascii="Times New Roman" w:hAnsi="Times New Roman" w:cs="Times New Roman"/>
          <w:color w:val="auto"/>
          <w:kern w:val="0"/>
          <w:szCs w:val="32"/>
          <w:highlight w:val="none"/>
          <w:shd w:val="clear" w:color="auto" w:fill="FFFFFF"/>
          <w:lang w:val="en-US" w:eastAsia="zh-CN"/>
        </w:rPr>
        <w:t>908</w:t>
      </w:r>
      <w:r>
        <w:rPr>
          <w:rFonts w:hint="default" w:ascii="Times New Roman" w:hAnsi="Times New Roman" w:cs="Times New Roman"/>
          <w:color w:val="auto"/>
          <w:kern w:val="0"/>
          <w:szCs w:val="32"/>
          <w:highlight w:val="none"/>
          <w:shd w:val="clear" w:color="auto" w:fill="FFFFFF"/>
          <w:lang w:val="zh-CN"/>
        </w:rPr>
        <w:t>人；另有长期</w:t>
      </w:r>
      <w:r>
        <w:rPr>
          <w:rFonts w:hint="default" w:ascii="Times New Roman" w:hAnsi="Times New Roman" w:eastAsia="仿宋_GB2312" w:cs="Times New Roman"/>
          <w:color w:val="auto"/>
          <w:sz w:val="32"/>
          <w:szCs w:val="32"/>
          <w:highlight w:val="none"/>
        </w:rPr>
        <w:t>聘用人员</w:t>
      </w:r>
      <w:r>
        <w:rPr>
          <w:rFonts w:hint="eastAsia" w:ascii="Times New Roman" w:hAnsi="Times New Roman" w:cs="Times New Roman"/>
          <w:color w:val="auto"/>
          <w:sz w:val="32"/>
          <w:szCs w:val="32"/>
          <w:highlight w:val="none"/>
          <w:lang w:val="en-US" w:eastAsia="zh-CN"/>
        </w:rPr>
        <w:t>973</w:t>
      </w:r>
      <w:r>
        <w:rPr>
          <w:rFonts w:hint="default" w:ascii="Times New Roman" w:hAnsi="Times New Roman" w:eastAsia="仿宋_GB2312" w:cs="Times New Roman"/>
          <w:color w:val="auto"/>
          <w:sz w:val="32"/>
          <w:szCs w:val="32"/>
          <w:highlight w:val="none"/>
        </w:rPr>
        <w:t>人。</w:t>
      </w:r>
    </w:p>
    <w:p w14:paraId="1D9724A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黑体" w:cs="Times New Roman"/>
          <w:color w:val="auto"/>
          <w:sz w:val="32"/>
          <w:szCs w:val="32"/>
          <w:highlight w:val="none"/>
          <w:lang w:val="zh-CN" w:eastAsia="zh-CN"/>
        </w:rPr>
      </w:pPr>
      <w:r>
        <w:rPr>
          <w:rFonts w:hint="default" w:ascii="Times New Roman" w:hAnsi="Times New Roman" w:eastAsia="黑体" w:cs="Times New Roman"/>
          <w:color w:val="auto"/>
          <w:sz w:val="32"/>
          <w:szCs w:val="32"/>
          <w:highlight w:val="none"/>
          <w:lang w:val="zh-CN" w:eastAsia="zh-CN"/>
        </w:rPr>
        <w:t>二、部门资金收支情况</w:t>
      </w:r>
    </w:p>
    <w:p w14:paraId="2908C64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b/>
          <w:bCs/>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（一）收入情况。</w:t>
      </w:r>
    </w:p>
    <w:p w14:paraId="57B7CAF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zh-CN"/>
        </w:rPr>
        <w:t>年度，</w:t>
      </w:r>
      <w:bookmarkStart w:id="1" w:name="OLE_LINK3"/>
      <w:r>
        <w:rPr>
          <w:rFonts w:hint="default" w:ascii="Times New Roman" w:hAnsi="Times New Roman" w:eastAsia="仿宋_GB2312" w:cs="Times New Roman"/>
          <w:color w:val="auto"/>
          <w:sz w:val="32"/>
          <w:szCs w:val="32"/>
          <w:highlight w:val="none"/>
          <w:lang w:val="zh-CN"/>
        </w:rPr>
        <w:t>年初收入预算</w:t>
      </w:r>
      <w:r>
        <w:rPr>
          <w:rFonts w:hint="eastAsia" w:ascii="Times New Roman" w:hAnsi="Times New Roman" w:eastAsia="仿宋_GB2312" w:cs="Times New Roman"/>
          <w:color w:val="auto"/>
          <w:sz w:val="32"/>
          <w:szCs w:val="32"/>
          <w:highlight w:val="none"/>
          <w:lang w:val="en-US" w:eastAsia="zh-CN"/>
        </w:rPr>
        <w:t>6711.32</w:t>
      </w:r>
      <w:r>
        <w:rPr>
          <w:rFonts w:hint="default" w:ascii="Times New Roman" w:hAnsi="Times New Roman" w:eastAsia="仿宋_GB2312" w:cs="Times New Roman"/>
          <w:color w:val="auto"/>
          <w:sz w:val="32"/>
          <w:szCs w:val="32"/>
          <w:highlight w:val="none"/>
          <w:lang w:val="zh-CN"/>
        </w:rPr>
        <w:t>万元</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调整后预算</w:t>
      </w:r>
      <w:bookmarkStart w:id="2" w:name="OLE_LINK2"/>
      <w:r>
        <w:rPr>
          <w:rFonts w:hint="eastAsia" w:ascii="Times New Roman" w:hAnsi="Times New Roman" w:eastAsia="仿宋_GB2312" w:cs="Times New Roman"/>
          <w:color w:val="auto"/>
          <w:sz w:val="32"/>
          <w:szCs w:val="32"/>
          <w:highlight w:val="none"/>
          <w:lang w:val="en-US" w:eastAsia="zh-CN"/>
        </w:rPr>
        <w:t>22895.19</w:t>
      </w:r>
      <w:bookmarkEnd w:id="2"/>
      <w:r>
        <w:rPr>
          <w:rFonts w:hint="default" w:ascii="Times New Roman" w:hAnsi="Times New Roman" w:eastAsia="仿宋_GB2312" w:cs="Times New Roman"/>
          <w:color w:val="auto"/>
          <w:sz w:val="32"/>
          <w:szCs w:val="32"/>
          <w:highlight w:val="none"/>
          <w:lang w:val="zh-CN"/>
        </w:rPr>
        <w:t>万元</w:t>
      </w: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决算收入</w:t>
      </w:r>
      <w:bookmarkStart w:id="3" w:name="OLE_LINK5"/>
      <w:r>
        <w:rPr>
          <w:rFonts w:hint="eastAsia" w:ascii="Times New Roman" w:hAnsi="Times New Roman" w:eastAsia="仿宋_GB2312" w:cs="Times New Roman"/>
          <w:color w:val="auto"/>
          <w:sz w:val="32"/>
          <w:szCs w:val="32"/>
          <w:highlight w:val="none"/>
          <w:lang w:val="en-US" w:eastAsia="zh-CN"/>
        </w:rPr>
        <w:t>22895.19</w:t>
      </w:r>
      <w:bookmarkEnd w:id="3"/>
      <w:r>
        <w:rPr>
          <w:rFonts w:hint="eastAsia" w:ascii="Times New Roman" w:hAnsi="Times New Roman" w:eastAsia="仿宋_GB2312" w:cs="Times New Roman"/>
          <w:color w:val="auto"/>
          <w:sz w:val="32"/>
          <w:szCs w:val="32"/>
          <w:highlight w:val="none"/>
          <w:lang w:val="en-US" w:eastAsia="zh-CN"/>
        </w:rPr>
        <w:t>万元</w:t>
      </w:r>
      <w:bookmarkStart w:id="4" w:name="OLE_LINK1"/>
      <w:r>
        <w:rPr>
          <w:rFonts w:hint="eastAsia" w:ascii="Times New Roman" w:hAnsi="Times New Roman" w:eastAsia="仿宋_GB2312" w:cs="Times New Roman"/>
          <w:color w:val="auto"/>
          <w:sz w:val="32"/>
          <w:szCs w:val="32"/>
          <w:highlight w:val="none"/>
          <w:lang w:val="en-US" w:eastAsia="zh-CN"/>
        </w:rPr>
        <w:t>。</w:t>
      </w:r>
    </w:p>
    <w:bookmarkEnd w:id="1"/>
    <w:bookmarkEnd w:id="4"/>
    <w:p w14:paraId="737731B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b/>
          <w:bCs/>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（二）支出情况。</w:t>
      </w:r>
    </w:p>
    <w:p w14:paraId="6BA9A38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zh-CN"/>
        </w:rPr>
        <w:t>年，年初</w:t>
      </w:r>
      <w:r>
        <w:rPr>
          <w:rFonts w:hint="eastAsia" w:ascii="Times New Roman" w:hAnsi="Times New Roman" w:eastAsia="仿宋_GB2312" w:cs="Times New Roman"/>
          <w:color w:val="auto"/>
          <w:sz w:val="32"/>
          <w:szCs w:val="32"/>
          <w:highlight w:val="none"/>
          <w:lang w:val="en-US" w:eastAsia="zh-CN"/>
        </w:rPr>
        <w:t>支出</w:t>
      </w:r>
      <w:r>
        <w:rPr>
          <w:rFonts w:hint="default" w:ascii="Times New Roman" w:hAnsi="Times New Roman" w:eastAsia="仿宋_GB2312" w:cs="Times New Roman"/>
          <w:color w:val="auto"/>
          <w:sz w:val="32"/>
          <w:szCs w:val="32"/>
          <w:highlight w:val="none"/>
          <w:lang w:val="zh-CN"/>
        </w:rPr>
        <w:t>预算</w:t>
      </w:r>
      <w:r>
        <w:rPr>
          <w:rFonts w:hint="eastAsia" w:ascii="Times New Roman" w:hAnsi="Times New Roman" w:eastAsia="仿宋_GB2312" w:cs="Times New Roman"/>
          <w:color w:val="auto"/>
          <w:sz w:val="32"/>
          <w:szCs w:val="32"/>
          <w:highlight w:val="none"/>
          <w:lang w:val="en-US" w:eastAsia="zh-CN"/>
        </w:rPr>
        <w:t>6711.32</w:t>
      </w:r>
      <w:r>
        <w:rPr>
          <w:rFonts w:hint="default" w:ascii="Times New Roman" w:hAnsi="Times New Roman" w:eastAsia="仿宋_GB2312" w:cs="Times New Roman"/>
          <w:color w:val="auto"/>
          <w:sz w:val="32"/>
          <w:szCs w:val="32"/>
          <w:highlight w:val="none"/>
          <w:lang w:val="zh-CN"/>
        </w:rPr>
        <w:t>万元</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调整后</w:t>
      </w:r>
      <w:r>
        <w:rPr>
          <w:rFonts w:hint="eastAsia" w:ascii="Times New Roman" w:hAnsi="Times New Roman" w:eastAsia="仿宋_GB2312" w:cs="Times New Roman"/>
          <w:color w:val="auto"/>
          <w:sz w:val="32"/>
          <w:szCs w:val="32"/>
          <w:highlight w:val="none"/>
          <w:lang w:val="en-US" w:eastAsia="zh-CN"/>
        </w:rPr>
        <w:t>支出</w:t>
      </w:r>
      <w:r>
        <w:rPr>
          <w:rFonts w:hint="default" w:ascii="Times New Roman" w:hAnsi="Times New Roman" w:eastAsia="仿宋_GB2312" w:cs="Times New Roman"/>
          <w:color w:val="auto"/>
          <w:sz w:val="32"/>
          <w:szCs w:val="32"/>
          <w:highlight w:val="none"/>
          <w:lang w:val="zh-CN"/>
        </w:rPr>
        <w:t>预算</w:t>
      </w:r>
      <w:r>
        <w:rPr>
          <w:rFonts w:hint="eastAsia" w:ascii="Times New Roman" w:hAnsi="Times New Roman" w:eastAsia="仿宋_GB2312" w:cs="Times New Roman"/>
          <w:color w:val="auto"/>
          <w:sz w:val="32"/>
          <w:szCs w:val="32"/>
          <w:highlight w:val="none"/>
          <w:lang w:val="en-US" w:eastAsia="zh-CN"/>
        </w:rPr>
        <w:t>22895.19</w:t>
      </w:r>
      <w:r>
        <w:rPr>
          <w:rFonts w:hint="default" w:ascii="Times New Roman" w:hAnsi="Times New Roman" w:eastAsia="仿宋_GB2312" w:cs="Times New Roman"/>
          <w:color w:val="auto"/>
          <w:sz w:val="32"/>
          <w:szCs w:val="32"/>
          <w:highlight w:val="none"/>
          <w:lang w:val="zh-CN"/>
        </w:rPr>
        <w:t>万元</w:t>
      </w: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决算支出20827.1万元。</w:t>
      </w:r>
    </w:p>
    <w:p w14:paraId="3DBC64E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zh-CN"/>
        </w:rPr>
        <w:t>（</w:t>
      </w:r>
      <w:r>
        <w:rPr>
          <w:rFonts w:hint="eastAsia" w:ascii="Times New Roman" w:hAnsi="Times New Roman" w:eastAsia="仿宋_GB2312" w:cs="Times New Roman"/>
          <w:b/>
          <w:bCs/>
          <w:color w:val="auto"/>
          <w:sz w:val="32"/>
          <w:szCs w:val="32"/>
          <w:highlight w:val="none"/>
          <w:lang w:val="en-US" w:eastAsia="zh-CN"/>
        </w:rPr>
        <w:t>三</w:t>
      </w:r>
      <w:r>
        <w:rPr>
          <w:rFonts w:hint="eastAsia" w:ascii="Times New Roman" w:hAnsi="Times New Roman" w:eastAsia="仿宋_GB2312" w:cs="Times New Roman"/>
          <w:b/>
          <w:bCs/>
          <w:color w:val="auto"/>
          <w:sz w:val="32"/>
          <w:szCs w:val="32"/>
          <w:highlight w:val="none"/>
          <w:lang w:val="zh-CN"/>
        </w:rPr>
        <w:t>）</w:t>
      </w:r>
      <w:r>
        <w:rPr>
          <w:rFonts w:hint="eastAsia" w:ascii="Times New Roman" w:hAnsi="Times New Roman" w:eastAsia="仿宋_GB2312" w:cs="Times New Roman"/>
          <w:b/>
          <w:bCs/>
          <w:color w:val="auto"/>
          <w:sz w:val="32"/>
          <w:szCs w:val="32"/>
          <w:highlight w:val="none"/>
          <w:lang w:val="en-US" w:eastAsia="zh-CN"/>
        </w:rPr>
        <w:t>结余分配和结转结余情况。</w:t>
      </w:r>
    </w:p>
    <w:p w14:paraId="327F6D8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color w:val="auto"/>
          <w:highlight w:val="none"/>
          <w:lang w:val="zh-CN"/>
        </w:rPr>
      </w:pPr>
      <w:r>
        <w:rPr>
          <w:rFonts w:hint="eastAsia" w:ascii="Times New Roman" w:hAnsi="Times New Roman" w:eastAsia="仿宋_GB2312" w:cs="Times New Roman"/>
          <w:color w:val="auto"/>
          <w:sz w:val="32"/>
          <w:szCs w:val="32"/>
          <w:highlight w:val="none"/>
          <w:lang w:val="en-US" w:eastAsia="zh-CN"/>
        </w:rPr>
        <w:t>2024年结余结转金额2036.38万元。</w:t>
      </w:r>
    </w:p>
    <w:p w14:paraId="55F7F712">
      <w:pPr>
        <w:pStyle w:val="19"/>
        <w:keepNext w:val="0"/>
        <w:keepLines w:val="0"/>
        <w:pageBreakBefore w:val="0"/>
        <w:widowControl w:val="0"/>
        <w:numPr>
          <w:ilvl w:val="0"/>
          <w:numId w:val="4"/>
        </w:numPr>
        <w:kinsoku/>
        <w:wordWrap/>
        <w:overflowPunct/>
        <w:topLinePunct w:val="0"/>
        <w:autoSpaceDE/>
        <w:autoSpaceDN/>
        <w:bidi w:val="0"/>
        <w:spacing w:line="600" w:lineRule="exact"/>
        <w:ind w:left="0" w:leftChars="0" w:right="0"/>
        <w:jc w:val="both"/>
        <w:rPr>
          <w:rFonts w:hint="default" w:ascii="Times New Roman" w:hAnsi="Times New Roman" w:eastAsia="黑体" w:cs="Times New Roman"/>
          <w:color w:val="auto"/>
          <w:kern w:val="0"/>
          <w:szCs w:val="32"/>
          <w:highlight w:val="none"/>
          <w:shd w:val="clear" w:color="auto" w:fill="FFFFFF"/>
          <w:lang w:val="en-US"/>
        </w:rPr>
      </w:pPr>
      <w:r>
        <w:rPr>
          <w:rFonts w:hint="default" w:ascii="Times New Roman" w:hAnsi="Times New Roman" w:eastAsia="黑体" w:cs="Times New Roman"/>
          <w:color w:val="auto"/>
          <w:kern w:val="0"/>
          <w:szCs w:val="32"/>
          <w:highlight w:val="none"/>
          <w:shd w:val="clear" w:color="auto" w:fill="FFFFFF"/>
        </w:rPr>
        <w:t>部门预算绩效</w:t>
      </w:r>
      <w:r>
        <w:rPr>
          <w:rFonts w:hint="eastAsia" w:eastAsia="黑体" w:cs="Times New Roman"/>
          <w:color w:val="auto"/>
          <w:kern w:val="0"/>
          <w:szCs w:val="32"/>
          <w:highlight w:val="none"/>
          <w:shd w:val="clear" w:color="auto" w:fill="FFFFFF"/>
          <w:lang w:val="en-US" w:eastAsia="zh-CN"/>
        </w:rPr>
        <w:t>分析</w:t>
      </w:r>
    </w:p>
    <w:p w14:paraId="0C94378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zh-CN"/>
        </w:rPr>
        <w:t>（一）</w:t>
      </w:r>
      <w:r>
        <w:rPr>
          <w:rFonts w:hint="eastAsia" w:ascii="Times New Roman" w:hAnsi="Times New Roman" w:eastAsia="仿宋_GB2312" w:cs="Times New Roman"/>
          <w:b/>
          <w:bCs/>
          <w:color w:val="auto"/>
          <w:sz w:val="32"/>
          <w:szCs w:val="32"/>
          <w:highlight w:val="none"/>
          <w:lang w:val="en-US" w:eastAsia="zh-CN"/>
        </w:rPr>
        <w:t>部门预算总体绩效分析</w:t>
      </w:r>
    </w:p>
    <w:p w14:paraId="03E9DAC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1.履职效能。</w:t>
      </w:r>
    </w:p>
    <w:p w14:paraId="7371352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bookmarkStart w:id="5" w:name="OLE_LINK18"/>
      <w:bookmarkStart w:id="6" w:name="OLE_LINK10"/>
      <w:bookmarkStart w:id="7" w:name="OLE_LINK12"/>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zh-CN"/>
        </w:rPr>
        <w:t>）</w:t>
      </w:r>
      <w:bookmarkEnd w:id="5"/>
      <w:bookmarkStart w:id="8" w:name="OLE_LINK14"/>
      <w:r>
        <w:rPr>
          <w:rFonts w:hint="eastAsia" w:ascii="Times New Roman" w:hAnsi="Times New Roman" w:eastAsia="仿宋_GB2312" w:cs="Times New Roman"/>
          <w:color w:val="auto"/>
          <w:sz w:val="32"/>
          <w:szCs w:val="32"/>
          <w:highlight w:val="none"/>
          <w:lang w:val="en-US" w:eastAsia="zh-CN"/>
        </w:rPr>
        <w:t>推进农村计划生育家庭奖励扶助、特别扶助</w:t>
      </w:r>
      <w:bookmarkEnd w:id="6"/>
      <w:bookmarkEnd w:id="8"/>
    </w:p>
    <w:p w14:paraId="22696EC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bookmarkStart w:id="9" w:name="OLE_LINK19"/>
      <w:bookmarkStart w:id="10" w:name="OLE_LINK9"/>
      <w:bookmarkStart w:id="11" w:name="OLE_LINK11"/>
      <w:r>
        <w:rPr>
          <w:rFonts w:hint="eastAsia" w:ascii="Times New Roman" w:hAnsi="Times New Roman" w:cs="Times New Roman"/>
          <w:color w:val="auto"/>
          <w:sz w:val="32"/>
          <w:szCs w:val="32"/>
          <w:highlight w:val="none"/>
          <w:lang w:val="en-US" w:eastAsia="zh-CN"/>
        </w:rPr>
        <w:t>1.</w:t>
      </w:r>
      <w:bookmarkEnd w:id="9"/>
      <w:r>
        <w:rPr>
          <w:rFonts w:hint="eastAsia" w:ascii="Times New Roman" w:hAnsi="Times New Roman"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资金安排情况。</w:t>
      </w:r>
    </w:p>
    <w:p w14:paraId="65E2604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2024年奖特扶资金</w:t>
      </w:r>
      <w:r>
        <w:rPr>
          <w:rFonts w:hint="default" w:ascii="Times New Roman" w:hAnsi="Times New Roman" w:eastAsia="仿宋_GB2312" w:cs="Times New Roman"/>
          <w:color w:val="auto"/>
          <w:sz w:val="32"/>
          <w:szCs w:val="32"/>
          <w:highlight w:val="none"/>
          <w:lang w:val="zh-CN"/>
        </w:rPr>
        <w:t>年初预算</w:t>
      </w:r>
      <w:r>
        <w:rPr>
          <w:rFonts w:hint="eastAsia" w:ascii="Times New Roman" w:hAnsi="Times New Roman" w:eastAsia="仿宋_GB2312" w:cs="Times New Roman"/>
          <w:color w:val="auto"/>
          <w:sz w:val="32"/>
          <w:szCs w:val="32"/>
          <w:highlight w:val="none"/>
          <w:lang w:val="en-US" w:eastAsia="zh-CN"/>
        </w:rPr>
        <w:t>757.86</w:t>
      </w:r>
      <w:r>
        <w:rPr>
          <w:rFonts w:hint="default" w:ascii="Times New Roman" w:hAnsi="Times New Roman" w:eastAsia="仿宋_GB2312" w:cs="Times New Roman"/>
          <w:color w:val="auto"/>
          <w:sz w:val="32"/>
          <w:szCs w:val="32"/>
          <w:highlight w:val="none"/>
          <w:lang w:val="zh-CN"/>
        </w:rPr>
        <w:t>万元，</w:t>
      </w:r>
      <w:r>
        <w:rPr>
          <w:rFonts w:hint="eastAsia" w:ascii="Times New Roman" w:hAnsi="Times New Roman" w:eastAsia="仿宋_GB2312" w:cs="Times New Roman"/>
          <w:color w:val="auto"/>
          <w:sz w:val="32"/>
          <w:szCs w:val="32"/>
          <w:highlight w:val="none"/>
          <w:lang w:val="en-US" w:eastAsia="zh-CN"/>
        </w:rPr>
        <w:t>其中中省资金635.56</w:t>
      </w:r>
      <w:r>
        <w:rPr>
          <w:rFonts w:hint="eastAsia" w:ascii="Times New Roman" w:hAnsi="Times New Roman" w:cs="Times New Roman"/>
          <w:color w:val="auto"/>
          <w:sz w:val="32"/>
          <w:szCs w:val="32"/>
          <w:highlight w:val="none"/>
          <w:lang w:val="en-US" w:eastAsia="zh-CN"/>
        </w:rPr>
        <w:t>万</w:t>
      </w:r>
      <w:r>
        <w:rPr>
          <w:rFonts w:hint="default" w:ascii="Times New Roman" w:hAnsi="Times New Roman" w:eastAsia="仿宋_GB2312" w:cs="Times New Roman"/>
          <w:color w:val="auto"/>
          <w:sz w:val="32"/>
          <w:szCs w:val="32"/>
          <w:highlight w:val="none"/>
          <w:lang w:val="zh-CN"/>
        </w:rPr>
        <w:t>元，</w:t>
      </w:r>
      <w:r>
        <w:rPr>
          <w:rFonts w:hint="eastAsia" w:ascii="Times New Roman" w:hAnsi="Times New Roman" w:eastAsia="仿宋_GB2312" w:cs="Times New Roman"/>
          <w:color w:val="auto"/>
          <w:sz w:val="32"/>
          <w:szCs w:val="32"/>
          <w:highlight w:val="none"/>
          <w:lang w:val="en-US" w:eastAsia="zh-CN"/>
        </w:rPr>
        <w:t>县级资金 122.3万元，</w:t>
      </w:r>
      <w:r>
        <w:rPr>
          <w:rFonts w:hint="default" w:ascii="Times New Roman" w:hAnsi="Times New Roman" w:eastAsia="仿宋_GB2312" w:cs="Times New Roman"/>
          <w:color w:val="auto"/>
          <w:sz w:val="32"/>
          <w:szCs w:val="32"/>
          <w:highlight w:val="none"/>
          <w:lang w:val="zh-CN"/>
        </w:rPr>
        <w:t>年</w:t>
      </w:r>
      <w:r>
        <w:rPr>
          <w:rFonts w:hint="eastAsia" w:ascii="Times New Roman" w:hAnsi="Times New Roman" w:cs="Times New Roman"/>
          <w:color w:val="auto"/>
          <w:sz w:val="32"/>
          <w:szCs w:val="32"/>
          <w:highlight w:val="none"/>
          <w:lang w:val="en-US" w:eastAsia="zh-CN"/>
        </w:rPr>
        <w:t>末</w:t>
      </w:r>
      <w:r>
        <w:rPr>
          <w:rFonts w:hint="default" w:ascii="Times New Roman" w:hAnsi="Times New Roman" w:eastAsia="仿宋_GB2312" w:cs="Times New Roman"/>
          <w:color w:val="auto"/>
          <w:sz w:val="32"/>
          <w:szCs w:val="32"/>
          <w:highlight w:val="none"/>
          <w:lang w:val="zh-CN"/>
        </w:rPr>
        <w:t>执行</w:t>
      </w:r>
      <w:r>
        <w:rPr>
          <w:rFonts w:hint="eastAsia" w:ascii="Times New Roman" w:hAnsi="Times New Roman" w:eastAsia="仿宋_GB2312" w:cs="Times New Roman"/>
          <w:color w:val="auto"/>
          <w:sz w:val="32"/>
          <w:szCs w:val="32"/>
          <w:highlight w:val="none"/>
          <w:lang w:val="en-US" w:eastAsia="zh-CN"/>
        </w:rPr>
        <w:t>金额754.608</w:t>
      </w:r>
      <w:r>
        <w:rPr>
          <w:rFonts w:hint="eastAsia" w:ascii="Times New Roman" w:hAnsi="Times New Roman"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rPr>
        <w:t>预算执行率在</w:t>
      </w:r>
      <w:r>
        <w:rPr>
          <w:rFonts w:hint="eastAsia" w:ascii="Times New Roman" w:hAnsi="Times New Roman" w:eastAsia="仿宋_GB2312" w:cs="Times New Roman"/>
          <w:color w:val="auto"/>
          <w:sz w:val="32"/>
          <w:szCs w:val="32"/>
          <w:highlight w:val="none"/>
          <w:lang w:val="en-US" w:eastAsia="zh-CN"/>
        </w:rPr>
        <w:t>99.57</w:t>
      </w:r>
      <w:r>
        <w:rPr>
          <w:rFonts w:hint="default" w:ascii="Times New Roman" w:hAnsi="Times New Roman" w:eastAsia="仿宋_GB2312" w:cs="Times New Roman"/>
          <w:color w:val="auto"/>
          <w:sz w:val="32"/>
          <w:szCs w:val="32"/>
          <w:highlight w:val="none"/>
          <w:lang w:val="zh-CN"/>
        </w:rPr>
        <w:t>%。</w:t>
      </w:r>
    </w:p>
    <w:p w14:paraId="1710368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lang w:val="en-US" w:eastAsia="zh-CN"/>
        </w:rPr>
        <w:t>目标完成情况。如下表</w:t>
      </w:r>
    </w:p>
    <w:bookmarkEnd w:id="7"/>
    <w:bookmarkEnd w:id="10"/>
    <w:bookmarkEnd w:id="11"/>
    <w:tbl>
      <w:tblPr>
        <w:tblStyle w:val="16"/>
        <w:tblW w:w="9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2"/>
        <w:gridCol w:w="1093"/>
        <w:gridCol w:w="1057"/>
        <w:gridCol w:w="1828"/>
        <w:gridCol w:w="1094"/>
        <w:gridCol w:w="1094"/>
        <w:gridCol w:w="903"/>
        <w:gridCol w:w="705"/>
      </w:tblGrid>
      <w:tr w14:paraId="7B62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72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重点履职项目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C2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一级指标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BD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二级指标</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E6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三级指标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36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绩效指标值</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44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度量单位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C9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实际完成指标值</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AF06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完成率</w:t>
            </w:r>
          </w:p>
        </w:tc>
      </w:tr>
      <w:tr w14:paraId="60BF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612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计生奖特扶</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149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产出指标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93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数量指标</w:t>
            </w:r>
          </w:p>
        </w:tc>
        <w:tc>
          <w:tcPr>
            <w:tcW w:w="1828" w:type="dxa"/>
            <w:tcBorders>
              <w:top w:val="nil"/>
              <w:left w:val="nil"/>
              <w:bottom w:val="nil"/>
              <w:right w:val="nil"/>
            </w:tcBorders>
            <w:shd w:val="clear" w:color="auto" w:fill="auto"/>
            <w:vAlign w:val="center"/>
          </w:tcPr>
          <w:p w14:paraId="39042B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29"/>
                <w:rFonts w:hint="eastAsia" w:asciiTheme="minorEastAsia" w:hAnsiTheme="minorEastAsia" w:eastAsiaTheme="minorEastAsia" w:cstheme="minorEastAsia"/>
                <w:b w:val="0"/>
                <w:bCs w:val="0"/>
                <w:snapToGrid w:val="0"/>
                <w:color w:val="auto"/>
                <w:sz w:val="20"/>
                <w:szCs w:val="20"/>
                <w:highlight w:val="none"/>
                <w:lang w:val="en-US" w:eastAsia="zh-CN" w:bidi="ar"/>
              </w:rPr>
              <w:t>计划生育奖励扶助</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63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3330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26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EB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3380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85CB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DB3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A4863">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D6F1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05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质量指标</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70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符合条件对象覆盖率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28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49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B5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6E23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5196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C2157">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AFEB">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97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时效指标</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0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奖励和扶助补助资金发放及时率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24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85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34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94BB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7426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62A01">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60E2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效益指标</w:t>
            </w:r>
          </w:p>
        </w:tc>
        <w:tc>
          <w:tcPr>
            <w:tcW w:w="10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10A0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社会效益指标</w:t>
            </w:r>
          </w:p>
        </w:tc>
        <w:tc>
          <w:tcPr>
            <w:tcW w:w="1828" w:type="dxa"/>
            <w:tcBorders>
              <w:top w:val="nil"/>
              <w:left w:val="nil"/>
              <w:bottom w:val="nil"/>
              <w:right w:val="nil"/>
            </w:tcBorders>
            <w:shd w:val="clear" w:color="auto" w:fill="FFFFFF" w:themeFill="background1"/>
            <w:vAlign w:val="center"/>
          </w:tcPr>
          <w:p w14:paraId="1E08C7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计划生育家庭奖励扶助、特别扶助应发尽发（应补尽补）率</w:t>
            </w:r>
          </w:p>
        </w:tc>
        <w:tc>
          <w:tcPr>
            <w:tcW w:w="10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F35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92D4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2E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B761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BF7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B45FE">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1B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满意度指标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84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满意度指标</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74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计生奖特扶补助对象满意率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BD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A7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DC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F28E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bl>
    <w:p w14:paraId="78E15D1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bookmarkStart w:id="12" w:name="OLE_LINK20"/>
      <w:r>
        <w:rPr>
          <w:rFonts w:hint="eastAsia" w:ascii="Times New Roman" w:hAnsi="Times New Roman" w:cs="Times New Roman"/>
          <w:color w:val="auto"/>
          <w:sz w:val="32"/>
          <w:szCs w:val="32"/>
          <w:highlight w:val="none"/>
          <w:lang w:val="en-US" w:eastAsia="zh-CN"/>
        </w:rPr>
        <w:t>（2）</w:t>
      </w:r>
      <w:bookmarkEnd w:id="12"/>
      <w:bookmarkStart w:id="13" w:name="OLE_LINK15"/>
      <w:r>
        <w:rPr>
          <w:rFonts w:hint="eastAsia" w:ascii="Times New Roman" w:hAnsi="Times New Roman" w:eastAsia="仿宋_GB2312" w:cs="Times New Roman"/>
          <w:color w:val="auto"/>
          <w:sz w:val="32"/>
          <w:szCs w:val="32"/>
          <w:highlight w:val="none"/>
          <w:lang w:val="en-US" w:eastAsia="zh-CN"/>
        </w:rPr>
        <w:t>加强重大传染病防治。</w:t>
      </w:r>
      <w:bookmarkEnd w:id="13"/>
    </w:p>
    <w:p w14:paraId="6E3CBD4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lang w:val="en-US" w:eastAsia="zh-CN"/>
        </w:rPr>
        <w:t>资金安排情况。</w:t>
      </w:r>
    </w:p>
    <w:p w14:paraId="0A58A34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2024年重大传染病防治年初预算692.85万元，其中中省资金457.85</w:t>
      </w:r>
      <w:r>
        <w:rPr>
          <w:rFonts w:hint="eastAsia" w:ascii="Times New Roman" w:hAnsi="Times New Roman" w:cs="Times New Roman"/>
          <w:color w:val="auto"/>
          <w:sz w:val="32"/>
          <w:szCs w:val="32"/>
          <w:highlight w:val="none"/>
          <w:lang w:val="en-US" w:eastAsia="zh-CN"/>
        </w:rPr>
        <w:t>万</w:t>
      </w:r>
      <w:r>
        <w:rPr>
          <w:rFonts w:hint="eastAsia" w:ascii="Times New Roman" w:hAnsi="Times New Roman" w:eastAsia="仿宋_GB2312" w:cs="Times New Roman"/>
          <w:color w:val="auto"/>
          <w:sz w:val="32"/>
          <w:szCs w:val="32"/>
          <w:highlight w:val="none"/>
          <w:lang w:val="en-US" w:eastAsia="zh-CN"/>
        </w:rPr>
        <w:t>元，县级资金235万元，年</w:t>
      </w:r>
      <w:r>
        <w:rPr>
          <w:rFonts w:hint="eastAsia" w:ascii="Times New Roman" w:hAnsi="Times New Roman" w:cs="Times New Roman"/>
          <w:color w:val="auto"/>
          <w:sz w:val="32"/>
          <w:szCs w:val="32"/>
          <w:highlight w:val="none"/>
          <w:lang w:val="en-US" w:eastAsia="zh-CN"/>
        </w:rPr>
        <w:t>末</w:t>
      </w:r>
      <w:r>
        <w:rPr>
          <w:rFonts w:hint="eastAsia" w:ascii="Times New Roman" w:hAnsi="Times New Roman" w:eastAsia="仿宋_GB2312" w:cs="Times New Roman"/>
          <w:color w:val="auto"/>
          <w:sz w:val="32"/>
          <w:szCs w:val="32"/>
          <w:highlight w:val="none"/>
          <w:lang w:val="en-US" w:eastAsia="zh-CN"/>
        </w:rPr>
        <w:t>执行金额601.576，预算执行率在86.8%。</w:t>
      </w:r>
    </w:p>
    <w:p w14:paraId="2A925A0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val="en-US" w:eastAsia="zh-CN"/>
        </w:rPr>
        <w:t>目标完成情况。如下表</w:t>
      </w:r>
    </w:p>
    <w:tbl>
      <w:tblPr>
        <w:tblStyle w:val="16"/>
        <w:tblW w:w="86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8"/>
        <w:gridCol w:w="1010"/>
        <w:gridCol w:w="976"/>
        <w:gridCol w:w="1687"/>
        <w:gridCol w:w="1010"/>
        <w:gridCol w:w="1010"/>
        <w:gridCol w:w="834"/>
        <w:gridCol w:w="651"/>
      </w:tblGrid>
      <w:tr w14:paraId="749C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DD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重点履职项目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72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一级指标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38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二级指标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0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三级指标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4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绩效指标值</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AF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度量单位</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79F1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实际完成指标值</w:t>
            </w:r>
          </w:p>
        </w:tc>
        <w:tc>
          <w:tcPr>
            <w:tcW w:w="6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F7FF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完成率</w:t>
            </w:r>
          </w:p>
        </w:tc>
      </w:tr>
      <w:tr w14:paraId="3BCC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54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项目一：艾滋病综合防治</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DAC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产出指标</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337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数量指标</w:t>
            </w:r>
          </w:p>
        </w:tc>
        <w:tc>
          <w:tcPr>
            <w:tcW w:w="1687" w:type="dxa"/>
            <w:tcBorders>
              <w:top w:val="single" w:color="000000" w:sz="4" w:space="0"/>
              <w:left w:val="nil"/>
              <w:bottom w:val="single" w:color="000000" w:sz="4" w:space="0"/>
              <w:right w:val="single" w:color="000000" w:sz="4" w:space="0"/>
            </w:tcBorders>
            <w:shd w:val="clear" w:color="auto" w:fill="auto"/>
            <w:vAlign w:val="center"/>
          </w:tcPr>
          <w:p w14:paraId="05A1B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符合治疗条件的感染者和病人抗病毒治疗覆盖率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A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98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BD905">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96.98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FCBD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1D72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7E084">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F23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4CD12">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nil"/>
              <w:bottom w:val="single" w:color="000000" w:sz="4" w:space="0"/>
              <w:right w:val="single" w:color="000000" w:sz="4" w:space="0"/>
            </w:tcBorders>
            <w:shd w:val="clear" w:color="auto" w:fill="auto"/>
            <w:vAlign w:val="center"/>
          </w:tcPr>
          <w:p w14:paraId="61822A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大众人群艾滋病防治知识知晓率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23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9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C85A8C">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96.17</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A15F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3D86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28D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5DE2">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399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nil"/>
              <w:bottom w:val="single" w:color="000000" w:sz="4" w:space="0"/>
              <w:right w:val="single" w:color="000000" w:sz="4" w:space="0"/>
            </w:tcBorders>
            <w:shd w:val="clear" w:color="auto" w:fill="auto"/>
            <w:vAlign w:val="center"/>
          </w:tcPr>
          <w:p w14:paraId="2E2C66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艾滋病感染者和病人配偶检测比例</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62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85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74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9D6852">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66EE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2F4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DB445">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D5C93">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7B0D">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nil"/>
              <w:bottom w:val="single" w:color="000000" w:sz="4" w:space="0"/>
              <w:right w:val="single" w:color="000000" w:sz="4" w:space="0"/>
            </w:tcBorders>
            <w:shd w:val="clear" w:color="auto" w:fill="auto"/>
            <w:vAlign w:val="center"/>
          </w:tcPr>
          <w:p w14:paraId="421D65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完成HIV筛查人次数量</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39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30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A2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18382">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39.36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5D33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3D8A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D974">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A5E82">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1940C">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nil"/>
              <w:bottom w:val="single" w:color="000000" w:sz="4" w:space="0"/>
              <w:right w:val="single" w:color="000000" w:sz="4" w:space="0"/>
            </w:tcBorders>
            <w:shd w:val="clear" w:color="auto" w:fill="auto"/>
            <w:vAlign w:val="center"/>
          </w:tcPr>
          <w:p w14:paraId="192F55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控制艾滋病母婴传播率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FB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43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9ABFF2">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3173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49B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803F8">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277FD">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11CB7">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nil"/>
              <w:bottom w:val="single" w:color="000000" w:sz="4" w:space="0"/>
              <w:right w:val="single" w:color="000000" w:sz="4" w:space="0"/>
            </w:tcBorders>
            <w:shd w:val="clear" w:color="auto" w:fill="auto"/>
            <w:vAlign w:val="center"/>
          </w:tcPr>
          <w:p w14:paraId="4F9E08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艾滋病项目宣传材料印刷数量</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23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5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万份</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415F06">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03A1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380D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C1C2">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4B60">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C4BD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nil"/>
              <w:bottom w:val="single" w:color="000000" w:sz="4" w:space="0"/>
              <w:right w:val="single" w:color="000000" w:sz="4" w:space="0"/>
            </w:tcBorders>
            <w:shd w:val="clear" w:color="auto" w:fill="auto"/>
            <w:vAlign w:val="center"/>
          </w:tcPr>
          <w:p w14:paraId="39568C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感染孕产妇孕早期用药率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A8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15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598069">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A89C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1D07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CC6C">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4AB3">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13BF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nil"/>
              <w:bottom w:val="single" w:color="000000" w:sz="4" w:space="0"/>
              <w:right w:val="single" w:color="000000" w:sz="4" w:space="0"/>
            </w:tcBorders>
            <w:shd w:val="clear" w:color="auto" w:fill="auto"/>
            <w:vAlign w:val="center"/>
          </w:tcPr>
          <w:p w14:paraId="2B583D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符合治疗条件的艾滋病感染者和病人治疗成功率率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F4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42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73B7DE">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98.14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B4E0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36FD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21AA5">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C8CD8">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8780">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nil"/>
              <w:bottom w:val="single" w:color="000000" w:sz="4" w:space="0"/>
              <w:right w:val="single" w:color="000000" w:sz="4" w:space="0"/>
            </w:tcBorders>
            <w:shd w:val="clear" w:color="auto" w:fill="auto"/>
            <w:vAlign w:val="center"/>
          </w:tcPr>
          <w:p w14:paraId="79F907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艾滋病感染者和病人CD4随访检测比例</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65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71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9CA2E">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95.23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EADB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0820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6AB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07D2">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5FA3">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nil"/>
              <w:bottom w:val="single" w:color="000000" w:sz="4" w:space="0"/>
              <w:right w:val="single" w:color="000000" w:sz="4" w:space="0"/>
            </w:tcBorders>
            <w:shd w:val="clear" w:color="auto" w:fill="auto"/>
            <w:vAlign w:val="center"/>
          </w:tcPr>
          <w:p w14:paraId="43DF2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孕产妇艾滋病孕早期检测率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29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85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1A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7874F">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94.84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18B0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3E64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1CDB">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332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2F8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质量指标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E5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艾滋病项目检测材料质量合格率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56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0D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7B6A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025A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F6C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7C58">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88F5">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D14D">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65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艾滋病感染者和病人CD4随访检测结果准确率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7E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80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0C3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336B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203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15AE">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136BA">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8FB2">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3C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实验室评审合格率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45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22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948D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8A2D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80D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E77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7891">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A1DDB">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27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艾滋病项目宣传材料质量合格率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E9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F0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207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BE28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2815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F45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985A">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8D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时效指标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9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项目按期完成率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E4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2E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9B6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0DB3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5ADF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58CB">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1F2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效益指标</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229F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社会效益指标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4D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改善病人生存质量</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A6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00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8B557">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98.14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6306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1B20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03A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C586D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FCCEFC">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4C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艾滋病防治十四五行动计划落实率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FF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B7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3D210">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815B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75F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513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D3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满意度指标</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24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满意度指标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7D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服务对象满意度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E1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E2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3BFE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0671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3A77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950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项目二：扩大免疫规划、结核病、食源性疾病监测等项目</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29C6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产出指标</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70B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数量指标</w:t>
            </w: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277A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麻风病规定随访到位率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9E28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4B8B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48E3B2">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FFDD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1A2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3DCC">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40A6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1BABC3">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C78E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疟疾“四热”病人血检</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B776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0.022</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D73F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万份</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37A9DA">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0.022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8E5B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560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45F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E535C">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43D4CC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质量指标</w:t>
            </w: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4B2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死因监测规范报告率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765C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80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04F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351E63">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15BB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0B22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016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E2401">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311C54DD">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0123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在册严重精神障碍患者治疗率（规律服药率）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1AAB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80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E184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315E67">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85.58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CA65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1354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FCA4">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7B6D80">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36BA52C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AC9D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肺结核患者治疗任务完成率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9E7E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85</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9E89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3D3427">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109.55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E3E6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6A0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59A44">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E3FF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07E73685">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6F5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肺结核患者成功治疗率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286F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6157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6C2F3A">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98.71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2F0E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A64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D031">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284FE5">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17FED72E">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D728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病原学阳性肺结核患者耐药筛查率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56C6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3882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72B61F">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96.23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CFFE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1D21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D537">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B00CAB">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7B95B287">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EB6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麻风病可疑线索报告率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FBB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3094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69E4CB">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E684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5142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F80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6C302E">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1B079DD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9DDC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适龄儿童国家免疫规划疫苗接种率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B362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E77B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BDAD5E">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&gt;90%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17A2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73AF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C0B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AB10F8">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6FF8CF1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B4B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艾滋病高危人群（暗媚、男性同性性行人群）检测比例）</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E65C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2DE6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44D34C">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1344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1326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C51DE">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E51EA">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27B1B7EE">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8D6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艾滋病免费抗病毒治疗任务</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A4BD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88E4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756B07">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FDF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331A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E3B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01DDAB">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7F80E85D">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6847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饮用水和环境卫生监测完成率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6A7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95</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6672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E6063F">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D5F5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0428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8AB1">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AC361">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46956500">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CF9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艾滋病感染孕产妇所生儿童抗病毒用药比例</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F74C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95</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6258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34E77C">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F456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1CAB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09B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EB7BC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9EEB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时效指标</w:t>
            </w: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523D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任务完成及时率</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BF0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6DB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C528B0">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15D2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BCE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E1D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tcBorders>
              <w:top w:val="single" w:color="000000" w:sz="4" w:space="0"/>
              <w:left w:val="single" w:color="000000" w:sz="4" w:space="0"/>
              <w:bottom w:val="nil"/>
              <w:right w:val="single" w:color="000000" w:sz="4" w:space="0"/>
            </w:tcBorders>
            <w:shd w:val="clear" w:color="auto" w:fill="FFFFFF" w:themeFill="background1"/>
            <w:vAlign w:val="center"/>
          </w:tcPr>
          <w:p w14:paraId="7CC9C6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效益指标</w:t>
            </w:r>
          </w:p>
        </w:tc>
        <w:tc>
          <w:tcPr>
            <w:tcW w:w="976" w:type="dxa"/>
            <w:tcBorders>
              <w:top w:val="single" w:color="000000" w:sz="4" w:space="0"/>
              <w:left w:val="single" w:color="000000" w:sz="4" w:space="0"/>
              <w:bottom w:val="nil"/>
              <w:right w:val="single" w:color="000000" w:sz="4" w:space="0"/>
            </w:tcBorders>
            <w:shd w:val="clear" w:color="auto" w:fill="FFFFFF" w:themeFill="background1"/>
            <w:vAlign w:val="center"/>
          </w:tcPr>
          <w:p w14:paraId="662587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社会效益指标</w:t>
            </w: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459C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社会稳定水平</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F7C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中长期</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343A37">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5194F">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持续上升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C934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F9A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672D">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1B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满意度指标</w:t>
            </w:r>
          </w:p>
        </w:tc>
        <w:tc>
          <w:tcPr>
            <w:tcW w:w="9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D6F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满意度指标</w:t>
            </w:r>
          </w:p>
        </w:tc>
        <w:tc>
          <w:tcPr>
            <w:tcW w:w="16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3807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服务对象满意度</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FC1D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95</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42A0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1CEBCE">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161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bl>
    <w:p w14:paraId="1DC1D04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zh-CN"/>
        </w:rPr>
        <w:t>）</w:t>
      </w:r>
      <w:bookmarkStart w:id="14" w:name="OLE_LINK16"/>
      <w:r>
        <w:rPr>
          <w:rFonts w:hint="eastAsia" w:ascii="Times New Roman" w:hAnsi="Times New Roman" w:eastAsia="仿宋_GB2312" w:cs="Times New Roman"/>
          <w:color w:val="auto"/>
          <w:sz w:val="32"/>
          <w:szCs w:val="32"/>
          <w:highlight w:val="none"/>
          <w:lang w:val="en-US" w:eastAsia="zh-CN"/>
        </w:rPr>
        <w:t>推进基层医疗机构高质量发展</w:t>
      </w:r>
    </w:p>
    <w:bookmarkEnd w:id="14"/>
    <w:p w14:paraId="004A921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1资金安排情况。</w:t>
      </w:r>
    </w:p>
    <w:p w14:paraId="25E9563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lang w:val="zh-CN" w:eastAsia="zh-CN"/>
        </w:rPr>
        <w:t>年初预算</w:t>
      </w:r>
      <w:r>
        <w:rPr>
          <w:rFonts w:hint="eastAsia" w:ascii="Times New Roman" w:hAnsi="Times New Roman" w:eastAsia="仿宋_GB2312" w:cs="Times New Roman"/>
          <w:color w:val="auto"/>
          <w:sz w:val="32"/>
          <w:szCs w:val="32"/>
          <w:highlight w:val="none"/>
          <w:lang w:val="en-US" w:eastAsia="zh-CN"/>
        </w:rPr>
        <w:t>924.68</w:t>
      </w:r>
      <w:r>
        <w:rPr>
          <w:rFonts w:hint="default" w:ascii="Times New Roman" w:hAnsi="Times New Roman" w:eastAsia="仿宋_GB2312" w:cs="Times New Roman"/>
          <w:color w:val="auto"/>
          <w:sz w:val="32"/>
          <w:szCs w:val="32"/>
          <w:highlight w:val="none"/>
          <w:lang w:val="zh-CN" w:eastAsia="zh-CN"/>
        </w:rPr>
        <w:t>万元，</w:t>
      </w:r>
      <w:r>
        <w:rPr>
          <w:rFonts w:hint="eastAsia" w:ascii="Times New Roman" w:hAnsi="Times New Roman" w:eastAsia="仿宋_GB2312" w:cs="Times New Roman"/>
          <w:color w:val="auto"/>
          <w:sz w:val="32"/>
          <w:szCs w:val="32"/>
          <w:highlight w:val="none"/>
          <w:lang w:val="en-US" w:eastAsia="zh-CN"/>
        </w:rPr>
        <w:t>其中中省资金</w:t>
      </w:r>
      <w:bookmarkStart w:id="15" w:name="OLE_LINK21"/>
      <w:r>
        <w:rPr>
          <w:rFonts w:hint="eastAsia" w:ascii="Times New Roman" w:hAnsi="Times New Roman" w:eastAsia="仿宋_GB2312" w:cs="Times New Roman"/>
          <w:color w:val="auto"/>
          <w:sz w:val="32"/>
          <w:szCs w:val="32"/>
          <w:highlight w:val="none"/>
          <w:lang w:val="en-US" w:eastAsia="zh-CN"/>
        </w:rPr>
        <w:t>736.38</w:t>
      </w:r>
      <w:bookmarkEnd w:id="15"/>
      <w:r>
        <w:rPr>
          <w:rFonts w:hint="eastAsia" w:ascii="Times New Roman" w:hAnsi="Times New Roman" w:cs="Times New Roman"/>
          <w:color w:val="auto"/>
          <w:sz w:val="32"/>
          <w:szCs w:val="32"/>
          <w:highlight w:val="none"/>
          <w:lang w:val="en-US" w:eastAsia="zh-CN"/>
        </w:rPr>
        <w:t>万</w:t>
      </w:r>
      <w:r>
        <w:rPr>
          <w:rFonts w:hint="default" w:ascii="Times New Roman" w:hAnsi="Times New Roman" w:eastAsia="仿宋_GB2312" w:cs="Times New Roman"/>
          <w:color w:val="auto"/>
          <w:sz w:val="32"/>
          <w:szCs w:val="32"/>
          <w:highlight w:val="none"/>
          <w:lang w:val="zh-CN" w:eastAsia="zh-CN"/>
        </w:rPr>
        <w:t>元，</w:t>
      </w:r>
      <w:r>
        <w:rPr>
          <w:rFonts w:hint="eastAsia" w:ascii="Times New Roman" w:hAnsi="Times New Roman" w:eastAsia="仿宋_GB2312" w:cs="Times New Roman"/>
          <w:color w:val="auto"/>
          <w:sz w:val="32"/>
          <w:szCs w:val="32"/>
          <w:highlight w:val="none"/>
          <w:lang w:val="en-US" w:eastAsia="zh-CN"/>
        </w:rPr>
        <w:t>县级资金188.3万元，</w:t>
      </w:r>
      <w:r>
        <w:rPr>
          <w:rFonts w:hint="default" w:ascii="Times New Roman" w:hAnsi="Times New Roman" w:eastAsia="仿宋_GB2312" w:cs="Times New Roman"/>
          <w:color w:val="auto"/>
          <w:sz w:val="32"/>
          <w:szCs w:val="32"/>
          <w:highlight w:val="none"/>
          <w:lang w:val="zh-CN" w:eastAsia="zh-CN"/>
        </w:rPr>
        <w:t>年</w:t>
      </w:r>
      <w:r>
        <w:rPr>
          <w:rFonts w:hint="eastAsia" w:ascii="Times New Roman" w:hAnsi="Times New Roman" w:cs="Times New Roman"/>
          <w:color w:val="auto"/>
          <w:sz w:val="32"/>
          <w:szCs w:val="32"/>
          <w:highlight w:val="none"/>
          <w:lang w:val="en-US" w:eastAsia="zh-CN"/>
        </w:rPr>
        <w:t>末</w:t>
      </w:r>
      <w:r>
        <w:rPr>
          <w:rFonts w:hint="default" w:ascii="Times New Roman" w:hAnsi="Times New Roman" w:eastAsia="仿宋_GB2312" w:cs="Times New Roman"/>
          <w:color w:val="auto"/>
          <w:sz w:val="32"/>
          <w:szCs w:val="32"/>
          <w:highlight w:val="none"/>
          <w:lang w:val="zh-CN" w:eastAsia="zh-CN"/>
        </w:rPr>
        <w:t>执行</w:t>
      </w:r>
      <w:r>
        <w:rPr>
          <w:rFonts w:hint="eastAsia" w:ascii="Times New Roman" w:hAnsi="Times New Roman" w:eastAsia="仿宋_GB2312" w:cs="Times New Roman"/>
          <w:color w:val="auto"/>
          <w:sz w:val="32"/>
          <w:szCs w:val="32"/>
          <w:highlight w:val="none"/>
          <w:lang w:val="en-US" w:eastAsia="zh-CN"/>
        </w:rPr>
        <w:t>金</w:t>
      </w:r>
      <w:r>
        <w:rPr>
          <w:rFonts w:hint="eastAsia" w:ascii="Times New Roman" w:hAnsi="Times New Roman" w:cs="Times New Roman"/>
          <w:color w:val="auto"/>
          <w:sz w:val="32"/>
          <w:szCs w:val="32"/>
          <w:highlight w:val="none"/>
          <w:lang w:val="en-US" w:eastAsia="zh-CN"/>
        </w:rPr>
        <w:t>额</w:t>
      </w:r>
      <w:r>
        <w:rPr>
          <w:rFonts w:hint="eastAsia" w:ascii="Times New Roman" w:hAnsi="Times New Roman" w:eastAsia="仿宋_GB2312" w:cs="Times New Roman"/>
          <w:color w:val="auto"/>
          <w:sz w:val="32"/>
          <w:szCs w:val="32"/>
          <w:highlight w:val="none"/>
          <w:lang w:val="en-US" w:eastAsia="zh-CN"/>
        </w:rPr>
        <w:t>736.38万元</w:t>
      </w:r>
      <w:r>
        <w:rPr>
          <w:rFonts w:hint="eastAsia"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eastAsia="zh-CN"/>
        </w:rPr>
        <w:t>预算执行率在</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zh-CN" w:eastAsia="zh-CN"/>
        </w:rPr>
        <w:t>%。</w:t>
      </w:r>
    </w:p>
    <w:p w14:paraId="5E59869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2目标完成情况。如下表</w:t>
      </w:r>
    </w:p>
    <w:tbl>
      <w:tblPr>
        <w:tblStyle w:val="16"/>
        <w:tblW w:w="8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2"/>
        <w:gridCol w:w="1019"/>
        <w:gridCol w:w="985"/>
        <w:gridCol w:w="1702"/>
        <w:gridCol w:w="1019"/>
        <w:gridCol w:w="1019"/>
        <w:gridCol w:w="842"/>
        <w:gridCol w:w="657"/>
      </w:tblGrid>
      <w:tr w14:paraId="65CC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59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重点履职项目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3F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一级指标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00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二级指标</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4B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三级指标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7D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绩效指标值</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D6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度量单位</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3E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实际完成指标值</w:t>
            </w:r>
          </w:p>
        </w:tc>
        <w:tc>
          <w:tcPr>
            <w:tcW w:w="6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EA11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完成率</w:t>
            </w:r>
          </w:p>
        </w:tc>
      </w:tr>
      <w:tr w14:paraId="3E83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DDD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基层医疗单位实施基本药物制度</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CDC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产出指标</w:t>
            </w: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BE0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数量指标</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A9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补助人口数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12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38.1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9F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万人</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3D91">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891C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250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3708">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42344">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3192">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20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补助医疗机构个数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4F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74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所</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FEDD">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7812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3923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F0270">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39C3">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5" w:type="dxa"/>
            <w:tcBorders>
              <w:top w:val="nil"/>
              <w:left w:val="single" w:color="000000" w:sz="4" w:space="0"/>
              <w:bottom w:val="single" w:color="000000" w:sz="4" w:space="0"/>
              <w:right w:val="single" w:color="000000" w:sz="4" w:space="0"/>
            </w:tcBorders>
            <w:shd w:val="clear" w:color="auto" w:fill="auto"/>
            <w:vAlign w:val="center"/>
          </w:tcPr>
          <w:p w14:paraId="4D2C06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质量指标</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F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经费补助准确率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18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6E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912E">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B243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BFB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F76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5197">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BA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时效指标</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A3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补助发放及时率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1C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70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8F0F">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465C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5C39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39FC">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9" w:type="dxa"/>
            <w:tcBorders>
              <w:top w:val="single" w:color="000000" w:sz="4" w:space="0"/>
              <w:left w:val="single" w:color="000000" w:sz="4" w:space="0"/>
              <w:bottom w:val="nil"/>
              <w:right w:val="single" w:color="000000" w:sz="4" w:space="0"/>
            </w:tcBorders>
            <w:shd w:val="clear" w:color="auto" w:fill="FFFFFF" w:themeFill="background1"/>
            <w:vAlign w:val="center"/>
          </w:tcPr>
          <w:p w14:paraId="26A774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效益指标</w:t>
            </w:r>
          </w:p>
        </w:tc>
        <w:tc>
          <w:tcPr>
            <w:tcW w:w="985" w:type="dxa"/>
            <w:tcBorders>
              <w:top w:val="single" w:color="000000" w:sz="4" w:space="0"/>
              <w:left w:val="single" w:color="000000" w:sz="4" w:space="0"/>
              <w:bottom w:val="nil"/>
              <w:right w:val="single" w:color="000000" w:sz="4" w:space="0"/>
            </w:tcBorders>
            <w:shd w:val="clear" w:color="auto" w:fill="FFFFFF" w:themeFill="background1"/>
            <w:vAlign w:val="center"/>
          </w:tcPr>
          <w:p w14:paraId="414B2A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社会效益指标</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E5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补助发放覆盖率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AF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31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755B">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6B4F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24BB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0EB2">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1A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满意度指标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BB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满意度指标</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E6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补助发放对象满意度</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A1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94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Style w:val="30"/>
                <w:rFonts w:hint="eastAsia" w:asciiTheme="minorEastAsia" w:hAnsiTheme="minorEastAsia" w:eastAsiaTheme="minorEastAsia" w:cstheme="minorEastAsia"/>
                <w:b w:val="0"/>
                <w:bCs w:val="0"/>
                <w:snapToGrid w:val="0"/>
                <w:color w:val="auto"/>
                <w:sz w:val="20"/>
                <w:szCs w:val="20"/>
                <w:highlight w:val="none"/>
                <w:lang w:val="en-US" w:eastAsia="zh-CN" w:bidi="ar"/>
              </w:rPr>
              <w:t>%</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7BA1">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728F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bl>
    <w:p w14:paraId="391F842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zh-CN"/>
        </w:rPr>
        <w:t>）</w:t>
      </w:r>
      <w:bookmarkStart w:id="16" w:name="OLE_LINK17"/>
      <w:r>
        <w:rPr>
          <w:rFonts w:hint="eastAsia" w:ascii="Times New Roman" w:hAnsi="Times New Roman" w:cs="Times New Roman"/>
          <w:color w:val="auto"/>
          <w:sz w:val="32"/>
          <w:szCs w:val="32"/>
          <w:highlight w:val="none"/>
          <w:lang w:val="en-US" w:eastAsia="zh-CN"/>
        </w:rPr>
        <w:t>强化基本公共卫生服务</w:t>
      </w:r>
    </w:p>
    <w:bookmarkEnd w:id="16"/>
    <w:p w14:paraId="6DA3F37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4.1</w:t>
      </w:r>
      <w:r>
        <w:rPr>
          <w:rFonts w:hint="eastAsia" w:ascii="Times New Roman" w:hAnsi="Times New Roman" w:eastAsia="仿宋_GB2312" w:cs="Times New Roman"/>
          <w:color w:val="auto"/>
          <w:sz w:val="32"/>
          <w:szCs w:val="32"/>
          <w:highlight w:val="none"/>
          <w:lang w:val="en-US" w:eastAsia="zh-CN"/>
        </w:rPr>
        <w:t>资金安排情况。</w:t>
      </w:r>
    </w:p>
    <w:p w14:paraId="15398E0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lang w:val="zh-CN"/>
        </w:rPr>
        <w:t>年初预算</w:t>
      </w:r>
      <w:bookmarkStart w:id="17" w:name="OLE_LINK13"/>
      <w:r>
        <w:rPr>
          <w:rFonts w:hint="eastAsia" w:ascii="Times New Roman" w:hAnsi="Times New Roman" w:cs="Times New Roman"/>
          <w:color w:val="auto"/>
          <w:sz w:val="32"/>
          <w:szCs w:val="32"/>
          <w:highlight w:val="none"/>
          <w:lang w:val="en-US" w:eastAsia="zh-CN"/>
        </w:rPr>
        <w:t>3518.52</w:t>
      </w:r>
      <w:r>
        <w:rPr>
          <w:rFonts w:hint="default" w:ascii="Times New Roman" w:hAnsi="Times New Roman" w:eastAsia="仿宋_GB2312" w:cs="Times New Roman"/>
          <w:color w:val="auto"/>
          <w:sz w:val="32"/>
          <w:szCs w:val="32"/>
          <w:highlight w:val="none"/>
          <w:lang w:val="zh-CN"/>
        </w:rPr>
        <w:t>万元</w:t>
      </w:r>
      <w:bookmarkEnd w:id="17"/>
      <w:r>
        <w:rPr>
          <w:rFonts w:hint="default"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其中中省资金3225.93</w:t>
      </w:r>
      <w:r>
        <w:rPr>
          <w:rFonts w:hint="eastAsia" w:ascii="Times New Roman" w:hAnsi="Times New Roman" w:cs="Times New Roman"/>
          <w:color w:val="auto"/>
          <w:sz w:val="32"/>
          <w:szCs w:val="32"/>
          <w:highlight w:val="none"/>
          <w:lang w:val="en-US" w:eastAsia="zh-CN"/>
        </w:rPr>
        <w:t>万</w:t>
      </w:r>
      <w:r>
        <w:rPr>
          <w:rFonts w:hint="default" w:ascii="Times New Roman" w:hAnsi="Times New Roman" w:eastAsia="仿宋_GB2312" w:cs="Times New Roman"/>
          <w:color w:val="auto"/>
          <w:sz w:val="32"/>
          <w:szCs w:val="32"/>
          <w:highlight w:val="none"/>
          <w:lang w:val="zh-CN"/>
        </w:rPr>
        <w:t>元，</w:t>
      </w:r>
      <w:r>
        <w:rPr>
          <w:rFonts w:hint="eastAsia" w:ascii="Times New Roman" w:hAnsi="Times New Roman" w:eastAsia="仿宋_GB2312" w:cs="Times New Roman"/>
          <w:color w:val="auto"/>
          <w:sz w:val="32"/>
          <w:szCs w:val="32"/>
          <w:highlight w:val="none"/>
          <w:lang w:val="en-US" w:eastAsia="zh-CN"/>
        </w:rPr>
        <w:t>县级资金292.59万元，</w:t>
      </w:r>
      <w:r>
        <w:rPr>
          <w:rFonts w:hint="default" w:ascii="Times New Roman" w:hAnsi="Times New Roman" w:eastAsia="仿宋_GB2312" w:cs="Times New Roman"/>
          <w:color w:val="auto"/>
          <w:sz w:val="32"/>
          <w:szCs w:val="32"/>
          <w:highlight w:val="none"/>
          <w:lang w:val="zh-CN"/>
        </w:rPr>
        <w:t>年</w:t>
      </w:r>
      <w:r>
        <w:rPr>
          <w:rFonts w:hint="eastAsia" w:ascii="Times New Roman" w:hAnsi="Times New Roman" w:cs="Times New Roman"/>
          <w:color w:val="auto"/>
          <w:sz w:val="32"/>
          <w:szCs w:val="32"/>
          <w:highlight w:val="none"/>
          <w:lang w:val="en-US" w:eastAsia="zh-CN"/>
        </w:rPr>
        <w:t>末</w:t>
      </w:r>
      <w:r>
        <w:rPr>
          <w:rFonts w:hint="default" w:ascii="Times New Roman" w:hAnsi="Times New Roman" w:eastAsia="仿宋_GB2312" w:cs="Times New Roman"/>
          <w:color w:val="auto"/>
          <w:sz w:val="32"/>
          <w:szCs w:val="32"/>
          <w:highlight w:val="none"/>
          <w:lang w:val="zh-CN"/>
        </w:rPr>
        <w:t>执行</w:t>
      </w:r>
      <w:r>
        <w:rPr>
          <w:rFonts w:hint="eastAsia" w:ascii="Times New Roman" w:hAnsi="Times New Roman" w:eastAsia="仿宋_GB2312" w:cs="Times New Roman"/>
          <w:color w:val="auto"/>
          <w:sz w:val="32"/>
          <w:szCs w:val="32"/>
          <w:highlight w:val="none"/>
          <w:lang w:val="en-US" w:eastAsia="zh-CN"/>
        </w:rPr>
        <w:t>金额</w:t>
      </w:r>
      <w:r>
        <w:rPr>
          <w:rFonts w:hint="eastAsia" w:ascii="Times New Roman" w:hAnsi="Times New Roman" w:cs="Times New Roman"/>
          <w:color w:val="auto"/>
          <w:sz w:val="32"/>
          <w:szCs w:val="32"/>
          <w:highlight w:val="none"/>
          <w:lang w:val="en-US" w:eastAsia="zh-CN"/>
        </w:rPr>
        <w:t>3518.52</w:t>
      </w:r>
      <w:r>
        <w:rPr>
          <w:rFonts w:hint="default" w:ascii="Times New Roman" w:hAnsi="Times New Roman" w:eastAsia="仿宋_GB2312" w:cs="Times New Roman"/>
          <w:color w:val="auto"/>
          <w:sz w:val="32"/>
          <w:szCs w:val="32"/>
          <w:highlight w:val="none"/>
          <w:lang w:val="zh-CN"/>
        </w:rPr>
        <w:t>万元</w:t>
      </w:r>
      <w:r>
        <w:rPr>
          <w:rFonts w:hint="eastAsia"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rPr>
        <w:t>预算执行率在</w:t>
      </w:r>
      <w:r>
        <w:rPr>
          <w:rFonts w:hint="eastAsia" w:ascii="Times New Roman" w:hAnsi="Times New Roman"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zh-CN"/>
        </w:rPr>
        <w:t>%。</w:t>
      </w:r>
    </w:p>
    <w:p w14:paraId="23C0A5F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4.2</w:t>
      </w:r>
      <w:r>
        <w:rPr>
          <w:rFonts w:hint="eastAsia" w:ascii="Times New Roman" w:hAnsi="Times New Roman" w:eastAsia="仿宋_GB2312" w:cs="Times New Roman"/>
          <w:color w:val="auto"/>
          <w:sz w:val="32"/>
          <w:szCs w:val="32"/>
          <w:highlight w:val="none"/>
          <w:lang w:val="en-US" w:eastAsia="zh-CN"/>
        </w:rPr>
        <w:t>目标完成情况。如下表</w:t>
      </w:r>
    </w:p>
    <w:tbl>
      <w:tblPr>
        <w:tblStyle w:val="16"/>
        <w:tblW w:w="87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5"/>
        <w:gridCol w:w="1021"/>
        <w:gridCol w:w="988"/>
        <w:gridCol w:w="1707"/>
        <w:gridCol w:w="1021"/>
        <w:gridCol w:w="1021"/>
        <w:gridCol w:w="844"/>
        <w:gridCol w:w="659"/>
      </w:tblGrid>
      <w:tr w14:paraId="11EC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74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重点履职项目</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FC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一级指标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32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二级指标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F7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三级指标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22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绩效指标值</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66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度量单位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8A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实际完成指标值</w:t>
            </w:r>
          </w:p>
        </w:tc>
        <w:tc>
          <w:tcPr>
            <w:tcW w:w="6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6836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完成率</w:t>
            </w:r>
          </w:p>
        </w:tc>
      </w:tr>
      <w:tr w14:paraId="0761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26C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基公卫项目</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189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产出指标</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83E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数量指标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E9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全县城乡居民免费提供基本公共卫生服务人数</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D3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38.1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B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万人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4582">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BCA2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A00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EF53">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97A4C">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F881">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99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肺结核患者管理率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C2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0E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2406">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E7CB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804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38A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C480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9B21">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94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2型糖尿病患者管理人数</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78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9189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11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人/户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E0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13282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248B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980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6FB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2FC93">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7CCD">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FF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高血压患者管理人数</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25268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53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人/户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CE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34308</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F8AE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19F5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4355">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B28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D129">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D0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适龄儿童国家免疫计划疫苗接种率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CB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35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1F6C">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ADA2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59D0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EE68">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35D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E42B5">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38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城乡居民电子健康档案建档率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A9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5A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FF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97.44%</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E4D1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9FB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5F40">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97F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051C">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D9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老年人中医药健康管理率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10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A6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05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84.13%</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7A1D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2A27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9F2F5">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2E493">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restart"/>
            <w:tcBorders>
              <w:top w:val="single" w:color="000000" w:sz="4" w:space="0"/>
              <w:left w:val="single" w:color="000000" w:sz="4" w:space="0"/>
              <w:bottom w:val="nil"/>
              <w:right w:val="single" w:color="000000" w:sz="4" w:space="0"/>
            </w:tcBorders>
            <w:shd w:val="clear" w:color="auto" w:fill="auto"/>
            <w:vAlign w:val="center"/>
          </w:tcPr>
          <w:p w14:paraId="5DF6F6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质量指标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A3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传染病和突发公共卫生事件报告率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04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0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F545">
            <w:pPr>
              <w:keepNext w:val="0"/>
              <w:keepLines w:val="0"/>
              <w:widowControl/>
              <w:suppressLineNumbers w:val="0"/>
              <w:jc w:val="center"/>
              <w:textAlignment w:val="center"/>
              <w:rPr>
                <w:rFonts w:hint="eastAsia" w:asciiTheme="minorEastAsia" w:hAnsiTheme="minorEastAsia" w:eastAsiaTheme="minorEastAsia" w:cstheme="minorEastAsia"/>
                <w:b w:val="0"/>
                <w:bCs w:val="0"/>
                <w:i/>
                <w:iCs/>
                <w:color w:val="auto"/>
                <w:sz w:val="20"/>
                <w:szCs w:val="20"/>
                <w:highlight w:val="none"/>
                <w:u w:val="none"/>
              </w:rPr>
            </w:pPr>
            <w:r>
              <w:rPr>
                <w:rFonts w:hint="eastAsia" w:asciiTheme="minorEastAsia" w:hAnsiTheme="minorEastAsia" w:eastAsiaTheme="minorEastAsia" w:cstheme="minorEastAsia"/>
                <w:b w:val="0"/>
                <w:bCs w:val="0"/>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A88F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3A93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539D">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CFF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nil"/>
              <w:right w:val="single" w:color="000000" w:sz="4" w:space="0"/>
            </w:tcBorders>
            <w:shd w:val="clear" w:color="auto" w:fill="auto"/>
            <w:vAlign w:val="center"/>
          </w:tcPr>
          <w:p w14:paraId="44BD0DF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54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高血压患者基层规范管理服务率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4F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A6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8B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92.62%</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2D05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0C28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5834">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129CE">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nil"/>
              <w:right w:val="single" w:color="000000" w:sz="4" w:space="0"/>
            </w:tcBorders>
            <w:shd w:val="clear" w:color="auto" w:fill="auto"/>
            <w:vAlign w:val="center"/>
          </w:tcPr>
          <w:p w14:paraId="5F50AC6A">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F6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居民规范化电子健康档案覆盖率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0D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7D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00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89.50%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980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25B7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B035">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92FC">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nil"/>
              <w:right w:val="single" w:color="000000" w:sz="4" w:space="0"/>
            </w:tcBorders>
            <w:shd w:val="clear" w:color="auto" w:fill="auto"/>
            <w:vAlign w:val="center"/>
          </w:tcPr>
          <w:p w14:paraId="03029674">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F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65岁及以上老年人城乡社区规范健康管理服务率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71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54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6B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65.51%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5A03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1AC0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EFB0">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7D0B">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nil"/>
              <w:right w:val="single" w:color="000000" w:sz="4" w:space="0"/>
            </w:tcBorders>
            <w:shd w:val="clear" w:color="auto" w:fill="auto"/>
            <w:vAlign w:val="center"/>
          </w:tcPr>
          <w:p w14:paraId="36D1E941">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FB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2型糖尿病患者基层规范管理服务率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04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A3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B9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91.91%</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8051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448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1407">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10B18">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vMerge w:val="continue"/>
            <w:tcBorders>
              <w:top w:val="single" w:color="000000" w:sz="4" w:space="0"/>
              <w:left w:val="single" w:color="000000" w:sz="4" w:space="0"/>
              <w:bottom w:val="nil"/>
              <w:right w:val="single" w:color="000000" w:sz="4" w:space="0"/>
            </w:tcBorders>
            <w:shd w:val="clear" w:color="auto" w:fill="auto"/>
            <w:vAlign w:val="center"/>
          </w:tcPr>
          <w:p w14:paraId="5F11AF9E">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DC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严重精神障碍患者规范管理率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2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41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AB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97.26%</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3942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6480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3B18D">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0380">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59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时效指标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A6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完成期限</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B6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12月31日</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0493">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C6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12月31日</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A5D8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4868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E0960">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tcBorders>
              <w:top w:val="single" w:color="000000" w:sz="4" w:space="0"/>
              <w:left w:val="single" w:color="000000" w:sz="4" w:space="0"/>
              <w:bottom w:val="nil"/>
              <w:right w:val="single" w:color="000000" w:sz="4" w:space="0"/>
            </w:tcBorders>
            <w:shd w:val="clear" w:color="auto" w:fill="FFFFFF" w:themeFill="background1"/>
            <w:vAlign w:val="center"/>
          </w:tcPr>
          <w:p w14:paraId="475352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效益指标</w:t>
            </w:r>
          </w:p>
        </w:tc>
        <w:tc>
          <w:tcPr>
            <w:tcW w:w="988" w:type="dxa"/>
            <w:tcBorders>
              <w:top w:val="single" w:color="000000" w:sz="4" w:space="0"/>
              <w:left w:val="single" w:color="000000" w:sz="4" w:space="0"/>
              <w:bottom w:val="nil"/>
              <w:right w:val="single" w:color="000000" w:sz="4" w:space="0"/>
            </w:tcBorders>
            <w:shd w:val="clear" w:color="auto" w:fill="FFFFFF" w:themeFill="background1"/>
            <w:vAlign w:val="center"/>
          </w:tcPr>
          <w:p w14:paraId="2AEA21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社会效益指标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4B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城乡居民公共卫生差距</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6D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不断缩小</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4516">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32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不断缩小</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4196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r w14:paraId="586F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D08F">
            <w:pPr>
              <w:jc w:val="center"/>
              <w:rPr>
                <w:rFonts w:hint="eastAsia" w:asciiTheme="minorEastAsia" w:hAnsiTheme="minorEastAsia" w:eastAsiaTheme="minorEastAsia" w:cstheme="minorEastAsia"/>
                <w:b w:val="0"/>
                <w:bCs w:val="0"/>
                <w:i w:val="0"/>
                <w:iCs w:val="0"/>
                <w:color w:val="auto"/>
                <w:sz w:val="20"/>
                <w:szCs w:val="20"/>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0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满意度指标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0C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满意度指标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43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受益城乡居民免费提供基本公共卫生服务满意度</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47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3D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4C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196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0"/>
                <w:szCs w:val="20"/>
                <w:highlight w:val="none"/>
                <w:u w:val="none"/>
              </w:rPr>
            </w:pPr>
            <w:r>
              <w:rPr>
                <w:rFonts w:hint="eastAsia" w:asciiTheme="minorEastAsia" w:hAnsiTheme="minorEastAsia" w:eastAsiaTheme="minorEastAsia" w:cstheme="minorEastAsia"/>
                <w:b w:val="0"/>
                <w:bCs w:val="0"/>
                <w:i w:val="0"/>
                <w:iCs w:val="0"/>
                <w:snapToGrid w:val="0"/>
                <w:color w:val="auto"/>
                <w:kern w:val="0"/>
                <w:sz w:val="20"/>
                <w:szCs w:val="20"/>
                <w:highlight w:val="none"/>
                <w:u w:val="none"/>
                <w:lang w:val="en-US" w:eastAsia="zh-CN" w:bidi="ar"/>
              </w:rPr>
              <w:t>100%</w:t>
            </w:r>
          </w:p>
        </w:tc>
      </w:tr>
    </w:tbl>
    <w:p w14:paraId="3CEB731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预算管理。</w:t>
      </w:r>
    </w:p>
    <w:p w14:paraId="4D03C5B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预算编制质量。根据年初预算批复文件及2024年1-12月预算可执行情况表。本单位2024年预算执行数20827.1万元，调整数16183.86万元，偏离度28.69%。</w:t>
      </w:r>
      <w:bookmarkStart w:id="18" w:name="OLE_LINK4"/>
      <w:r>
        <w:rPr>
          <w:rFonts w:hint="eastAsia" w:ascii="Times New Roman" w:hAnsi="Times New Roman" w:eastAsia="仿宋_GB2312" w:cs="Times New Roman"/>
          <w:color w:val="auto"/>
          <w:sz w:val="32"/>
          <w:szCs w:val="32"/>
          <w:highlight w:val="none"/>
          <w:lang w:val="en-US" w:eastAsia="zh-CN"/>
        </w:rPr>
        <w:t>根据《部门整体支出绩效自评打分表》的评分说明本项指标权重8分、得分5.7分</w:t>
      </w:r>
      <w:bookmarkEnd w:id="18"/>
      <w:r>
        <w:rPr>
          <w:rFonts w:hint="eastAsia" w:ascii="Times New Roman" w:hAnsi="Times New Roman" w:eastAsia="仿宋_GB2312" w:cs="Times New Roman"/>
          <w:color w:val="auto"/>
          <w:sz w:val="32"/>
          <w:szCs w:val="32"/>
          <w:highlight w:val="none"/>
          <w:lang w:val="en-US" w:eastAsia="zh-CN"/>
        </w:rPr>
        <w:t>。</w:t>
      </w:r>
    </w:p>
    <w:p w14:paraId="717A86A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支出执行进度。根据《部门整体支出绩效自评打分表》的评分说明本项指标权重9分、得分8.7分。具体如下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5119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3EE57099">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支出</w:t>
            </w:r>
          </w:p>
        </w:tc>
        <w:tc>
          <w:tcPr>
            <w:tcW w:w="2265" w:type="dxa"/>
          </w:tcPr>
          <w:p w14:paraId="7F7326EC">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预算数（万元）</w:t>
            </w:r>
          </w:p>
        </w:tc>
        <w:tc>
          <w:tcPr>
            <w:tcW w:w="2265" w:type="dxa"/>
          </w:tcPr>
          <w:p w14:paraId="667CEF98">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支出数（万元）</w:t>
            </w:r>
          </w:p>
        </w:tc>
        <w:tc>
          <w:tcPr>
            <w:tcW w:w="2266" w:type="dxa"/>
          </w:tcPr>
          <w:p w14:paraId="55E398F1">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支出进度</w:t>
            </w:r>
          </w:p>
        </w:tc>
      </w:tr>
      <w:tr w14:paraId="59C3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25484DCF">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中省转移支付资金</w:t>
            </w:r>
          </w:p>
        </w:tc>
        <w:tc>
          <w:tcPr>
            <w:tcW w:w="2265" w:type="dxa"/>
          </w:tcPr>
          <w:p w14:paraId="0E683440">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8352.19</w:t>
            </w:r>
          </w:p>
        </w:tc>
        <w:tc>
          <w:tcPr>
            <w:tcW w:w="2265" w:type="dxa"/>
          </w:tcPr>
          <w:p w14:paraId="481F0217">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7584.24</w:t>
            </w:r>
          </w:p>
        </w:tc>
        <w:tc>
          <w:tcPr>
            <w:tcW w:w="2266" w:type="dxa"/>
          </w:tcPr>
          <w:p w14:paraId="5B9E4887">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90%</w:t>
            </w:r>
          </w:p>
        </w:tc>
      </w:tr>
      <w:tr w14:paraId="638F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63A1DBB3">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专项债资金</w:t>
            </w:r>
          </w:p>
        </w:tc>
        <w:tc>
          <w:tcPr>
            <w:tcW w:w="2265" w:type="dxa"/>
          </w:tcPr>
          <w:p w14:paraId="20D352E2">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5700</w:t>
            </w:r>
          </w:p>
        </w:tc>
        <w:tc>
          <w:tcPr>
            <w:tcW w:w="2265" w:type="dxa"/>
          </w:tcPr>
          <w:p w14:paraId="4C0C581F">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5700</w:t>
            </w:r>
          </w:p>
        </w:tc>
        <w:tc>
          <w:tcPr>
            <w:tcW w:w="2266" w:type="dxa"/>
          </w:tcPr>
          <w:p w14:paraId="57F05AB7">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100%</w:t>
            </w:r>
          </w:p>
        </w:tc>
      </w:tr>
      <w:tr w14:paraId="7012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4C3DF1C1">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专项预算资金</w:t>
            </w:r>
          </w:p>
        </w:tc>
        <w:tc>
          <w:tcPr>
            <w:tcW w:w="2265" w:type="dxa"/>
          </w:tcPr>
          <w:p w14:paraId="5DA3FCEF">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100</w:t>
            </w:r>
          </w:p>
        </w:tc>
        <w:tc>
          <w:tcPr>
            <w:tcW w:w="2265" w:type="dxa"/>
          </w:tcPr>
          <w:p w14:paraId="4AE72FD5">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100</w:t>
            </w:r>
          </w:p>
        </w:tc>
        <w:tc>
          <w:tcPr>
            <w:tcW w:w="2266" w:type="dxa"/>
          </w:tcPr>
          <w:p w14:paraId="2D133B7D">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baseline"/>
              <w:rPr>
                <w:rFonts w:hint="eastAsia" w:asciiTheme="minorEastAsia" w:hAnsiTheme="minorEastAsia" w:eastAsiaTheme="minorEastAsia" w:cstheme="minorEastAsia"/>
                <w:b w:val="0"/>
                <w:bCs w:val="0"/>
                <w:color w:val="auto"/>
                <w:sz w:val="20"/>
                <w:szCs w:val="20"/>
                <w:highlight w:val="none"/>
                <w:vertAlign w:val="baseline"/>
                <w:lang w:val="en-US" w:eastAsia="zh-CN"/>
              </w:rPr>
            </w:pPr>
            <w:r>
              <w:rPr>
                <w:rFonts w:hint="eastAsia" w:asciiTheme="minorEastAsia" w:hAnsiTheme="minorEastAsia" w:eastAsiaTheme="minorEastAsia" w:cstheme="minorEastAsia"/>
                <w:b w:val="0"/>
                <w:bCs w:val="0"/>
                <w:color w:val="auto"/>
                <w:sz w:val="20"/>
                <w:szCs w:val="20"/>
                <w:highlight w:val="none"/>
                <w:vertAlign w:val="baseline"/>
                <w:lang w:val="en-US" w:eastAsia="zh-CN"/>
              </w:rPr>
              <w:t>100%</w:t>
            </w:r>
          </w:p>
        </w:tc>
      </w:tr>
    </w:tbl>
    <w:p w14:paraId="76D0577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预算年终结余。本单位2024年年终部门预算注销金额25.95万元和结转金额2036.38万元，2024年，部门预算22895.19万元。部门整体预算结余率9%。根据《部门整体支出绩效自评打分表》的评分说明本项指标权重8分、得分7.28分</w:t>
      </w:r>
    </w:p>
    <w:p w14:paraId="3D4C638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严控一般性支出。根据年初预算批复等文件及2024年1-12月预算可执行情况表及2024年部门决算表。</w:t>
      </w:r>
      <w:bookmarkStart w:id="19" w:name="OLE_LINK6"/>
      <w:r>
        <w:rPr>
          <w:rFonts w:hint="eastAsia" w:ascii="Times New Roman" w:hAnsi="Times New Roman" w:eastAsia="仿宋_GB2312" w:cs="Times New Roman"/>
          <w:color w:val="auto"/>
          <w:sz w:val="32"/>
          <w:szCs w:val="32"/>
          <w:highlight w:val="none"/>
          <w:lang w:val="en-US" w:eastAsia="zh-CN"/>
        </w:rPr>
        <w:t>2024年严控一般性支出，“三公”经费支出降低3.68%，培训费降低28.8%，会议费降低74.8%，机关运行经费降低20%。根据《部门整体支出绩效自评打分表》的评分说明本项指标权重6分、得分6分。具体情况如下。</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49"/>
        <w:gridCol w:w="1650"/>
        <w:gridCol w:w="2116"/>
        <w:gridCol w:w="1850"/>
      </w:tblGrid>
      <w:tr w14:paraId="054A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30" w:type="dxa"/>
              <w:left w:w="45" w:type="dxa"/>
              <w:bottom w:w="30" w:type="dxa"/>
              <w:right w:w="45" w:type="dxa"/>
            </w:tcMar>
            <w:vAlign w:val="center"/>
          </w:tcPr>
          <w:p w14:paraId="654B9253">
            <w:pPr>
              <w:keepNext w:val="0"/>
              <w:keepLines w:val="0"/>
              <w:widowControl/>
              <w:suppressLineNumbers w:val="0"/>
              <w:jc w:val="left"/>
              <w:textAlignment w:val="center"/>
              <w:rPr>
                <w:rFonts w:hint="eastAsia" w:ascii="宋体" w:hAnsi="宋体" w:eastAsia="宋体" w:cs="宋体"/>
                <w:snapToGrid w:val="0"/>
                <w:color w:val="auto"/>
                <w:kern w:val="0"/>
                <w:sz w:val="20"/>
                <w:szCs w:val="20"/>
                <w:highlight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1B4C5F03">
            <w:pPr>
              <w:keepNext w:val="0"/>
              <w:keepLines w:val="0"/>
              <w:widowControl/>
              <w:suppressLineNumbers w:val="0"/>
              <w:jc w:val="right"/>
              <w:textAlignment w:val="center"/>
              <w:rPr>
                <w:rFonts w:hint="default" w:ascii="宋体" w:hAnsi="宋体" w:eastAsia="宋体" w:cs="宋体"/>
                <w:snapToGrid w:val="0"/>
                <w:color w:val="auto"/>
                <w:kern w:val="0"/>
                <w:sz w:val="20"/>
                <w:szCs w:val="20"/>
                <w:highlight w:val="none"/>
                <w:lang w:val="en-US" w:eastAsia="zh-CN" w:bidi="ar"/>
              </w:rPr>
            </w:pPr>
            <w:r>
              <w:rPr>
                <w:rFonts w:hint="eastAsia" w:ascii="宋体" w:hAnsi="宋体" w:eastAsia="宋体" w:cs="宋体"/>
                <w:snapToGrid w:val="0"/>
                <w:color w:val="auto"/>
                <w:kern w:val="0"/>
                <w:sz w:val="20"/>
                <w:szCs w:val="20"/>
                <w:highlight w:val="none"/>
                <w:lang w:val="en-US" w:eastAsia="zh-CN" w:bidi="ar"/>
              </w:rPr>
              <w:t>2024年</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1762624C">
            <w:pPr>
              <w:keepNext w:val="0"/>
              <w:keepLines w:val="0"/>
              <w:widowControl/>
              <w:suppressLineNumbers w:val="0"/>
              <w:jc w:val="right"/>
              <w:textAlignment w:val="center"/>
              <w:rPr>
                <w:rFonts w:hint="default" w:ascii="宋体" w:hAnsi="宋体" w:eastAsia="宋体" w:cs="宋体"/>
                <w:snapToGrid w:val="0"/>
                <w:color w:val="auto"/>
                <w:kern w:val="0"/>
                <w:sz w:val="20"/>
                <w:szCs w:val="20"/>
                <w:highlight w:val="none"/>
                <w:lang w:val="en-US" w:eastAsia="zh-CN" w:bidi="ar"/>
              </w:rPr>
            </w:pPr>
            <w:r>
              <w:rPr>
                <w:rFonts w:hint="eastAsia" w:ascii="宋体" w:hAnsi="宋体" w:eastAsia="宋体" w:cs="宋体"/>
                <w:snapToGrid w:val="0"/>
                <w:color w:val="auto"/>
                <w:kern w:val="0"/>
                <w:sz w:val="20"/>
                <w:szCs w:val="20"/>
                <w:highlight w:val="none"/>
                <w:lang w:val="en-US" w:eastAsia="zh-CN" w:bidi="ar"/>
              </w:rPr>
              <w:t>2023年</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F7DC4AA">
            <w:pPr>
              <w:keepNext w:val="0"/>
              <w:keepLines w:val="0"/>
              <w:widowControl/>
              <w:suppressLineNumbers w:val="0"/>
              <w:jc w:val="right"/>
              <w:textAlignment w:val="center"/>
              <w:rPr>
                <w:rFonts w:hint="default" w:ascii="宋体" w:hAnsi="宋体" w:eastAsia="宋体" w:cs="宋体"/>
                <w:snapToGrid w:val="0"/>
                <w:color w:val="auto"/>
                <w:kern w:val="0"/>
                <w:sz w:val="20"/>
                <w:szCs w:val="20"/>
                <w:highlight w:val="none"/>
                <w:lang w:val="en-US" w:eastAsia="zh-CN" w:bidi="ar"/>
              </w:rPr>
            </w:pPr>
            <w:r>
              <w:rPr>
                <w:rFonts w:hint="eastAsia" w:ascii="宋体" w:hAnsi="宋体" w:eastAsia="宋体" w:cs="宋体"/>
                <w:snapToGrid w:val="0"/>
                <w:color w:val="auto"/>
                <w:kern w:val="0"/>
                <w:sz w:val="20"/>
                <w:szCs w:val="20"/>
                <w:highlight w:val="none"/>
                <w:lang w:val="en-US" w:eastAsia="zh-CN" w:bidi="ar"/>
              </w:rPr>
              <w:t>增减变化</w:t>
            </w:r>
          </w:p>
        </w:tc>
      </w:tr>
      <w:bookmarkEnd w:id="19"/>
      <w:tr w14:paraId="3240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30" w:type="dxa"/>
              <w:left w:w="45" w:type="dxa"/>
              <w:bottom w:w="30" w:type="dxa"/>
              <w:right w:w="45" w:type="dxa"/>
            </w:tcMar>
            <w:vAlign w:val="center"/>
          </w:tcPr>
          <w:p w14:paraId="64A5E4DB">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1.“三公”经费支出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CE73FD0">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48,587.88</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2D31A769">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50,445.07</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6C824811">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-1,857.19</w:t>
            </w:r>
          </w:p>
        </w:tc>
      </w:tr>
      <w:tr w14:paraId="01DB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30" w:type="dxa"/>
              <w:left w:w="45" w:type="dxa"/>
              <w:bottom w:w="30" w:type="dxa"/>
              <w:right w:w="45" w:type="dxa"/>
            </w:tcMar>
            <w:vAlign w:val="center"/>
          </w:tcPr>
          <w:p w14:paraId="7DAA30F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其中：因公出国（境）费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4C8A1981">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0.00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8E46640">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0.00</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8E2D3E5">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0.00</w:t>
            </w:r>
          </w:p>
        </w:tc>
      </w:tr>
      <w:tr w14:paraId="204C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30" w:type="dxa"/>
              <w:left w:w="45" w:type="dxa"/>
              <w:bottom w:w="30" w:type="dxa"/>
              <w:right w:w="45" w:type="dxa"/>
            </w:tcMar>
            <w:vAlign w:val="center"/>
          </w:tcPr>
          <w:p w14:paraId="5F9E9934">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公务用车购置及运行维护费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4ED7D069">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38,887.88</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72B401F">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30,445.07</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6278912E">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8,442.81</w:t>
            </w:r>
          </w:p>
        </w:tc>
      </w:tr>
      <w:tr w14:paraId="12BE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30" w:type="dxa"/>
              <w:left w:w="45" w:type="dxa"/>
              <w:bottom w:w="30" w:type="dxa"/>
              <w:right w:w="45" w:type="dxa"/>
            </w:tcMar>
            <w:vAlign w:val="center"/>
          </w:tcPr>
          <w:p w14:paraId="4614E8B1">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其中：公务用车购置费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A87959B">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0.00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428D17E2">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0.00</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45F97985">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0.00</w:t>
            </w:r>
          </w:p>
        </w:tc>
      </w:tr>
      <w:tr w14:paraId="29B5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30" w:type="dxa"/>
              <w:left w:w="45" w:type="dxa"/>
              <w:bottom w:w="30" w:type="dxa"/>
              <w:right w:w="45" w:type="dxa"/>
            </w:tcMar>
            <w:vAlign w:val="center"/>
          </w:tcPr>
          <w:p w14:paraId="157F9437">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97B56E0">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38,887.88</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4A22179F">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30,445.07</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4707C3A7">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8,442.81</w:t>
            </w:r>
          </w:p>
        </w:tc>
      </w:tr>
      <w:tr w14:paraId="4B43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30" w:type="dxa"/>
              <w:left w:w="45" w:type="dxa"/>
              <w:bottom w:w="30" w:type="dxa"/>
              <w:right w:w="45" w:type="dxa"/>
            </w:tcMar>
            <w:vAlign w:val="center"/>
          </w:tcPr>
          <w:p w14:paraId="77AAE2A9">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1D8252E5">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9,700.00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F5930C8">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20,000.00</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622CEE6A">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-10,300.00</w:t>
            </w:r>
          </w:p>
        </w:tc>
      </w:tr>
      <w:tr w14:paraId="1B22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30" w:type="dxa"/>
              <w:left w:w="45" w:type="dxa"/>
              <w:bottom w:w="30" w:type="dxa"/>
              <w:right w:w="45" w:type="dxa"/>
            </w:tcMar>
            <w:vAlign w:val="center"/>
          </w:tcPr>
          <w:p w14:paraId="2B0DB091">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2.培训费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2EFD666">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51,660.00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5FC1BA7">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72,603.00</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3EDE17E0">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-20,943.00</w:t>
            </w:r>
          </w:p>
        </w:tc>
      </w:tr>
      <w:tr w14:paraId="5140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30" w:type="dxa"/>
              <w:left w:w="45" w:type="dxa"/>
              <w:bottom w:w="30" w:type="dxa"/>
              <w:right w:w="45" w:type="dxa"/>
            </w:tcMar>
            <w:vAlign w:val="center"/>
          </w:tcPr>
          <w:p w14:paraId="14F91671">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3.会议费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5A4A6CBA">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5,800.00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0D813417">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23,051.00</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62167111">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-17,251.00</w:t>
            </w:r>
          </w:p>
        </w:tc>
      </w:tr>
      <w:tr w14:paraId="2458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30" w:type="dxa"/>
              <w:left w:w="45" w:type="dxa"/>
              <w:bottom w:w="30" w:type="dxa"/>
              <w:right w:w="45" w:type="dxa"/>
            </w:tcMar>
            <w:vAlign w:val="center"/>
          </w:tcPr>
          <w:p w14:paraId="6A44D17C">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4.机关运行经费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2B2C1BA2">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1,730,094.10</w:t>
            </w:r>
          </w:p>
        </w:tc>
        <w:tc>
          <w:tcPr>
            <w:tcW w:w="211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7176C01E">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2,168,275.56</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14:paraId="50F1FF4E">
            <w:pPr>
              <w:keepNext w:val="0"/>
              <w:keepLines w:val="0"/>
              <w:widowControl/>
              <w:suppressLineNumbers w:val="0"/>
              <w:jc w:val="right"/>
              <w:textAlignment w:val="center"/>
              <w:rPr>
                <w:rFonts w:hint="eastAsia" w:ascii="宋体" w:hAnsi="宋体" w:eastAsia="宋体" w:cs="宋体"/>
                <w:color w:val="auto"/>
                <w:sz w:val="20"/>
                <w:szCs w:val="20"/>
                <w:highlight w:val="none"/>
              </w:rPr>
            </w:pPr>
            <w:r>
              <w:rPr>
                <w:rFonts w:hint="eastAsia" w:ascii="宋体" w:hAnsi="宋体" w:eastAsia="宋体" w:cs="宋体"/>
                <w:snapToGrid w:val="0"/>
                <w:color w:val="auto"/>
                <w:kern w:val="0"/>
                <w:sz w:val="20"/>
                <w:szCs w:val="20"/>
                <w:highlight w:val="none"/>
                <w:lang w:val="en-US" w:eastAsia="zh-CN" w:bidi="ar"/>
              </w:rPr>
              <w:t>-438,181.46</w:t>
            </w:r>
          </w:p>
        </w:tc>
      </w:tr>
    </w:tbl>
    <w:p w14:paraId="08A5F4A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lang w:val="en-US" w:eastAsia="zh-CN"/>
        </w:rPr>
        <w:t>资产管理。</w:t>
      </w:r>
    </w:p>
    <w:p w14:paraId="2C2BA2B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（1）人均资产变化率</w:t>
      </w:r>
    </w:p>
    <w:p w14:paraId="78C5477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2024年部门决算报表、部门预算报表及部门行政事业性国有资产报表资料，本部门部门人均资产变化率12.6%（其中2024年行政事业单位人均占有资产47.38万元/人员、2023年行政事业单位人均占有资产42.08万元/人员）。根据《部门整体支出绩效自评打分表》的评分说明本项指标权重3分、得分0分。具体详见下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383"/>
        <w:gridCol w:w="1383"/>
        <w:gridCol w:w="1383"/>
        <w:gridCol w:w="1383"/>
        <w:gridCol w:w="1384"/>
      </w:tblGrid>
      <w:tr w14:paraId="4F2F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83" w:type="dxa"/>
          </w:tcPr>
          <w:p w14:paraId="19C4FBAE">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年度</w:t>
            </w:r>
          </w:p>
        </w:tc>
        <w:tc>
          <w:tcPr>
            <w:tcW w:w="1383" w:type="dxa"/>
          </w:tcPr>
          <w:p w14:paraId="518A36FD">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固定资产净值（万元）</w:t>
            </w:r>
          </w:p>
        </w:tc>
        <w:tc>
          <w:tcPr>
            <w:tcW w:w="1383" w:type="dxa"/>
          </w:tcPr>
          <w:p w14:paraId="41F9922F">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无形资产净值（万元）</w:t>
            </w:r>
          </w:p>
        </w:tc>
        <w:tc>
          <w:tcPr>
            <w:tcW w:w="1383" w:type="dxa"/>
          </w:tcPr>
          <w:p w14:paraId="3178181D">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总资产（万元）</w:t>
            </w:r>
          </w:p>
        </w:tc>
        <w:tc>
          <w:tcPr>
            <w:tcW w:w="1383" w:type="dxa"/>
          </w:tcPr>
          <w:p w14:paraId="7A58FC81">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编制内实有人数（人）</w:t>
            </w:r>
          </w:p>
        </w:tc>
        <w:tc>
          <w:tcPr>
            <w:tcW w:w="1384" w:type="dxa"/>
          </w:tcPr>
          <w:p w14:paraId="3452C496">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人均资产</w:t>
            </w:r>
          </w:p>
        </w:tc>
      </w:tr>
      <w:tr w14:paraId="2367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83" w:type="dxa"/>
          </w:tcPr>
          <w:p w14:paraId="7A393F6D">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2023年</w:t>
            </w:r>
          </w:p>
        </w:tc>
        <w:tc>
          <w:tcPr>
            <w:tcW w:w="1383" w:type="dxa"/>
          </w:tcPr>
          <w:p w14:paraId="768F2517">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38608.36</w:t>
            </w:r>
          </w:p>
        </w:tc>
        <w:tc>
          <w:tcPr>
            <w:tcW w:w="1383" w:type="dxa"/>
          </w:tcPr>
          <w:p w14:paraId="28E77F73">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1074.68</w:t>
            </w:r>
          </w:p>
        </w:tc>
        <w:tc>
          <w:tcPr>
            <w:tcW w:w="1383" w:type="dxa"/>
          </w:tcPr>
          <w:p w14:paraId="2F1BB49C">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39683.04</w:t>
            </w:r>
          </w:p>
        </w:tc>
        <w:tc>
          <w:tcPr>
            <w:tcW w:w="1383" w:type="dxa"/>
          </w:tcPr>
          <w:p w14:paraId="74C1BBF1">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943</w:t>
            </w:r>
          </w:p>
        </w:tc>
        <w:tc>
          <w:tcPr>
            <w:tcW w:w="1384" w:type="dxa"/>
          </w:tcPr>
          <w:p w14:paraId="5C199197">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42.08</w:t>
            </w:r>
          </w:p>
        </w:tc>
      </w:tr>
      <w:tr w14:paraId="184D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83" w:type="dxa"/>
          </w:tcPr>
          <w:p w14:paraId="7CC10703">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2024年</w:t>
            </w:r>
          </w:p>
        </w:tc>
        <w:tc>
          <w:tcPr>
            <w:tcW w:w="1383" w:type="dxa"/>
          </w:tcPr>
          <w:p w14:paraId="2200260F">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40929.56</w:t>
            </w:r>
          </w:p>
        </w:tc>
        <w:tc>
          <w:tcPr>
            <w:tcW w:w="1383" w:type="dxa"/>
          </w:tcPr>
          <w:p w14:paraId="7F529992">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2758.6</w:t>
            </w:r>
          </w:p>
        </w:tc>
        <w:tc>
          <w:tcPr>
            <w:tcW w:w="1383" w:type="dxa"/>
          </w:tcPr>
          <w:p w14:paraId="2356382C">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43688.16</w:t>
            </w:r>
          </w:p>
        </w:tc>
        <w:tc>
          <w:tcPr>
            <w:tcW w:w="1383" w:type="dxa"/>
          </w:tcPr>
          <w:p w14:paraId="0DC00F50">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922</w:t>
            </w:r>
          </w:p>
        </w:tc>
        <w:tc>
          <w:tcPr>
            <w:tcW w:w="1384" w:type="dxa"/>
          </w:tcPr>
          <w:p w14:paraId="749D346E">
            <w:pPr>
              <w:widowControl w:val="0"/>
              <w:spacing w:line="360" w:lineRule="auto"/>
              <w:jc w:val="center"/>
              <w:rPr>
                <w:rFonts w:hint="eastAsia" w:asciiTheme="minorEastAsia" w:hAnsiTheme="minorEastAsia" w:eastAsiaTheme="minorEastAsia" w:cstheme="minorEastAsia"/>
                <w:color w:val="auto"/>
                <w:sz w:val="20"/>
                <w:szCs w:val="20"/>
                <w:highlight w:val="none"/>
                <w:vertAlign w:val="baseline"/>
                <w:lang w:val="en-US" w:eastAsia="zh-CN"/>
              </w:rPr>
            </w:pPr>
            <w:r>
              <w:rPr>
                <w:rFonts w:hint="eastAsia" w:asciiTheme="minorEastAsia" w:hAnsiTheme="minorEastAsia" w:eastAsiaTheme="minorEastAsia" w:cstheme="minorEastAsia"/>
                <w:color w:val="auto"/>
                <w:sz w:val="20"/>
                <w:szCs w:val="20"/>
                <w:highlight w:val="none"/>
                <w:vertAlign w:val="baseline"/>
                <w:lang w:val="en-US" w:eastAsia="zh-CN"/>
              </w:rPr>
              <w:t>47.38</w:t>
            </w:r>
          </w:p>
        </w:tc>
      </w:tr>
    </w:tbl>
    <w:p w14:paraId="27F8E50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（2）资产利用率（含下属单位）</w:t>
      </w:r>
    </w:p>
    <w:p w14:paraId="2C4DCA1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截至202</w:t>
      </w:r>
      <w:r>
        <w:rPr>
          <w:rFonts w:hint="eastAsia" w:ascii="Times New Roman" w:hAnsi="Times New Roman"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年12月31日固定资产卡片明细数据，超最低使用年限的办公家具资产利用率为</w:t>
      </w:r>
      <w:r>
        <w:rPr>
          <w:rFonts w:hint="eastAsia" w:ascii="Times New Roman" w:hAnsi="Times New Roman" w:cs="Times New Roman"/>
          <w:color w:val="auto"/>
          <w:sz w:val="32"/>
          <w:szCs w:val="32"/>
          <w:highlight w:val="none"/>
          <w:lang w:val="en-US" w:eastAsia="zh-CN"/>
        </w:rPr>
        <w:t>48.3</w:t>
      </w:r>
      <w:r>
        <w:rPr>
          <w:rFonts w:hint="eastAsia" w:ascii="Times New Roman" w:hAnsi="Times New Roman" w:eastAsia="仿宋_GB2312" w:cs="Times New Roman"/>
          <w:color w:val="auto"/>
          <w:sz w:val="32"/>
          <w:szCs w:val="32"/>
          <w:highlight w:val="none"/>
          <w:lang w:val="en-US" w:eastAsia="zh-CN"/>
        </w:rPr>
        <w:t>%；超最低使用年限的办公设备资产利用率为</w:t>
      </w:r>
      <w:r>
        <w:rPr>
          <w:rFonts w:hint="eastAsia" w:ascii="Times New Roman" w:hAnsi="Times New Roman" w:cs="Times New Roman"/>
          <w:color w:val="auto"/>
          <w:sz w:val="32"/>
          <w:szCs w:val="32"/>
          <w:highlight w:val="none"/>
          <w:lang w:val="en-US" w:eastAsia="zh-CN"/>
        </w:rPr>
        <w:t>64.4</w:t>
      </w:r>
      <w:r>
        <w:rPr>
          <w:rFonts w:hint="eastAsia" w:ascii="Times New Roman" w:hAnsi="Times New Roman" w:eastAsia="仿宋_GB2312" w:cs="Times New Roman"/>
          <w:color w:val="auto"/>
          <w:sz w:val="32"/>
          <w:szCs w:val="32"/>
          <w:highlight w:val="none"/>
          <w:lang w:val="en-US" w:eastAsia="zh-CN"/>
        </w:rPr>
        <w:t>%。根据《部门整体支出绩效自评打分表》的评分说明本项指标权重3分、得分1.12分。</w:t>
      </w:r>
    </w:p>
    <w:tbl>
      <w:tblPr>
        <w:tblStyle w:val="16"/>
        <w:tblW w:w="9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0"/>
        <w:gridCol w:w="3494"/>
        <w:gridCol w:w="1848"/>
        <w:gridCol w:w="1417"/>
      </w:tblGrid>
      <w:tr w14:paraId="48BB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5F7D">
            <w:pPr>
              <w:rPr>
                <w:rFonts w:hint="eastAsia" w:ascii="宋体" w:hAnsi="宋体" w:eastAsia="宋体" w:cs="宋体"/>
                <w:i w:val="0"/>
                <w:iCs w:val="0"/>
                <w:color w:val="auto"/>
                <w:sz w:val="20"/>
                <w:szCs w:val="20"/>
                <w:highlight w:val="none"/>
                <w:u w:val="none"/>
              </w:rPr>
            </w:pPr>
          </w:p>
        </w:tc>
        <w:tc>
          <w:tcPr>
            <w:tcW w:w="3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FD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超最低使用年限的办公家具账面原值</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B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办公家具账面原值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78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资产利用率</w:t>
            </w:r>
          </w:p>
        </w:tc>
      </w:tr>
      <w:tr w14:paraId="1BAD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87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卫生健康局机关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67A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17.22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B28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217.57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613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7.92%</w:t>
            </w:r>
          </w:p>
        </w:tc>
      </w:tr>
      <w:tr w14:paraId="7DE8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88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下属单位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A08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377.53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801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1008.97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2EC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37.42%</w:t>
            </w:r>
          </w:p>
        </w:tc>
      </w:tr>
      <w:tr w14:paraId="0541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6186">
            <w:pP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E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超最低使用年限的办公设备账面原值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6B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办公设备账面原值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9A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资产利用率</w:t>
            </w:r>
          </w:p>
        </w:tc>
      </w:tr>
      <w:tr w14:paraId="2A0D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B6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卫生健康局机关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F1C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40.18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693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507.66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B61C">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7.92%</w:t>
            </w:r>
          </w:p>
        </w:tc>
      </w:tr>
      <w:tr w14:paraId="1515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C5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下属单位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FB3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750.78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91F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1335.16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07F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56.23%</w:t>
            </w:r>
          </w:p>
        </w:tc>
      </w:tr>
    </w:tbl>
    <w:p w14:paraId="7D52248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（3）资产盘活率</w:t>
      </w:r>
    </w:p>
    <w:p w14:paraId="0A077CC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根据本单位截至2024年12月31日固定资产卡片明细数据，并结合现场勘察情况。2023年及2024年无闲置资产，2024年</w:t>
      </w:r>
      <w:r>
        <w:rPr>
          <w:rFonts w:hint="eastAsia" w:ascii="Times New Roman" w:hAnsi="Times New Roman" w:eastAsia="仿宋_GB2312" w:cs="Times New Roman"/>
          <w:color w:val="auto"/>
          <w:sz w:val="32"/>
          <w:szCs w:val="32"/>
          <w:highlight w:val="none"/>
          <w:lang w:val="zh-CN" w:eastAsia="zh-CN"/>
        </w:rPr>
        <w:t>部门闲置资产占比变化率</w:t>
      </w:r>
      <w:r>
        <w:rPr>
          <w:rFonts w:hint="eastAsia" w:ascii="Times New Roman" w:hAnsi="Times New Roman" w:eastAsia="仿宋_GB2312" w:cs="Times New Roman"/>
          <w:color w:val="auto"/>
          <w:sz w:val="32"/>
          <w:szCs w:val="32"/>
          <w:highlight w:val="none"/>
          <w:lang w:val="en-US" w:eastAsia="zh-CN"/>
        </w:rPr>
        <w:t>0%，根据《部门整体支出绩效自评打分表》的评分说明4本项指标权重3分、得分3分。</w:t>
      </w:r>
    </w:p>
    <w:p w14:paraId="470D925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4.</w:t>
      </w:r>
      <w:r>
        <w:rPr>
          <w:rFonts w:hint="eastAsia" w:ascii="Times New Roman" w:hAnsi="Times New Roman" w:eastAsia="仿宋_GB2312" w:cs="Times New Roman"/>
          <w:b/>
          <w:bCs/>
          <w:color w:val="auto"/>
          <w:sz w:val="32"/>
          <w:szCs w:val="32"/>
          <w:highlight w:val="none"/>
          <w:lang w:val="en-US" w:eastAsia="zh-CN"/>
        </w:rPr>
        <w:t>采购管理。</w:t>
      </w:r>
    </w:p>
    <w:p w14:paraId="4146B4D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（1）支持中小企业发展</w:t>
      </w:r>
    </w:p>
    <w:p w14:paraId="0260AB0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根据部门涉及政府采购预算的《政府采购预算表》。本部门2024年预留项目面向中小企业采购共计</w:t>
      </w:r>
      <w:bookmarkStart w:id="20" w:name="OLE_LINK7"/>
      <w:r>
        <w:rPr>
          <w:rFonts w:hint="eastAsia" w:ascii="Times New Roman" w:hAnsi="Times New Roman" w:eastAsia="仿宋_GB2312" w:cs="Times New Roman"/>
          <w:color w:val="auto"/>
          <w:sz w:val="32"/>
          <w:szCs w:val="32"/>
          <w:highlight w:val="none"/>
          <w:lang w:val="en-US" w:eastAsia="zh-CN"/>
        </w:rPr>
        <w:t>11.0552</w:t>
      </w:r>
      <w:bookmarkEnd w:id="20"/>
      <w:r>
        <w:rPr>
          <w:rFonts w:hint="eastAsia" w:ascii="Times New Roman" w:hAnsi="Times New Roman" w:eastAsia="仿宋_GB2312" w:cs="Times New Roman"/>
          <w:color w:val="auto"/>
          <w:sz w:val="32"/>
          <w:szCs w:val="32"/>
          <w:highlight w:val="none"/>
          <w:lang w:val="en-US" w:eastAsia="zh-CN"/>
        </w:rPr>
        <w:t>万元，其中，面向小微企业采购11.0552万元，占100%。符合财政部 工业和信息化部《关于印发〈政府采购促进中小企业发展管理办法〉的通知》（财库〔2020〕46号）有关要求。根据《部门整体支出绩效自评打分表》的评分说明本项指标权重3分、得分3分。</w:t>
      </w:r>
    </w:p>
    <w:p w14:paraId="645B017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（2）采购执行率</w:t>
      </w:r>
    </w:p>
    <w:p w14:paraId="09AC858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单位涉及政府采购项目及2024年有关系项目合同及支付等资料。2024年政府采购预算11.0552万元，实际采购金额10.3252万元，根据《部门整体支出绩效自评打分表》的评分说明本项指标权重3分、得分3分。本部门2024年采购执行率100%。</w:t>
      </w:r>
    </w:p>
    <w:p w14:paraId="6966C92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5.财务管理。</w:t>
      </w:r>
    </w:p>
    <w:p w14:paraId="74AC155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（1）财务管理制度建设情况：本部门制定了《进一步加强财务管理的通知》，财务机构按照该通知要求严格执行。不涉及扣分。</w:t>
      </w:r>
    </w:p>
    <w:p w14:paraId="057D712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财务岗位设置情况：本部门设置会计一名、出纳一名等岗位职责明确，并严格实行不相容岗位分离。不涉及扣分。</w:t>
      </w:r>
    </w:p>
    <w:p w14:paraId="3A10C9B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资金使用规范</w:t>
      </w:r>
      <w:r>
        <w:rPr>
          <w:rFonts w:hint="eastAsia" w:ascii="Times New Roman" w:hAnsi="Times New Roman" w:eastAsia="仿宋_GB2312" w:cs="Times New Roman"/>
          <w:color w:val="auto"/>
          <w:sz w:val="32"/>
          <w:szCs w:val="32"/>
          <w:highlight w:val="none"/>
          <w:lang w:val="en-US" w:eastAsia="zh-CN"/>
        </w:rPr>
        <w:t>情况。财务部门在本部门绩效自评价期间抽查了基公卫、奖特扶等项目支付有关资料。部门资金使用符合相关财务管理制度规定的。不涉及扣分。</w:t>
      </w:r>
    </w:p>
    <w:p w14:paraId="27D35B4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（二）部门预算项目绩效分析</w:t>
      </w:r>
    </w:p>
    <w:p w14:paraId="3FA202C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eastAsia" w:ascii="Times New Roman" w:hAnsi="Times New Roman" w:eastAsia="仿宋_GB2312" w:cs="Times New Roman"/>
          <w:b/>
          <w:bCs/>
          <w:color w:val="auto"/>
          <w:sz w:val="32"/>
          <w:szCs w:val="32"/>
          <w:highlight w:val="none"/>
          <w:lang w:val="zh-CN" w:eastAsia="zh-CN"/>
        </w:rPr>
      </w:pPr>
      <w:r>
        <w:rPr>
          <w:rFonts w:hint="eastAsia" w:ascii="Times New Roman" w:hAnsi="Times New Roman"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val="zh-CN" w:eastAsia="zh-CN"/>
        </w:rPr>
        <w:t>项目决策。</w:t>
      </w:r>
    </w:p>
    <w:p w14:paraId="424783E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zh-CN" w:eastAsia="zh-CN"/>
        </w:rPr>
        <w:t>）决策程序</w:t>
      </w:r>
    </w:p>
    <w:p w14:paraId="2096EF6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根据2024年预算要求，对“</w:t>
      </w:r>
      <w:r>
        <w:rPr>
          <w:rFonts w:hint="default" w:ascii="Times New Roman" w:hAnsi="Times New Roman" w:eastAsia="仿宋_GB2312" w:cs="Times New Roman"/>
          <w:color w:val="auto"/>
          <w:sz w:val="32"/>
          <w:szCs w:val="32"/>
          <w:highlight w:val="none"/>
          <w:lang w:val="en-US" w:eastAsia="zh-CN"/>
        </w:rPr>
        <w:t>年度预算100万元以上的新增项目，年度预算增幅达到30%或增加金额100万元以上的延续性项目</w:t>
      </w:r>
      <w:r>
        <w:rPr>
          <w:rFonts w:hint="eastAsia" w:ascii="Times New Roman" w:hAnsi="Times New Roman" w:eastAsia="仿宋_GB2312" w:cs="Times New Roman"/>
          <w:color w:val="auto"/>
          <w:sz w:val="32"/>
          <w:szCs w:val="32"/>
          <w:highlight w:val="none"/>
          <w:lang w:val="en-US" w:eastAsia="zh-CN"/>
        </w:rPr>
        <w:t>”开展事前绩效评估。2024年本部门应开展部门预算阶段项目（含一次性项目）总数17个、实际开展部门预算阶段项目（含一次性项目）17个，开展比例100%。根据《部门整体支出绩效自评打分表》的评分，说明本项指标权重4分、得分4分。</w:t>
      </w:r>
    </w:p>
    <w:p w14:paraId="1D63AA4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（2）目标设置</w:t>
      </w:r>
    </w:p>
    <w:p w14:paraId="22BF2F2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2024年本</w:t>
      </w:r>
      <w:r>
        <w:rPr>
          <w:rFonts w:hint="default" w:ascii="Times New Roman" w:hAnsi="Times New Roman" w:eastAsia="仿宋_GB2312" w:cs="Times New Roman"/>
          <w:color w:val="auto"/>
          <w:sz w:val="32"/>
          <w:szCs w:val="32"/>
          <w:highlight w:val="none"/>
          <w:lang w:val="en-US" w:eastAsia="zh-CN"/>
        </w:rPr>
        <w:t>部门</w:t>
      </w:r>
      <w:r>
        <w:rPr>
          <w:rFonts w:hint="eastAsia" w:ascii="Times New Roman" w:hAnsi="Times New Roman" w:eastAsia="仿宋_GB2312" w:cs="Times New Roman"/>
          <w:color w:val="auto"/>
          <w:sz w:val="32"/>
          <w:szCs w:val="32"/>
          <w:highlight w:val="none"/>
          <w:lang w:val="en-US" w:eastAsia="zh-CN"/>
        </w:rPr>
        <w:t>财务机构抽查</w:t>
      </w:r>
      <w:r>
        <w:rPr>
          <w:rFonts w:hint="default" w:ascii="Times New Roman" w:hAnsi="Times New Roman" w:eastAsia="仿宋_GB2312" w:cs="Times New Roman"/>
          <w:color w:val="auto"/>
          <w:sz w:val="32"/>
          <w:szCs w:val="32"/>
          <w:highlight w:val="none"/>
          <w:lang w:val="en-US" w:eastAsia="zh-CN"/>
        </w:rPr>
        <w:t>预算阶段项目（含一次性项目）</w:t>
      </w:r>
      <w:r>
        <w:rPr>
          <w:rFonts w:hint="eastAsia" w:ascii="Times New Roman" w:hAnsi="Times New Roman" w:eastAsia="仿宋_GB2312" w:cs="Times New Roman"/>
          <w:color w:val="auto"/>
          <w:sz w:val="32"/>
          <w:szCs w:val="32"/>
          <w:highlight w:val="none"/>
          <w:lang w:val="en-US" w:eastAsia="zh-CN"/>
        </w:rPr>
        <w:t>4个项目，涉及绩效目标与计划期内的任务量、预算安排不相匹配的部门预算阶段项目（含一次性项目）数量0个。不涉及应采取未采取收回预算、调整目标等处置措施的部门预算阶段项目（含一次性项目）。根据《部门整体支出绩效自评打分表》的评分说明本项指标权重4分、得分4分。</w:t>
      </w:r>
    </w:p>
    <w:p w14:paraId="146F8EC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（3）项目入库</w:t>
      </w:r>
    </w:p>
    <w:p w14:paraId="1BBD6DE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w:t>
      </w:r>
      <w:r>
        <w:rPr>
          <w:rFonts w:hint="eastAsia" w:ascii="Times New Roman" w:hAnsi="Times New Roman" w:eastAsia="仿宋_GB2312" w:cs="Times New Roman"/>
          <w:color w:val="auto"/>
          <w:sz w:val="32"/>
          <w:szCs w:val="32"/>
          <w:highlight w:val="none"/>
          <w:lang w:val="en-US" w:eastAsia="zh-CN"/>
        </w:rPr>
        <w:t>预算要求及一体化系统导出部门可执行指标表。2024年本部门最终安排部门预算阶段项目（含一次性项目）总数69个，规定时间未入财政库部门预算阶段项目（含一次性项目）数量0个，项目入库及时率100%。根据《部门整体支出绩效自评打分表》的评分说明本项指标权重4分、得分4分。</w:t>
      </w:r>
    </w:p>
    <w:p w14:paraId="5018156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jc w:val="both"/>
        <w:textAlignment w:val="baseline"/>
        <w:rPr>
          <w:rFonts w:hint="eastAsia" w:ascii="Times New Roman" w:hAnsi="Times New Roman" w:eastAsia="仿宋_GB2312" w:cs="Times New Roman"/>
          <w:b/>
          <w:bCs/>
          <w:color w:val="auto"/>
          <w:sz w:val="32"/>
          <w:szCs w:val="32"/>
          <w:highlight w:val="none"/>
          <w:lang w:val="zh-CN" w:eastAsia="zh-CN"/>
        </w:rPr>
      </w:pPr>
      <w:r>
        <w:rPr>
          <w:rFonts w:hint="eastAsia" w:ascii="Times New Roman" w:hAnsi="Times New Roman"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项目执行</w:t>
      </w:r>
      <w:r>
        <w:rPr>
          <w:rFonts w:hint="eastAsia" w:ascii="Times New Roman" w:hAnsi="Times New Roman" w:eastAsia="仿宋_GB2312" w:cs="Times New Roman"/>
          <w:b/>
          <w:bCs/>
          <w:color w:val="auto"/>
          <w:sz w:val="32"/>
          <w:szCs w:val="32"/>
          <w:highlight w:val="none"/>
          <w:lang w:val="zh-CN" w:eastAsia="zh-CN"/>
        </w:rPr>
        <w:t>。</w:t>
      </w:r>
    </w:p>
    <w:p w14:paraId="093041A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（1）执行同向</w:t>
      </w:r>
    </w:p>
    <w:p w14:paraId="51D7419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2024年本部门部门预算阶段项目（含一次性项目）总数69个，抽评22个项目，实际列支内容均与绩效目标设置方向相符。根据《部门整体支出绩效自评打分表》的评分说明本项指标权重5分、得分5分。</w:t>
      </w:r>
    </w:p>
    <w:p w14:paraId="60E437E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（2）项目调整</w:t>
      </w:r>
    </w:p>
    <w:p w14:paraId="6A96EE0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2024年本部门应采取收回预算、调整目标等处置措施的部门预算阶段项目（含一次性项目）总数30个，不涉及应采取未采取收回预算、调整目标等处置措施的部门预算阶段项目（含一次性项目）。根据《部门整体支出绩效自评打分表》的评分说明本项指标权重6分、得分6分。</w:t>
      </w:r>
    </w:p>
    <w:p w14:paraId="6CA746E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（3）执行结果</w:t>
      </w:r>
    </w:p>
    <w:p w14:paraId="6992FCA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4年本单位共实施69个项目，其中：常年项目63个，一次性项目和阶段项目6个。根据一体化系统预算可执行情况表，共56个常年项目预算结余率小于</w:t>
      </w:r>
      <w:r>
        <w:rPr>
          <w:rFonts w:hint="default"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%，7个常年项目预算结余率大于</w:t>
      </w:r>
      <w:r>
        <w:rPr>
          <w:rFonts w:hint="default"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%；共5个一次性项目和阶段项目预算结余率小于</w:t>
      </w:r>
      <w:r>
        <w:rPr>
          <w:rFonts w:hint="default"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%，1个一次性项目和阶段年项目预算结余率大于</w:t>
      </w:r>
      <w:r>
        <w:rPr>
          <w:rFonts w:hint="default"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w:t>
      </w:r>
    </w:p>
    <w:p w14:paraId="12B7102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根据《部门整体支出绩效自评打分表》的评分说明本项指标权重4分、得分3.45分。</w:t>
      </w:r>
    </w:p>
    <w:p w14:paraId="26AE9C4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lang w:val="zh-CN" w:eastAsia="zh-CN"/>
        </w:rPr>
        <w:t>目标实现。</w:t>
      </w:r>
    </w:p>
    <w:p w14:paraId="70224CD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（1）目标完成</w:t>
      </w:r>
    </w:p>
    <w:p w14:paraId="7656FA0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2025年本单位共实施69个项目，财务机构抽查12个项目核查项目目标完成情况。12个项目共有50条数量指标，8条数量指标未完成目标值。根据《部门整体支出绩效自评打分表》的评分说明本项指标权重6分、得分5.04分。具体情况详见下表：</w:t>
      </w:r>
    </w:p>
    <w:tbl>
      <w:tblPr>
        <w:tblStyle w:val="16"/>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5"/>
        <w:gridCol w:w="1080"/>
        <w:gridCol w:w="1080"/>
        <w:gridCol w:w="1080"/>
        <w:gridCol w:w="1080"/>
        <w:gridCol w:w="1080"/>
        <w:gridCol w:w="1215"/>
      </w:tblGrid>
      <w:tr w14:paraId="7789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83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F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68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C1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4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5A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目标完成情况</w:t>
            </w:r>
          </w:p>
        </w:tc>
      </w:tr>
      <w:tr w14:paraId="6F13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B66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1.农村妇女病两癌检查项目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71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预计乳腺癌筛查人数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4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0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59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09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81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4BEF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4537">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85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两癌筛查宣传活动开展次数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48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65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1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F9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5D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65C0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C6FE">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DA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两癌筛查技术指导培训次数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7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4A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D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1C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B1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7232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B67FF">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9F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预计宫颈癌筛查人数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A7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06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4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AD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3F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0A4A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CA8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2.中医药事业经费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2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中医适宜技术培训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53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9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45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C8B3">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71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12AC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6D3E1">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F6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名中医传承工作室建设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2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4D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2F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4A9">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38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27A1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63D4">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9A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重点专科建设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2E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D9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9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A632">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74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32FA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A702">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A0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中医阁建设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67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71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E3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89A4">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C5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0484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2B68">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79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中医馆服务能力提升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2A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3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16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2AA6">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97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1CA5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C424">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3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中医药文化宣传活动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C5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CC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49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576E">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4F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66D3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B4D6">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D2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中医药法规宣传培训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AC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39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62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8DA6">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DB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130B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47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3.独生子女父母奖励金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D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独生子女父母奖励金发放户数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04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5B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AB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5F6F">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49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r>
      <w:tr w14:paraId="7472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30A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4.计生奖特扶资金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9A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人身意外伤害保险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4D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1B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FC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993E">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59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0B82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473B3">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4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生日慰问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AB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A8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6C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CB88">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4B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r>
      <w:tr w14:paraId="7D0B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27513">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74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代缴城乡居民医疗保险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FA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70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94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AE64">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39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7A7F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45AD2">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4D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代缴城乡居民养老保险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2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0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A3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CB2">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84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6306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DA4F">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BE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计划生育特殊家庭对象体检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E0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CF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80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C992">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4B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67AE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0FA8">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2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元旦、春节慰问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C2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45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E4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FFBE">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5D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r>
      <w:tr w14:paraId="5F85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0054">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47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新发生的独生子女死亡或者患重大疾病的家庭一次性慰问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9F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53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71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EFD">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1B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5DBD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7F909">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09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购买“惠遂保”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0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7B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DB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F8AF">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5D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r>
      <w:tr w14:paraId="3032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771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5.艾滋病综合防治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2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符合治疗条件的感染者和病人抗病毒治疗覆盖率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F1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77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21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D6B0">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D7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70C8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69FA">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D7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大众人群艾滋病防治知识知晓率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0B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97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8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B6B3">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3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41EE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487D3">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2A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艾滋病感染者和病人配偶检测比例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B8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1A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BB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229E">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82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40BB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1B214">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E3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完成HIV筛查人次数量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F3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9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DF7E">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76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3FFE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2BC0">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D3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控制艾滋病母婴传播率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0A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D5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68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55D8">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AC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r>
      <w:tr w14:paraId="404A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76496">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56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艾滋病项目宣传材料印刷数量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D1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15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A1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万份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256A">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49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18EE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258F">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E1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感染孕产妇孕早期用药率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D0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30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2E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7BA4">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6E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664D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2E5F">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B5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符合治疗条件的艾滋病感染者和病人治疗成功率率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1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5A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0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B49">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B9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5009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F84E">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5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艾滋病感染者和病人CD4随访检测比例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4C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5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9838">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62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447E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193A7">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60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孕产妇艾滋病孕早期检测率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E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7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A0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129F">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0A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0EB0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47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6.基层医疗单位实施基本药物制度补助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25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补助人口数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3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E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5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万人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D9A8">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A3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1431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9C748">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80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补助医疗机构个数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68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1F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F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D2D2">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64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r>
      <w:tr w14:paraId="3F9A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837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7.村医养老补助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7E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补助60周岁以上村医生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7A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C9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B5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8CF1">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46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55BF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54CDA">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79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补助60周岁以下在岗村医生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2D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77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89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1DF">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37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r>
      <w:tr w14:paraId="6B93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B56E">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C1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补助其他村医数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3A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5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5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B1A0">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FF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2D34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267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8.免费孕前优生健康检查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A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开展婚前检查宣传活动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E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3F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7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7600">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BA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63CC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6EC3">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B2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开展婚前检查技术指导培训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D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F8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62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43F9">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51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5F31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1EB4">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B9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免费婚检人数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1B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9B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F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7B9B">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1363.5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E1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r>
      <w:tr w14:paraId="6176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79A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9.取消预防性体检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CC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公共场所监测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0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E1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25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9A1D">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A5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0B65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01DA">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4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消毒效果监测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7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E9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7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2971">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D0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3BA5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44CB">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5C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其他委托检测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B5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FC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F4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B83D">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7C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6652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29F8">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FC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资料印制数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C2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D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90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1FD2">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E8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4B80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6D9D">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58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免费体检人次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A3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8F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C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6490">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16254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39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025A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756A">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6E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全年业务工作差旅人次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0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60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6E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1F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71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0AC5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3C6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10.重大传染病防控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16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麻风病规定随访到位率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1D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89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DB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135E">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38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0428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E404">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09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疟疾“四热”病人血检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45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12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CA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万份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112A">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89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2AB8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38F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11.卫生监督机构规范化建设项目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52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规范化建设房屋改造项目面积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29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86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156.51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9E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3CCC">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156.51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EB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5D9C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8C1EE">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B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办公楼外墙改造及附属工程项目面积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A7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3D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F3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23F6">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52.17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2F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3A0D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F4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12.公共卫生特别服务岗（医疗卫生岗）项目人员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11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公共卫生服务岗医疗卫生岗聘用人数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87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46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C9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ECB5">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CD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bl>
    <w:p w14:paraId="4DB84D7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（2）目标偏离</w:t>
      </w:r>
    </w:p>
    <w:p w14:paraId="13E3203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2025年本单位共实施69个项目，财务机构抽查12个项目核查项目目标完成情况。12个项目共有50条数量指标，2024年已完成预期指标值的数量指标共计42条，7个数量指标偏离度≥30%。根据《部门整体支出绩效自评打分表》的评分说明本项指标权重6分、得分5分。具体情况详见下表：</w:t>
      </w:r>
    </w:p>
    <w:tbl>
      <w:tblPr>
        <w:tblStyle w:val="16"/>
        <w:tblW w:w="91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8"/>
        <w:gridCol w:w="984"/>
        <w:gridCol w:w="984"/>
        <w:gridCol w:w="984"/>
        <w:gridCol w:w="984"/>
        <w:gridCol w:w="984"/>
        <w:gridCol w:w="1107"/>
        <w:gridCol w:w="1312"/>
      </w:tblGrid>
      <w:tr w14:paraId="3594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31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项目名称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51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数量指标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C8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指标性质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2E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9F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度量单位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3F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完成值</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9E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目标完成情况</w:t>
            </w:r>
          </w:p>
        </w:tc>
        <w:tc>
          <w:tcPr>
            <w:tcW w:w="1312" w:type="dxa"/>
            <w:tcBorders>
              <w:top w:val="single" w:color="000000" w:sz="4" w:space="0"/>
              <w:left w:val="nil"/>
              <w:bottom w:val="single" w:color="000000" w:sz="4" w:space="0"/>
              <w:right w:val="single" w:color="000000" w:sz="4" w:space="0"/>
            </w:tcBorders>
            <w:shd w:val="clear" w:color="auto" w:fill="auto"/>
            <w:noWrap/>
            <w:vAlign w:val="center"/>
          </w:tcPr>
          <w:p w14:paraId="2C49CE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目标偏离度</w:t>
            </w:r>
          </w:p>
        </w:tc>
      </w:tr>
      <w:tr w14:paraId="010E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0B3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1.农村妇女病两癌检查项目</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53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预计乳腺癌筛查人数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88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8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95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F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6A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F1781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1.38%</w:t>
            </w:r>
          </w:p>
        </w:tc>
      </w:tr>
      <w:tr w14:paraId="02A8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D2E0">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FA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两癌筛查宣传活动开展次数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D5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9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43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A3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39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A9FE6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25CA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859A8">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D3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两癌筛查技术指导培训次数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B9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7C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D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97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67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3E459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1856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180A">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26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预计宫颈癌筛查人数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19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C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5F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1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F5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6F25A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1.38%</w:t>
            </w:r>
          </w:p>
        </w:tc>
      </w:tr>
      <w:tr w14:paraId="39EF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8A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2.中医药事业经费</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6D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中医适宜技术培训</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8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63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97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8183">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5C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F9A5A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4D6E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FFA28">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0D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名中医传承工作室建设</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F4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A7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39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1390">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CC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9721C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668D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D032">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EB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重点专科建设</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4E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9D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74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5C2A">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C1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A866E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1912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80B1">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57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中医阁建设</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3F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E0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9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FC7A">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73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C08C0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316.67%</w:t>
            </w:r>
          </w:p>
        </w:tc>
      </w:tr>
      <w:tr w14:paraId="28FA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20AC">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97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中医馆服务能力提升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9E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E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9D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76D8">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2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5ABAF2">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0CCE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06D3E">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35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中医药文化宣传活动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FB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2C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0E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0127">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20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55D5E6">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0141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8C39">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AD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中医药法规宣传培训</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46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9A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34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F9D">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88D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AD85D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6D2E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1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3.独生子女父母奖励金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03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独生子女父母奖励金发放户数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EE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61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3157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21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250E">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34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D32A0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-99.98%</w:t>
            </w:r>
          </w:p>
        </w:tc>
      </w:tr>
      <w:tr w14:paraId="048D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1D1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4.计生奖特扶资金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A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人身意外伤害保险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E1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3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361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D0A5">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1D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0BD76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-0.83%</w:t>
            </w:r>
          </w:p>
        </w:tc>
      </w:tr>
      <w:tr w14:paraId="1742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CD899">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02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生日慰问</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42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DE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361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69FB">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A2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03C5D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-3.05%</w:t>
            </w:r>
          </w:p>
        </w:tc>
      </w:tr>
      <w:tr w14:paraId="0C87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2807C">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74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代缴城乡居民医疗保险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7C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3B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260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3B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35F">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A6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E1064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10.38%</w:t>
            </w:r>
          </w:p>
        </w:tc>
      </w:tr>
      <w:tr w14:paraId="47CB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C552">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2F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代缴城乡居民养老保险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AF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04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0C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6165">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E3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7750C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25.35%</w:t>
            </w:r>
          </w:p>
        </w:tc>
      </w:tr>
      <w:tr w14:paraId="6384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79D1">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5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计划生育特殊家庭对象体检</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A7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E7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141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FC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E4E0">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17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3B208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84.40%</w:t>
            </w:r>
          </w:p>
        </w:tc>
      </w:tr>
      <w:tr w14:paraId="3038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6E25">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E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元旦、春节慰问</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D0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D3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242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7D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151D">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5A3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5ABAA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-0.41%</w:t>
            </w:r>
          </w:p>
        </w:tc>
      </w:tr>
      <w:tr w14:paraId="0844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FA7A">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F7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新发生的独生子女死亡或者患重大疾病的家庭一次性慰问</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BD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81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0B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5DBD">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DD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28237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57.14%</w:t>
            </w:r>
          </w:p>
        </w:tc>
      </w:tr>
      <w:tr w14:paraId="627F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0A0B">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3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购买“惠遂保”</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40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BD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361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8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DE58">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D7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C40EAF">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-8.03%</w:t>
            </w:r>
          </w:p>
        </w:tc>
      </w:tr>
      <w:tr w14:paraId="228D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39C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5.艾滋病综合防治</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1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符合治疗条件的感染者和病人抗病毒治疗覆盖率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04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7B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A6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DFE2">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CB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B9015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6.57%</w:t>
            </w:r>
          </w:p>
        </w:tc>
      </w:tr>
      <w:tr w14:paraId="3A6B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158D">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D1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大众人群艾滋病防治知识知晓率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8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10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CC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F6BA">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1E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AEABA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6.86%</w:t>
            </w:r>
          </w:p>
        </w:tc>
      </w:tr>
      <w:tr w14:paraId="551D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6494">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0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艾滋病感染者和病人配偶检测比例</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02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F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1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BA57">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14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CCD6C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9.04%</w:t>
            </w:r>
          </w:p>
        </w:tc>
      </w:tr>
      <w:tr w14:paraId="2351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D394">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05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完成HIV筛查人次数量</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BE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DE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87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B17A">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2C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C36A4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31.20%</w:t>
            </w:r>
          </w:p>
        </w:tc>
      </w:tr>
      <w:tr w14:paraId="64C7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A8F59">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01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控制艾滋病母婴传播率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79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9B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23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4428">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AD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9946D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-100.00%</w:t>
            </w:r>
          </w:p>
        </w:tc>
      </w:tr>
      <w:tr w14:paraId="7771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38A6">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C8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艾滋病项目宣传材料印刷数量</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74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15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9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万份</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375C">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25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B403F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20.29%</w:t>
            </w:r>
          </w:p>
        </w:tc>
      </w:tr>
      <w:tr w14:paraId="053E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B2AA">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BE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感染孕产妇孕早期用药率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63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80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52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4010">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22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89F53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11.11%</w:t>
            </w:r>
          </w:p>
        </w:tc>
      </w:tr>
      <w:tr w14:paraId="09E9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3"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89C5">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69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符合治疗条件的艾滋病感染者和病人治疗成功率率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0A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1A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05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C765">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C7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6EA8F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7.85%</w:t>
            </w:r>
          </w:p>
        </w:tc>
      </w:tr>
      <w:tr w14:paraId="3BD6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96E9C">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9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艾滋病感染者和病人CD4随访检测比例</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79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95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7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D82D">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AA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E58F1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4.65%</w:t>
            </w:r>
          </w:p>
        </w:tc>
      </w:tr>
      <w:tr w14:paraId="6A49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D2C2">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B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孕产妇艾滋病孕早期检测率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06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45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15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C8D6">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C2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94BD2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11.58%</w:t>
            </w:r>
          </w:p>
        </w:tc>
      </w:tr>
      <w:tr w14:paraId="326E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EC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6.基层医疗单位实施基本药物制度补助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C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补助人口数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BA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1D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38.1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AD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万人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AB04">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68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1949DE">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44F1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DED7F">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B6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补助医疗机构个数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09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79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所</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B5DF">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3AA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E902E5">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-18.18%</w:t>
            </w:r>
          </w:p>
        </w:tc>
      </w:tr>
      <w:tr w14:paraId="7813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2A8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7.村医养老补助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55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补助60周岁以上村医生</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47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7B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455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D8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D8FD">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58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726CB1">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15.82%</w:t>
            </w:r>
          </w:p>
        </w:tc>
      </w:tr>
      <w:tr w14:paraId="127D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39B3">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BA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补助60周岁以下在岗村医生</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F6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0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89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D959">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B9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D40C5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-7.29%</w:t>
            </w:r>
          </w:p>
        </w:tc>
      </w:tr>
      <w:tr w14:paraId="7398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55413">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62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补助其他村医数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14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2C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03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0FF1">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7C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33668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66.67%</w:t>
            </w:r>
          </w:p>
        </w:tc>
      </w:tr>
      <w:tr w14:paraId="16FF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CB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8.免费孕前优生健康检查</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A1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开展婚前检查宣传活动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BB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22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2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780B">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12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51CEE8">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2FBE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94DF">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DB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开展婚前检查技术指导培训</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7D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4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B5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162B">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1C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EDCE3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3772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95EF">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D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免费婚检人数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3B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9A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22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对</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C6C">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1363.5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A5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未完成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58AD9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-28.24%</w:t>
            </w:r>
          </w:p>
        </w:tc>
      </w:tr>
      <w:tr w14:paraId="032F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23A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9.取消预防性体检</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AE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公共场所监测</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90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70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69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9F47">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0E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90FB33">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19.52%</w:t>
            </w:r>
          </w:p>
        </w:tc>
      </w:tr>
      <w:tr w14:paraId="2DB9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48AE">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E9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消毒效果监测</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32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5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62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9726">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AC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E3BDB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120.00%</w:t>
            </w:r>
          </w:p>
        </w:tc>
      </w:tr>
      <w:tr w14:paraId="59EB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D976">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2C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其他委托检测</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9C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76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36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F0E5">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17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223789">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8.33%</w:t>
            </w:r>
          </w:p>
        </w:tc>
      </w:tr>
      <w:tr w14:paraId="628E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F458">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BE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资料印制数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23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3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26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份</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04A">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DA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CD25BB">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8.33%</w:t>
            </w:r>
          </w:p>
        </w:tc>
      </w:tr>
      <w:tr w14:paraId="3B8C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A051">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AC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免费体检人次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D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0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10620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19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346E">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16254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BD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BBCD3D">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53.05%</w:t>
            </w:r>
          </w:p>
        </w:tc>
      </w:tr>
      <w:tr w14:paraId="59AC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34DF">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34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全年业务工作差旅人次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2F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92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FC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B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88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D8BD6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6302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482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10.重大传染病防控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41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麻风病规定随访到位率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D7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D4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06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9ED4">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AF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2E3914">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11.11%</w:t>
            </w:r>
          </w:p>
        </w:tc>
      </w:tr>
      <w:tr w14:paraId="7ADA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3768">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7A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疟疾“四热”病人血检</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A5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E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0.022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62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万份</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A922">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EF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9BFDF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0069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13E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11.卫生监督机构规范化建设项目</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3A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规范化建设房屋改造项目面积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7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47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156.51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F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平方米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E7CC">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156.51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65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A90AC7">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63F1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F024">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9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办公楼外墙改造及附属工程项目面积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00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00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52.17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4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平方米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E83A">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52.17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25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902C4A">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r w14:paraId="3062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6E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12.公共卫生特别服务岗（医疗卫生岗）项目人员</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16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公共卫生服务岗医疗卫生岗聘用人数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D8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55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EA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68E1">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B1D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287B40">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0.00%</w:t>
            </w:r>
          </w:p>
        </w:tc>
      </w:tr>
    </w:tbl>
    <w:p w14:paraId="7D47E98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（3）实现效果</w:t>
      </w:r>
    </w:p>
    <w:p w14:paraId="70D866A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年本部门共实施69个项目，财务机构共抽查12个项目，12个项目共有20条效益指标，经核查20条效益指标均完成。各类项目均实现其效果。根据《部门整体支出绩效自评打分表》的评分说明本项指标权重5分、得分5分。具体情况详见下表：</w:t>
      </w:r>
    </w:p>
    <w:tbl>
      <w:tblPr>
        <w:tblStyle w:val="16"/>
        <w:tblW w:w="84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1080"/>
        <w:gridCol w:w="1080"/>
        <w:gridCol w:w="1080"/>
        <w:gridCol w:w="1719"/>
        <w:gridCol w:w="1283"/>
      </w:tblGrid>
      <w:tr w14:paraId="5600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1F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13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E8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51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2E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度量单位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14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完成值</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63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目标完成情况</w:t>
            </w:r>
          </w:p>
        </w:tc>
      </w:tr>
      <w:tr w14:paraId="3197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E7A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1.农村妇女病两癌检查项目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B8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两癌筛查培训覆盖率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BD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C8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B0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03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95</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66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0714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105D">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EA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两癌筛查群众知晓率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85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5E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05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C8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A8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1B35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A1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2.中医药事业经费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4F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中心、镇卫生院诊疗人次比例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79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2C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86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8BAA">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51%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57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72F0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E7E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3.独生子女父母奖励金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EF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独生子女父母奖励金应发尽发率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1E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77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F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0CAB">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C1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40FE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4CE52">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61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办理有《独生子女父母光荣证》且子女未满18周岁的夫妻补助覆盖率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4D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7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29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394F">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40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055C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328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4.计生奖特扶资金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12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特殊家庭慰问应发尽发率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C6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2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0A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16D">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E3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215A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3C82">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9E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特殊家庭对象应保尽保率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48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9E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44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2064">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CD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457D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131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5.艾滋病综合防治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71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改善病人生存质量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1F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97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A4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C9E6">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98.14</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76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6C71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92FF">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97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艾滋病防治十四五行动计划落实率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43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FB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32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F170">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66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55C8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B3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6.基层医疗单位实施基本药物制度补助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70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补助发放覆盖率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B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1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0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5584">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42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3F50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E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7.村医养老补助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B1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离、在岗村医养老补贴应补尽补率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98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4B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CC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146C">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C8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18EE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26C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8.免费孕前优生健康检查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0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目标人群覆盖率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B0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81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33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EAF9">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85</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B1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6EEF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7A12">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B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婚前检查知晓率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D0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41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00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24A9">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80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5F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4476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780DE">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B7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婚前检查落实率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1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CF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80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4DB5">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55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5F59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C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9.取消预防性体检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00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从业人员应检尽检率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80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CB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42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454C">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34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4988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D6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10.重大传染病防控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D7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社会稳定水平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AC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D2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中长期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750F">
            <w:pPr>
              <w:jc w:val="center"/>
              <w:rPr>
                <w:rFonts w:hint="eastAsia" w:ascii="宋体" w:hAnsi="宋体" w:eastAsia="宋体" w:cs="宋体"/>
                <w:i w:val="0"/>
                <w:iCs w:val="0"/>
                <w:color w:val="auto"/>
                <w:sz w:val="20"/>
                <w:szCs w:val="20"/>
                <w:highlight w:val="none"/>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CBF7">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持续上升</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9B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672F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1C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11.卫生监督机构规范化建设项目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8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规范化建设房屋改造项目应用率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A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C6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2F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B0CC">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C2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5534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DD49">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F5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办公楼外墙改造及附属工程项目应用率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4D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DA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79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41BF">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iCs/>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8A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4819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8E0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12.公共卫生特别服务岗（医疗卫生岗）项目人员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A8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待遇经费应发尽发率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AC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C1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FE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5D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40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r w14:paraId="2834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FA12">
            <w:pPr>
              <w:jc w:val="center"/>
              <w:rPr>
                <w:rFonts w:hint="eastAsia" w:ascii="宋体" w:hAnsi="宋体" w:eastAsia="宋体" w:cs="宋体"/>
                <w:i w:val="0"/>
                <w:iCs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AF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医疗机构日常工作保障率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68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70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C1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60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98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A0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完成</w:t>
            </w:r>
          </w:p>
        </w:tc>
      </w:tr>
    </w:tbl>
    <w:p w14:paraId="457AB9D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（三）</w:t>
      </w:r>
      <w:r>
        <w:rPr>
          <w:rFonts w:hint="eastAsia" w:ascii="Times New Roman" w:hAnsi="Times New Roman" w:eastAsia="仿宋_GB2312" w:cs="Times New Roman"/>
          <w:b/>
          <w:bCs/>
          <w:color w:val="auto"/>
          <w:sz w:val="32"/>
          <w:szCs w:val="32"/>
          <w:highlight w:val="none"/>
          <w:lang w:val="en-US" w:eastAsia="zh-CN"/>
        </w:rPr>
        <w:t>重点领域绩效分析</w:t>
      </w:r>
    </w:p>
    <w:p w14:paraId="3D023AA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2024年下达大英县人民医院地下停车场项目专项债资金5700万元。该项目于2020年9月立项，2020年12月完成招投标工作，2021年5月开工建设。目前已完成项目主体工程，正在进行装饰装修。</w:t>
      </w:r>
    </w:p>
    <w:p w14:paraId="749246B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（四）</w:t>
      </w:r>
      <w:r>
        <w:rPr>
          <w:rFonts w:hint="eastAsia" w:ascii="Times New Roman" w:hAnsi="Times New Roman" w:eastAsia="仿宋_GB2312" w:cs="Times New Roman"/>
          <w:b/>
          <w:bCs/>
          <w:color w:val="auto"/>
          <w:sz w:val="32"/>
          <w:szCs w:val="32"/>
          <w:highlight w:val="none"/>
          <w:lang w:val="en-US" w:eastAsia="zh-CN"/>
        </w:rPr>
        <w:t>绩效结果应用情况。</w:t>
      </w:r>
    </w:p>
    <w:p w14:paraId="5BFFEC4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2024年3月，通过政府网站，将相关绩效信息随同预算进行了公开。2024年本部门涉及绩效管理过程中（包括绩效目标核查、绩效监控核查和重点绩效评价）提出的问题共4个，已全部完成整改。此项不涉及扣分。</w:t>
      </w:r>
    </w:p>
    <w:p w14:paraId="5DE1616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四、评价结论及建议</w:t>
      </w:r>
    </w:p>
    <w:p w14:paraId="4BCD3F9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（一）评价结论</w:t>
      </w:r>
    </w:p>
    <w:p w14:paraId="6056AE9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总体来看，县卫生健康局202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年部门绩效目标编制细化量化，支出控制较好，自评公开准确、及时，对评价中存在的问题及时整改，并将绩效评价结果运用于次年预算编制。参照县级部门整体支出绩效评价指标体系，本次自评综合得分</w:t>
      </w:r>
      <w:r>
        <w:rPr>
          <w:rFonts w:hint="eastAsia" w:ascii="Times New Roman" w:hAnsi="Times New Roman" w:eastAsia="仿宋_GB2312" w:cs="Times New Roman"/>
          <w:color w:val="auto"/>
          <w:sz w:val="32"/>
          <w:szCs w:val="32"/>
          <w:highlight w:val="none"/>
          <w:lang w:val="en-US" w:eastAsia="zh-CN"/>
        </w:rPr>
        <w:t>87.39</w:t>
      </w:r>
      <w:r>
        <w:rPr>
          <w:rFonts w:hint="default" w:ascii="Times New Roman" w:hAnsi="Times New Roman" w:eastAsia="仿宋_GB2312" w:cs="Times New Roman"/>
          <w:color w:val="auto"/>
          <w:sz w:val="32"/>
          <w:szCs w:val="32"/>
          <w:highlight w:val="none"/>
          <w:lang w:val="en-US" w:eastAsia="zh-CN"/>
        </w:rPr>
        <w:t>分。</w:t>
      </w:r>
    </w:p>
    <w:p w14:paraId="3F74A3E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val="en-US" w:eastAsia="zh-CN"/>
        </w:rPr>
        <w:t>存在问题</w:t>
      </w:r>
    </w:p>
    <w:p w14:paraId="7CA26ED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一是部分项目数量指标设置不够科学、严谨，偏离度大于30%。二是资产管理不规范。</w:t>
      </w:r>
    </w:p>
    <w:p w14:paraId="08180DC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3" w:firstLineChars="200"/>
        <w:jc w:val="both"/>
        <w:textAlignment w:val="baseline"/>
        <w:rPr>
          <w:rFonts w:hint="default" w:ascii="Times New Roman" w:hAnsi="Times New Roman" w:eastAsia="仿宋_GB2312" w:cs="Times New Roman"/>
          <w:b/>
          <w:bCs/>
          <w:color w:val="auto"/>
          <w:sz w:val="32"/>
          <w:szCs w:val="32"/>
          <w:highlight w:val="none"/>
          <w:lang w:val="zh-CN" w:eastAsia="zh-CN"/>
        </w:rPr>
      </w:pPr>
      <w:r>
        <w:rPr>
          <w:rFonts w:hint="default" w:ascii="Times New Roman" w:hAnsi="Times New Roman" w:eastAsia="仿宋_GB2312" w:cs="Times New Roman"/>
          <w:b/>
          <w:bCs/>
          <w:color w:val="auto"/>
          <w:sz w:val="32"/>
          <w:szCs w:val="32"/>
          <w:highlight w:val="none"/>
          <w:lang w:val="zh-CN" w:eastAsia="zh-CN"/>
        </w:rPr>
        <w:t>（三）改进建议</w:t>
      </w:r>
    </w:p>
    <w:p w14:paraId="0F70AD6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一是加强预算编制培训，提升预算编制人员业务水平，提高预算编制的科学性和合理性。二是加强单位资产管理，落实资产管理人员，强化资产进出审批登记管理，该报废的资产及时报废。</w:t>
      </w:r>
    </w:p>
    <w:p w14:paraId="631C227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ascii="Times New Roman" w:hAnsi="Times New Roman" w:cs="Times New Roman"/>
          <w:color w:val="auto"/>
          <w:sz w:val="32"/>
          <w:szCs w:val="32"/>
          <w:highlight w:val="none"/>
          <w:lang w:val="en-US" w:eastAsia="zh-CN"/>
        </w:rPr>
      </w:pPr>
    </w:p>
    <w:p w14:paraId="6D7E0D7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附件：部门整体支出绩效目标完成情况自评表</w:t>
      </w:r>
    </w:p>
    <w:p w14:paraId="5AF065E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p>
    <w:p w14:paraId="7CFD473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p>
    <w:p w14:paraId="1E42E5F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p>
    <w:p w14:paraId="3EEB5AE1">
      <w:pPr>
        <w:keepNext w:val="0"/>
        <w:keepLines w:val="0"/>
        <w:pageBreakBefore w:val="0"/>
        <w:widowControl w:val="0"/>
        <w:tabs>
          <w:tab w:val="left" w:pos="7350"/>
          <w:tab w:val="left" w:pos="7770"/>
        </w:tabs>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大英县卫生</w:t>
      </w:r>
      <w:r>
        <w:rPr>
          <w:rFonts w:hint="default" w:ascii="Times New Roman" w:hAnsi="Times New Roman" w:eastAsia="仿宋_GB2312" w:cs="Times New Roman"/>
          <w:sz w:val="32"/>
          <w:szCs w:val="32"/>
          <w:lang w:eastAsia="zh-CN"/>
        </w:rPr>
        <w:t>健康</w:t>
      </w:r>
      <w:r>
        <w:rPr>
          <w:rFonts w:hint="default" w:ascii="Times New Roman" w:hAnsi="Times New Roman" w:eastAsia="仿宋_GB2312" w:cs="Times New Roman"/>
          <w:sz w:val="32"/>
          <w:szCs w:val="32"/>
        </w:rPr>
        <w:t>局</w:t>
      </w:r>
    </w:p>
    <w:p w14:paraId="1DE16500">
      <w:pPr>
        <w:keepNext w:val="0"/>
        <w:keepLines w:val="0"/>
        <w:pageBreakBefore w:val="0"/>
        <w:widowControl w:val="0"/>
        <w:tabs>
          <w:tab w:val="left" w:pos="7140"/>
          <w:tab w:val="left" w:pos="7560"/>
          <w:tab w:val="left" w:pos="7770"/>
        </w:tabs>
        <w:kinsoku/>
        <w:wordWrap/>
        <w:overflowPunct/>
        <w:topLinePunct w:val="0"/>
        <w:autoSpaceDE/>
        <w:autoSpaceDN/>
        <w:bidi w:val="0"/>
        <w:adjustRightInd/>
        <w:snapToGrid/>
        <w:spacing w:line="600" w:lineRule="exact"/>
        <w:ind w:right="0" w:rightChars="0" w:firstLine="4800" w:firstLineChars="1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日</w:t>
      </w:r>
    </w:p>
    <w:p w14:paraId="1FFEB29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p>
    <w:sectPr>
      <w:footerReference r:id="rId5" w:type="default"/>
      <w:pgSz w:w="11906" w:h="16838"/>
      <w:pgMar w:top="1701" w:right="1474" w:bottom="1417" w:left="1587" w:header="851" w:footer="1417" w:gutter="0"/>
      <w:pgBorders>
        <w:top w:val="none" w:sz="0" w:space="0"/>
        <w:left w:val="none" w:sz="0" w:space="0"/>
        <w:bottom w:val="none" w:sz="0" w:space="0"/>
        <w:right w:val="none" w:sz="0" w:space="0"/>
      </w:pgBorders>
      <w:pgNumType w:fmt="decimal"/>
      <w:cols w:space="0" w:num="1"/>
      <w:titlePg/>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175211-5025-4A18-AB49-9FA9014A4D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F3AE281-0A9F-46F4-805E-D4E8F405E273}"/>
  </w:font>
  <w:font w:name="华文楷体">
    <w:altName w:val="楷体_GB2312"/>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0" w:usb3="00000000" w:csb0="000001FF" w:csb1="00000000"/>
  </w:font>
  <w:font w:name="方正仿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300CDC00-55D4-4FFB-9177-2CD0EFC10C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C51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FBD0F">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1FBD0F">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EDA64"/>
    <w:multiLevelType w:val="singleLevel"/>
    <w:tmpl w:val="CFFEDA64"/>
    <w:lvl w:ilvl="0" w:tentative="0">
      <w:start w:val="1"/>
      <w:numFmt w:val="decimal"/>
      <w:lvlText w:val="%1."/>
      <w:lvlJc w:val="left"/>
      <w:pPr>
        <w:tabs>
          <w:tab w:val="left" w:pos="312"/>
        </w:tabs>
      </w:pPr>
    </w:lvl>
  </w:abstractNum>
  <w:abstractNum w:abstractNumId="1">
    <w:nsid w:val="D20338FD"/>
    <w:multiLevelType w:val="singleLevel"/>
    <w:tmpl w:val="D20338FD"/>
    <w:lvl w:ilvl="0" w:tentative="0">
      <w:start w:val="1"/>
      <w:numFmt w:val="decimal"/>
      <w:pStyle w:val="10"/>
      <w:lvlText w:val="%1."/>
      <w:lvlJc w:val="left"/>
      <w:pPr>
        <w:tabs>
          <w:tab w:val="left" w:pos="360"/>
        </w:tabs>
        <w:ind w:left="360" w:hanging="360"/>
      </w:pPr>
    </w:lvl>
  </w:abstractNum>
  <w:abstractNum w:abstractNumId="2">
    <w:nsid w:val="5819118D"/>
    <w:multiLevelType w:val="singleLevel"/>
    <w:tmpl w:val="5819118D"/>
    <w:lvl w:ilvl="0" w:tentative="0">
      <w:start w:val="3"/>
      <w:numFmt w:val="chineseCounting"/>
      <w:suff w:val="nothing"/>
      <w:lvlText w:val="%1、"/>
      <w:lvlJc w:val="left"/>
      <w:rPr>
        <w:rFonts w:hint="eastAsia"/>
      </w:rPr>
    </w:lvl>
  </w:abstractNum>
  <w:abstractNum w:abstractNumId="3">
    <w:nsid w:val="610671B8"/>
    <w:multiLevelType w:val="multilevel"/>
    <w:tmpl w:val="610671B8"/>
    <w:lvl w:ilvl="0" w:tentative="0">
      <w:start w:val="1"/>
      <w:numFmt w:val="chineseCountingThousand"/>
      <w:pStyle w:val="5"/>
      <w:suff w:val="nothing"/>
      <w:lvlText w:val="%1、"/>
      <w:lvlJc w:val="left"/>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lang w:val="zh-CN" w:eastAsia="zh-CN"/>
      </w:rPr>
    </w:lvl>
    <w:lvl w:ilvl="1" w:tentative="0">
      <w:start w:val="1"/>
      <w:numFmt w:val="chineseCountingThousand"/>
      <w:suff w:val="nothing"/>
      <w:lvlText w:val="（%2）"/>
      <w:lvlJc w:val="left"/>
      <w:pPr>
        <w:ind w:left="564" w:hanging="567"/>
      </w:pPr>
      <w:rPr>
        <w:rFonts w:hint="eastAsia"/>
      </w:rPr>
    </w:lvl>
    <w:lvl w:ilvl="2" w:tentative="0">
      <w:start w:val="1"/>
      <w:numFmt w:val="decimal"/>
      <w:suff w:val="nothing"/>
      <w:lvlText w:val="%3. "/>
      <w:lvlJc w:val="left"/>
      <w:pPr>
        <w:ind w:left="1276" w:hanging="567"/>
      </w:pPr>
      <w:rPr>
        <w:rFonts w:hint="eastAsia"/>
      </w:rPr>
    </w:lvl>
    <w:lvl w:ilvl="3" w:tentative="0">
      <w:start w:val="1"/>
      <w:numFmt w:val="decimal"/>
      <w:suff w:val="nothing"/>
      <w:lvlText w:val="（%4）"/>
      <w:lvlJc w:val="left"/>
      <w:pPr>
        <w:ind w:left="992" w:hanging="425"/>
      </w:pPr>
      <w:rPr>
        <w:rFonts w:hint="eastAsia"/>
      </w:rPr>
    </w:lvl>
    <w:lvl w:ilvl="4" w:tentative="0">
      <w:start w:val="1"/>
      <w:numFmt w:val="decimal"/>
      <w:suff w:val="nothing"/>
      <w:lvlText w:val="%5）"/>
      <w:lvlJc w:val="left"/>
      <w:pPr>
        <w:ind w:left="992" w:hanging="113"/>
      </w:pPr>
      <w:rPr>
        <w:rFonts w:hint="eastAsia"/>
      </w:rPr>
    </w:lvl>
    <w:lvl w:ilvl="5" w:tentative="0">
      <w:start w:val="1"/>
      <w:numFmt w:val="decimal"/>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NjVkYTExMDc2MDM2NTg1NWE1OWVlY2NkMWUzYmUifQ=="/>
  </w:docVars>
  <w:rsids>
    <w:rsidRoot w:val="00000000"/>
    <w:rsid w:val="00621C19"/>
    <w:rsid w:val="00846033"/>
    <w:rsid w:val="00920750"/>
    <w:rsid w:val="00A80993"/>
    <w:rsid w:val="00DD5748"/>
    <w:rsid w:val="00E865C2"/>
    <w:rsid w:val="00ED425A"/>
    <w:rsid w:val="01671BDD"/>
    <w:rsid w:val="017E3DB0"/>
    <w:rsid w:val="019378B8"/>
    <w:rsid w:val="01A84217"/>
    <w:rsid w:val="01C67520"/>
    <w:rsid w:val="01F66ABD"/>
    <w:rsid w:val="025657AD"/>
    <w:rsid w:val="026A3EB7"/>
    <w:rsid w:val="02720839"/>
    <w:rsid w:val="028C01B7"/>
    <w:rsid w:val="028E3199"/>
    <w:rsid w:val="02F27E93"/>
    <w:rsid w:val="03214955"/>
    <w:rsid w:val="03246A2B"/>
    <w:rsid w:val="034675D0"/>
    <w:rsid w:val="03864EFF"/>
    <w:rsid w:val="038B19EA"/>
    <w:rsid w:val="03925D37"/>
    <w:rsid w:val="03D1333D"/>
    <w:rsid w:val="03DE6AA9"/>
    <w:rsid w:val="040E3DF0"/>
    <w:rsid w:val="042E0B56"/>
    <w:rsid w:val="047D389E"/>
    <w:rsid w:val="04802709"/>
    <w:rsid w:val="0496657F"/>
    <w:rsid w:val="04B74C29"/>
    <w:rsid w:val="04D358D4"/>
    <w:rsid w:val="04D56E5D"/>
    <w:rsid w:val="0502794B"/>
    <w:rsid w:val="050871D6"/>
    <w:rsid w:val="052F5C3B"/>
    <w:rsid w:val="053C02DB"/>
    <w:rsid w:val="05524952"/>
    <w:rsid w:val="056802AA"/>
    <w:rsid w:val="05740424"/>
    <w:rsid w:val="059E5DC5"/>
    <w:rsid w:val="05EE717C"/>
    <w:rsid w:val="06180165"/>
    <w:rsid w:val="0626559C"/>
    <w:rsid w:val="062838BD"/>
    <w:rsid w:val="064109AF"/>
    <w:rsid w:val="06533545"/>
    <w:rsid w:val="06585F98"/>
    <w:rsid w:val="0680104B"/>
    <w:rsid w:val="0680729D"/>
    <w:rsid w:val="06B036DE"/>
    <w:rsid w:val="06BD404D"/>
    <w:rsid w:val="06D5093D"/>
    <w:rsid w:val="06E72E78"/>
    <w:rsid w:val="07117EF5"/>
    <w:rsid w:val="07416A2C"/>
    <w:rsid w:val="07476C50"/>
    <w:rsid w:val="0754675F"/>
    <w:rsid w:val="078A03D3"/>
    <w:rsid w:val="07A10C99"/>
    <w:rsid w:val="07C16458"/>
    <w:rsid w:val="081E5E8C"/>
    <w:rsid w:val="082D4487"/>
    <w:rsid w:val="084E5FEC"/>
    <w:rsid w:val="08F63846"/>
    <w:rsid w:val="091066B6"/>
    <w:rsid w:val="091E4B0C"/>
    <w:rsid w:val="093F6115"/>
    <w:rsid w:val="097035F9"/>
    <w:rsid w:val="098701D3"/>
    <w:rsid w:val="0995305F"/>
    <w:rsid w:val="0A1246B0"/>
    <w:rsid w:val="0A1A3D63"/>
    <w:rsid w:val="0A4837C0"/>
    <w:rsid w:val="0A717628"/>
    <w:rsid w:val="0AA24B03"/>
    <w:rsid w:val="0AAE262A"/>
    <w:rsid w:val="0AF5789D"/>
    <w:rsid w:val="0B17653B"/>
    <w:rsid w:val="0B287C2F"/>
    <w:rsid w:val="0B36617C"/>
    <w:rsid w:val="0B396DAC"/>
    <w:rsid w:val="0B4E42AE"/>
    <w:rsid w:val="0B766F39"/>
    <w:rsid w:val="0B986DF8"/>
    <w:rsid w:val="0B9A2BAF"/>
    <w:rsid w:val="0B9A49D2"/>
    <w:rsid w:val="0BDA6398"/>
    <w:rsid w:val="0BDE6F3F"/>
    <w:rsid w:val="0BE65DF4"/>
    <w:rsid w:val="0C040028"/>
    <w:rsid w:val="0C060244"/>
    <w:rsid w:val="0C3B7F93"/>
    <w:rsid w:val="0C4F422A"/>
    <w:rsid w:val="0C7B478E"/>
    <w:rsid w:val="0C965124"/>
    <w:rsid w:val="0CC65FA2"/>
    <w:rsid w:val="0D136775"/>
    <w:rsid w:val="0D223EE4"/>
    <w:rsid w:val="0D8C6527"/>
    <w:rsid w:val="0DEF5071"/>
    <w:rsid w:val="0DFC36AD"/>
    <w:rsid w:val="0DFE7425"/>
    <w:rsid w:val="0E1A0E2F"/>
    <w:rsid w:val="0E3C1CFB"/>
    <w:rsid w:val="0E43752E"/>
    <w:rsid w:val="0E682D38"/>
    <w:rsid w:val="0EB16245"/>
    <w:rsid w:val="0EC87A33"/>
    <w:rsid w:val="0EF54800"/>
    <w:rsid w:val="0EF80CCA"/>
    <w:rsid w:val="0F221070"/>
    <w:rsid w:val="0F234C69"/>
    <w:rsid w:val="0F5D017B"/>
    <w:rsid w:val="0F8C6CB2"/>
    <w:rsid w:val="0FC1667D"/>
    <w:rsid w:val="102962AF"/>
    <w:rsid w:val="103B4960"/>
    <w:rsid w:val="10FD25DD"/>
    <w:rsid w:val="10FE598E"/>
    <w:rsid w:val="112D6672"/>
    <w:rsid w:val="11427AB6"/>
    <w:rsid w:val="117D3A12"/>
    <w:rsid w:val="11B5729C"/>
    <w:rsid w:val="11C67EBB"/>
    <w:rsid w:val="11CC076B"/>
    <w:rsid w:val="11FB2923"/>
    <w:rsid w:val="122906CE"/>
    <w:rsid w:val="122B27B2"/>
    <w:rsid w:val="124A0F90"/>
    <w:rsid w:val="125735A8"/>
    <w:rsid w:val="12900868"/>
    <w:rsid w:val="12B76F6E"/>
    <w:rsid w:val="1307385E"/>
    <w:rsid w:val="130F79DE"/>
    <w:rsid w:val="13230D0E"/>
    <w:rsid w:val="137F4B64"/>
    <w:rsid w:val="138438B5"/>
    <w:rsid w:val="13A520F1"/>
    <w:rsid w:val="13B32A60"/>
    <w:rsid w:val="13EB3FA7"/>
    <w:rsid w:val="14206AC9"/>
    <w:rsid w:val="143D4D2B"/>
    <w:rsid w:val="14A44A93"/>
    <w:rsid w:val="14A625C4"/>
    <w:rsid w:val="14BC3B96"/>
    <w:rsid w:val="14EF7AC7"/>
    <w:rsid w:val="14F21061"/>
    <w:rsid w:val="14F7697C"/>
    <w:rsid w:val="15080B89"/>
    <w:rsid w:val="150D14C3"/>
    <w:rsid w:val="154A0E09"/>
    <w:rsid w:val="157F52EF"/>
    <w:rsid w:val="15820C4A"/>
    <w:rsid w:val="158D108E"/>
    <w:rsid w:val="158E3118"/>
    <w:rsid w:val="16322361"/>
    <w:rsid w:val="166E0EC0"/>
    <w:rsid w:val="16815694"/>
    <w:rsid w:val="169528F0"/>
    <w:rsid w:val="1695644C"/>
    <w:rsid w:val="16BC60CF"/>
    <w:rsid w:val="16C23463"/>
    <w:rsid w:val="17500518"/>
    <w:rsid w:val="176B04A7"/>
    <w:rsid w:val="17874FED"/>
    <w:rsid w:val="18155A97"/>
    <w:rsid w:val="186E6B56"/>
    <w:rsid w:val="18D314AE"/>
    <w:rsid w:val="18E436BB"/>
    <w:rsid w:val="191C10A7"/>
    <w:rsid w:val="192C753C"/>
    <w:rsid w:val="19526877"/>
    <w:rsid w:val="19614D0C"/>
    <w:rsid w:val="197F0600"/>
    <w:rsid w:val="19A277FE"/>
    <w:rsid w:val="19E32545"/>
    <w:rsid w:val="1A2C531A"/>
    <w:rsid w:val="1A312E6E"/>
    <w:rsid w:val="1A550BB9"/>
    <w:rsid w:val="1A66082C"/>
    <w:rsid w:val="1A69031C"/>
    <w:rsid w:val="1A7D269C"/>
    <w:rsid w:val="1A921036"/>
    <w:rsid w:val="1ABE6691"/>
    <w:rsid w:val="1AE654C9"/>
    <w:rsid w:val="1B18764C"/>
    <w:rsid w:val="1B2B3823"/>
    <w:rsid w:val="1BBF7C5E"/>
    <w:rsid w:val="1BF6657B"/>
    <w:rsid w:val="1BFE4A94"/>
    <w:rsid w:val="1C145AD5"/>
    <w:rsid w:val="1C312A90"/>
    <w:rsid w:val="1C5867A4"/>
    <w:rsid w:val="1C5D212C"/>
    <w:rsid w:val="1CA06A08"/>
    <w:rsid w:val="1CB36EEC"/>
    <w:rsid w:val="1CB6711D"/>
    <w:rsid w:val="1CF2284B"/>
    <w:rsid w:val="1D0B5412"/>
    <w:rsid w:val="1D167BBB"/>
    <w:rsid w:val="1D344C11"/>
    <w:rsid w:val="1D6D4340"/>
    <w:rsid w:val="1D8E3943"/>
    <w:rsid w:val="1DCA0A85"/>
    <w:rsid w:val="1E356C78"/>
    <w:rsid w:val="1E892D3B"/>
    <w:rsid w:val="1EA27102"/>
    <w:rsid w:val="1EC11CD6"/>
    <w:rsid w:val="1EDD7FFC"/>
    <w:rsid w:val="1F4153C3"/>
    <w:rsid w:val="1F882FF2"/>
    <w:rsid w:val="1FEA15B7"/>
    <w:rsid w:val="1FEB1241"/>
    <w:rsid w:val="1FF73CD4"/>
    <w:rsid w:val="20924822"/>
    <w:rsid w:val="20B45646"/>
    <w:rsid w:val="20D65FDF"/>
    <w:rsid w:val="20FA7F20"/>
    <w:rsid w:val="2149055F"/>
    <w:rsid w:val="21780E44"/>
    <w:rsid w:val="21944D74"/>
    <w:rsid w:val="21A04189"/>
    <w:rsid w:val="21A77C96"/>
    <w:rsid w:val="21BB0A93"/>
    <w:rsid w:val="21E65C00"/>
    <w:rsid w:val="222114DC"/>
    <w:rsid w:val="224A392A"/>
    <w:rsid w:val="228A7172"/>
    <w:rsid w:val="22BF31CF"/>
    <w:rsid w:val="22C43BD8"/>
    <w:rsid w:val="23101D06"/>
    <w:rsid w:val="23220FED"/>
    <w:rsid w:val="2352033F"/>
    <w:rsid w:val="238E55D2"/>
    <w:rsid w:val="23965F23"/>
    <w:rsid w:val="24427FF2"/>
    <w:rsid w:val="24480FA2"/>
    <w:rsid w:val="24CD3A32"/>
    <w:rsid w:val="250F1B30"/>
    <w:rsid w:val="25AF25E7"/>
    <w:rsid w:val="25B86135"/>
    <w:rsid w:val="25C414C9"/>
    <w:rsid w:val="25E1345C"/>
    <w:rsid w:val="25F806CE"/>
    <w:rsid w:val="25FE3A4B"/>
    <w:rsid w:val="264439EB"/>
    <w:rsid w:val="268F3578"/>
    <w:rsid w:val="26B10AA1"/>
    <w:rsid w:val="26B80661"/>
    <w:rsid w:val="26BF0D78"/>
    <w:rsid w:val="26DD17AA"/>
    <w:rsid w:val="27003379"/>
    <w:rsid w:val="27157049"/>
    <w:rsid w:val="27281A2E"/>
    <w:rsid w:val="273D3956"/>
    <w:rsid w:val="27682E33"/>
    <w:rsid w:val="27800A53"/>
    <w:rsid w:val="27CB2730"/>
    <w:rsid w:val="27F31225"/>
    <w:rsid w:val="280528C1"/>
    <w:rsid w:val="2835183D"/>
    <w:rsid w:val="283755B5"/>
    <w:rsid w:val="28480D9A"/>
    <w:rsid w:val="2877751D"/>
    <w:rsid w:val="28F263D7"/>
    <w:rsid w:val="29341799"/>
    <w:rsid w:val="29737029"/>
    <w:rsid w:val="299C2EA8"/>
    <w:rsid w:val="29EB5041"/>
    <w:rsid w:val="29EB69C9"/>
    <w:rsid w:val="29F13EE7"/>
    <w:rsid w:val="2A0E67EA"/>
    <w:rsid w:val="2AB90504"/>
    <w:rsid w:val="2ACF3570"/>
    <w:rsid w:val="2B234160"/>
    <w:rsid w:val="2B2F4C6A"/>
    <w:rsid w:val="2B54022C"/>
    <w:rsid w:val="2BA051BE"/>
    <w:rsid w:val="2BBE1B4A"/>
    <w:rsid w:val="2BDA4BD6"/>
    <w:rsid w:val="2BDD6474"/>
    <w:rsid w:val="2BE91169"/>
    <w:rsid w:val="2BFC0486"/>
    <w:rsid w:val="2C31413B"/>
    <w:rsid w:val="2C4E2ECE"/>
    <w:rsid w:val="2C615151"/>
    <w:rsid w:val="2CD07D87"/>
    <w:rsid w:val="2CDF7FCA"/>
    <w:rsid w:val="2D200D0E"/>
    <w:rsid w:val="2D2E3229"/>
    <w:rsid w:val="2D742E08"/>
    <w:rsid w:val="2D865AD4"/>
    <w:rsid w:val="2D957971"/>
    <w:rsid w:val="2E5977D4"/>
    <w:rsid w:val="2E732D46"/>
    <w:rsid w:val="2EDC0C65"/>
    <w:rsid w:val="2EDC5C10"/>
    <w:rsid w:val="2EF74361"/>
    <w:rsid w:val="2F5C0536"/>
    <w:rsid w:val="2F6F4C6C"/>
    <w:rsid w:val="2F713AA3"/>
    <w:rsid w:val="2F9E2BEF"/>
    <w:rsid w:val="2FB716BC"/>
    <w:rsid w:val="2FB90FA6"/>
    <w:rsid w:val="2FC33BD3"/>
    <w:rsid w:val="2FCF7117"/>
    <w:rsid w:val="2FD81077"/>
    <w:rsid w:val="2FE34275"/>
    <w:rsid w:val="301646C9"/>
    <w:rsid w:val="305137FA"/>
    <w:rsid w:val="309F019C"/>
    <w:rsid w:val="30A52836"/>
    <w:rsid w:val="30CB0F91"/>
    <w:rsid w:val="30E65DCB"/>
    <w:rsid w:val="30F3057A"/>
    <w:rsid w:val="3136638A"/>
    <w:rsid w:val="31613084"/>
    <w:rsid w:val="317F1D2F"/>
    <w:rsid w:val="31E3055C"/>
    <w:rsid w:val="32195D2C"/>
    <w:rsid w:val="32544FB6"/>
    <w:rsid w:val="32557A2F"/>
    <w:rsid w:val="32CE1057"/>
    <w:rsid w:val="32E449BE"/>
    <w:rsid w:val="3304078A"/>
    <w:rsid w:val="33196218"/>
    <w:rsid w:val="337D18C1"/>
    <w:rsid w:val="33853CFD"/>
    <w:rsid w:val="339C1BC0"/>
    <w:rsid w:val="33A14F30"/>
    <w:rsid w:val="33CA5530"/>
    <w:rsid w:val="340824FC"/>
    <w:rsid w:val="343F23BC"/>
    <w:rsid w:val="344277BC"/>
    <w:rsid w:val="3489363D"/>
    <w:rsid w:val="34B618AD"/>
    <w:rsid w:val="34F32864"/>
    <w:rsid w:val="3518676F"/>
    <w:rsid w:val="35391FBE"/>
    <w:rsid w:val="353C06AF"/>
    <w:rsid w:val="354A3431"/>
    <w:rsid w:val="35B037B8"/>
    <w:rsid w:val="35D51DC9"/>
    <w:rsid w:val="35D842AB"/>
    <w:rsid w:val="35FB2318"/>
    <w:rsid w:val="36034D29"/>
    <w:rsid w:val="363268B0"/>
    <w:rsid w:val="36580A59"/>
    <w:rsid w:val="36963DEF"/>
    <w:rsid w:val="369A2B99"/>
    <w:rsid w:val="36C07851"/>
    <w:rsid w:val="37166CDE"/>
    <w:rsid w:val="373A29CC"/>
    <w:rsid w:val="375D2ED3"/>
    <w:rsid w:val="3763041F"/>
    <w:rsid w:val="37C16C4A"/>
    <w:rsid w:val="37D310E2"/>
    <w:rsid w:val="38084944"/>
    <w:rsid w:val="3809241E"/>
    <w:rsid w:val="384004B6"/>
    <w:rsid w:val="38437802"/>
    <w:rsid w:val="38685317"/>
    <w:rsid w:val="38765C86"/>
    <w:rsid w:val="38787C50"/>
    <w:rsid w:val="388303DD"/>
    <w:rsid w:val="389872FE"/>
    <w:rsid w:val="38B13162"/>
    <w:rsid w:val="38B95B73"/>
    <w:rsid w:val="38C42E95"/>
    <w:rsid w:val="38CB4877"/>
    <w:rsid w:val="38F727F5"/>
    <w:rsid w:val="390E4110"/>
    <w:rsid w:val="3925408C"/>
    <w:rsid w:val="39567866"/>
    <w:rsid w:val="39930ABA"/>
    <w:rsid w:val="39C531AB"/>
    <w:rsid w:val="39F96B6F"/>
    <w:rsid w:val="39FC5C30"/>
    <w:rsid w:val="3A2636DC"/>
    <w:rsid w:val="3A26548A"/>
    <w:rsid w:val="3A5B49CF"/>
    <w:rsid w:val="3A68392F"/>
    <w:rsid w:val="3AC21656"/>
    <w:rsid w:val="3B8E367D"/>
    <w:rsid w:val="3BC93E03"/>
    <w:rsid w:val="3BD243C9"/>
    <w:rsid w:val="3BE13D5E"/>
    <w:rsid w:val="3BFE66BE"/>
    <w:rsid w:val="3C460065"/>
    <w:rsid w:val="3C7611B2"/>
    <w:rsid w:val="3CCD42E3"/>
    <w:rsid w:val="3CD32AA5"/>
    <w:rsid w:val="3CE533DA"/>
    <w:rsid w:val="3CE95DC1"/>
    <w:rsid w:val="3CFD23DC"/>
    <w:rsid w:val="3D2959BD"/>
    <w:rsid w:val="3D7E0ECD"/>
    <w:rsid w:val="3D912B45"/>
    <w:rsid w:val="3DF72094"/>
    <w:rsid w:val="3E751C4B"/>
    <w:rsid w:val="3E80785E"/>
    <w:rsid w:val="3EDC7B82"/>
    <w:rsid w:val="3EEE6428"/>
    <w:rsid w:val="3F143839"/>
    <w:rsid w:val="3F156C32"/>
    <w:rsid w:val="3F1C7CF6"/>
    <w:rsid w:val="3F3E5024"/>
    <w:rsid w:val="3F474FAC"/>
    <w:rsid w:val="3F5601A9"/>
    <w:rsid w:val="3F6C393F"/>
    <w:rsid w:val="3F8E5FAB"/>
    <w:rsid w:val="3F90296F"/>
    <w:rsid w:val="3F954812"/>
    <w:rsid w:val="3FB62E0C"/>
    <w:rsid w:val="3FB75F40"/>
    <w:rsid w:val="3FCA54BF"/>
    <w:rsid w:val="401364B0"/>
    <w:rsid w:val="406356BE"/>
    <w:rsid w:val="40694DD5"/>
    <w:rsid w:val="40835A4C"/>
    <w:rsid w:val="40D53766"/>
    <w:rsid w:val="41526B64"/>
    <w:rsid w:val="4162149D"/>
    <w:rsid w:val="416C5E78"/>
    <w:rsid w:val="41766CF7"/>
    <w:rsid w:val="41885B91"/>
    <w:rsid w:val="419A2F38"/>
    <w:rsid w:val="41AB5448"/>
    <w:rsid w:val="41B15B46"/>
    <w:rsid w:val="41C21F3C"/>
    <w:rsid w:val="42062335"/>
    <w:rsid w:val="425A3F23"/>
    <w:rsid w:val="42701998"/>
    <w:rsid w:val="43210EE4"/>
    <w:rsid w:val="434A21E9"/>
    <w:rsid w:val="439E353F"/>
    <w:rsid w:val="43AA2D8B"/>
    <w:rsid w:val="43BD0C0D"/>
    <w:rsid w:val="444767A8"/>
    <w:rsid w:val="446B78C0"/>
    <w:rsid w:val="44AB4F09"/>
    <w:rsid w:val="45085EB8"/>
    <w:rsid w:val="450F36EA"/>
    <w:rsid w:val="45390767"/>
    <w:rsid w:val="454D7D6F"/>
    <w:rsid w:val="4575101A"/>
    <w:rsid w:val="45800A99"/>
    <w:rsid w:val="45CA0598"/>
    <w:rsid w:val="45EF323D"/>
    <w:rsid w:val="46005DAF"/>
    <w:rsid w:val="4651388E"/>
    <w:rsid w:val="465515D1"/>
    <w:rsid w:val="46756273"/>
    <w:rsid w:val="46933EA7"/>
    <w:rsid w:val="4698326B"/>
    <w:rsid w:val="46A9191C"/>
    <w:rsid w:val="46C87FF5"/>
    <w:rsid w:val="46DF70EC"/>
    <w:rsid w:val="46FF5F5D"/>
    <w:rsid w:val="47215E9C"/>
    <w:rsid w:val="4729480B"/>
    <w:rsid w:val="477F13E1"/>
    <w:rsid w:val="47AF4D11"/>
    <w:rsid w:val="47B50951"/>
    <w:rsid w:val="47B740B3"/>
    <w:rsid w:val="47F70F21"/>
    <w:rsid w:val="47F76E82"/>
    <w:rsid w:val="47FF18A6"/>
    <w:rsid w:val="48210C25"/>
    <w:rsid w:val="48412859"/>
    <w:rsid w:val="484F2050"/>
    <w:rsid w:val="48502621"/>
    <w:rsid w:val="488F68F0"/>
    <w:rsid w:val="489B7043"/>
    <w:rsid w:val="48CC18F2"/>
    <w:rsid w:val="48D93D7E"/>
    <w:rsid w:val="4901159C"/>
    <w:rsid w:val="491339E7"/>
    <w:rsid w:val="495B7E3C"/>
    <w:rsid w:val="496B4C67"/>
    <w:rsid w:val="49C820BA"/>
    <w:rsid w:val="49E43AED"/>
    <w:rsid w:val="49F60156"/>
    <w:rsid w:val="4A49144C"/>
    <w:rsid w:val="4A873D23"/>
    <w:rsid w:val="4A903B3C"/>
    <w:rsid w:val="4AB670D1"/>
    <w:rsid w:val="4B06387A"/>
    <w:rsid w:val="4BA257C5"/>
    <w:rsid w:val="4BA86969"/>
    <w:rsid w:val="4BB46D99"/>
    <w:rsid w:val="4BBC79FC"/>
    <w:rsid w:val="4BF929FE"/>
    <w:rsid w:val="4C215AB1"/>
    <w:rsid w:val="4C3149CD"/>
    <w:rsid w:val="4C343A36"/>
    <w:rsid w:val="4C5626AE"/>
    <w:rsid w:val="4C650094"/>
    <w:rsid w:val="4C7D362F"/>
    <w:rsid w:val="4C8F6EBF"/>
    <w:rsid w:val="4C92075D"/>
    <w:rsid w:val="4CCD0192"/>
    <w:rsid w:val="4D5A74CD"/>
    <w:rsid w:val="4DCD7C9F"/>
    <w:rsid w:val="4DDF5C24"/>
    <w:rsid w:val="4DFC0584"/>
    <w:rsid w:val="4E0131DE"/>
    <w:rsid w:val="4E3046D1"/>
    <w:rsid w:val="4E357197"/>
    <w:rsid w:val="4E3E1298"/>
    <w:rsid w:val="4E7D7917"/>
    <w:rsid w:val="4E902616"/>
    <w:rsid w:val="4F2568C2"/>
    <w:rsid w:val="4F262707"/>
    <w:rsid w:val="4F31425D"/>
    <w:rsid w:val="4F5A1A06"/>
    <w:rsid w:val="4F6463E1"/>
    <w:rsid w:val="4F844CD5"/>
    <w:rsid w:val="4F91163B"/>
    <w:rsid w:val="4FD03A76"/>
    <w:rsid w:val="50041972"/>
    <w:rsid w:val="502D7A9C"/>
    <w:rsid w:val="509C0E8B"/>
    <w:rsid w:val="50CE28D9"/>
    <w:rsid w:val="50E83041"/>
    <w:rsid w:val="512C35C3"/>
    <w:rsid w:val="51752B27"/>
    <w:rsid w:val="51F80A80"/>
    <w:rsid w:val="520B348B"/>
    <w:rsid w:val="522B762E"/>
    <w:rsid w:val="529671F9"/>
    <w:rsid w:val="52F81F7A"/>
    <w:rsid w:val="532206D2"/>
    <w:rsid w:val="533802B0"/>
    <w:rsid w:val="533E33EC"/>
    <w:rsid w:val="535202BB"/>
    <w:rsid w:val="535B1C8C"/>
    <w:rsid w:val="538F3C48"/>
    <w:rsid w:val="5435497A"/>
    <w:rsid w:val="543C4552"/>
    <w:rsid w:val="54532EC8"/>
    <w:rsid w:val="54906FE2"/>
    <w:rsid w:val="54E16725"/>
    <w:rsid w:val="550310E3"/>
    <w:rsid w:val="551337A9"/>
    <w:rsid w:val="55284354"/>
    <w:rsid w:val="554747DA"/>
    <w:rsid w:val="554C1A86"/>
    <w:rsid w:val="554C3EA0"/>
    <w:rsid w:val="55567F3C"/>
    <w:rsid w:val="55EE7B38"/>
    <w:rsid w:val="563E0892"/>
    <w:rsid w:val="566118CC"/>
    <w:rsid w:val="5664316A"/>
    <w:rsid w:val="566C7598"/>
    <w:rsid w:val="57097B86"/>
    <w:rsid w:val="572A43B4"/>
    <w:rsid w:val="57390153"/>
    <w:rsid w:val="57497744"/>
    <w:rsid w:val="57664C0A"/>
    <w:rsid w:val="5778511F"/>
    <w:rsid w:val="578D0080"/>
    <w:rsid w:val="579D2F74"/>
    <w:rsid w:val="57B95737"/>
    <w:rsid w:val="57D850B1"/>
    <w:rsid w:val="582901C7"/>
    <w:rsid w:val="585316E8"/>
    <w:rsid w:val="587C13DB"/>
    <w:rsid w:val="58E6337C"/>
    <w:rsid w:val="59213594"/>
    <w:rsid w:val="59A33FA9"/>
    <w:rsid w:val="59A65848"/>
    <w:rsid w:val="59BE0DE3"/>
    <w:rsid w:val="5A00764E"/>
    <w:rsid w:val="5A5F53D0"/>
    <w:rsid w:val="5A7A5F1F"/>
    <w:rsid w:val="5AA604E7"/>
    <w:rsid w:val="5AAA4997"/>
    <w:rsid w:val="5AF01470"/>
    <w:rsid w:val="5B1935E4"/>
    <w:rsid w:val="5B1C3BB4"/>
    <w:rsid w:val="5B3226CB"/>
    <w:rsid w:val="5B8F6EDB"/>
    <w:rsid w:val="5B921CB2"/>
    <w:rsid w:val="5BA00198"/>
    <w:rsid w:val="5BAF6C35"/>
    <w:rsid w:val="5C0F1DCA"/>
    <w:rsid w:val="5C2A13BA"/>
    <w:rsid w:val="5C2E04A2"/>
    <w:rsid w:val="5C5242AB"/>
    <w:rsid w:val="5C6A0DAE"/>
    <w:rsid w:val="5C9C55F8"/>
    <w:rsid w:val="5CC97C07"/>
    <w:rsid w:val="5CD56B70"/>
    <w:rsid w:val="5CF10C74"/>
    <w:rsid w:val="5CF3349A"/>
    <w:rsid w:val="5D053352"/>
    <w:rsid w:val="5D211424"/>
    <w:rsid w:val="5D2F3DB7"/>
    <w:rsid w:val="5D683540"/>
    <w:rsid w:val="5DB22A0D"/>
    <w:rsid w:val="5DB83B00"/>
    <w:rsid w:val="5DB96B61"/>
    <w:rsid w:val="5DCA6C46"/>
    <w:rsid w:val="5DD2614B"/>
    <w:rsid w:val="5E082F75"/>
    <w:rsid w:val="5E0D4C23"/>
    <w:rsid w:val="5E2D3E5F"/>
    <w:rsid w:val="5E343D6A"/>
    <w:rsid w:val="5E506813"/>
    <w:rsid w:val="5E8230D2"/>
    <w:rsid w:val="5E8405B2"/>
    <w:rsid w:val="5EA92062"/>
    <w:rsid w:val="5EDF528B"/>
    <w:rsid w:val="5F107C5C"/>
    <w:rsid w:val="5F585836"/>
    <w:rsid w:val="5FD255E8"/>
    <w:rsid w:val="60116111"/>
    <w:rsid w:val="60395667"/>
    <w:rsid w:val="603A0266"/>
    <w:rsid w:val="60B3541A"/>
    <w:rsid w:val="60C07B37"/>
    <w:rsid w:val="60DD45B9"/>
    <w:rsid w:val="60F15F42"/>
    <w:rsid w:val="611D535C"/>
    <w:rsid w:val="61436338"/>
    <w:rsid w:val="614C4F26"/>
    <w:rsid w:val="61766036"/>
    <w:rsid w:val="617D17A4"/>
    <w:rsid w:val="619C7C5C"/>
    <w:rsid w:val="61A86601"/>
    <w:rsid w:val="61DF5D9B"/>
    <w:rsid w:val="62013F63"/>
    <w:rsid w:val="62031511"/>
    <w:rsid w:val="62173786"/>
    <w:rsid w:val="621B3277"/>
    <w:rsid w:val="62314848"/>
    <w:rsid w:val="6255500B"/>
    <w:rsid w:val="6257481A"/>
    <w:rsid w:val="625A316E"/>
    <w:rsid w:val="6275363C"/>
    <w:rsid w:val="63010CC9"/>
    <w:rsid w:val="63121E31"/>
    <w:rsid w:val="633421CB"/>
    <w:rsid w:val="63750765"/>
    <w:rsid w:val="63AC4286"/>
    <w:rsid w:val="6410660C"/>
    <w:rsid w:val="6420374D"/>
    <w:rsid w:val="64261175"/>
    <w:rsid w:val="64567A45"/>
    <w:rsid w:val="64794284"/>
    <w:rsid w:val="64945083"/>
    <w:rsid w:val="64D616D7"/>
    <w:rsid w:val="65093EA2"/>
    <w:rsid w:val="65152AF6"/>
    <w:rsid w:val="65444776"/>
    <w:rsid w:val="654E3963"/>
    <w:rsid w:val="655F6CD4"/>
    <w:rsid w:val="65705B52"/>
    <w:rsid w:val="65D379C4"/>
    <w:rsid w:val="65F77380"/>
    <w:rsid w:val="66191C02"/>
    <w:rsid w:val="6660348D"/>
    <w:rsid w:val="66A03D4A"/>
    <w:rsid w:val="66CB225E"/>
    <w:rsid w:val="66D31591"/>
    <w:rsid w:val="66EC51E2"/>
    <w:rsid w:val="670C5884"/>
    <w:rsid w:val="672A5D0A"/>
    <w:rsid w:val="673246AB"/>
    <w:rsid w:val="673B7F17"/>
    <w:rsid w:val="67670D0C"/>
    <w:rsid w:val="67F85E08"/>
    <w:rsid w:val="6818008E"/>
    <w:rsid w:val="68263E9E"/>
    <w:rsid w:val="683F2D3D"/>
    <w:rsid w:val="687D62E1"/>
    <w:rsid w:val="689F0B5F"/>
    <w:rsid w:val="68F25ADB"/>
    <w:rsid w:val="69213179"/>
    <w:rsid w:val="694B2B30"/>
    <w:rsid w:val="69666AA9"/>
    <w:rsid w:val="699B65CE"/>
    <w:rsid w:val="699F29DF"/>
    <w:rsid w:val="69BF098B"/>
    <w:rsid w:val="69E403F2"/>
    <w:rsid w:val="6A0E36C1"/>
    <w:rsid w:val="6A437567"/>
    <w:rsid w:val="6A4A1DC0"/>
    <w:rsid w:val="6A4C56A7"/>
    <w:rsid w:val="6A800E78"/>
    <w:rsid w:val="6A9516EC"/>
    <w:rsid w:val="6AA61A1F"/>
    <w:rsid w:val="6AB11AC9"/>
    <w:rsid w:val="6AD541DF"/>
    <w:rsid w:val="6AE24394"/>
    <w:rsid w:val="6B301415"/>
    <w:rsid w:val="6B645646"/>
    <w:rsid w:val="6BC83EFB"/>
    <w:rsid w:val="6C067725"/>
    <w:rsid w:val="6C2A4096"/>
    <w:rsid w:val="6C692E30"/>
    <w:rsid w:val="6C774720"/>
    <w:rsid w:val="6C84132E"/>
    <w:rsid w:val="6C8B2DA7"/>
    <w:rsid w:val="6C944351"/>
    <w:rsid w:val="6CFF5543"/>
    <w:rsid w:val="6D2C63EC"/>
    <w:rsid w:val="6D61282C"/>
    <w:rsid w:val="6D9E223B"/>
    <w:rsid w:val="6DAA54AF"/>
    <w:rsid w:val="6DE16806"/>
    <w:rsid w:val="6DF90D44"/>
    <w:rsid w:val="6E054DDB"/>
    <w:rsid w:val="6E195507"/>
    <w:rsid w:val="6E280F9B"/>
    <w:rsid w:val="6E3947E1"/>
    <w:rsid w:val="6E5974AE"/>
    <w:rsid w:val="6E8E0149"/>
    <w:rsid w:val="6F060E0B"/>
    <w:rsid w:val="6F176B74"/>
    <w:rsid w:val="70081277"/>
    <w:rsid w:val="701B22BE"/>
    <w:rsid w:val="702F4391"/>
    <w:rsid w:val="70497201"/>
    <w:rsid w:val="709E31F4"/>
    <w:rsid w:val="70A032B4"/>
    <w:rsid w:val="70A47AAD"/>
    <w:rsid w:val="70C2375B"/>
    <w:rsid w:val="70D25448"/>
    <w:rsid w:val="71015D2D"/>
    <w:rsid w:val="71C34D91"/>
    <w:rsid w:val="71F96A05"/>
    <w:rsid w:val="72646574"/>
    <w:rsid w:val="726D5270"/>
    <w:rsid w:val="726E72B5"/>
    <w:rsid w:val="727F1DE7"/>
    <w:rsid w:val="72CC236B"/>
    <w:rsid w:val="73070F3B"/>
    <w:rsid w:val="73225B94"/>
    <w:rsid w:val="73374CC5"/>
    <w:rsid w:val="733D6483"/>
    <w:rsid w:val="73772D8B"/>
    <w:rsid w:val="73EA0CFB"/>
    <w:rsid w:val="74640AAD"/>
    <w:rsid w:val="74A84073"/>
    <w:rsid w:val="74AF491F"/>
    <w:rsid w:val="74CB0B2C"/>
    <w:rsid w:val="74DD37CB"/>
    <w:rsid w:val="74E428C9"/>
    <w:rsid w:val="752864AA"/>
    <w:rsid w:val="75327901"/>
    <w:rsid w:val="7541494A"/>
    <w:rsid w:val="75802AFA"/>
    <w:rsid w:val="75A90742"/>
    <w:rsid w:val="75C64E50"/>
    <w:rsid w:val="75FE29CB"/>
    <w:rsid w:val="76AA29C3"/>
    <w:rsid w:val="76F0487A"/>
    <w:rsid w:val="7704365F"/>
    <w:rsid w:val="770B62DA"/>
    <w:rsid w:val="771A36A5"/>
    <w:rsid w:val="772E2BD4"/>
    <w:rsid w:val="77396245"/>
    <w:rsid w:val="77731C93"/>
    <w:rsid w:val="778E7227"/>
    <w:rsid w:val="779D6681"/>
    <w:rsid w:val="77A94A29"/>
    <w:rsid w:val="77AD276B"/>
    <w:rsid w:val="77BD10DF"/>
    <w:rsid w:val="77FC0950"/>
    <w:rsid w:val="78014865"/>
    <w:rsid w:val="781F63BA"/>
    <w:rsid w:val="78365DBC"/>
    <w:rsid w:val="78747106"/>
    <w:rsid w:val="7891670E"/>
    <w:rsid w:val="78C87131"/>
    <w:rsid w:val="79074632"/>
    <w:rsid w:val="7941380E"/>
    <w:rsid w:val="797909D8"/>
    <w:rsid w:val="797B6D2C"/>
    <w:rsid w:val="79823784"/>
    <w:rsid w:val="798D4602"/>
    <w:rsid w:val="79E354B7"/>
    <w:rsid w:val="7A2931E5"/>
    <w:rsid w:val="7A6A0084"/>
    <w:rsid w:val="7AC57DCC"/>
    <w:rsid w:val="7B340ACA"/>
    <w:rsid w:val="7B39435C"/>
    <w:rsid w:val="7B4F73D3"/>
    <w:rsid w:val="7B542EFE"/>
    <w:rsid w:val="7B89704B"/>
    <w:rsid w:val="7BD74A70"/>
    <w:rsid w:val="7BEE7E2F"/>
    <w:rsid w:val="7BF21C6F"/>
    <w:rsid w:val="7C2E56AF"/>
    <w:rsid w:val="7CB83DD0"/>
    <w:rsid w:val="7D020E63"/>
    <w:rsid w:val="7D1E04AA"/>
    <w:rsid w:val="7D747887"/>
    <w:rsid w:val="7D9341B1"/>
    <w:rsid w:val="7DC03912"/>
    <w:rsid w:val="7DEF2C7F"/>
    <w:rsid w:val="7DFA5FDE"/>
    <w:rsid w:val="7E1B7046"/>
    <w:rsid w:val="7E56437B"/>
    <w:rsid w:val="7E677CA0"/>
    <w:rsid w:val="7E9C52E7"/>
    <w:rsid w:val="7EB443DF"/>
    <w:rsid w:val="7EB735F7"/>
    <w:rsid w:val="7F1615DE"/>
    <w:rsid w:val="7F345520"/>
    <w:rsid w:val="7F6A7194"/>
    <w:rsid w:val="7F72510B"/>
    <w:rsid w:val="7FA2692E"/>
    <w:rsid w:val="7FBC53A6"/>
    <w:rsid w:val="FFFC5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rPr>
  </w:style>
  <w:style w:type="paragraph" w:styleId="5">
    <w:name w:val="heading 1"/>
    <w:basedOn w:val="1"/>
    <w:next w:val="1"/>
    <w:autoRedefine/>
    <w:qFormat/>
    <w:uiPriority w:val="9"/>
    <w:pPr>
      <w:numPr>
        <w:ilvl w:val="0"/>
        <w:numId w:val="1"/>
      </w:numPr>
      <w:snapToGrid/>
      <w:jc w:val="left"/>
      <w:outlineLvl w:val="0"/>
    </w:pPr>
    <w:rPr>
      <w:rFonts w:eastAsia="黑体" w:cs="Times New Roman"/>
      <w:bCs/>
      <w:kern w:val="44"/>
      <w:szCs w:val="44"/>
      <w:lang w:val="zh-CN"/>
    </w:rPr>
  </w:style>
  <w:style w:type="paragraph" w:styleId="6">
    <w:name w:val="heading 2"/>
    <w:basedOn w:val="1"/>
    <w:next w:val="1"/>
    <w:autoRedefine/>
    <w:qFormat/>
    <w:uiPriority w:val="0"/>
    <w:pPr>
      <w:ind w:firstLine="150" w:firstLineChars="150"/>
      <w:outlineLvl w:val="1"/>
    </w:pPr>
    <w:rPr>
      <w:rFonts w:ascii="华文楷体" w:hAnsi="华文楷体" w:eastAsia="华文楷体"/>
      <w:b/>
    </w:rPr>
  </w:style>
  <w:style w:type="paragraph" w:styleId="7">
    <w:name w:val="heading 3"/>
    <w:unhideWhenUsed/>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9">
    <w:name w:val="index 8"/>
    <w:basedOn w:val="1"/>
    <w:next w:val="1"/>
    <w:autoRedefine/>
    <w:qFormat/>
    <w:uiPriority w:val="0"/>
    <w:pPr>
      <w:keepNext w:val="0"/>
      <w:keepLines w:val="0"/>
      <w:widowControl w:val="0"/>
      <w:suppressLineNumbers w:val="0"/>
      <w:ind w:left="2940"/>
      <w:jc w:val="both"/>
    </w:pPr>
    <w:rPr>
      <w:rFonts w:hint="default" w:ascii="Calibri" w:hAnsi="Calibri" w:eastAsia="宋体" w:cs="Times New Roman"/>
      <w:kern w:val="2"/>
      <w:sz w:val="21"/>
      <w:szCs w:val="21"/>
      <w:lang w:val="en-US" w:eastAsia="zh-CN" w:bidi="ar"/>
    </w:rPr>
  </w:style>
  <w:style w:type="paragraph" w:styleId="10">
    <w:name w:val="List Number"/>
    <w:basedOn w:val="1"/>
    <w:autoRedefine/>
    <w:qFormat/>
    <w:uiPriority w:val="0"/>
    <w:pPr>
      <w:numPr>
        <w:ilvl w:val="0"/>
        <w:numId w:val="2"/>
      </w:numPr>
    </w:pPr>
  </w:style>
  <w:style w:type="paragraph" w:styleId="11">
    <w:name w:val="Body Text"/>
    <w:basedOn w:val="1"/>
    <w:autoRedefine/>
    <w:qFormat/>
    <w:uiPriority w:val="0"/>
    <w:pPr>
      <w:autoSpaceDE w:val="0"/>
      <w:autoSpaceDN w:val="0"/>
      <w:adjustRightInd w:val="0"/>
      <w:spacing w:before="167"/>
      <w:ind w:left="825"/>
      <w:jc w:val="left"/>
    </w:pPr>
    <w:rPr>
      <w:rFonts w:ascii="仿宋_GB2312" w:hAnsi="Times" w:cs="仿宋_GB2312"/>
      <w:kern w:val="0"/>
      <w:szCs w:val="32"/>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able of figures"/>
    <w:basedOn w:val="1"/>
    <w:next w:val="1"/>
    <w:autoRedefine/>
    <w:qFormat/>
    <w:uiPriority w:val="99"/>
    <w:pPr>
      <w:spacing w:before="100" w:beforeAutospacing="1" w:after="100" w:afterAutospacing="1"/>
      <w:ind w:left="200" w:leftChars="200" w:hanging="200" w:hangingChars="200"/>
    </w:pPr>
    <w:rPr>
      <w:szCs w:val="21"/>
    </w:rPr>
  </w:style>
  <w:style w:type="paragraph" w:styleId="15">
    <w:name w:val="Normal (Web)"/>
    <w:basedOn w:val="1"/>
    <w:autoRedefine/>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仿宋_GB2312" w:cs="Times New Roman"/>
      <w:kern w:val="0"/>
      <w:sz w:val="24"/>
      <w:szCs w:val="32"/>
      <w:lang w:val="en-US" w:eastAsia="zh-CN" w:bidi="ar"/>
    </w:r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常用样式（方正仿宋简）"/>
    <w:basedOn w:val="1"/>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0">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21">
    <w:name w:val="Default"/>
    <w:autoRedefine/>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2">
    <w:name w:val="闻政正文"/>
    <w:basedOn w:val="1"/>
    <w:autoRedefine/>
    <w:qFormat/>
    <w:uiPriority w:val="3"/>
    <w:pPr>
      <w:spacing w:line="500" w:lineRule="exact"/>
      <w:ind w:firstLine="200" w:firstLineChars="200"/>
    </w:pPr>
    <w:rPr>
      <w:kern w:val="0"/>
      <w:sz w:val="28"/>
      <w:szCs w:val="28"/>
      <w:lang w:val="zh-CN"/>
    </w:rPr>
  </w:style>
  <w:style w:type="paragraph" w:customStyle="1" w:styleId="23">
    <w:name w:val="Other|1"/>
    <w:basedOn w:val="1"/>
    <w:autoRedefine/>
    <w:qFormat/>
    <w:uiPriority w:val="0"/>
    <w:pPr>
      <w:keepNext w:val="0"/>
      <w:keepLines w:val="0"/>
      <w:widowControl w:val="0"/>
      <w:suppressLineNumbers w:val="0"/>
      <w:spacing w:before="0" w:beforeAutospacing="0" w:after="0" w:afterAutospacing="0"/>
      <w:ind w:left="0" w:right="0" w:firstLine="0"/>
      <w:jc w:val="left"/>
    </w:pPr>
    <w:rPr>
      <w:rFonts w:hint="eastAsia" w:ascii="宋体" w:hAnsi="宋体" w:eastAsia="宋体" w:cs="宋体"/>
      <w:color w:val="000000"/>
      <w:spacing w:val="0"/>
      <w:kern w:val="0"/>
      <w:sz w:val="19"/>
      <w:szCs w:val="19"/>
      <w:lang w:val="en-US" w:eastAsia="zh-CN" w:bidi="ar"/>
    </w:rPr>
  </w:style>
  <w:style w:type="paragraph" w:customStyle="1" w:styleId="24">
    <w:name w:val="Other|2"/>
    <w:basedOn w:val="1"/>
    <w:autoRedefine/>
    <w:qFormat/>
    <w:uiPriority w:val="0"/>
    <w:pPr>
      <w:keepNext w:val="0"/>
      <w:keepLines w:val="0"/>
      <w:widowControl w:val="0"/>
      <w:suppressLineNumbers w:val="0"/>
      <w:spacing w:before="0" w:beforeAutospacing="0" w:after="0" w:afterAutospacing="0" w:line="190" w:lineRule="exact"/>
      <w:ind w:left="0" w:right="0" w:firstLine="0"/>
      <w:jc w:val="right"/>
    </w:pPr>
    <w:rPr>
      <w:rFonts w:hint="eastAsia" w:ascii="宋体" w:hAnsi="宋体" w:eastAsia="宋体" w:cs="宋体"/>
      <w:color w:val="000000"/>
      <w:spacing w:val="0"/>
      <w:kern w:val="0"/>
      <w:sz w:val="20"/>
      <w:szCs w:val="20"/>
      <w:lang w:val="en-US" w:eastAsia="zh-CN" w:bidi="ar"/>
    </w:rPr>
  </w:style>
  <w:style w:type="paragraph" w:styleId="25">
    <w:name w:val="List Paragraph"/>
    <w:basedOn w:val="1"/>
    <w:autoRedefine/>
    <w:qFormat/>
    <w:uiPriority w:val="99"/>
    <w:pPr>
      <w:ind w:firstLine="420" w:firstLineChars="200"/>
    </w:pPr>
  </w:style>
  <w:style w:type="character" w:customStyle="1" w:styleId="26">
    <w:name w:val="font31"/>
    <w:basedOn w:val="18"/>
    <w:autoRedefine/>
    <w:qFormat/>
    <w:uiPriority w:val="0"/>
    <w:rPr>
      <w:rFonts w:ascii="宋体" w:hAnsi="宋体" w:eastAsia="宋体" w:cs="宋体"/>
      <w:color w:val="000000"/>
      <w:sz w:val="18"/>
      <w:szCs w:val="18"/>
      <w:u w:val="none"/>
    </w:rPr>
  </w:style>
  <w:style w:type="character" w:customStyle="1" w:styleId="27">
    <w:name w:val="font41"/>
    <w:basedOn w:val="18"/>
    <w:autoRedefine/>
    <w:qFormat/>
    <w:uiPriority w:val="0"/>
    <w:rPr>
      <w:rFonts w:hint="eastAsia" w:ascii="宋体" w:hAnsi="宋体" w:eastAsia="宋体" w:cs="宋体"/>
      <w:color w:val="000000"/>
      <w:sz w:val="18"/>
      <w:szCs w:val="18"/>
      <w:u w:val="none"/>
    </w:rPr>
  </w:style>
  <w:style w:type="paragraph" w:customStyle="1" w:styleId="28">
    <w:name w:val="质联正文"/>
    <w:basedOn w:val="1"/>
    <w:autoRedefine/>
    <w:qFormat/>
    <w:uiPriority w:val="3"/>
    <w:pPr>
      <w:spacing w:line="600" w:lineRule="exact"/>
      <w:ind w:firstLine="640" w:firstLineChars="200"/>
    </w:pPr>
    <w:rPr>
      <w:rFonts w:ascii="Times New Roman" w:hAnsi="Times New Roman" w:eastAsia="仿宋_GB2312" w:cs="Times New Roman"/>
      <w:kern w:val="0"/>
      <w:sz w:val="32"/>
      <w:szCs w:val="28"/>
      <w:lang w:val="zh-CN"/>
    </w:rPr>
  </w:style>
  <w:style w:type="character" w:customStyle="1" w:styleId="29">
    <w:name w:val="font01"/>
    <w:basedOn w:val="18"/>
    <w:autoRedefine/>
    <w:qFormat/>
    <w:uiPriority w:val="0"/>
    <w:rPr>
      <w:rFonts w:hint="eastAsia" w:ascii="宋体" w:hAnsi="宋体" w:eastAsia="宋体" w:cs="宋体"/>
      <w:color w:val="000000"/>
      <w:sz w:val="22"/>
      <w:szCs w:val="22"/>
      <w:u w:val="none"/>
    </w:rPr>
  </w:style>
  <w:style w:type="character" w:customStyle="1" w:styleId="30">
    <w:name w:val="font51"/>
    <w:basedOn w:val="18"/>
    <w:autoRedefine/>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2129</Words>
  <Characters>2343</Characters>
  <Lines>0</Lines>
  <Paragraphs>0</Paragraphs>
  <TotalTime>3</TotalTime>
  <ScaleCrop>false</ScaleCrop>
  <LinksUpToDate>false</LinksUpToDate>
  <CharactersWithSpaces>2344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2024-04-17T11:23:00Z</dcterms:created>
  <dc:creator>Administrator</dc:creator>
  <cp:lastModifiedBy>一一</cp:lastModifiedBy>
  <dcterms:modified xsi:type="dcterms:W3CDTF">2025-09-01T02:29:08Z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6110981AF01243ED978B365828CC7AC4_12</vt:lpwstr>
  </property>
  <property fmtid="{D5CDD505-2E9C-101B-9397-08002B2CF9AE}" pid="4" name="KSOTemplateDocerSaveRecord">
    <vt:lpwstr>eyJoZGlkIjoiNDI3ZTY4ODM4ZDQyMmUxMjM4NjlhZWQ5ZDY3N2UxYTgiLCJ1c2VySWQiOiIyMTgwNDMwNDMifQ==</vt:lpwstr>
  </property>
</Properties>
</file>