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C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大英县医疗保障局</w:t>
      </w:r>
    </w:p>
    <w:p w14:paraId="7F824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2024年部门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整体支出自评报告</w:t>
      </w:r>
    </w:p>
    <w:p w14:paraId="6FECF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33"/>
          <w:szCs w:val="33"/>
          <w:highlight w:val="none"/>
          <w:shd w:val="clear" w:color="auto" w:fill="FFFFFF"/>
          <w:lang w:val="en-US" w:eastAsia="zh-CN" w:bidi="ar-SA"/>
        </w:rPr>
      </w:pPr>
    </w:p>
    <w:p w14:paraId="10335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contextualSpacing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33"/>
          <w:szCs w:val="33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3"/>
          <w:szCs w:val="33"/>
          <w:highlight w:val="none"/>
          <w:shd w:val="clear" w:color="auto" w:fill="FFFFFF"/>
          <w:lang w:val="en-US" w:eastAsia="zh-CN" w:bidi="ar-SA"/>
        </w:rPr>
        <w:t>县财政局：</w:t>
      </w:r>
    </w:p>
    <w:p w14:paraId="4955C8AE">
      <w:pPr>
        <w:pStyle w:val="19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3"/>
          <w:szCs w:val="33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3"/>
          <w:szCs w:val="33"/>
          <w:highlight w:val="none"/>
          <w:shd w:val="clear" w:color="auto" w:fill="FFFFFF"/>
          <w:lang w:eastAsia="zh-CN"/>
        </w:rPr>
        <w:t>根据《大英县财政局关于开展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3"/>
          <w:szCs w:val="33"/>
          <w:highlight w:val="none"/>
          <w:shd w:val="clear" w:color="auto" w:fill="FFFFFF"/>
          <w:lang w:val="en-US" w:eastAsia="zh-CN"/>
        </w:rPr>
        <w:t>2025年度部门、项目、政策支出绩效自评工作的通知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3"/>
          <w:szCs w:val="33"/>
          <w:highlight w:val="none"/>
          <w:shd w:val="clear" w:color="auto" w:fill="FFFFFF"/>
          <w:lang w:eastAsia="zh-CN"/>
        </w:rPr>
        <w:t>》大财发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3"/>
          <w:szCs w:val="33"/>
          <w:highlight w:val="none"/>
          <w:shd w:val="clear" w:color="auto" w:fill="FFFFFF"/>
          <w:lang w:val="en-US" w:eastAsia="zh-CN"/>
        </w:rPr>
        <w:t>[2025]93号文件精神，本着独立、客观、公正、科学的原则，按照公认的绩效评价方法，我局积极组织对2024年度本单位整体支出进行了绩效自评，现将具体绩效评价情况报告如下：</w:t>
      </w:r>
    </w:p>
    <w:p w14:paraId="315074E0">
      <w:pPr>
        <w:pStyle w:val="19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zh-CN"/>
        </w:rPr>
        <w:t>一、</w:t>
      </w:r>
      <w:r>
        <w:rPr>
          <w:rFonts w:hint="default"/>
          <w:sz w:val="32"/>
          <w:szCs w:val="32"/>
          <w:lang w:val="zh-CN"/>
        </w:rPr>
        <w:t>部门（单位）基本情况</w:t>
      </w:r>
    </w:p>
    <w:p w14:paraId="53EEF4C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（一）机构组成</w:t>
      </w:r>
    </w:p>
    <w:p w14:paraId="39839E83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3"/>
          <w:szCs w:val="33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遂宁市大英县医疗保障局是行政单位,机构改革以后县医保局机关行政编制6名，其中，局长1名，副局长2名；股级职数3名。县医保局设下列3个内设机构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办公室、医疗保障和指导股、基金和价格管理股。下属事业单位1个：大英县医疗保障事务中心。</w:t>
      </w:r>
    </w:p>
    <w:p w14:paraId="65E40F0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）</w:t>
      </w:r>
      <w:r>
        <w:rPr>
          <w:rFonts w:hint="default" w:ascii="楷体_GB2312" w:hAnsi="楷体_GB2312" w:eastAsia="楷体_GB2312" w:cs="楷体_GB2312"/>
          <w:sz w:val="32"/>
          <w:szCs w:val="32"/>
          <w:lang w:val="zh-CN"/>
        </w:rPr>
        <w:t>机构职能</w:t>
      </w:r>
    </w:p>
    <w:p w14:paraId="6838D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1. 贯彻落实医疗保险、生育保险、医疗救助等医疗保障法律法规及政策措施，拟订全县医疗保障事业发展规划、政策措施并组织实施。</w:t>
      </w:r>
    </w:p>
    <w:p w14:paraId="5DF0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2. 组织实施医疗保障基金监督管理制度，建立健全医疗保障基金安全防控机制，监督强化全县医疗保障基金运行管理。</w:t>
      </w:r>
    </w:p>
    <w:p w14:paraId="5973B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3. 组织实施医疗保障筹资和待遇政策，建立健全与筹资水平相适应的待遇调整机制。组织实施长期护理保险制度改革。组织实施医疗救助工作。</w:t>
      </w:r>
    </w:p>
    <w:p w14:paraId="3DBD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4. 组织执行全市城乡统一的药品、医用耗材、医疗服务项目、医疗服务设施等医疗保障目录，组织实施医疗保障目录准入谈判规则。组织实施全市城乡统一的药品、医用耗材、医疗服务项目、医疗服务设施等医疗保障支付管理办法，建立动态调整机制。</w:t>
      </w:r>
    </w:p>
    <w:p w14:paraId="263A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5. 组织实施药品、医疗服务项目、医疗服务设施收费等政策措施。建立医保支付医药服务价格合理确定和动态调整机制，推动建立市场主导的社会医药服务价格形成机制，建立价格信息监测和信息发布制度。</w:t>
      </w:r>
    </w:p>
    <w:p w14:paraId="09F4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6. 负责全县药品、医疗耗材招标采购的实施和监督工作。</w:t>
      </w:r>
    </w:p>
    <w:p w14:paraId="48A8D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7. 推进医疗保障基金支付方式改革，拟订全县定点医药机构协议和支付管理办法并组织实施，指导全县医疗保障定点机构管理。建立健全医疗保障信用评价体系和信息披露制度，监督管理纳入医疗保障范围内的医疗服务行为和医疗费用，依法查处医疗保障领域违法违规行为。</w:t>
      </w:r>
    </w:p>
    <w:p w14:paraId="65FD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8. 负责全县医疗保障经办管理和公共服务体系建设。组织实施异地就医管理和费用结算政策。建立健全医疗保障关系转移接续制度。监督管理全县医保经办服务工作。开展医疗保障领域对外合作交流。</w:t>
      </w:r>
    </w:p>
    <w:p w14:paraId="75A9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9. 负责规划实施全县医疗保障信息化建设。组织开展医疗保障大数据管理和应用。</w:t>
      </w:r>
    </w:p>
    <w:p w14:paraId="50D3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10. 负责职责范围内的安全生产和职业健康、生态环境保护、审批服务便民化等工作。</w:t>
      </w:r>
    </w:p>
    <w:p w14:paraId="0E76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11. 完成县委、县政府交办的其他任务。</w:t>
      </w:r>
    </w:p>
    <w:p w14:paraId="59A8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仿宋_GB2312"/>
          <w:szCs w:val="32"/>
        </w:rPr>
      </w:pPr>
      <w:r>
        <w:rPr>
          <w:rFonts w:hint="eastAsia" w:ascii="Times New Roman" w:hAnsi="仿宋_GB2312"/>
          <w:szCs w:val="32"/>
        </w:rPr>
        <w:t>12. 职能转变。完善统一的城乡居民基本医疗保险和大病保险制度，不断提高医疗保障水平。建立健全覆盖全民、城乡统筹的多层次医疗保障体系，确保医疗保障资金合理使用、安全可控。推进医疗、医保、医药“三医联动”改革，更好地保障人民群众就医需求、减轻医药费用负担。</w:t>
      </w:r>
    </w:p>
    <w:p w14:paraId="26D700DD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13. 与县卫生健康局的有关职责分工。两部门在医疗、医保、医药等方面加强制度、政策衔接，建立沟通协商机制，协同推进改革，提高医疗资源使用效率和医疗保障水平。</w:t>
      </w:r>
    </w:p>
    <w:p w14:paraId="2026306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）</w:t>
      </w:r>
      <w:r>
        <w:rPr>
          <w:rFonts w:hint="default" w:ascii="楷体_GB2312" w:hAnsi="楷体_GB2312" w:eastAsia="楷体_GB2312" w:cs="楷体_GB2312"/>
          <w:sz w:val="32"/>
          <w:szCs w:val="32"/>
          <w:lang w:val="zh-CN"/>
        </w:rPr>
        <w:t>人员概况</w:t>
      </w:r>
    </w:p>
    <w:p w14:paraId="4C319077"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年末，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实有人员32人（其中行政编制数9个，事业编制23个）</w:t>
      </w:r>
    </w:p>
    <w:p w14:paraId="5ECAB92A">
      <w:pPr>
        <w:pStyle w:val="19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default"/>
          <w:sz w:val="32"/>
          <w:szCs w:val="32"/>
          <w:lang w:val="zh-CN"/>
        </w:rPr>
      </w:pPr>
      <w:r>
        <w:rPr>
          <w:rFonts w:hint="default"/>
          <w:sz w:val="32"/>
          <w:szCs w:val="32"/>
          <w:lang w:val="zh-CN"/>
        </w:rPr>
        <w:t>二、</w:t>
      </w:r>
      <w:r>
        <w:rPr>
          <w:rFonts w:hint="default"/>
          <w:sz w:val="32"/>
          <w:szCs w:val="32"/>
          <w:lang w:val="zh-CN" w:eastAsia="zh-CN"/>
        </w:rPr>
        <w:t>部门</w:t>
      </w:r>
      <w:r>
        <w:rPr>
          <w:rFonts w:hint="default"/>
          <w:sz w:val="32"/>
          <w:szCs w:val="32"/>
          <w:lang w:val="zh-CN"/>
        </w:rPr>
        <w:t>资金收支情况</w:t>
      </w:r>
    </w:p>
    <w:p w14:paraId="79D772E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收入情况</w:t>
      </w:r>
    </w:p>
    <w:p w14:paraId="3299E361"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righ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单位：元</w:t>
      </w:r>
    </w:p>
    <w:tbl>
      <w:tblPr>
        <w:tblStyle w:val="16"/>
        <w:tblW w:w="9664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65"/>
        <w:gridCol w:w="1714"/>
        <w:gridCol w:w="1778"/>
        <w:gridCol w:w="1779"/>
      </w:tblGrid>
      <w:tr w14:paraId="52F5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8" w:type="dxa"/>
            <w:vAlign w:val="center"/>
          </w:tcPr>
          <w:p w14:paraId="0E5C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665" w:type="dxa"/>
            <w:vAlign w:val="center"/>
          </w:tcPr>
          <w:p w14:paraId="2006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类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别</w:t>
            </w:r>
          </w:p>
        </w:tc>
        <w:tc>
          <w:tcPr>
            <w:tcW w:w="1714" w:type="dxa"/>
            <w:vAlign w:val="center"/>
          </w:tcPr>
          <w:p w14:paraId="0185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年初预算数</w:t>
            </w:r>
          </w:p>
        </w:tc>
        <w:tc>
          <w:tcPr>
            <w:tcW w:w="1778" w:type="dxa"/>
            <w:vAlign w:val="center"/>
          </w:tcPr>
          <w:p w14:paraId="6919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全年预算数</w:t>
            </w:r>
          </w:p>
        </w:tc>
        <w:tc>
          <w:tcPr>
            <w:tcW w:w="1779" w:type="dxa"/>
            <w:vAlign w:val="center"/>
          </w:tcPr>
          <w:p w14:paraId="036A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决算数</w:t>
            </w:r>
          </w:p>
        </w:tc>
      </w:tr>
      <w:tr w14:paraId="330F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28" w:type="dxa"/>
            <w:vAlign w:val="center"/>
          </w:tcPr>
          <w:p w14:paraId="7695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665" w:type="dxa"/>
            <w:vAlign w:val="center"/>
          </w:tcPr>
          <w:p w14:paraId="0410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一般公共预算财政拨款收入</w:t>
            </w:r>
          </w:p>
        </w:tc>
        <w:tc>
          <w:tcPr>
            <w:tcW w:w="1714" w:type="dxa"/>
            <w:vAlign w:val="center"/>
          </w:tcPr>
          <w:p w14:paraId="7274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7,047,418.83</w:t>
            </w:r>
          </w:p>
        </w:tc>
        <w:tc>
          <w:tcPr>
            <w:tcW w:w="1778" w:type="dxa"/>
            <w:vAlign w:val="center"/>
          </w:tcPr>
          <w:p w14:paraId="5BEF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15,333,580.16</w:t>
            </w:r>
          </w:p>
        </w:tc>
        <w:tc>
          <w:tcPr>
            <w:tcW w:w="1779" w:type="dxa"/>
            <w:vAlign w:val="center"/>
          </w:tcPr>
          <w:p w14:paraId="2023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15,333,580.16</w:t>
            </w:r>
          </w:p>
        </w:tc>
      </w:tr>
      <w:tr w14:paraId="3496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8" w:type="dxa"/>
            <w:vAlign w:val="center"/>
          </w:tcPr>
          <w:p w14:paraId="08DB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665" w:type="dxa"/>
            <w:vAlign w:val="center"/>
          </w:tcPr>
          <w:p w14:paraId="7637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政府性基金预算财政拨款收入</w:t>
            </w:r>
          </w:p>
        </w:tc>
        <w:tc>
          <w:tcPr>
            <w:tcW w:w="1714" w:type="dxa"/>
            <w:vAlign w:val="center"/>
          </w:tcPr>
          <w:p w14:paraId="631A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8" w:type="dxa"/>
            <w:vAlign w:val="center"/>
          </w:tcPr>
          <w:p w14:paraId="1D5A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9" w:type="dxa"/>
            <w:vAlign w:val="center"/>
          </w:tcPr>
          <w:p w14:paraId="36A5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</w:tr>
      <w:tr w14:paraId="42D4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28" w:type="dxa"/>
            <w:vAlign w:val="center"/>
          </w:tcPr>
          <w:p w14:paraId="3515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665" w:type="dxa"/>
            <w:vAlign w:val="center"/>
          </w:tcPr>
          <w:p w14:paraId="3FD5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国有资本经营预算财政拨款收入</w:t>
            </w:r>
          </w:p>
        </w:tc>
        <w:tc>
          <w:tcPr>
            <w:tcW w:w="1714" w:type="dxa"/>
            <w:vAlign w:val="center"/>
          </w:tcPr>
          <w:p w14:paraId="082C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8" w:type="dxa"/>
            <w:vAlign w:val="center"/>
          </w:tcPr>
          <w:p w14:paraId="1E7D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9" w:type="dxa"/>
            <w:vAlign w:val="center"/>
          </w:tcPr>
          <w:p w14:paraId="2F8F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</w:tr>
      <w:tr w14:paraId="4884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8" w:type="dxa"/>
            <w:vAlign w:val="center"/>
          </w:tcPr>
          <w:p w14:paraId="5E51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665" w:type="dxa"/>
            <w:vAlign w:val="center"/>
          </w:tcPr>
          <w:p w14:paraId="225C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上级补助收入</w:t>
            </w:r>
          </w:p>
        </w:tc>
        <w:tc>
          <w:tcPr>
            <w:tcW w:w="1714" w:type="dxa"/>
            <w:vAlign w:val="center"/>
          </w:tcPr>
          <w:p w14:paraId="2B97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8" w:type="dxa"/>
            <w:vAlign w:val="center"/>
          </w:tcPr>
          <w:p w14:paraId="04B6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9" w:type="dxa"/>
            <w:vAlign w:val="center"/>
          </w:tcPr>
          <w:p w14:paraId="6CFB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</w:tr>
      <w:tr w14:paraId="6342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8" w:type="dxa"/>
            <w:vAlign w:val="center"/>
          </w:tcPr>
          <w:p w14:paraId="50A7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665" w:type="dxa"/>
            <w:vAlign w:val="center"/>
          </w:tcPr>
          <w:p w14:paraId="7108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事业收入</w:t>
            </w:r>
          </w:p>
        </w:tc>
        <w:tc>
          <w:tcPr>
            <w:tcW w:w="1714" w:type="dxa"/>
            <w:vAlign w:val="center"/>
          </w:tcPr>
          <w:p w14:paraId="5045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8" w:type="dxa"/>
            <w:vAlign w:val="center"/>
          </w:tcPr>
          <w:p w14:paraId="30ED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9" w:type="dxa"/>
            <w:vAlign w:val="center"/>
          </w:tcPr>
          <w:p w14:paraId="561A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</w:tr>
      <w:tr w14:paraId="34DB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8" w:type="dxa"/>
            <w:vAlign w:val="center"/>
          </w:tcPr>
          <w:p w14:paraId="777A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665" w:type="dxa"/>
            <w:vAlign w:val="center"/>
          </w:tcPr>
          <w:p w14:paraId="5944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经营收入</w:t>
            </w:r>
          </w:p>
        </w:tc>
        <w:tc>
          <w:tcPr>
            <w:tcW w:w="1714" w:type="dxa"/>
            <w:vAlign w:val="center"/>
          </w:tcPr>
          <w:p w14:paraId="6E24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8" w:type="dxa"/>
            <w:vAlign w:val="center"/>
          </w:tcPr>
          <w:p w14:paraId="4D1D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9" w:type="dxa"/>
            <w:vAlign w:val="center"/>
          </w:tcPr>
          <w:p w14:paraId="3CF4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</w:tr>
      <w:tr w14:paraId="2D0D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8" w:type="dxa"/>
            <w:vAlign w:val="center"/>
          </w:tcPr>
          <w:p w14:paraId="2C3D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665" w:type="dxa"/>
            <w:vAlign w:val="center"/>
          </w:tcPr>
          <w:p w14:paraId="5ECA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附属单位上缴收入</w:t>
            </w:r>
          </w:p>
        </w:tc>
        <w:tc>
          <w:tcPr>
            <w:tcW w:w="1714" w:type="dxa"/>
            <w:vAlign w:val="center"/>
          </w:tcPr>
          <w:p w14:paraId="06EE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8" w:type="dxa"/>
            <w:vAlign w:val="center"/>
          </w:tcPr>
          <w:p w14:paraId="6391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9" w:type="dxa"/>
            <w:vAlign w:val="center"/>
          </w:tcPr>
          <w:p w14:paraId="7D69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</w:tr>
      <w:tr w14:paraId="626A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8" w:type="dxa"/>
            <w:vAlign w:val="center"/>
          </w:tcPr>
          <w:p w14:paraId="41E4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665" w:type="dxa"/>
            <w:vAlign w:val="center"/>
          </w:tcPr>
          <w:p w14:paraId="63D0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其他收入</w:t>
            </w:r>
          </w:p>
        </w:tc>
        <w:tc>
          <w:tcPr>
            <w:tcW w:w="1714" w:type="dxa"/>
            <w:vAlign w:val="center"/>
          </w:tcPr>
          <w:p w14:paraId="2ACD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8" w:type="dxa"/>
            <w:vAlign w:val="center"/>
          </w:tcPr>
          <w:p w14:paraId="7F12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  <w:tc>
          <w:tcPr>
            <w:tcW w:w="1779" w:type="dxa"/>
            <w:vAlign w:val="center"/>
          </w:tcPr>
          <w:p w14:paraId="5C89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0.00</w:t>
            </w:r>
          </w:p>
        </w:tc>
      </w:tr>
      <w:tr w14:paraId="1311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28" w:type="dxa"/>
            <w:vAlign w:val="center"/>
          </w:tcPr>
          <w:p w14:paraId="5997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665" w:type="dxa"/>
            <w:vAlign w:val="center"/>
          </w:tcPr>
          <w:p w14:paraId="4839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总计</w:t>
            </w:r>
          </w:p>
        </w:tc>
        <w:tc>
          <w:tcPr>
            <w:tcW w:w="1714" w:type="dxa"/>
            <w:vAlign w:val="center"/>
          </w:tcPr>
          <w:p w14:paraId="4BBC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7,047,418.83</w:t>
            </w:r>
          </w:p>
        </w:tc>
        <w:tc>
          <w:tcPr>
            <w:tcW w:w="1778" w:type="dxa"/>
            <w:vAlign w:val="center"/>
          </w:tcPr>
          <w:p w14:paraId="0FE3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15,333,580.16</w:t>
            </w:r>
          </w:p>
        </w:tc>
        <w:tc>
          <w:tcPr>
            <w:tcW w:w="1779" w:type="dxa"/>
            <w:vAlign w:val="center"/>
          </w:tcPr>
          <w:p w14:paraId="7D91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15,333,580.16</w:t>
            </w:r>
          </w:p>
        </w:tc>
      </w:tr>
    </w:tbl>
    <w:p w14:paraId="682CFE3E"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2-1  大英县医疗保障局2024年年初预算收入情况、决算报表收入情况表</w:t>
      </w:r>
    </w:p>
    <w:p w14:paraId="481B515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）支出情况</w:t>
      </w:r>
    </w:p>
    <w:p w14:paraId="7F333B11"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right"/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单位：元</w:t>
      </w:r>
    </w:p>
    <w:tbl>
      <w:tblPr>
        <w:tblStyle w:val="16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585"/>
        <w:gridCol w:w="1693"/>
        <w:gridCol w:w="1886"/>
        <w:gridCol w:w="1907"/>
      </w:tblGrid>
      <w:tr w14:paraId="1547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032" w:type="dxa"/>
            <w:vAlign w:val="center"/>
          </w:tcPr>
          <w:p w14:paraId="55B2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类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别</w:t>
            </w:r>
          </w:p>
        </w:tc>
        <w:tc>
          <w:tcPr>
            <w:tcW w:w="1585" w:type="dxa"/>
            <w:vAlign w:val="center"/>
          </w:tcPr>
          <w:p w14:paraId="0766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年初预算数</w:t>
            </w:r>
          </w:p>
        </w:tc>
        <w:tc>
          <w:tcPr>
            <w:tcW w:w="1693" w:type="dxa"/>
            <w:vAlign w:val="center"/>
          </w:tcPr>
          <w:p w14:paraId="7E26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追加（减）</w:t>
            </w:r>
          </w:p>
        </w:tc>
        <w:tc>
          <w:tcPr>
            <w:tcW w:w="1886" w:type="dxa"/>
            <w:vAlign w:val="center"/>
          </w:tcPr>
          <w:p w14:paraId="6753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调整后预算</w:t>
            </w:r>
          </w:p>
        </w:tc>
        <w:tc>
          <w:tcPr>
            <w:tcW w:w="1907" w:type="dxa"/>
            <w:vAlign w:val="center"/>
          </w:tcPr>
          <w:p w14:paraId="36BD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支出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决算数</w:t>
            </w:r>
          </w:p>
        </w:tc>
      </w:tr>
      <w:tr w14:paraId="4615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32" w:type="dxa"/>
            <w:vAlign w:val="center"/>
          </w:tcPr>
          <w:p w14:paraId="3EEC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基本支出</w:t>
            </w:r>
          </w:p>
        </w:tc>
        <w:tc>
          <w:tcPr>
            <w:tcW w:w="1585" w:type="dxa"/>
            <w:vAlign w:val="center"/>
          </w:tcPr>
          <w:p w14:paraId="2401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4,762,418.83</w:t>
            </w:r>
          </w:p>
        </w:tc>
        <w:tc>
          <w:tcPr>
            <w:tcW w:w="1693" w:type="dxa"/>
            <w:vAlign w:val="center"/>
          </w:tcPr>
          <w:p w14:paraId="5853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649,761.33</w:t>
            </w:r>
          </w:p>
        </w:tc>
        <w:tc>
          <w:tcPr>
            <w:tcW w:w="1886" w:type="dxa"/>
            <w:vAlign w:val="center"/>
          </w:tcPr>
          <w:p w14:paraId="33DE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5,412,180.16</w:t>
            </w:r>
          </w:p>
        </w:tc>
        <w:tc>
          <w:tcPr>
            <w:tcW w:w="1907" w:type="dxa"/>
            <w:vAlign w:val="center"/>
          </w:tcPr>
          <w:p w14:paraId="61EB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5,412,180.16</w:t>
            </w:r>
          </w:p>
        </w:tc>
      </w:tr>
      <w:tr w14:paraId="4CA8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32" w:type="dxa"/>
            <w:vAlign w:val="center"/>
          </w:tcPr>
          <w:p w14:paraId="2A48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人员经费</w:t>
            </w:r>
          </w:p>
        </w:tc>
        <w:tc>
          <w:tcPr>
            <w:tcW w:w="1585" w:type="dxa"/>
            <w:vAlign w:val="center"/>
          </w:tcPr>
          <w:p w14:paraId="69CE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4,332,691.08</w:t>
            </w:r>
          </w:p>
        </w:tc>
        <w:tc>
          <w:tcPr>
            <w:tcW w:w="1693" w:type="dxa"/>
            <w:vAlign w:val="center"/>
          </w:tcPr>
          <w:p w14:paraId="55C6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596,482.54</w:t>
            </w:r>
          </w:p>
        </w:tc>
        <w:tc>
          <w:tcPr>
            <w:tcW w:w="1886" w:type="dxa"/>
            <w:vAlign w:val="center"/>
          </w:tcPr>
          <w:p w14:paraId="6BDB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4,929,173.62</w:t>
            </w:r>
          </w:p>
        </w:tc>
        <w:tc>
          <w:tcPr>
            <w:tcW w:w="1907" w:type="dxa"/>
            <w:vAlign w:val="center"/>
          </w:tcPr>
          <w:p w14:paraId="67F6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4,929,173.62</w:t>
            </w:r>
          </w:p>
        </w:tc>
      </w:tr>
      <w:tr w14:paraId="0417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32" w:type="dxa"/>
            <w:vAlign w:val="center"/>
          </w:tcPr>
          <w:p w14:paraId="1675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公用经费</w:t>
            </w:r>
          </w:p>
        </w:tc>
        <w:tc>
          <w:tcPr>
            <w:tcW w:w="1585" w:type="dxa"/>
            <w:vAlign w:val="center"/>
          </w:tcPr>
          <w:p w14:paraId="2394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429,727.75</w:t>
            </w:r>
          </w:p>
        </w:tc>
        <w:tc>
          <w:tcPr>
            <w:tcW w:w="1693" w:type="dxa"/>
            <w:vAlign w:val="center"/>
          </w:tcPr>
          <w:p w14:paraId="05C5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53,278.79</w:t>
            </w:r>
          </w:p>
        </w:tc>
        <w:tc>
          <w:tcPr>
            <w:tcW w:w="1886" w:type="dxa"/>
            <w:vAlign w:val="center"/>
          </w:tcPr>
          <w:p w14:paraId="087F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483,006.54</w:t>
            </w:r>
          </w:p>
        </w:tc>
        <w:tc>
          <w:tcPr>
            <w:tcW w:w="1907" w:type="dxa"/>
            <w:vAlign w:val="center"/>
          </w:tcPr>
          <w:p w14:paraId="69DF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483,006.54</w:t>
            </w:r>
          </w:p>
        </w:tc>
      </w:tr>
      <w:tr w14:paraId="1F0D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32" w:type="dxa"/>
            <w:vAlign w:val="center"/>
          </w:tcPr>
          <w:p w14:paraId="6F61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项目支出</w:t>
            </w:r>
          </w:p>
        </w:tc>
        <w:tc>
          <w:tcPr>
            <w:tcW w:w="1585" w:type="dxa"/>
            <w:vAlign w:val="center"/>
          </w:tcPr>
          <w:p w14:paraId="429C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2,285,000.00</w:t>
            </w:r>
          </w:p>
        </w:tc>
        <w:tc>
          <w:tcPr>
            <w:tcW w:w="1693" w:type="dxa"/>
            <w:vAlign w:val="center"/>
          </w:tcPr>
          <w:p w14:paraId="0541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7,636,400.00</w:t>
            </w:r>
          </w:p>
        </w:tc>
        <w:tc>
          <w:tcPr>
            <w:tcW w:w="1886" w:type="dxa"/>
            <w:vAlign w:val="center"/>
          </w:tcPr>
          <w:p w14:paraId="2DA1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9,921,400.00</w:t>
            </w:r>
          </w:p>
        </w:tc>
        <w:tc>
          <w:tcPr>
            <w:tcW w:w="1907" w:type="dxa"/>
            <w:vAlign w:val="center"/>
          </w:tcPr>
          <w:p w14:paraId="3282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9,921,400.00</w:t>
            </w:r>
          </w:p>
        </w:tc>
      </w:tr>
      <w:tr w14:paraId="65D3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32" w:type="dxa"/>
            <w:vAlign w:val="center"/>
          </w:tcPr>
          <w:p w14:paraId="7909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三、结余分配</w:t>
            </w:r>
          </w:p>
        </w:tc>
        <w:tc>
          <w:tcPr>
            <w:tcW w:w="1585" w:type="dxa"/>
            <w:vAlign w:val="center"/>
          </w:tcPr>
          <w:p w14:paraId="29A1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1693" w:type="dxa"/>
            <w:vAlign w:val="center"/>
          </w:tcPr>
          <w:p w14:paraId="7660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1886" w:type="dxa"/>
            <w:vAlign w:val="center"/>
          </w:tcPr>
          <w:p w14:paraId="48CE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1907" w:type="dxa"/>
            <w:vAlign w:val="center"/>
          </w:tcPr>
          <w:p w14:paraId="0F49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284B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32" w:type="dxa"/>
            <w:vAlign w:val="center"/>
          </w:tcPr>
          <w:p w14:paraId="6EA8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四、年末结转结余</w:t>
            </w:r>
          </w:p>
        </w:tc>
        <w:tc>
          <w:tcPr>
            <w:tcW w:w="1585" w:type="dxa"/>
            <w:vAlign w:val="center"/>
          </w:tcPr>
          <w:p w14:paraId="0DDD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1693" w:type="dxa"/>
            <w:vAlign w:val="center"/>
          </w:tcPr>
          <w:p w14:paraId="0A95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1886" w:type="dxa"/>
            <w:vAlign w:val="center"/>
          </w:tcPr>
          <w:p w14:paraId="6CD3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1907" w:type="dxa"/>
            <w:vAlign w:val="center"/>
          </w:tcPr>
          <w:p w14:paraId="1DA7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4224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32" w:type="dxa"/>
            <w:vAlign w:val="center"/>
          </w:tcPr>
          <w:p w14:paraId="46B0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总计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FFA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7,047,418.83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468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等线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default" w:ascii="Arial" w:hAnsi="Arial" w:eastAsia="等线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  <w:r>
              <w:rPr>
                <w:rFonts w:hint="eastAsia" w:ascii="Arial" w:hAnsi="Arial" w:eastAsia="等线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default" w:ascii="Arial" w:hAnsi="Arial" w:eastAsia="等线" w:cs="Arial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161.33</w:t>
            </w:r>
          </w:p>
        </w:tc>
        <w:tc>
          <w:tcPr>
            <w:tcW w:w="1886" w:type="dxa"/>
            <w:vAlign w:val="center"/>
          </w:tcPr>
          <w:p w14:paraId="1CB5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15,333,580.16</w:t>
            </w:r>
          </w:p>
        </w:tc>
        <w:tc>
          <w:tcPr>
            <w:tcW w:w="1907" w:type="dxa"/>
            <w:vAlign w:val="center"/>
          </w:tcPr>
          <w:p w14:paraId="445F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15,333,580.16</w:t>
            </w:r>
          </w:p>
        </w:tc>
      </w:tr>
    </w:tbl>
    <w:p w14:paraId="281B0426"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hint="default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2-2 大英县医疗保障局2024年年初预算收入情况、决算报表收入情况表</w:t>
      </w:r>
    </w:p>
    <w:p w14:paraId="04F18C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contextualSpacing/>
        <w:jc w:val="both"/>
        <w:textAlignment w:val="auto"/>
        <w:outlineLvl w:val="9"/>
        <w:rPr>
          <w:rFonts w:hint="default"/>
          <w:color w:val="4F81BD" w:themeColor="accent1"/>
          <w:lang w:val="zh-CN" w:eastAsia="zh-CN"/>
          <w14:textFill>
            <w14:solidFill>
              <w14:schemeClr w14:val="accent1"/>
            </w14:solidFill>
          </w14:textFill>
        </w:rPr>
      </w:pPr>
    </w:p>
    <w:p w14:paraId="67FB9D9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）</w:t>
      </w:r>
      <w:r>
        <w:rPr>
          <w:rFonts w:hint="default" w:ascii="楷体_GB2312" w:hAnsi="楷体_GB2312" w:eastAsia="楷体_GB2312" w:cs="楷体_GB2312"/>
          <w:sz w:val="32"/>
          <w:szCs w:val="32"/>
          <w:lang w:val="zh-CN"/>
        </w:rPr>
        <w:t>结余分配和结转结余情况</w:t>
      </w:r>
    </w:p>
    <w:p w14:paraId="3E180A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结余分配情况：无结余分配情况。</w:t>
      </w:r>
    </w:p>
    <w:p w14:paraId="622CA4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结余结转情况：本部门2024年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结转结余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金额为0万元。</w:t>
      </w:r>
    </w:p>
    <w:p w14:paraId="25F3BB3B">
      <w:pPr>
        <w:pStyle w:val="19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default"/>
          <w:sz w:val="32"/>
          <w:szCs w:val="32"/>
          <w:lang w:val="zh-CN"/>
        </w:rPr>
      </w:pPr>
      <w:r>
        <w:rPr>
          <w:rFonts w:hint="default"/>
          <w:sz w:val="32"/>
          <w:szCs w:val="32"/>
          <w:lang w:val="zh-CN"/>
        </w:rPr>
        <w:t>三、部门</w:t>
      </w:r>
      <w:r>
        <w:rPr>
          <w:rFonts w:hint="default"/>
          <w:sz w:val="32"/>
          <w:szCs w:val="32"/>
          <w:lang w:val="zh-CN" w:eastAsia="zh-CN"/>
        </w:rPr>
        <w:t>预算</w:t>
      </w:r>
      <w:r>
        <w:rPr>
          <w:rFonts w:hint="default"/>
          <w:sz w:val="32"/>
          <w:szCs w:val="32"/>
          <w:lang w:val="zh-CN"/>
        </w:rPr>
        <w:t>绩效</w:t>
      </w:r>
      <w:r>
        <w:rPr>
          <w:rFonts w:hint="default"/>
          <w:sz w:val="32"/>
          <w:szCs w:val="32"/>
          <w:lang w:val="zh-CN" w:eastAsia="zh-CN"/>
        </w:rPr>
        <w:t>分析</w:t>
      </w:r>
    </w:p>
    <w:p w14:paraId="75EA808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部门预算</w:t>
      </w:r>
      <w:r>
        <w:rPr>
          <w:rFonts w:hint="default" w:ascii="楷体_GB2312" w:hAnsi="楷体_GB2312" w:eastAsia="楷体_GB2312" w:cs="楷体_GB2312"/>
          <w:sz w:val="32"/>
          <w:szCs w:val="32"/>
          <w:lang w:val="zh-CN"/>
        </w:rPr>
        <w:t>总体绩效分析</w:t>
      </w:r>
    </w:p>
    <w:p w14:paraId="09996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kern w:val="0"/>
          <w:sz w:val="33"/>
          <w:szCs w:val="33"/>
          <w:highlight w:val="none"/>
          <w:shd w:val="clear" w:color="auto" w:fill="FFFFFF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履职效能</w:t>
      </w:r>
    </w:p>
    <w:p w14:paraId="17B1B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根据县委、县政府工作部署和县医保局2024年部门职责及年初目标申报情况，主要履职体现在完成行政事业单位退休职工大病补充医疗保险缴纳、发放城乡居民医疗救助金、公用经费，工资等基本支出、</w:t>
      </w:r>
      <w:r>
        <w:rPr>
          <w:rFonts w:hint="eastAsia" w:cs="Times New Roman"/>
          <w:szCs w:val="32"/>
          <w:highlight w:val="none"/>
          <w:lang w:val="en-US" w:eastAsia="zh-CN"/>
        </w:rPr>
        <w:t>拨付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居民医保基金县级补助经费、做好省级统筹、完成参保征收</w:t>
      </w:r>
      <w:r>
        <w:rPr>
          <w:rFonts w:hint="eastAsia" w:cs="Times New Roman"/>
          <w:szCs w:val="32"/>
          <w:highlight w:val="none"/>
          <w:lang w:val="en-US" w:eastAsia="zh-CN"/>
        </w:rPr>
        <w:t>任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务，加大政策宣传力度，具体完成指标情况如下：</w:t>
      </w:r>
    </w:p>
    <w:p w14:paraId="5AE2469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firstLine="643" w:firstLineChars="200"/>
        <w:jc w:val="both"/>
        <w:textAlignment w:val="baseline"/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行政事业单位退休职工大病补充医疗保险缴纳：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补充医疗保险费用于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解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决基本医疗保险的大额医疗费用,化解部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职工高额医疗风险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，行政事业单位退休职工大病补充医疗保险购买人数达到3850人。</w:t>
      </w:r>
    </w:p>
    <w:p w14:paraId="72C947B5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城乡居民医疗救助金：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城乡居民医疗救助金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覆盖人数达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30000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人。</w:t>
      </w:r>
    </w:p>
    <w:p w14:paraId="212B58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firstLine="643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公用经费，工资等基本支出</w:t>
      </w:r>
      <w:r>
        <w:rPr>
          <w:rFonts w:hint="eastAsia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保障全单位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人的职工工资支付，基本运转公用经费支付。</w:t>
      </w:r>
    </w:p>
    <w:p w14:paraId="1A05832D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居民医保基金县级补助经费</w:t>
      </w:r>
      <w:r>
        <w:rPr>
          <w:rFonts w:hint="eastAsia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按文件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中央和省、市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县级补助费用于提高我县城乡居民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基本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医疗保险比例有力保障我县城乡居民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基本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医疗保险事业科学发展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E95B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3" w:firstLineChars="200"/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做好省级统筹准备</w:t>
      </w:r>
      <w:r>
        <w:rPr>
          <w:rFonts w:hint="eastAsia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对标对表，主动查找目前我县医保工作开展中的不足，及时补齐短板，及时推进基本医疗保险省级统筹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4190D9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完成参保征收</w:t>
      </w:r>
      <w:r>
        <w:rPr>
          <w:rFonts w:hint="eastAsia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任</w:t>
      </w:r>
      <w:r>
        <w:rPr>
          <w:rFonts w:hint="default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务，加大政策宣传力度</w:t>
      </w:r>
      <w:r>
        <w:rPr>
          <w:rFonts w:hint="eastAsia" w:ascii="Times New Roman" w:hAnsi="Times New Roman" w:eastAsia="楷体_GB2312" w:cs="楷体_GB2312"/>
          <w:b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居民医保参保工作经费用于巩固参保目标,确保应保尽保积极引导城乡居民缴费参保,享受惠民政策,落实工作经费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；完成参保宣传4次。</w:t>
      </w:r>
    </w:p>
    <w:p w14:paraId="50BD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预算管理</w:t>
      </w:r>
    </w:p>
    <w:p w14:paraId="20BDA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eastAsia" w:ascii="楷体_GB2312" w:hAnsi="楷体_GB2312" w:eastAsia="楷体_GB2312" w:cs="楷体_GB2312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）预算编制质量</w:t>
      </w:r>
    </w:p>
    <w:p w14:paraId="31E13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contextualSpacing/>
        <w:jc w:val="both"/>
        <w:textAlignment w:val="auto"/>
        <w:outlineLvl w:val="9"/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财政拨款预算执行数为</w:t>
      </w:r>
      <w:r>
        <w:rPr>
          <w:rFonts w:hint="eastAsia" w:cs="Times New Roman"/>
          <w:color w:val="auto"/>
          <w:kern w:val="0"/>
          <w:szCs w:val="32"/>
          <w:highlight w:val="none"/>
          <w:shd w:val="clear" w:color="auto" w:fill="FFFFFF"/>
          <w:lang w:val="en-US" w:eastAsia="zh-CN"/>
        </w:rPr>
        <w:t>3694.83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财政拨款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年初预算数为</w:t>
      </w:r>
      <w:r>
        <w:rPr>
          <w:rFonts w:hint="eastAsia" w:cs="Times New Roman"/>
          <w:color w:val="auto"/>
          <w:kern w:val="0"/>
          <w:szCs w:val="32"/>
          <w:highlight w:val="none"/>
          <w:shd w:val="clear" w:color="auto" w:fill="FFFFFF"/>
          <w:lang w:val="en-US" w:eastAsia="zh-CN"/>
        </w:rPr>
        <w:t>2774.32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万元。</w:t>
      </w:r>
    </w:p>
    <w:p w14:paraId="439D5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contextualSpacing/>
        <w:jc w:val="both"/>
        <w:textAlignment w:val="auto"/>
        <w:outlineLvl w:val="9"/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资产配置预算执行数为</w:t>
      </w:r>
      <w:r>
        <w:rPr>
          <w:rFonts w:hint="eastAsia"/>
          <w:spacing w:val="6"/>
          <w:highlight w:val="none"/>
          <w:lang w:val="en-US" w:eastAsia="zh-CN"/>
        </w:rPr>
        <w:t>0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万元，资产配置年初预算数为</w:t>
      </w:r>
      <w:r>
        <w:rPr>
          <w:rFonts w:hint="eastAsia"/>
          <w:spacing w:val="6"/>
          <w:highlight w:val="none"/>
          <w:lang w:val="en-US" w:eastAsia="zh-CN"/>
        </w:rPr>
        <w:t>0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万元。</w:t>
      </w:r>
    </w:p>
    <w:p w14:paraId="212D5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本部门政府采购预算执行数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为0万元，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政府采购年初预算数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为0万元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。</w:t>
      </w:r>
    </w:p>
    <w:p w14:paraId="59CB8627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不扣分，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得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分。</w:t>
      </w:r>
    </w:p>
    <w:p w14:paraId="04F2B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）支出执行进度</w:t>
      </w:r>
    </w:p>
    <w:p w14:paraId="67AAA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contextualSpacing/>
        <w:jc w:val="both"/>
        <w:textAlignment w:val="auto"/>
        <w:outlineLvl w:val="9"/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本部门1至6月预算执行数为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677.26万元，部门预算数为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3694.83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，1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至6月支出预警金额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0万元，占比为0%，1至6月无支出违规金额。</w:t>
      </w:r>
    </w:p>
    <w:p w14:paraId="478C4D5C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default"/>
          <w:highlight w:val="none"/>
          <w:lang w:val="en-US" w:eastAsia="zh-CN"/>
        </w:rPr>
        <w:t>1至</w:t>
      </w:r>
      <w:r>
        <w:rPr>
          <w:rFonts w:hint="eastAsia"/>
          <w:highlight w:val="none"/>
          <w:lang w:val="en-US" w:eastAsia="zh-CN"/>
        </w:rPr>
        <w:t>10</w:t>
      </w:r>
      <w:r>
        <w:rPr>
          <w:rFonts w:hint="default"/>
          <w:highlight w:val="none"/>
          <w:lang w:val="en-US" w:eastAsia="zh-CN"/>
        </w:rPr>
        <w:t>月预算执行数</w:t>
      </w:r>
      <w:r>
        <w:rPr>
          <w:rFonts w:hint="eastAsia"/>
          <w:highlight w:val="none"/>
          <w:lang w:val="en-US" w:eastAsia="zh-CN"/>
        </w:rPr>
        <w:t>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3038.11万元，部门预算数为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3694.83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，1至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月支出预警金额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0万元，占比为0%，1至10月无支出违规金额。</w:t>
      </w:r>
    </w:p>
    <w:p w14:paraId="416C36FA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不扣分，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得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分。</w:t>
      </w:r>
    </w:p>
    <w:p w14:paraId="590BD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）预算年终结余</w:t>
      </w:r>
    </w:p>
    <w:p w14:paraId="3582A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预算总金额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为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3694.83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年终部门预算注销金额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为0.00万元，结转金额为</w:t>
      </w:r>
      <w:r>
        <w:rPr>
          <w:rFonts w:hint="eastAsia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sz w:val="32"/>
          <w:szCs w:val="32"/>
          <w:highlight w:val="none"/>
        </w:rPr>
        <w:t>万元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。</w:t>
      </w:r>
    </w:p>
    <w:p w14:paraId="47BC8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不扣分，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得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分。</w:t>
      </w:r>
    </w:p>
    <w:p w14:paraId="0F79A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）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严控一般性支出</w:t>
      </w:r>
    </w:p>
    <w:p w14:paraId="6065E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部门“三公”经费、会议、培训、差旅、办节办展、办公设备购置、信息网络及软件购置更新、课题经费等8项一般性支出情况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详见下表3-1。</w:t>
      </w:r>
    </w:p>
    <w:p w14:paraId="62CF0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2" w:firstLineChars="200"/>
        <w:contextualSpacing/>
        <w:jc w:val="righ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单位：万元</w:t>
      </w:r>
    </w:p>
    <w:tbl>
      <w:tblPr>
        <w:tblStyle w:val="16"/>
        <w:tblW w:w="9334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383"/>
        <w:gridCol w:w="1383"/>
        <w:gridCol w:w="1267"/>
        <w:gridCol w:w="883"/>
        <w:gridCol w:w="1284"/>
        <w:gridCol w:w="1233"/>
        <w:gridCol w:w="917"/>
      </w:tblGrid>
      <w:tr w14:paraId="3769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</w:trPr>
        <w:tc>
          <w:tcPr>
            <w:tcW w:w="984" w:type="dxa"/>
            <w:vMerge w:val="restart"/>
            <w:shd w:val="clear" w:color="auto" w:fill="D7D7D7" w:themeFill="background1" w:themeFillShade="D8"/>
            <w:vAlign w:val="center"/>
          </w:tcPr>
          <w:p w14:paraId="55227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83" w:type="dxa"/>
            <w:vMerge w:val="restart"/>
            <w:shd w:val="clear" w:color="auto" w:fill="D7D7D7" w:themeFill="background1" w:themeFillShade="D8"/>
            <w:vAlign w:val="center"/>
          </w:tcPr>
          <w:p w14:paraId="42E0C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3" w:type="dxa"/>
            <w:shd w:val="clear" w:color="auto" w:fill="D7D7D7" w:themeFill="background1" w:themeFillShade="D8"/>
            <w:vAlign w:val="center"/>
          </w:tcPr>
          <w:p w14:paraId="63528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2023年度</w:t>
            </w:r>
          </w:p>
        </w:tc>
        <w:tc>
          <w:tcPr>
            <w:tcW w:w="1267" w:type="dxa"/>
            <w:shd w:val="clear" w:color="auto" w:fill="D7D7D7" w:themeFill="background1" w:themeFillShade="D8"/>
            <w:vAlign w:val="center"/>
          </w:tcPr>
          <w:p w14:paraId="2DF5E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883" w:type="dxa"/>
            <w:vMerge w:val="restart"/>
            <w:shd w:val="clear" w:color="auto" w:fill="D7D7D7" w:themeFill="background1" w:themeFillShade="D8"/>
            <w:vAlign w:val="center"/>
          </w:tcPr>
          <w:p w14:paraId="5F300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变动情况</w:t>
            </w:r>
          </w:p>
        </w:tc>
        <w:tc>
          <w:tcPr>
            <w:tcW w:w="1284" w:type="dxa"/>
            <w:shd w:val="clear" w:color="auto" w:fill="D7D7D7" w:themeFill="background1" w:themeFillShade="D8"/>
            <w:vAlign w:val="center"/>
          </w:tcPr>
          <w:p w14:paraId="40BBD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2023年度</w:t>
            </w:r>
          </w:p>
        </w:tc>
        <w:tc>
          <w:tcPr>
            <w:tcW w:w="1233" w:type="dxa"/>
            <w:shd w:val="clear" w:color="auto" w:fill="D7D7D7" w:themeFill="background1" w:themeFillShade="D8"/>
            <w:vAlign w:val="center"/>
          </w:tcPr>
          <w:p w14:paraId="65A9C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917" w:type="dxa"/>
            <w:vMerge w:val="restart"/>
            <w:shd w:val="clear" w:color="auto" w:fill="D7D7D7" w:themeFill="background1" w:themeFillShade="D8"/>
            <w:vAlign w:val="center"/>
          </w:tcPr>
          <w:p w14:paraId="03E6F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变动情况</w:t>
            </w:r>
          </w:p>
        </w:tc>
      </w:tr>
      <w:tr w14:paraId="5BAF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</w:trPr>
        <w:tc>
          <w:tcPr>
            <w:tcW w:w="984" w:type="dxa"/>
            <w:vMerge w:val="continue"/>
            <w:shd w:val="clear" w:color="auto" w:fill="D7D7D7" w:themeFill="background1" w:themeFillShade="D8"/>
            <w:vAlign w:val="center"/>
          </w:tcPr>
          <w:p w14:paraId="5601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</w:pPr>
          </w:p>
        </w:tc>
        <w:tc>
          <w:tcPr>
            <w:tcW w:w="1383" w:type="dxa"/>
            <w:vMerge w:val="continue"/>
            <w:shd w:val="clear" w:color="auto" w:fill="D7D7D7" w:themeFill="background1" w:themeFillShade="D8"/>
            <w:vAlign w:val="center"/>
          </w:tcPr>
          <w:p w14:paraId="07FC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</w:pPr>
          </w:p>
        </w:tc>
        <w:tc>
          <w:tcPr>
            <w:tcW w:w="1383" w:type="dxa"/>
            <w:shd w:val="clear" w:color="auto" w:fill="D7D7D7" w:themeFill="background1" w:themeFillShade="D8"/>
            <w:vAlign w:val="center"/>
          </w:tcPr>
          <w:p w14:paraId="7C8D7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财政拨款年初预算数</w:t>
            </w:r>
          </w:p>
        </w:tc>
        <w:tc>
          <w:tcPr>
            <w:tcW w:w="1267" w:type="dxa"/>
            <w:shd w:val="clear" w:color="auto" w:fill="D7D7D7" w:themeFill="background1" w:themeFillShade="D8"/>
            <w:vAlign w:val="center"/>
          </w:tcPr>
          <w:p w14:paraId="01294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财政拨款年初预算数</w:t>
            </w:r>
          </w:p>
        </w:tc>
        <w:tc>
          <w:tcPr>
            <w:tcW w:w="883" w:type="dxa"/>
            <w:vMerge w:val="continue"/>
            <w:shd w:val="clear" w:color="auto" w:fill="D7D7D7" w:themeFill="background1" w:themeFillShade="D8"/>
            <w:vAlign w:val="center"/>
          </w:tcPr>
          <w:p w14:paraId="5576D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shd w:val="clear" w:color="auto" w:fill="D7D7D7" w:themeFill="background1" w:themeFillShade="D8"/>
            <w:vAlign w:val="center"/>
          </w:tcPr>
          <w:p w14:paraId="0251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财政拨款预算执行数</w:t>
            </w:r>
          </w:p>
        </w:tc>
        <w:tc>
          <w:tcPr>
            <w:tcW w:w="1233" w:type="dxa"/>
            <w:vAlign w:val="center"/>
          </w:tcPr>
          <w:p w14:paraId="4A43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财政拨款预算执行数</w:t>
            </w:r>
          </w:p>
        </w:tc>
        <w:tc>
          <w:tcPr>
            <w:tcW w:w="917" w:type="dxa"/>
            <w:vMerge w:val="continue"/>
            <w:vAlign w:val="center"/>
          </w:tcPr>
          <w:p w14:paraId="43DC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AFB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39212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 w14:paraId="48A1F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“三公”经费</w:t>
            </w:r>
          </w:p>
        </w:tc>
        <w:tc>
          <w:tcPr>
            <w:tcW w:w="1383" w:type="dxa"/>
            <w:vAlign w:val="center"/>
          </w:tcPr>
          <w:p w14:paraId="464CD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1.68</w:t>
            </w:r>
          </w:p>
        </w:tc>
        <w:tc>
          <w:tcPr>
            <w:tcW w:w="1267" w:type="dxa"/>
            <w:vAlign w:val="center"/>
          </w:tcPr>
          <w:p w14:paraId="1FE63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1.7</w:t>
            </w:r>
          </w:p>
        </w:tc>
        <w:tc>
          <w:tcPr>
            <w:tcW w:w="883" w:type="dxa"/>
            <w:vAlign w:val="center"/>
          </w:tcPr>
          <w:p w14:paraId="38EE0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增加</w:t>
            </w:r>
          </w:p>
        </w:tc>
        <w:tc>
          <w:tcPr>
            <w:tcW w:w="1284" w:type="dxa"/>
            <w:vAlign w:val="center"/>
          </w:tcPr>
          <w:p w14:paraId="701D8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1.68</w:t>
            </w:r>
          </w:p>
        </w:tc>
        <w:tc>
          <w:tcPr>
            <w:tcW w:w="1233" w:type="dxa"/>
            <w:vAlign w:val="center"/>
          </w:tcPr>
          <w:p w14:paraId="21F18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1.46</w:t>
            </w:r>
          </w:p>
        </w:tc>
        <w:tc>
          <w:tcPr>
            <w:tcW w:w="917" w:type="dxa"/>
            <w:vAlign w:val="center"/>
          </w:tcPr>
          <w:p w14:paraId="2061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减少</w:t>
            </w:r>
          </w:p>
        </w:tc>
      </w:tr>
      <w:tr w14:paraId="561C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268C0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51A2D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会议经费</w:t>
            </w:r>
          </w:p>
        </w:tc>
        <w:tc>
          <w:tcPr>
            <w:tcW w:w="1383" w:type="dxa"/>
            <w:vAlign w:val="center"/>
          </w:tcPr>
          <w:p w14:paraId="368A9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0BFB4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 w14:paraId="09881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284" w:type="dxa"/>
            <w:vAlign w:val="center"/>
          </w:tcPr>
          <w:p w14:paraId="0D685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 w14:paraId="218A5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917" w:type="dxa"/>
            <w:vAlign w:val="center"/>
          </w:tcPr>
          <w:p w14:paraId="593D9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 w14:paraId="41A1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5CD33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83" w:type="dxa"/>
            <w:vAlign w:val="center"/>
          </w:tcPr>
          <w:p w14:paraId="482F5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培训经费</w:t>
            </w:r>
          </w:p>
        </w:tc>
        <w:tc>
          <w:tcPr>
            <w:tcW w:w="1383" w:type="dxa"/>
            <w:vAlign w:val="center"/>
          </w:tcPr>
          <w:p w14:paraId="55A91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191EF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 w14:paraId="172BE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284" w:type="dxa"/>
            <w:vAlign w:val="center"/>
          </w:tcPr>
          <w:p w14:paraId="2924F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 w14:paraId="5E653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917" w:type="dxa"/>
            <w:vAlign w:val="center"/>
          </w:tcPr>
          <w:p w14:paraId="13C5E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 w14:paraId="154D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6DF0D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 w14:paraId="6DB56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差旅经费</w:t>
            </w:r>
          </w:p>
        </w:tc>
        <w:tc>
          <w:tcPr>
            <w:tcW w:w="1383" w:type="dxa"/>
            <w:vAlign w:val="center"/>
          </w:tcPr>
          <w:p w14:paraId="6D83E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1.5</w:t>
            </w:r>
          </w:p>
        </w:tc>
        <w:tc>
          <w:tcPr>
            <w:tcW w:w="1267" w:type="dxa"/>
            <w:vAlign w:val="center"/>
          </w:tcPr>
          <w:p w14:paraId="2C4E3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0.8</w:t>
            </w:r>
          </w:p>
        </w:tc>
        <w:tc>
          <w:tcPr>
            <w:tcW w:w="883" w:type="dxa"/>
            <w:vAlign w:val="center"/>
          </w:tcPr>
          <w:p w14:paraId="7BAA9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减少</w:t>
            </w:r>
          </w:p>
        </w:tc>
        <w:tc>
          <w:tcPr>
            <w:tcW w:w="1284" w:type="dxa"/>
            <w:vAlign w:val="center"/>
          </w:tcPr>
          <w:p w14:paraId="08AB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1.5</w:t>
            </w:r>
          </w:p>
        </w:tc>
        <w:tc>
          <w:tcPr>
            <w:tcW w:w="1233" w:type="dxa"/>
            <w:vAlign w:val="center"/>
          </w:tcPr>
          <w:p w14:paraId="394FD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3.72</w:t>
            </w:r>
          </w:p>
        </w:tc>
        <w:tc>
          <w:tcPr>
            <w:tcW w:w="917" w:type="dxa"/>
            <w:vAlign w:val="center"/>
          </w:tcPr>
          <w:p w14:paraId="14A31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增加</w:t>
            </w:r>
          </w:p>
        </w:tc>
      </w:tr>
      <w:tr w14:paraId="4DEB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7F36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67475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办节办展</w:t>
            </w:r>
          </w:p>
          <w:p w14:paraId="2F8036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经费</w:t>
            </w:r>
          </w:p>
        </w:tc>
        <w:tc>
          <w:tcPr>
            <w:tcW w:w="1383" w:type="dxa"/>
            <w:vAlign w:val="center"/>
          </w:tcPr>
          <w:p w14:paraId="7B292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46173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 w14:paraId="05110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284" w:type="dxa"/>
            <w:vAlign w:val="center"/>
          </w:tcPr>
          <w:p w14:paraId="7DDA6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 w14:paraId="3E066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917" w:type="dxa"/>
            <w:vAlign w:val="center"/>
          </w:tcPr>
          <w:p w14:paraId="04512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 w14:paraId="45AB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63762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383" w:type="dxa"/>
            <w:vAlign w:val="center"/>
          </w:tcPr>
          <w:p w14:paraId="6E5BC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办公设备</w:t>
            </w:r>
          </w:p>
          <w:p w14:paraId="25D44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购置经费</w:t>
            </w:r>
          </w:p>
        </w:tc>
        <w:tc>
          <w:tcPr>
            <w:tcW w:w="1383" w:type="dxa"/>
            <w:vAlign w:val="center"/>
          </w:tcPr>
          <w:p w14:paraId="2E2D4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2.16</w:t>
            </w:r>
          </w:p>
        </w:tc>
        <w:tc>
          <w:tcPr>
            <w:tcW w:w="1267" w:type="dxa"/>
            <w:vAlign w:val="center"/>
          </w:tcPr>
          <w:p w14:paraId="4DED1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 w14:paraId="7CA37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减少</w:t>
            </w:r>
          </w:p>
        </w:tc>
        <w:tc>
          <w:tcPr>
            <w:tcW w:w="1284" w:type="dxa"/>
            <w:vAlign w:val="center"/>
          </w:tcPr>
          <w:p w14:paraId="1D06C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2.16</w:t>
            </w:r>
          </w:p>
        </w:tc>
        <w:tc>
          <w:tcPr>
            <w:tcW w:w="1233" w:type="dxa"/>
            <w:vAlign w:val="center"/>
          </w:tcPr>
          <w:p w14:paraId="1E685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917" w:type="dxa"/>
            <w:vAlign w:val="center"/>
          </w:tcPr>
          <w:p w14:paraId="12043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减少</w:t>
            </w:r>
          </w:p>
        </w:tc>
      </w:tr>
      <w:tr w14:paraId="4B40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573D0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383" w:type="dxa"/>
            <w:vAlign w:val="center"/>
          </w:tcPr>
          <w:p w14:paraId="29FC4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信息网络及软件购置更新经费</w:t>
            </w:r>
          </w:p>
        </w:tc>
        <w:tc>
          <w:tcPr>
            <w:tcW w:w="1383" w:type="dxa"/>
            <w:vAlign w:val="center"/>
          </w:tcPr>
          <w:p w14:paraId="7842A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54D77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 w14:paraId="0AF53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284" w:type="dxa"/>
            <w:vAlign w:val="center"/>
          </w:tcPr>
          <w:p w14:paraId="31F97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 w14:paraId="17C23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917" w:type="dxa"/>
            <w:vAlign w:val="center"/>
          </w:tcPr>
          <w:p w14:paraId="17CCA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 w14:paraId="2A3F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79FE7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383" w:type="dxa"/>
            <w:vAlign w:val="center"/>
          </w:tcPr>
          <w:p w14:paraId="7AC6D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课题经费</w:t>
            </w:r>
          </w:p>
        </w:tc>
        <w:tc>
          <w:tcPr>
            <w:tcW w:w="1383" w:type="dxa"/>
            <w:vAlign w:val="center"/>
          </w:tcPr>
          <w:p w14:paraId="4A8F1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55A54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 w14:paraId="65D64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284" w:type="dxa"/>
            <w:vAlign w:val="center"/>
          </w:tcPr>
          <w:p w14:paraId="3318B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 w14:paraId="508D6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917" w:type="dxa"/>
            <w:vAlign w:val="center"/>
          </w:tcPr>
          <w:p w14:paraId="15778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 w14:paraId="6007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1CDFF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383" w:type="dxa"/>
            <w:vAlign w:val="center"/>
          </w:tcPr>
          <w:p w14:paraId="239A2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383" w:type="dxa"/>
            <w:vAlign w:val="center"/>
          </w:tcPr>
          <w:p w14:paraId="11875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5.34</w:t>
            </w:r>
          </w:p>
        </w:tc>
        <w:tc>
          <w:tcPr>
            <w:tcW w:w="1267" w:type="dxa"/>
            <w:vAlign w:val="center"/>
          </w:tcPr>
          <w:p w14:paraId="7AED5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2.5</w:t>
            </w:r>
          </w:p>
        </w:tc>
        <w:tc>
          <w:tcPr>
            <w:tcW w:w="883" w:type="dxa"/>
            <w:vAlign w:val="center"/>
          </w:tcPr>
          <w:p w14:paraId="265ED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减少</w:t>
            </w:r>
          </w:p>
        </w:tc>
        <w:tc>
          <w:tcPr>
            <w:tcW w:w="1284" w:type="dxa"/>
            <w:vAlign w:val="center"/>
          </w:tcPr>
          <w:p w14:paraId="3A23F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5.34</w:t>
            </w:r>
          </w:p>
        </w:tc>
        <w:tc>
          <w:tcPr>
            <w:tcW w:w="1233" w:type="dxa"/>
            <w:vAlign w:val="center"/>
          </w:tcPr>
          <w:p w14:paraId="4A116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5.18</w:t>
            </w:r>
          </w:p>
        </w:tc>
        <w:tc>
          <w:tcPr>
            <w:tcW w:w="917" w:type="dxa"/>
            <w:vAlign w:val="center"/>
          </w:tcPr>
          <w:p w14:paraId="46A4C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减少</w:t>
            </w:r>
          </w:p>
        </w:tc>
      </w:tr>
    </w:tbl>
    <w:p w14:paraId="36033C89"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 xml:space="preserve">表3-1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zh-CN"/>
        </w:rPr>
        <w:t>一般性支出情况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表</w:t>
      </w:r>
    </w:p>
    <w:p w14:paraId="61A604B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综上，根据评分标准，该项指标得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分。</w:t>
      </w:r>
    </w:p>
    <w:p w14:paraId="6250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资产管理</w:t>
      </w:r>
    </w:p>
    <w:p w14:paraId="3C750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）人均资产变化率</w:t>
      </w:r>
    </w:p>
    <w:p w14:paraId="6F2A4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本部门202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年末实有人数为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人，固定资产和无形资产净值合计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9.38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万元；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年末实有人数为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人，固定资产和无形资产净值合计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7.33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万元。</w:t>
      </w:r>
    </w:p>
    <w:p w14:paraId="589B7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根据评价标准，本部门202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年人均占有资产=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9.38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/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=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0.28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（万元/人），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年人均占有资产=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7.33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/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=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0.23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（万元/人），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年本部门人均资产变化率=（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0.28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0.23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）/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0.23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×100.00%=-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21.73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%，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大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于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年省直行政事业单位人均资产变化率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4.63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%。</w:t>
      </w:r>
    </w:p>
    <w:p w14:paraId="1E6B9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综上，根据评分标准，该项指标扣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分。</w:t>
      </w:r>
    </w:p>
    <w:p w14:paraId="5DDC4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）资产利用率</w:t>
      </w:r>
    </w:p>
    <w:p w14:paraId="30F7C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超最低使用年限的办公家具原值为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12.84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万元，办公家具原值为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19.62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万元，办公家具超最低使用年限资产利用率=（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12.84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/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19.62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）×100.00%=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65.44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%，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高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于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年办公家具超最低使用年限资产利用率的省直行政事业单位平均值1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.7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%。</w:t>
      </w:r>
    </w:p>
    <w:p w14:paraId="27086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最低使用年限的办公设备原值为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80.25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万元，办公设备原值为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89.53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万元，办公设备超最低使用年限资产利用率=（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80.25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/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89.53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）×100.00%=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89.63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%，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高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于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年办公设备超最低使用年限资产利用率的省直行政事业单位平均值4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%。</w:t>
      </w:r>
    </w:p>
    <w:p w14:paraId="6AF9D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不扣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分，得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分。</w:t>
      </w:r>
    </w:p>
    <w:p w14:paraId="27CA2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）资产盘活率</w:t>
      </w:r>
    </w:p>
    <w:p w14:paraId="2F74A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根据2024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国有资产报告，2024年本部门无闲置资产，不存在需要盘活的资产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。</w:t>
      </w:r>
    </w:p>
    <w:p w14:paraId="510E1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综上，根据评分标准，该项指标不扣分，得3分。</w:t>
      </w:r>
    </w:p>
    <w:p w14:paraId="1638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采购管理</w:t>
      </w:r>
    </w:p>
    <w:p w14:paraId="0EB79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）支持中小企业发展</w:t>
      </w:r>
    </w:p>
    <w:p w14:paraId="6883E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本部门2024年不涉及政府采购。</w:t>
      </w:r>
    </w:p>
    <w:p w14:paraId="3EB5C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综上，根据评分标准，该项指标不扣分，得3分。</w:t>
      </w:r>
    </w:p>
    <w:p w14:paraId="0EB0D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）采购执行率</w:t>
      </w:r>
    </w:p>
    <w:p w14:paraId="213D6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本部门2024年不涉及政府采购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shd w:val="clear" w:color="auto" w:fill="FFFFFF"/>
          <w:lang w:val="en-US" w:eastAsia="zh-CN"/>
        </w:rPr>
        <w:t>。</w:t>
      </w:r>
    </w:p>
    <w:p w14:paraId="20409418">
      <w:pPr>
        <w:keepNext w:val="0"/>
        <w:keepLines w:val="0"/>
        <w:pageBreakBefore w:val="0"/>
        <w:widowControl w:val="0"/>
        <w:tabs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综上，根据评分标准，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该项指标不扣分，得3分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6F5BFC6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zh-CN"/>
        </w:rPr>
        <w:t>（二）部门预算项目绩效分析</w:t>
      </w:r>
    </w:p>
    <w:p w14:paraId="42A05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常年项目绩效分析。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该类项目总数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68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个，涉及预算总金额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542.91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万元，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执行数为541.26；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—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月预算执行总体进度为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98.63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%，其中：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预算结余率大于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10%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的项目共计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个。</w:t>
      </w:r>
    </w:p>
    <w:p w14:paraId="27778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阶段（一次性）项目绩效分析。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该类项目总数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个，涉及预算总金额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3151.94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万元，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执行数3006.23；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—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月预算执行总体进度为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99.7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%，其中：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预算结余率大于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10%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的项目共计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个。</w:t>
      </w:r>
    </w:p>
    <w:p w14:paraId="091B3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2"/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具体项目完成情况如下：</w:t>
      </w:r>
    </w:p>
    <w:p w14:paraId="51231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（1）人员类项目。包含工资性支出、其他人员支出、单位缴费、离退休费支出、其他补助支出等，绩效目标根据预算一体化自动生成，主要涉及科目调整次数、足额保障率、发放（缴纳）覆盖率、按时发放率、结余率等指标，绩效目标编制科学合理、规范完整、细化量化并与预算安排相匹配。本年度人员类项目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个，年初预算数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433.28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万元，调整预算数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494.14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万元，决算数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493.72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万元，预算执行率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99.65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%。主要用于工资性支出、单位缴费支出、离退休人员经费支出等。</w:t>
      </w:r>
    </w:p>
    <w:p w14:paraId="64E7D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（2）公用经费项目。包含日常公用经费、非定额公用经费、离退休公用和其他运转支出。具体用于培训费、差旅费、机关纪检人员日常公用支出、事业单位离退休人员公用经费支出等。本年度运转类公用经费项目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个，年初预算数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48.77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万元，调整后预算数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48.77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万元，决算数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48.77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万元，执行率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96.62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%，保障了机关的正常运转和离退休人员体检活动的正常开展。</w:t>
      </w:r>
    </w:p>
    <w:p w14:paraId="6C4C3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33"/>
          <w:szCs w:val="33"/>
          <w:highlight w:val="yellow"/>
          <w:shd w:val="clear" w:color="auto" w:fill="FFFFFF"/>
          <w:lang w:val="zh-CN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（3）阶段项目（一次性项目）。年初预算数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2292.28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万元，调整后预算数为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3151.94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万元，决算数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3151.94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万元，执行率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99.7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%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。</w:t>
      </w:r>
    </w:p>
    <w:p w14:paraId="07E8E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2"/>
        <w:rPr>
          <w:rFonts w:hint="eastAsia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</w:pPr>
      <w:r>
        <w:rPr>
          <w:rFonts w:hint="eastAsia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项目决策</w:t>
      </w:r>
    </w:p>
    <w:p w14:paraId="7201B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围绕决策程序</w:t>
      </w:r>
    </w:p>
    <w:p w14:paraId="22BED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本部门预算阶段项目（含一次性项目）总数为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个，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围绕立项必要性、投入经济性、绩效目标合理性、实施方案可行性、筹资合规性等方面进行分析并撰写事前评估报告，均履行事前评估程序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。</w:t>
      </w:r>
    </w:p>
    <w:p w14:paraId="05BA4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综上，根据评分标准，该项指标不扣分，得4分。</w:t>
      </w:r>
    </w:p>
    <w:p w14:paraId="7BFF2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目标设置</w:t>
      </w:r>
    </w:p>
    <w:p w14:paraId="5784D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部门预算项目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绩效目标编制与资金使用内容、范围、方向相关，采用定量表述和定性表述相结合，做到了细化量化。</w:t>
      </w:r>
    </w:p>
    <w:p w14:paraId="03A56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综上，根据评分标准，该项指标不扣分，得4分。</w:t>
      </w:r>
    </w:p>
    <w:p w14:paraId="3435C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项目入库</w:t>
      </w:r>
    </w:p>
    <w:p w14:paraId="4976B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大英县医疗保障局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项目设立按规定履行评估论证、申报程序。入库项目严格按照财政厅相关要求，对出台的重大政策、新增的部门预算阶段项目、年度预算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00万元以上的延续性部门预算阶段项目履行事前绩效评估，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业务部门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需根据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股室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职能职责及年度工作计划提出项目预算概况，填报预算编制报表，经分管领导审批后，报送至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财务处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；事业单位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财务人员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汇总单位预算情况并通过集体决策后报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财务处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，由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财务室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汇总年度预算情况，报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大英县医疗保障局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党组集体决策。</w:t>
      </w:r>
    </w:p>
    <w:p w14:paraId="531ECD69"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default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综上，根据评分标准，该项指标不扣分，得4分。</w:t>
      </w:r>
    </w:p>
    <w:p w14:paraId="0424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2"/>
        <w:rPr>
          <w:rFonts w:hint="eastAsia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</w:pPr>
      <w:r>
        <w:rPr>
          <w:rFonts w:hint="eastAsia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3.项目执行</w:t>
      </w:r>
    </w:p>
    <w:p w14:paraId="68AB2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执行同向</w:t>
      </w:r>
    </w:p>
    <w:p w14:paraId="2430D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预算阶段项目（含一次性项目）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实际列支内容与绩效目标设置方向相符，列支经济科目、功能科目等均相符。</w:t>
      </w:r>
    </w:p>
    <w:p w14:paraId="4BF26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综上，根据评分标准，该项指标不扣分，得4分。</w:t>
      </w:r>
    </w:p>
    <w:p w14:paraId="466AE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项目调整</w:t>
      </w:r>
    </w:p>
    <w:p w14:paraId="39F45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应采取收回预算、调整目标等处置措施的部门预算阶段项目（含一次性项目）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均按照规定程序进行收回和调整。</w:t>
      </w:r>
    </w:p>
    <w:p w14:paraId="13C8F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综上，根据评分标准，该项指标不扣分，得4分。</w:t>
      </w:r>
    </w:p>
    <w:p w14:paraId="30D45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执行结果</w:t>
      </w:r>
    </w:p>
    <w:p w14:paraId="24ECF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本部门预算常年项目总数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68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个，预算结余率小于10%的常年项目数量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个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本部门预算一次性项目和阶段项目总数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个，预算结余率小于10%的一次性项目和阶段项目数量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个。</w:t>
      </w:r>
    </w:p>
    <w:p w14:paraId="376FBDE7">
      <w:pPr>
        <w:pStyle w:val="29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rPr>
          <w:rFonts w:hint="eastAsia" w:ascii="Times New Roman" w:hAnsi="Times New Roman" w:cs="Times New Roman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综上，根据评分标准，该项指标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不扣分，得4分。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。</w:t>
      </w:r>
    </w:p>
    <w:p w14:paraId="61583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2"/>
        <w:rPr>
          <w:rFonts w:hint="eastAsia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</w:pPr>
      <w:r>
        <w:rPr>
          <w:rFonts w:hint="eastAsia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目标实现</w:t>
      </w:r>
    </w:p>
    <w:p w14:paraId="5F5FF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目标完成</w:t>
      </w:r>
    </w:p>
    <w:p w14:paraId="3E7A5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部门预算阶段项目（含一次性项目）总数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个，已完成绩效目标数量指标的部门预算阶段项目（含一次性项目）数量为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个。</w:t>
      </w:r>
    </w:p>
    <w:p w14:paraId="1DF4B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综上，根据评分标准，该项指标不扣分，得4分。</w:t>
      </w:r>
    </w:p>
    <w:p w14:paraId="27B25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目标偏离</w:t>
      </w:r>
    </w:p>
    <w:p w14:paraId="2EBD9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部门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已完成预期指标值的数量指标中偏离度在30%内的指标个数为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个，已完成预期指标值的数量指标个数为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个。</w:t>
      </w:r>
    </w:p>
    <w:p w14:paraId="6AF26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综上，根据评分标准，该项指标不扣分。</w:t>
      </w:r>
    </w:p>
    <w:p w14:paraId="69A41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实现效果</w:t>
      </w:r>
    </w:p>
    <w:p w14:paraId="0A2FB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zh-CN"/>
        </w:rPr>
        <w:t>部门预算阶段项目（含一次性项目）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绩效目标效益指标实施效果较好，均已达到设定指标值。</w:t>
      </w:r>
    </w:p>
    <w:p w14:paraId="38AA3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综上，根据评分标准，该项指标不扣分，得3分</w:t>
      </w:r>
    </w:p>
    <w:p w14:paraId="0D4C9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2"/>
        <w:rPr>
          <w:rFonts w:hint="eastAsia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</w:pPr>
      <w:r>
        <w:rPr>
          <w:rFonts w:hint="eastAsia" w:eastAsia="楷体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default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财务管理</w:t>
      </w:r>
    </w:p>
    <w:p w14:paraId="69AD3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1）</w:t>
      </w: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财务管理制度</w:t>
      </w:r>
    </w:p>
    <w:p w14:paraId="67241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eastAsia="仿宋_GB2312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本部门为进一步规范财务运行，加强财务管理提高财务经费使用效益，根据财政部《行政单位财务规则》及相关财经法规制度，实施部门财务管理工作。</w:t>
      </w:r>
    </w:p>
    <w:p w14:paraId="7A929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cs="Times New Roman"/>
          <w:color w:val="000000"/>
          <w:kern w:val="0"/>
          <w:szCs w:val="32"/>
          <w:highlight w:val="none"/>
          <w:shd w:val="clear" w:color="auto" w:fill="FFFFFF"/>
          <w:lang w:val="en-US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扣1分。</w:t>
      </w:r>
    </w:p>
    <w:p w14:paraId="07FD9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2）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财务岗位设置</w:t>
      </w:r>
    </w:p>
    <w:p w14:paraId="10E27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部门合理设置财务工作岗位，明确职责权限，并严格实行不相容岗位分离，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具体工作分工如下表3-2。</w:t>
      </w:r>
    </w:p>
    <w:p w14:paraId="32C33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16"/>
        <w:tblW w:w="9538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432"/>
        <w:gridCol w:w="6131"/>
      </w:tblGrid>
      <w:tr w14:paraId="570A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D7D7D7" w:themeFill="background1" w:themeFillShade="D8"/>
            <w:vAlign w:val="center"/>
          </w:tcPr>
          <w:p w14:paraId="0775F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32" w:type="dxa"/>
            <w:shd w:val="clear" w:color="auto" w:fill="D7D7D7" w:themeFill="background1" w:themeFillShade="D8"/>
            <w:vAlign w:val="center"/>
          </w:tcPr>
          <w:p w14:paraId="6B445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职务（岗位）</w:t>
            </w:r>
          </w:p>
        </w:tc>
        <w:tc>
          <w:tcPr>
            <w:tcW w:w="6131" w:type="dxa"/>
            <w:shd w:val="clear" w:color="auto" w:fill="D7D7D7" w:themeFill="background1" w:themeFillShade="D8"/>
            <w:vAlign w:val="center"/>
          </w:tcPr>
          <w:p w14:paraId="39759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zh-CN"/>
              </w:rPr>
              <w:t>工作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职责和内容</w:t>
            </w:r>
          </w:p>
        </w:tc>
      </w:tr>
      <w:tr w14:paraId="10CF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6B76D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32" w:type="dxa"/>
            <w:vAlign w:val="center"/>
          </w:tcPr>
          <w:p w14:paraId="15CA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出纳岗</w:t>
            </w:r>
          </w:p>
        </w:tc>
        <w:tc>
          <w:tcPr>
            <w:tcW w:w="6131" w:type="dxa"/>
            <w:vAlign w:val="center"/>
          </w:tcPr>
          <w:p w14:paraId="7015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zh-CN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zh-CN" w:eastAsia="zh-CN"/>
              </w:rPr>
              <w:t>承担人员工资等人员经费发放；医保、养老保险、公积金相关经费的缴纳；经费申请拨付、预算；完成党组领导和部门领导交办的其他工作任务。</w:t>
            </w:r>
          </w:p>
        </w:tc>
      </w:tr>
      <w:tr w14:paraId="57E1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5FDF2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contextualSpacing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6BA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zh-CN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会计岗</w:t>
            </w:r>
          </w:p>
        </w:tc>
        <w:tc>
          <w:tcPr>
            <w:tcW w:w="6131" w:type="dxa"/>
            <w:vAlign w:val="center"/>
          </w:tcPr>
          <w:p w14:paraId="5355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zh-CN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zh-CN" w:eastAsia="zh-CN"/>
              </w:rPr>
              <w:t>经费支出复核；决算、政府财务报告工作；会计核算、决算；代管资金管理；财务相关专项统计；完成党组领导和部门领导交办的其他工作任务。</w:t>
            </w:r>
          </w:p>
        </w:tc>
      </w:tr>
    </w:tbl>
    <w:p w14:paraId="57F7C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contextualSpacing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表3-2 财务工作岗位分工表</w:t>
      </w:r>
    </w:p>
    <w:p w14:paraId="7AD3B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综上，根据评分标准，该项指标不扣分。</w:t>
      </w:r>
    </w:p>
    <w:p w14:paraId="4E71A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3"/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3）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/>
        </w:rPr>
        <w:t>资金使用规范</w:t>
      </w:r>
    </w:p>
    <w:p w14:paraId="7EEED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本部门严格实行逐级审批，各级领导应按权限严把经费审批关，对无预算、超预算开支、开支不明、手续不全虚列开支等情况不予审批。在审批时，须明确签署意见和时间，符合财务管理实施办法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及相关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管理制度规定。</w:t>
      </w:r>
    </w:p>
    <w:p w14:paraId="23C2628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sz w:val="32"/>
          <w:szCs w:val="32"/>
          <w:lang w:val="zh-CN" w:eastAsia="zh-CN"/>
        </w:rPr>
        <w:t>）绩效结果应用情况</w:t>
      </w:r>
    </w:p>
    <w:p w14:paraId="59150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本部门</w:t>
      </w:r>
      <w:r>
        <w:rPr>
          <w:rFonts w:hint="default" w:ascii="Times New Roman" w:hAnsi="Times New Roman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财政预算项目自觉接受财政、审计等监督部门开展的重点绩效评价，评价结果作为以后年度重点项目资金预算安排的参考依据。对预算编制不精准、绩效评价结果为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或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合格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的重点项目，核减项目实施单位下年度同类项目资金安排。对绩效评价不合格的重点项目，直接取消项目实施单位下年度同类财政项目资金的预算安排。</w:t>
      </w:r>
    </w:p>
    <w:p w14:paraId="5448F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  <w:shd w:val="clear" w:color="auto" w:fill="FFFFFF"/>
          <w:lang w:eastAsia="zh-CN"/>
        </w:rPr>
      </w:pPr>
      <w:r>
        <w:rPr>
          <w:rFonts w:hint="eastAsia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部门严格按照</w:t>
      </w:r>
      <w:r>
        <w:rPr>
          <w:rFonts w:hint="eastAsia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相关要求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将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经批复的项目绩效目标、绩效评价结果按规定向社会公开。同时，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年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在门户网站上公开的</w:t>
      </w:r>
      <w:r>
        <w:rPr>
          <w:rFonts w:hint="eastAsia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2024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shd w:val="clear" w:color="auto" w:fill="FFFFFF"/>
          <w:lang w:val="zh-CN" w:eastAsia="zh-CN"/>
        </w:rPr>
        <w:t>年部门预算说明中同步公开绩效目标。</w:t>
      </w:r>
    </w:p>
    <w:p w14:paraId="16FE1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本部门</w:t>
      </w:r>
      <w:r>
        <w:rPr>
          <w:rFonts w:hint="eastAsia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2024年未接受过审计监督、监督检查等工作，不涉及整改。</w:t>
      </w:r>
    </w:p>
    <w:p w14:paraId="7DBA7261">
      <w:pPr>
        <w:pStyle w:val="19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3" w:firstLineChars="200"/>
        <w:textAlignment w:val="auto"/>
        <w:rPr>
          <w:rFonts w:hint="default"/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en-US" w:eastAsia="zh-CN"/>
        </w:rPr>
        <w:t>四、</w:t>
      </w:r>
      <w:r>
        <w:rPr>
          <w:rFonts w:hint="default"/>
          <w:sz w:val="32"/>
          <w:szCs w:val="32"/>
          <w:lang w:val="zh-CN"/>
        </w:rPr>
        <w:t>评价结论及建议</w:t>
      </w:r>
    </w:p>
    <w:p w14:paraId="0DC0984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zh-CN"/>
        </w:rPr>
        <w:t>（一）评价结论</w:t>
      </w:r>
    </w:p>
    <w:p w14:paraId="60F28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本部门履职效果和预算管理效果较好，财务管理、资产管理、采购管理规范，项目决策程序严格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，项目执行</w:t>
      </w:r>
      <w:r>
        <w:rPr>
          <w:rFonts w:hint="eastAsia" w:ascii="Times New Roman" w:hAnsi="Times New Roman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进度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和</w:t>
      </w:r>
      <w:r>
        <w:rPr>
          <w:rFonts w:hint="eastAsia" w:ascii="Times New Roman" w:hAnsi="Times New Roman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绩效目标实现程度良好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，严格按照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《大财发号关于开展2025年度部门、项目、政策支出绩效自评工作的通知》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（</w:t>
      </w:r>
      <w:r>
        <w:rPr>
          <w:rFonts w:hint="eastAsia"/>
          <w:snapToGrid w:val="0"/>
          <w:lang w:val="en-US" w:eastAsia="zh-CN"/>
        </w:rPr>
        <w:t>大</w:t>
      </w:r>
      <w:r>
        <w:rPr>
          <w:snapToGrid w:val="0"/>
        </w:rPr>
        <w:t>财</w:t>
      </w:r>
      <w:r>
        <w:rPr>
          <w:rFonts w:hint="eastAsia"/>
          <w:snapToGrid w:val="0"/>
          <w:lang w:val="en-US" w:eastAsia="zh-CN"/>
        </w:rPr>
        <w:t>发</w:t>
      </w:r>
      <w:r>
        <w:rPr>
          <w:snapToGrid w:val="0"/>
        </w:rPr>
        <w:t>〔202</w:t>
      </w:r>
      <w:r>
        <w:rPr>
          <w:rFonts w:hint="eastAsia"/>
          <w:snapToGrid w:val="0"/>
          <w:lang w:val="en-US" w:eastAsia="zh-CN"/>
        </w:rPr>
        <w:t>5</w:t>
      </w:r>
      <w:r>
        <w:rPr>
          <w:snapToGrid w:val="0"/>
          <w:highlight w:val="none"/>
        </w:rPr>
        <w:t>〕</w:t>
      </w:r>
      <w:r>
        <w:rPr>
          <w:rFonts w:hint="eastAsia"/>
          <w:snapToGrid w:val="0"/>
          <w:highlight w:val="none"/>
          <w:lang w:val="en-US" w:eastAsia="zh-CN"/>
        </w:rPr>
        <w:t>93</w:t>
      </w:r>
      <w:r>
        <w:rPr>
          <w:snapToGrid w:val="0"/>
        </w:rPr>
        <w:t>号</w:t>
      </w:r>
      <w:r>
        <w:rPr>
          <w:rFonts w:hint="eastAsia"/>
          <w:snapToGrid w:val="0"/>
          <w:lang w:eastAsia="zh-CN"/>
        </w:rPr>
        <w:t>）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要求，完成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一般公共预算</w:t>
      </w:r>
      <w:r>
        <w:rPr>
          <w:rFonts w:hint="eastAsia" w:ascii="Times New Roman" w:hAnsi="Times New Roman"/>
          <w:sz w:val="32"/>
          <w:szCs w:val="32"/>
          <w:lang w:val="en-US" w:eastAsia="zh-CN" w:bidi="ar"/>
        </w:rPr>
        <w:t>和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阶段性（一次性）</w:t>
      </w:r>
      <w:r>
        <w:rPr>
          <w:rFonts w:ascii="Times New Roman" w:hAnsi="Times New Roman" w:eastAsia="仿宋_GB2312"/>
          <w:sz w:val="32"/>
          <w:szCs w:val="32"/>
          <w:lang w:bidi="ar"/>
        </w:rPr>
        <w:t>项目绩效目标</w:t>
      </w:r>
      <w:r>
        <w:rPr>
          <w:rFonts w:hint="eastAsia" w:ascii="Times New Roman" w:hAnsi="Times New Roman"/>
          <w:sz w:val="32"/>
          <w:szCs w:val="32"/>
          <w:lang w:val="en-US" w:eastAsia="zh-CN" w:bidi="ar"/>
        </w:rPr>
        <w:t>自评表的填报，完成专项预算项目</w:t>
      </w:r>
      <w:r>
        <w:rPr>
          <w:rFonts w:ascii="Times New Roman" w:hAnsi="Times New Roman" w:eastAsia="仿宋_GB2312"/>
          <w:sz w:val="32"/>
          <w:szCs w:val="32"/>
          <w:lang w:bidi="ar"/>
        </w:rPr>
        <w:t>（</w:t>
      </w:r>
      <w:r>
        <w:rPr>
          <w:rFonts w:ascii="Times New Roman" w:hAnsi="Times New Roman" w:eastAsia="仿宋_GB2312"/>
          <w:sz w:val="32"/>
          <w:szCs w:val="32"/>
          <w:highlight w:val="none"/>
          <w:lang w:bidi="ar"/>
        </w:rPr>
        <w:t>含中央转移支付）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 w:bidi="ar"/>
        </w:rPr>
        <w:t>自评工作，</w:t>
      </w:r>
      <w:r>
        <w:rPr>
          <w:rFonts w:ascii="Times New Roman" w:hAnsi="Times New Roman" w:eastAsia="仿宋_GB2312"/>
          <w:sz w:val="32"/>
          <w:szCs w:val="32"/>
          <w:highlight w:val="none"/>
          <w:lang w:bidi="ar"/>
        </w:rPr>
        <w:t>实现部门预算项目自评全覆盖。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根据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部门整体支出绩效评价指标体系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》，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本部门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年度自评得分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为96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分。</w:t>
      </w:r>
    </w:p>
    <w:tbl>
      <w:tblPr>
        <w:tblStyle w:val="15"/>
        <w:tblpPr w:leftFromText="180" w:rightFromText="180" w:vertAnchor="text" w:horzAnchor="page" w:tblpX="710" w:tblpY="425"/>
        <w:tblOverlap w:val="never"/>
        <w:tblW w:w="10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62"/>
        <w:gridCol w:w="1665"/>
        <w:gridCol w:w="720"/>
        <w:gridCol w:w="4734"/>
        <w:gridCol w:w="756"/>
        <w:gridCol w:w="478"/>
      </w:tblGrid>
      <w:tr w14:paraId="2B3A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绩效评价指标分值</w:t>
            </w:r>
          </w:p>
        </w:tc>
        <w:tc>
          <w:tcPr>
            <w:tcW w:w="4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34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C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7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1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2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2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7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总体绩效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（56分）</w:t>
            </w:r>
          </w:p>
          <w:p w14:paraId="5B52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履职效能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行政事业单位退休职工大病补充医疗保险费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F2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城乡居民医疗救助金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1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1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6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公用经费，工资等基本支出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2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CB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居民医保基金县级补助经费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2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C2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做好省级统筹准备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2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F6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预算管理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（31分）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预算编制质量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部门是否严格按要求编制年初部门预算，年初预算编制的科学性和准确性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8770" cy="59690"/>
                  <wp:effectExtent l="0" t="0" r="5080" b="1651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5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7A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1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支出执行进度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部门1至6月、1至10月预算执行情况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8F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6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9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预算年终结余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部门整体年终预算结余情况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C5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6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3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严控一般性支出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部门严控“三公”经费、会议、培训、差旅、办节办展、办公设备购置、信息网络及软件购置更新、课题经费等8项一般性支出情况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CE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人均资产变化率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部门人均资产变化情况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42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资产利用率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部门资产超最低使用年限情况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A1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资产盘活率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部门闲置一年以上的资产盘活情况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3F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采购管理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支持中小企业发展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部门是否严格执行政府采购促进中小企业发展相关管理办法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E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9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采购执行率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部门政府采购项目资金支付比例情况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D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项目绩效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C3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项目决策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决策程序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部门预算项目设立是否按规定履行评估论证、申报程序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D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35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目标设置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部门预算项目绩效目标与计划期内的任务量、预算安排的资金量匹配情况，绩效目标设置是否科学合理、规范完整、量化细化、预算匹配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B4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644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项目入库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部门预算项目是否在规定时间完成项目入库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AF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B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项目执行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执行同向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部门预算项目实际列支内容是否与绩效目标设置方向相符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8E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F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5FE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B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项目调整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部门预算项目是否采取对应调整措施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3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7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30B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执行结果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部门预算项目预算执行情况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FF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目标实现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（17分）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目标完成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部门预算项目绩效目标数量指标完成情况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1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F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目标偏离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部门预算项目绩效目标数量指标实现程度与预期目标的偏离情况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24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B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实现效果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部门预算项目绩效目标效益指标实施效果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13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财务管理制度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部门财务管理制度建立情况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2B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财务岗位设置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部门财务岗位设置是否符合相关财务管理制度要求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66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资金使用规范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部门资金使用是否符合相关财务管理制度规定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9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预算绩效存在问题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预算管理和绩效管理工作存在问题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4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扣分项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被评价部门配合度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被评价对象工作配合情况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396D6F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表4-1 评价得分简表</w:t>
      </w:r>
    </w:p>
    <w:p w14:paraId="34886FC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zh-CN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sz w:val="32"/>
          <w:szCs w:val="32"/>
          <w:lang w:val="zh-CN"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发现问题</w:t>
      </w:r>
    </w:p>
    <w:p w14:paraId="5CA92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t>一是人均资产变化率超标；二是财务制度不健全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未建立部门内部绩效结果与预算挂钩制度</w:t>
      </w:r>
      <w:r>
        <w:rPr>
          <w:rFonts w:hint="eastAsia" w:cs="Times New Roman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  <w:t>；</w:t>
      </w:r>
    </w:p>
    <w:p w14:paraId="303079C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zh-CN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zh-CN" w:eastAsia="zh-CN"/>
        </w:rPr>
        <w:t>（三）改进建议</w:t>
      </w:r>
    </w:p>
    <w:p w14:paraId="7E393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3"/>
          <w:szCs w:val="33"/>
          <w:highlight w:val="none"/>
          <w:lang w:val="en-US" w:eastAsia="zh-CN"/>
        </w:rPr>
      </w:pPr>
      <w:r>
        <w:rPr>
          <w:rFonts w:hint="eastAsia" w:cs="Times New Roman"/>
          <w:lang w:val="en-US" w:eastAsia="zh-CN"/>
        </w:rPr>
        <w:t>一是严格按照固定资产管理条例建立固定资产管理制度及台账，控制人均资产变化率；二是</w:t>
      </w:r>
      <w:r>
        <w:rPr>
          <w:rFonts w:hint="default" w:ascii="Times New Roman" w:hAnsi="Times New Roman" w:cs="Times New Roman"/>
          <w:lang w:val="en-US" w:eastAsia="zh-CN"/>
        </w:rPr>
        <w:t>建立</w:t>
      </w:r>
      <w:r>
        <w:rPr>
          <w:rFonts w:hint="eastAsia" w:cs="Times New Roman"/>
          <w:lang w:val="en-US" w:eastAsia="zh-CN"/>
        </w:rPr>
        <w:t>我单位</w:t>
      </w:r>
      <w:r>
        <w:rPr>
          <w:rFonts w:hint="eastAsia" w:ascii="Times New Roman" w:hAnsi="Times New Roman" w:cs="Times New Roman"/>
          <w:lang w:val="en-US" w:eastAsia="zh-CN"/>
        </w:rPr>
        <w:t>内部</w:t>
      </w:r>
      <w:r>
        <w:rPr>
          <w:rFonts w:hint="default" w:ascii="Times New Roman" w:hAnsi="Times New Roman" w:cs="Times New Roman"/>
          <w:lang w:val="en-US" w:eastAsia="zh-CN"/>
        </w:rPr>
        <w:t>绩效评价结果与预算挂钩机制。对评价等级为优秀和良好（评分100～80）的</w:t>
      </w:r>
      <w:r>
        <w:rPr>
          <w:rFonts w:hint="eastAsia" w:ascii="Times New Roman" w:hAnsi="Times New Roman" w:cs="Times New Roman"/>
          <w:lang w:val="en-US" w:eastAsia="zh-CN"/>
        </w:rPr>
        <w:t>项目</w:t>
      </w:r>
      <w:r>
        <w:rPr>
          <w:rFonts w:hint="default" w:ascii="Times New Roman" w:hAnsi="Times New Roman" w:cs="Times New Roman"/>
          <w:lang w:val="en-US" w:eastAsia="zh-CN"/>
        </w:rPr>
        <w:t>，根据需要和财力给予优先保障；对评价等级为一般和差（评分80以下）的</w:t>
      </w:r>
      <w:r>
        <w:rPr>
          <w:rFonts w:hint="eastAsia" w:ascii="Times New Roman" w:hAnsi="Times New Roman" w:cs="Times New Roman"/>
          <w:lang w:val="en-US" w:eastAsia="zh-CN"/>
        </w:rPr>
        <w:t>项目</w:t>
      </w:r>
      <w:r>
        <w:rPr>
          <w:rFonts w:hint="default" w:ascii="Times New Roman" w:hAnsi="Times New Roman" w:cs="Times New Roman"/>
          <w:lang w:val="en-US" w:eastAsia="zh-CN"/>
        </w:rPr>
        <w:t>，根据情况核减或取消预算。同时，“暂行办法”明确，对使用财政资金严重低效无效并造成重大损失的责任人，要按照相关规定追责问责。充分发挥预算绩效管理成果对改进项目管理、制定和调整政策、优化资源配置的作用，切实提升</w:t>
      </w:r>
      <w:r>
        <w:rPr>
          <w:rFonts w:hint="eastAsia" w:cs="Times New Roman"/>
          <w:lang w:val="en-US" w:eastAsia="zh-CN"/>
        </w:rPr>
        <w:t>我单位</w:t>
      </w:r>
      <w:r>
        <w:rPr>
          <w:rFonts w:hint="default" w:ascii="Times New Roman" w:hAnsi="Times New Roman" w:cs="Times New Roman"/>
          <w:lang w:val="en-US" w:eastAsia="zh-CN"/>
        </w:rPr>
        <w:t>的预算管理水平和履职能力，提高资金使用效益和政策</w:t>
      </w:r>
      <w:r>
        <w:rPr>
          <w:rFonts w:hint="eastAsia" w:ascii="Times New Roman" w:hAnsi="Times New Roman" w:cs="Times New Roman"/>
          <w:lang w:val="en-US" w:eastAsia="zh-CN"/>
        </w:rPr>
        <w:t>、项目</w:t>
      </w:r>
      <w:r>
        <w:rPr>
          <w:rFonts w:hint="default" w:ascii="Times New Roman" w:hAnsi="Times New Roman" w:cs="Times New Roman"/>
          <w:lang w:val="en-US" w:eastAsia="zh-CN"/>
        </w:rPr>
        <w:t>实施效果</w:t>
      </w:r>
      <w:r>
        <w:rPr>
          <w:rFonts w:hint="eastAsia" w:cs="Times New Roman"/>
          <w:lang w:val="en-US" w:eastAsia="zh-CN"/>
        </w:rPr>
        <w:t>。</w:t>
      </w:r>
    </w:p>
    <w:p w14:paraId="1E86361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63" w:firstLineChars="200"/>
        <w:textAlignment w:val="auto"/>
        <w:rPr>
          <w:rFonts w:hint="eastAsia" w:ascii="Times New Roman" w:hAnsi="Times New Roman" w:cs="Times New Roman"/>
          <w:color w:val="000000"/>
          <w:kern w:val="0"/>
          <w:sz w:val="33"/>
          <w:szCs w:val="33"/>
          <w:highlight w:val="none"/>
          <w:shd w:val="clear" w:color="auto" w:fill="FFFFFF"/>
          <w:lang w:val="en-US" w:eastAsia="zh-CN"/>
        </w:rPr>
      </w:pPr>
    </w:p>
    <w:p w14:paraId="0F413AA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4"/>
          <w:lang w:val="en-US" w:eastAsia="zh-CN" w:bidi="ar-SA"/>
        </w:rPr>
        <w:t>附件：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24"/>
          <w:lang w:val="en-US" w:eastAsia="zh-CN" w:bidi="ar-SA"/>
        </w:rPr>
        <w:t>部门整体支出绩效目标完成情况自评表</w:t>
      </w:r>
    </w:p>
    <w:p w14:paraId="3AAE11B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24"/>
          <w:lang w:val="en-US" w:eastAsia="zh-CN" w:bidi="ar-SA"/>
        </w:rPr>
      </w:pPr>
    </w:p>
    <w:p w14:paraId="38F1EE5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24"/>
          <w:lang w:val="en-US" w:eastAsia="zh-CN" w:bidi="ar-SA"/>
        </w:rPr>
      </w:pPr>
    </w:p>
    <w:p w14:paraId="3B067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大英县医疗保障局</w:t>
      </w:r>
    </w:p>
    <w:p w14:paraId="2017D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2025年6月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23249D3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66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33"/>
          <w:szCs w:val="33"/>
          <w:highlight w:val="none"/>
          <w:shd w:val="clear" w:color="auto" w:fill="FFFFFF"/>
          <w:lang w:val="en-US" w:eastAsia="zh-CN"/>
        </w:rPr>
        <w:br w:type="page"/>
      </w:r>
    </w:p>
    <w:tbl>
      <w:tblPr>
        <w:tblStyle w:val="15"/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9"/>
        <w:gridCol w:w="1347"/>
        <w:gridCol w:w="1273"/>
        <w:gridCol w:w="2013"/>
        <w:gridCol w:w="917"/>
        <w:gridCol w:w="933"/>
        <w:gridCol w:w="1000"/>
        <w:gridCol w:w="655"/>
        <w:gridCol w:w="1113"/>
      </w:tblGrid>
      <w:tr w14:paraId="0EBC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10560" w:type="dxa"/>
            <w:gridSpan w:val="9"/>
            <w:shd w:val="clear" w:color="auto" w:fill="auto"/>
            <w:vAlign w:val="center"/>
          </w:tcPr>
          <w:p w14:paraId="11DE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部门整体支出绩效目标完成情况自评表</w:t>
            </w:r>
          </w:p>
        </w:tc>
      </w:tr>
      <w:tr w14:paraId="145C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9"/>
            <w:shd w:val="clear" w:color="auto" w:fill="auto"/>
            <w:vAlign w:val="center"/>
          </w:tcPr>
          <w:p w14:paraId="57B3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  <w:tr w14:paraId="6B36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F6F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6C7A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部门名称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大英县医疗保障局</w:t>
            </w:r>
          </w:p>
        </w:tc>
      </w:tr>
      <w:tr w14:paraId="6988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年度部门整体支出预算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资金总额</w:t>
            </w:r>
          </w:p>
        </w:tc>
        <w:tc>
          <w:tcPr>
            <w:tcW w:w="2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财政拨款</w:t>
            </w:r>
          </w:p>
        </w:tc>
        <w:tc>
          <w:tcPr>
            <w:tcW w:w="3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0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其他资金</w:t>
            </w:r>
          </w:p>
        </w:tc>
      </w:tr>
      <w:tr w14:paraId="44E2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4820418.83</w:t>
            </w:r>
          </w:p>
        </w:tc>
        <w:tc>
          <w:tcPr>
            <w:tcW w:w="2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4820418.83</w:t>
            </w:r>
          </w:p>
        </w:tc>
        <w:tc>
          <w:tcPr>
            <w:tcW w:w="3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0.00</w:t>
            </w:r>
          </w:p>
        </w:tc>
      </w:tr>
      <w:tr w14:paraId="6BD5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年度总体</w:t>
            </w:r>
          </w:p>
          <w:p w14:paraId="0E1D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目标</w:t>
            </w:r>
          </w:p>
        </w:tc>
        <w:tc>
          <w:tcPr>
            <w:tcW w:w="9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一、确保2024年度城乡居民医保应保尽保。</w:t>
            </w:r>
          </w:p>
          <w:p w14:paraId="3D43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二、落实特困人员、低保对象、防止返贫监测对象参保率100%.</w:t>
            </w:r>
          </w:p>
          <w:p w14:paraId="7B1F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三、确保城乡居民基本医疗保险政策范围内的住院报销达到70%；城镇职工基本医疗政策范围内的住院报销比例达到81%。</w:t>
            </w:r>
          </w:p>
          <w:p w14:paraId="3568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四、做好省级统筹准备</w:t>
            </w:r>
          </w:p>
          <w:p w14:paraId="5311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五、确保参保人员门诊慢性特殊疾病和“两病”人员待遇。</w:t>
            </w:r>
          </w:p>
          <w:p w14:paraId="307F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六、全力推动医疗保障政策宣讲，全面提高群众知晓度。</w:t>
            </w:r>
          </w:p>
          <w:p w14:paraId="70BD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七、持续强化医保基金监管，全力提升经办服务水平。</w:t>
            </w:r>
          </w:p>
        </w:tc>
      </w:tr>
      <w:tr w14:paraId="0FDA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年度主要</w:t>
            </w:r>
          </w:p>
          <w:p w14:paraId="4B9DD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任务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任务名称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主要内容</w:t>
            </w:r>
          </w:p>
        </w:tc>
      </w:tr>
      <w:tr w14:paraId="6D20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行政事业单位退休职工大病补充医疗保险费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补充医疗保险费用于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决基本医疗保险的大额医疗费用,化解部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职工高额医疗风险</w:t>
            </w:r>
          </w:p>
        </w:tc>
      </w:tr>
      <w:tr w14:paraId="29DF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城乡居民医疗救助金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城乡居民医疗救助金用于全县城乡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民参保人员困难群众医疗救助资金</w:t>
            </w:r>
          </w:p>
        </w:tc>
      </w:tr>
      <w:tr w14:paraId="0EC6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公用经费，工资等基本支出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职工工资支付，基本运转公用经费支付。</w:t>
            </w:r>
          </w:p>
        </w:tc>
      </w:tr>
      <w:tr w14:paraId="6D3B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居民医保基金县级补助经费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按文件中央和省、市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县级补助费用于提高我县城乡居民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基本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医疗保险比例有力保障我县城乡居民医疗保险事业科学发展</w:t>
            </w:r>
          </w:p>
        </w:tc>
      </w:tr>
      <w:tr w14:paraId="3835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做好省级统筹准备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对标对表，主动查找目前我县医保工作开展中的不足，及时补齐短板，及时推进基本医疗保险省级统筹</w:t>
            </w:r>
          </w:p>
        </w:tc>
      </w:tr>
      <w:tr w14:paraId="74F7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完成参保征收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务，加大政策宣传力度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居民医保参保工作经费用于巩固参保目标,确保应保尽保积级引导城乡居民缴费参保,享受惠民政策,落实工作经费</w:t>
            </w:r>
          </w:p>
        </w:tc>
      </w:tr>
      <w:tr w14:paraId="7257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年度绩效</w:t>
            </w:r>
          </w:p>
          <w:p w14:paraId="1841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一级指标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二级指标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三级指标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绩效指标</w:t>
            </w:r>
          </w:p>
          <w:p w14:paraId="1062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性质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绩效指标值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绩效度量单位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2A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权重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实际完成</w:t>
            </w:r>
          </w:p>
          <w:p w14:paraId="3EB7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指标值</w:t>
            </w:r>
          </w:p>
        </w:tc>
      </w:tr>
      <w:tr w14:paraId="42E8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产出指标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数量指标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促成意向合作项目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3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370000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370000</w:t>
            </w:r>
          </w:p>
        </w:tc>
      </w:tr>
      <w:tr w14:paraId="7B44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平台科技工作者累计注册数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</w:tr>
      <w:tr w14:paraId="2D9E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评选发布宣传年度“最美科技工作者”人数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370000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370000</w:t>
            </w:r>
          </w:p>
        </w:tc>
      </w:tr>
      <w:tr w14:paraId="1FBA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实体馆年观众量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40</w:t>
            </w:r>
          </w:p>
        </w:tc>
      </w:tr>
      <w:tr w14:paraId="4D95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召开代表大会次数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≤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40000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40000</w:t>
            </w:r>
          </w:p>
        </w:tc>
      </w:tr>
      <w:tr w14:paraId="1B91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组建天府科技云专家服务团队数量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3850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3850</w:t>
            </w:r>
          </w:p>
        </w:tc>
      </w:tr>
      <w:tr w14:paraId="3BFB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质量指标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居民医保基金县级补助分担准确率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B82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时效指标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居民医保基金县级补助分担及时率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</w:tr>
      <w:tr w14:paraId="088F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社会效益指标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居民医保基金县级补助分担经费应补尽补率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</w:tr>
      <w:tr w14:paraId="6688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2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可持续影响指标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城乡居民参保人员满意度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90</w:t>
            </w:r>
          </w:p>
        </w:tc>
      </w:tr>
      <w:tr w14:paraId="4783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服务对象满意度指标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参与科普和学风宣讲活动人群满意度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≥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80</w:t>
            </w:r>
          </w:p>
        </w:tc>
      </w:tr>
      <w:tr w14:paraId="4AEB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经济成本指标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城乡居民参保网络宣传网络维护成本预算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78000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元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78000</w:t>
            </w:r>
          </w:p>
        </w:tc>
      </w:tr>
      <w:tr w14:paraId="54E5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城乡居民医保参保工作经费发放成本预算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360000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元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360000</w:t>
            </w:r>
          </w:p>
        </w:tc>
      </w:tr>
      <w:tr w14:paraId="7011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基本支出全年预算成本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4820418.83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元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4820418.83</w:t>
            </w:r>
          </w:p>
        </w:tc>
      </w:tr>
      <w:tr w14:paraId="5E33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居民医保基金县级补助分担经费成本预算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20637800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元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20637800</w:t>
            </w:r>
          </w:p>
        </w:tc>
      </w:tr>
      <w:tr w14:paraId="21C1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全县城乡居民困难群众救助预算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1000000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元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1000000</w:t>
            </w:r>
          </w:p>
        </w:tc>
      </w:tr>
      <w:tr w14:paraId="5450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行政事业单位退休职工大病补充医疗保险购买成本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847000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元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847000</w:t>
            </w:r>
          </w:p>
        </w:tc>
      </w:tr>
    </w:tbl>
    <w:p w14:paraId="6674EA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101E8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13EA1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232894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7ACF5C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7F2B49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4110FE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2717D8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167882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1D0D73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524C7D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2997BB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6201F3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518AE9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5DA55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4BDE4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6662B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3B5FDB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03BE75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0BFD0E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2DF3AC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6E62F0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00280D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53B31A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623DE3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6E7F0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0649F9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78AE2B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13342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4D73E0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44D7AE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6797D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353383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2991A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325094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26FD1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0B1789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58B20B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693D4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09D36F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142322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21BC1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26A2BA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72B90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7192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</w:p>
    <w:p w14:paraId="7D899738">
      <w:pPr>
        <w:pBdr>
          <w:top w:val="single" w:color="auto" w:sz="4" w:space="1"/>
          <w:bottom w:val="single" w:color="auto" w:sz="4" w:space="1"/>
        </w:pBdr>
        <w:spacing w:line="600" w:lineRule="exact"/>
        <w:rPr>
          <w:rFonts w:hint="default" w:ascii="仿宋_GB2312" w:hAnsi="仿宋_GB2312" w:eastAsia="仿宋_GB2312" w:cs="仿宋_GB2312"/>
          <w:b w:val="0"/>
          <w:bCs w:val="0"/>
          <w:kern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大英县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医疗保障局办公室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41" w:right="1474" w:bottom="1701" w:left="1587" w:header="851" w:footer="1417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90713F7-149C-44F7-AC3F-D96129B9114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6C0D55-B015-4121-AF0E-AC1A8FC431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8F6E7A-D531-46CC-8361-89D2D23433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00DF96-F2E8-465C-92F3-E7851345D6EF}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C373DEF-820F-44C7-9269-F592CC3DAB5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F6C6014-2F98-4AE5-B9B4-791B87175A1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80C6FBEB-43AD-4F40-BB6D-C1CA2811DA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457E6820-5B85-4232-B02E-5246AE1BB47E}"/>
  </w:font>
  <w:font w:name="WPSEMBED2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C2BA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8288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982888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9E570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74"/>
    <w:rsid w:val="00006E4D"/>
    <w:rsid w:val="00021652"/>
    <w:rsid w:val="00030311"/>
    <w:rsid w:val="00030782"/>
    <w:rsid w:val="00030B66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77AAF"/>
    <w:rsid w:val="00183850"/>
    <w:rsid w:val="00184D9F"/>
    <w:rsid w:val="001A4749"/>
    <w:rsid w:val="001A4842"/>
    <w:rsid w:val="001A5833"/>
    <w:rsid w:val="001C048E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23CE"/>
    <w:rsid w:val="003F5EB7"/>
    <w:rsid w:val="003F7FE2"/>
    <w:rsid w:val="004004E7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42AB7"/>
    <w:rsid w:val="0055358D"/>
    <w:rsid w:val="005540C8"/>
    <w:rsid w:val="00555809"/>
    <w:rsid w:val="00562165"/>
    <w:rsid w:val="005714C6"/>
    <w:rsid w:val="005756AF"/>
    <w:rsid w:val="00575A4A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732A1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A1D15"/>
    <w:rsid w:val="00AB7996"/>
    <w:rsid w:val="00AC43C3"/>
    <w:rsid w:val="00AE2EAD"/>
    <w:rsid w:val="00AF77BE"/>
    <w:rsid w:val="00B07483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345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E1BE7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EF45B7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13C246A"/>
    <w:rsid w:val="01AF70E0"/>
    <w:rsid w:val="01E50D53"/>
    <w:rsid w:val="01EF3980"/>
    <w:rsid w:val="02197887"/>
    <w:rsid w:val="02895B83"/>
    <w:rsid w:val="02982F34"/>
    <w:rsid w:val="02EB4148"/>
    <w:rsid w:val="0300236B"/>
    <w:rsid w:val="032D650E"/>
    <w:rsid w:val="0374413D"/>
    <w:rsid w:val="03EA43FF"/>
    <w:rsid w:val="03EE2141"/>
    <w:rsid w:val="0405071D"/>
    <w:rsid w:val="0482288A"/>
    <w:rsid w:val="04BA371A"/>
    <w:rsid w:val="04DF5F2E"/>
    <w:rsid w:val="05777F14"/>
    <w:rsid w:val="05791EDF"/>
    <w:rsid w:val="05B04764"/>
    <w:rsid w:val="06197802"/>
    <w:rsid w:val="0623356C"/>
    <w:rsid w:val="06606BFB"/>
    <w:rsid w:val="066F06B5"/>
    <w:rsid w:val="066F5CA7"/>
    <w:rsid w:val="071F2612"/>
    <w:rsid w:val="074D53D1"/>
    <w:rsid w:val="07C5140B"/>
    <w:rsid w:val="07F700E8"/>
    <w:rsid w:val="083B791F"/>
    <w:rsid w:val="08EC41AE"/>
    <w:rsid w:val="094C7E6E"/>
    <w:rsid w:val="09DE78F8"/>
    <w:rsid w:val="0A0D52EB"/>
    <w:rsid w:val="0AFB1BDE"/>
    <w:rsid w:val="0B183F48"/>
    <w:rsid w:val="0BC55E54"/>
    <w:rsid w:val="0C3721AC"/>
    <w:rsid w:val="0C580AA0"/>
    <w:rsid w:val="0CB73D50"/>
    <w:rsid w:val="0CCD1BC1"/>
    <w:rsid w:val="0CEE31B2"/>
    <w:rsid w:val="0D177524"/>
    <w:rsid w:val="0D5079C9"/>
    <w:rsid w:val="0D676AC1"/>
    <w:rsid w:val="0DB241E0"/>
    <w:rsid w:val="0DC31556"/>
    <w:rsid w:val="0DC944DB"/>
    <w:rsid w:val="0DDA1988"/>
    <w:rsid w:val="0DE454AF"/>
    <w:rsid w:val="0DE466CF"/>
    <w:rsid w:val="0E272D67"/>
    <w:rsid w:val="0E5B4877"/>
    <w:rsid w:val="0E5D73A8"/>
    <w:rsid w:val="0EED7EFD"/>
    <w:rsid w:val="0EF34AB0"/>
    <w:rsid w:val="0F5117D6"/>
    <w:rsid w:val="0F7000E3"/>
    <w:rsid w:val="0FE91A0F"/>
    <w:rsid w:val="10250CCD"/>
    <w:rsid w:val="10524731"/>
    <w:rsid w:val="10596B94"/>
    <w:rsid w:val="10A2678D"/>
    <w:rsid w:val="10AA1950"/>
    <w:rsid w:val="10F14A8A"/>
    <w:rsid w:val="12744159"/>
    <w:rsid w:val="12816876"/>
    <w:rsid w:val="130A23C8"/>
    <w:rsid w:val="134F4609"/>
    <w:rsid w:val="13785584"/>
    <w:rsid w:val="13B567D8"/>
    <w:rsid w:val="13C53D60"/>
    <w:rsid w:val="13D749A0"/>
    <w:rsid w:val="1453780A"/>
    <w:rsid w:val="145558C5"/>
    <w:rsid w:val="1459163A"/>
    <w:rsid w:val="149F2FE4"/>
    <w:rsid w:val="14BA7E1E"/>
    <w:rsid w:val="155B0F02"/>
    <w:rsid w:val="15A308B2"/>
    <w:rsid w:val="15F86E50"/>
    <w:rsid w:val="16F119F4"/>
    <w:rsid w:val="1700420E"/>
    <w:rsid w:val="17544559"/>
    <w:rsid w:val="17842D50"/>
    <w:rsid w:val="17F51899"/>
    <w:rsid w:val="1816180F"/>
    <w:rsid w:val="188411C6"/>
    <w:rsid w:val="18D5309D"/>
    <w:rsid w:val="18ED2570"/>
    <w:rsid w:val="193006AE"/>
    <w:rsid w:val="19A075E2"/>
    <w:rsid w:val="1A1104E0"/>
    <w:rsid w:val="1A3D3CA6"/>
    <w:rsid w:val="1A3D6143"/>
    <w:rsid w:val="1A78230D"/>
    <w:rsid w:val="1A8A3DEE"/>
    <w:rsid w:val="1BBF7E22"/>
    <w:rsid w:val="1C013801"/>
    <w:rsid w:val="1C0E2F29"/>
    <w:rsid w:val="1C2D7127"/>
    <w:rsid w:val="1CEC57F1"/>
    <w:rsid w:val="1CF0262F"/>
    <w:rsid w:val="1D012A8E"/>
    <w:rsid w:val="1D484219"/>
    <w:rsid w:val="1D7A5A02"/>
    <w:rsid w:val="1D9A259A"/>
    <w:rsid w:val="1DA653E3"/>
    <w:rsid w:val="1DBE272D"/>
    <w:rsid w:val="1DCD0BC2"/>
    <w:rsid w:val="1DD27F86"/>
    <w:rsid w:val="1DFD8D3B"/>
    <w:rsid w:val="1EB853CE"/>
    <w:rsid w:val="1EEB7A66"/>
    <w:rsid w:val="1F10520A"/>
    <w:rsid w:val="1F5A0233"/>
    <w:rsid w:val="1F7C7D67"/>
    <w:rsid w:val="1FB79DC9"/>
    <w:rsid w:val="1FBFC3F2"/>
    <w:rsid w:val="1FCF0C21"/>
    <w:rsid w:val="1FDF7B30"/>
    <w:rsid w:val="1FFFE033"/>
    <w:rsid w:val="20191E9C"/>
    <w:rsid w:val="20474C5B"/>
    <w:rsid w:val="204C4020"/>
    <w:rsid w:val="20A07520"/>
    <w:rsid w:val="20C718F8"/>
    <w:rsid w:val="20C91B14"/>
    <w:rsid w:val="2116462E"/>
    <w:rsid w:val="21AF0D0A"/>
    <w:rsid w:val="21B856E5"/>
    <w:rsid w:val="21D270C2"/>
    <w:rsid w:val="21EE07BA"/>
    <w:rsid w:val="224C47AB"/>
    <w:rsid w:val="227F5DA9"/>
    <w:rsid w:val="23012161"/>
    <w:rsid w:val="232C1EE7"/>
    <w:rsid w:val="23675615"/>
    <w:rsid w:val="237613B4"/>
    <w:rsid w:val="23902475"/>
    <w:rsid w:val="23E15A7C"/>
    <w:rsid w:val="245E47DE"/>
    <w:rsid w:val="24771887"/>
    <w:rsid w:val="24A3442A"/>
    <w:rsid w:val="24ED6C13"/>
    <w:rsid w:val="251D7019"/>
    <w:rsid w:val="252F1AE8"/>
    <w:rsid w:val="260929B3"/>
    <w:rsid w:val="263C4B36"/>
    <w:rsid w:val="265872DF"/>
    <w:rsid w:val="26687F42"/>
    <w:rsid w:val="26AC3A6A"/>
    <w:rsid w:val="26B66697"/>
    <w:rsid w:val="26BC7A25"/>
    <w:rsid w:val="26C03072"/>
    <w:rsid w:val="275053E4"/>
    <w:rsid w:val="27532158"/>
    <w:rsid w:val="27565784"/>
    <w:rsid w:val="27F352A6"/>
    <w:rsid w:val="27F751B9"/>
    <w:rsid w:val="29420FD2"/>
    <w:rsid w:val="298C7B83"/>
    <w:rsid w:val="2A027E45"/>
    <w:rsid w:val="2AC5334C"/>
    <w:rsid w:val="2AD24A84"/>
    <w:rsid w:val="2BDE3F9A"/>
    <w:rsid w:val="2C8E3C12"/>
    <w:rsid w:val="2C9C1E8B"/>
    <w:rsid w:val="2CA927FA"/>
    <w:rsid w:val="2D2D51D9"/>
    <w:rsid w:val="2D3C71CA"/>
    <w:rsid w:val="2D527252"/>
    <w:rsid w:val="2D652BC5"/>
    <w:rsid w:val="2D7C5178"/>
    <w:rsid w:val="2DAC25A2"/>
    <w:rsid w:val="2DDC1740"/>
    <w:rsid w:val="2DE41CA7"/>
    <w:rsid w:val="2E382087"/>
    <w:rsid w:val="2E67471B"/>
    <w:rsid w:val="2E6B420B"/>
    <w:rsid w:val="2E9207F0"/>
    <w:rsid w:val="2EAE55F2"/>
    <w:rsid w:val="2EDF4302"/>
    <w:rsid w:val="2EFE1A04"/>
    <w:rsid w:val="2F0B154A"/>
    <w:rsid w:val="2F61560E"/>
    <w:rsid w:val="2F6A0134"/>
    <w:rsid w:val="2F805A94"/>
    <w:rsid w:val="2FA33530"/>
    <w:rsid w:val="2FA71273"/>
    <w:rsid w:val="2FBE480E"/>
    <w:rsid w:val="2FDD2EE6"/>
    <w:rsid w:val="302F2063"/>
    <w:rsid w:val="306C426A"/>
    <w:rsid w:val="306F0895"/>
    <w:rsid w:val="30C6397A"/>
    <w:rsid w:val="30CE0A81"/>
    <w:rsid w:val="30EE2ED1"/>
    <w:rsid w:val="319A4BC0"/>
    <w:rsid w:val="3210328B"/>
    <w:rsid w:val="323963CE"/>
    <w:rsid w:val="32867865"/>
    <w:rsid w:val="32955609"/>
    <w:rsid w:val="32BC3287"/>
    <w:rsid w:val="32E12CEE"/>
    <w:rsid w:val="32EA70EF"/>
    <w:rsid w:val="333C43C8"/>
    <w:rsid w:val="333D1265"/>
    <w:rsid w:val="33AD2BD0"/>
    <w:rsid w:val="33EF143A"/>
    <w:rsid w:val="349D49F2"/>
    <w:rsid w:val="34CD748C"/>
    <w:rsid w:val="350A469D"/>
    <w:rsid w:val="356F2CC9"/>
    <w:rsid w:val="35BBF80F"/>
    <w:rsid w:val="35DD7439"/>
    <w:rsid w:val="36062A6B"/>
    <w:rsid w:val="361B416E"/>
    <w:rsid w:val="362A0508"/>
    <w:rsid w:val="36AF3103"/>
    <w:rsid w:val="36B47E71"/>
    <w:rsid w:val="36C62C57"/>
    <w:rsid w:val="371A4A20"/>
    <w:rsid w:val="3810197F"/>
    <w:rsid w:val="38341B11"/>
    <w:rsid w:val="3891486E"/>
    <w:rsid w:val="38976EE6"/>
    <w:rsid w:val="39253208"/>
    <w:rsid w:val="39455658"/>
    <w:rsid w:val="39BC591B"/>
    <w:rsid w:val="3A0644D6"/>
    <w:rsid w:val="3A125E82"/>
    <w:rsid w:val="3A3F02FA"/>
    <w:rsid w:val="3AF37A62"/>
    <w:rsid w:val="3B304812"/>
    <w:rsid w:val="3B374E9C"/>
    <w:rsid w:val="3B6F77AB"/>
    <w:rsid w:val="3B736F08"/>
    <w:rsid w:val="3BE3D531"/>
    <w:rsid w:val="3C3C10C6"/>
    <w:rsid w:val="3C6E4B61"/>
    <w:rsid w:val="3C90308E"/>
    <w:rsid w:val="3D431A40"/>
    <w:rsid w:val="3D4A5933"/>
    <w:rsid w:val="3D5B369C"/>
    <w:rsid w:val="3DA46DF1"/>
    <w:rsid w:val="3DA93DDC"/>
    <w:rsid w:val="3E134ABB"/>
    <w:rsid w:val="3E5647AD"/>
    <w:rsid w:val="3EA16B7F"/>
    <w:rsid w:val="3EAE5A4E"/>
    <w:rsid w:val="3EDE6333"/>
    <w:rsid w:val="3EE14075"/>
    <w:rsid w:val="3EFF42CA"/>
    <w:rsid w:val="3FD5AF3D"/>
    <w:rsid w:val="3FF34060"/>
    <w:rsid w:val="3FFED8BE"/>
    <w:rsid w:val="3FFF43BB"/>
    <w:rsid w:val="40380FC1"/>
    <w:rsid w:val="405C39B3"/>
    <w:rsid w:val="409C64A6"/>
    <w:rsid w:val="41194293"/>
    <w:rsid w:val="41525EBB"/>
    <w:rsid w:val="41994793"/>
    <w:rsid w:val="41C95079"/>
    <w:rsid w:val="41E51A4C"/>
    <w:rsid w:val="42C8103A"/>
    <w:rsid w:val="42EB272F"/>
    <w:rsid w:val="42FA5706"/>
    <w:rsid w:val="42FA77D8"/>
    <w:rsid w:val="430A1D0C"/>
    <w:rsid w:val="433DCF8E"/>
    <w:rsid w:val="438F5E4E"/>
    <w:rsid w:val="43F9776B"/>
    <w:rsid w:val="441D5B50"/>
    <w:rsid w:val="44682E92"/>
    <w:rsid w:val="44A9589D"/>
    <w:rsid w:val="45FF973D"/>
    <w:rsid w:val="4743767B"/>
    <w:rsid w:val="47550EBA"/>
    <w:rsid w:val="475E6263"/>
    <w:rsid w:val="477B4524"/>
    <w:rsid w:val="47CB548D"/>
    <w:rsid w:val="48021EEB"/>
    <w:rsid w:val="48194880"/>
    <w:rsid w:val="48545A7F"/>
    <w:rsid w:val="48DC7D87"/>
    <w:rsid w:val="49050213"/>
    <w:rsid w:val="494D47E1"/>
    <w:rsid w:val="496D4E83"/>
    <w:rsid w:val="496F6A33"/>
    <w:rsid w:val="4970227E"/>
    <w:rsid w:val="49975A5C"/>
    <w:rsid w:val="49B605D8"/>
    <w:rsid w:val="49FD6207"/>
    <w:rsid w:val="4A2A4B22"/>
    <w:rsid w:val="4A4060F4"/>
    <w:rsid w:val="4B3B58A8"/>
    <w:rsid w:val="4BB328F5"/>
    <w:rsid w:val="4BBA0D7E"/>
    <w:rsid w:val="4BF7E09D"/>
    <w:rsid w:val="4BFA2D30"/>
    <w:rsid w:val="4C5E6D05"/>
    <w:rsid w:val="4C6D68CD"/>
    <w:rsid w:val="4CAD0BB5"/>
    <w:rsid w:val="4CE3798F"/>
    <w:rsid w:val="4CF3569F"/>
    <w:rsid w:val="4D090A1F"/>
    <w:rsid w:val="4D950505"/>
    <w:rsid w:val="4D9D560B"/>
    <w:rsid w:val="4DB27309"/>
    <w:rsid w:val="4DCD4A82"/>
    <w:rsid w:val="4E8F31A6"/>
    <w:rsid w:val="4EC45545"/>
    <w:rsid w:val="4ED07800"/>
    <w:rsid w:val="4F302BDB"/>
    <w:rsid w:val="4F4F0BFE"/>
    <w:rsid w:val="4F8366F9"/>
    <w:rsid w:val="50792360"/>
    <w:rsid w:val="509B0528"/>
    <w:rsid w:val="50A151D6"/>
    <w:rsid w:val="510460CD"/>
    <w:rsid w:val="51177FF0"/>
    <w:rsid w:val="51BD2EC4"/>
    <w:rsid w:val="521A36CE"/>
    <w:rsid w:val="52317E52"/>
    <w:rsid w:val="528F7C18"/>
    <w:rsid w:val="52A83998"/>
    <w:rsid w:val="5303454C"/>
    <w:rsid w:val="536966BB"/>
    <w:rsid w:val="53760DD8"/>
    <w:rsid w:val="538610B8"/>
    <w:rsid w:val="53BB74FC"/>
    <w:rsid w:val="53FA4276"/>
    <w:rsid w:val="543534D1"/>
    <w:rsid w:val="55466588"/>
    <w:rsid w:val="55717AA9"/>
    <w:rsid w:val="55FDDF92"/>
    <w:rsid w:val="55FFBC03"/>
    <w:rsid w:val="56C85592"/>
    <w:rsid w:val="56CDA72E"/>
    <w:rsid w:val="574A05B2"/>
    <w:rsid w:val="576F5916"/>
    <w:rsid w:val="577FDAE2"/>
    <w:rsid w:val="57FBE2C7"/>
    <w:rsid w:val="582C7CB7"/>
    <w:rsid w:val="583F7E6D"/>
    <w:rsid w:val="58657D73"/>
    <w:rsid w:val="58D47500"/>
    <w:rsid w:val="59140E77"/>
    <w:rsid w:val="592B61C1"/>
    <w:rsid w:val="59464DA9"/>
    <w:rsid w:val="595C79E9"/>
    <w:rsid w:val="59D423B5"/>
    <w:rsid w:val="59FC0CE8"/>
    <w:rsid w:val="5A19426B"/>
    <w:rsid w:val="5A2275C4"/>
    <w:rsid w:val="5A272E2C"/>
    <w:rsid w:val="5B0B44FC"/>
    <w:rsid w:val="5B335734"/>
    <w:rsid w:val="5B7F322F"/>
    <w:rsid w:val="5B922527"/>
    <w:rsid w:val="5BB73D3C"/>
    <w:rsid w:val="5BCAB023"/>
    <w:rsid w:val="5BF32EFE"/>
    <w:rsid w:val="5C1A7D4C"/>
    <w:rsid w:val="5C563555"/>
    <w:rsid w:val="5C94421A"/>
    <w:rsid w:val="5CBA05C5"/>
    <w:rsid w:val="5CC52515"/>
    <w:rsid w:val="5DCC2E35"/>
    <w:rsid w:val="5DD964A3"/>
    <w:rsid w:val="5DDA9B94"/>
    <w:rsid w:val="5E93304B"/>
    <w:rsid w:val="5EAB810D"/>
    <w:rsid w:val="5EDD7F5D"/>
    <w:rsid w:val="5EFF9DA6"/>
    <w:rsid w:val="5F7751B9"/>
    <w:rsid w:val="5F9F7232"/>
    <w:rsid w:val="5F9F9588"/>
    <w:rsid w:val="5FBD32D2"/>
    <w:rsid w:val="5FC37153"/>
    <w:rsid w:val="5FD450B0"/>
    <w:rsid w:val="5FE64BF0"/>
    <w:rsid w:val="5FEF60CD"/>
    <w:rsid w:val="5FFB203D"/>
    <w:rsid w:val="5FFB8CF9"/>
    <w:rsid w:val="6008350A"/>
    <w:rsid w:val="600A2FD4"/>
    <w:rsid w:val="60365B77"/>
    <w:rsid w:val="603D6F06"/>
    <w:rsid w:val="60964052"/>
    <w:rsid w:val="60FF244A"/>
    <w:rsid w:val="61291238"/>
    <w:rsid w:val="61314591"/>
    <w:rsid w:val="622814F0"/>
    <w:rsid w:val="62D20258"/>
    <w:rsid w:val="62D84CC4"/>
    <w:rsid w:val="62E03579"/>
    <w:rsid w:val="62F37D50"/>
    <w:rsid w:val="63B0159A"/>
    <w:rsid w:val="63D46A06"/>
    <w:rsid w:val="63DBAF21"/>
    <w:rsid w:val="63FF44D2"/>
    <w:rsid w:val="641C7510"/>
    <w:rsid w:val="65183A9D"/>
    <w:rsid w:val="66291CDA"/>
    <w:rsid w:val="662F72F1"/>
    <w:rsid w:val="6636451A"/>
    <w:rsid w:val="663A5C95"/>
    <w:rsid w:val="66434868"/>
    <w:rsid w:val="669A2341"/>
    <w:rsid w:val="66C20165"/>
    <w:rsid w:val="670D2EF0"/>
    <w:rsid w:val="673B5830"/>
    <w:rsid w:val="678A24C7"/>
    <w:rsid w:val="67DE80AA"/>
    <w:rsid w:val="67E92CE5"/>
    <w:rsid w:val="67FF2A16"/>
    <w:rsid w:val="68355DEF"/>
    <w:rsid w:val="68556DB7"/>
    <w:rsid w:val="68A1024E"/>
    <w:rsid w:val="68A268E6"/>
    <w:rsid w:val="68A5389A"/>
    <w:rsid w:val="68B83318"/>
    <w:rsid w:val="691C78D4"/>
    <w:rsid w:val="697E3B47"/>
    <w:rsid w:val="698E432E"/>
    <w:rsid w:val="69BF132E"/>
    <w:rsid w:val="69CF4947"/>
    <w:rsid w:val="69DF36BC"/>
    <w:rsid w:val="6A100433"/>
    <w:rsid w:val="6A843983"/>
    <w:rsid w:val="6AD93CCF"/>
    <w:rsid w:val="6BA51E03"/>
    <w:rsid w:val="6BC93D43"/>
    <w:rsid w:val="6BFEE5F3"/>
    <w:rsid w:val="6C5555D7"/>
    <w:rsid w:val="6C784200"/>
    <w:rsid w:val="6CAFF34E"/>
    <w:rsid w:val="6CFFCF4F"/>
    <w:rsid w:val="6DDD5009"/>
    <w:rsid w:val="6DFFF8B6"/>
    <w:rsid w:val="6E3336F6"/>
    <w:rsid w:val="6EEB2223"/>
    <w:rsid w:val="6EEDE807"/>
    <w:rsid w:val="6EEE4BE4"/>
    <w:rsid w:val="6EF65E9C"/>
    <w:rsid w:val="6F047DB6"/>
    <w:rsid w:val="6F223AF6"/>
    <w:rsid w:val="6F3D9197"/>
    <w:rsid w:val="6F4B2CC1"/>
    <w:rsid w:val="6F573414"/>
    <w:rsid w:val="6FAB3EC4"/>
    <w:rsid w:val="6FB6AF41"/>
    <w:rsid w:val="6FD894C8"/>
    <w:rsid w:val="6FE36A9E"/>
    <w:rsid w:val="6FE65F90"/>
    <w:rsid w:val="6FEFB2D1"/>
    <w:rsid w:val="6FFF97E6"/>
    <w:rsid w:val="70545BA6"/>
    <w:rsid w:val="70814BED"/>
    <w:rsid w:val="71397E03"/>
    <w:rsid w:val="71963B10"/>
    <w:rsid w:val="71FB5B08"/>
    <w:rsid w:val="723C4913"/>
    <w:rsid w:val="732E26DE"/>
    <w:rsid w:val="73E84F83"/>
    <w:rsid w:val="73FB87D9"/>
    <w:rsid w:val="742A7099"/>
    <w:rsid w:val="748527D2"/>
    <w:rsid w:val="74D6127F"/>
    <w:rsid w:val="75324707"/>
    <w:rsid w:val="75486D98"/>
    <w:rsid w:val="757545F4"/>
    <w:rsid w:val="75BB5CE8"/>
    <w:rsid w:val="75EF0FBA"/>
    <w:rsid w:val="7607C293"/>
    <w:rsid w:val="76DFA4E8"/>
    <w:rsid w:val="77043E82"/>
    <w:rsid w:val="778720BD"/>
    <w:rsid w:val="77A7D615"/>
    <w:rsid w:val="77CA6CDD"/>
    <w:rsid w:val="77CF4EC7"/>
    <w:rsid w:val="77DE46D3"/>
    <w:rsid w:val="77E048EF"/>
    <w:rsid w:val="77FF366A"/>
    <w:rsid w:val="77FF8C96"/>
    <w:rsid w:val="77FFA8F9"/>
    <w:rsid w:val="782C21D0"/>
    <w:rsid w:val="78436C2C"/>
    <w:rsid w:val="78D6357A"/>
    <w:rsid w:val="790A315A"/>
    <w:rsid w:val="790B6163"/>
    <w:rsid w:val="79393B8B"/>
    <w:rsid w:val="7976604B"/>
    <w:rsid w:val="79F3BC78"/>
    <w:rsid w:val="7A284DF9"/>
    <w:rsid w:val="7A2C5F9D"/>
    <w:rsid w:val="7A5B6CAA"/>
    <w:rsid w:val="7A925C48"/>
    <w:rsid w:val="7A9314AC"/>
    <w:rsid w:val="7AE00762"/>
    <w:rsid w:val="7B2E3BC3"/>
    <w:rsid w:val="7B2F5245"/>
    <w:rsid w:val="7B3B62E0"/>
    <w:rsid w:val="7B4F6850"/>
    <w:rsid w:val="7BABD5C4"/>
    <w:rsid w:val="7BB12055"/>
    <w:rsid w:val="7BB75966"/>
    <w:rsid w:val="7BBFADBA"/>
    <w:rsid w:val="7BFF492D"/>
    <w:rsid w:val="7C1C7EBF"/>
    <w:rsid w:val="7C631402"/>
    <w:rsid w:val="7C647170"/>
    <w:rsid w:val="7C6F00C0"/>
    <w:rsid w:val="7C978C63"/>
    <w:rsid w:val="7C991510"/>
    <w:rsid w:val="7CA35AD0"/>
    <w:rsid w:val="7CAC20C0"/>
    <w:rsid w:val="7CDF8BC3"/>
    <w:rsid w:val="7CEB72A5"/>
    <w:rsid w:val="7D18750B"/>
    <w:rsid w:val="7D617346"/>
    <w:rsid w:val="7D725243"/>
    <w:rsid w:val="7DAE3F99"/>
    <w:rsid w:val="7DCC1471"/>
    <w:rsid w:val="7DDFDC39"/>
    <w:rsid w:val="7E140770"/>
    <w:rsid w:val="7E394D59"/>
    <w:rsid w:val="7E5D92FB"/>
    <w:rsid w:val="7E5F7095"/>
    <w:rsid w:val="7EE13B3B"/>
    <w:rsid w:val="7EF51D64"/>
    <w:rsid w:val="7EFFF488"/>
    <w:rsid w:val="7F0569E9"/>
    <w:rsid w:val="7F1430D0"/>
    <w:rsid w:val="7F401C7A"/>
    <w:rsid w:val="7F574612"/>
    <w:rsid w:val="7F5E259D"/>
    <w:rsid w:val="7F7F4920"/>
    <w:rsid w:val="7FB7C299"/>
    <w:rsid w:val="7FBFFB92"/>
    <w:rsid w:val="7FD76ACB"/>
    <w:rsid w:val="7FD89DA2"/>
    <w:rsid w:val="7FDBD805"/>
    <w:rsid w:val="7FDEC14D"/>
    <w:rsid w:val="7FDF8B76"/>
    <w:rsid w:val="7FDFE693"/>
    <w:rsid w:val="7FEFB5DD"/>
    <w:rsid w:val="7FEFBBD9"/>
    <w:rsid w:val="7FFD6A57"/>
    <w:rsid w:val="7FFDA7EC"/>
    <w:rsid w:val="7FFDEA1E"/>
    <w:rsid w:val="7FFEC1F6"/>
    <w:rsid w:val="7FFF2F52"/>
    <w:rsid w:val="8F7B4EC8"/>
    <w:rsid w:val="8FBD4480"/>
    <w:rsid w:val="8FF7AE96"/>
    <w:rsid w:val="955F5184"/>
    <w:rsid w:val="9F6311D7"/>
    <w:rsid w:val="9FF54399"/>
    <w:rsid w:val="A46D76C1"/>
    <w:rsid w:val="A7FF43C2"/>
    <w:rsid w:val="ABF66286"/>
    <w:rsid w:val="AD9E3F04"/>
    <w:rsid w:val="ADA70464"/>
    <w:rsid w:val="AEF767A0"/>
    <w:rsid w:val="AFE97CD3"/>
    <w:rsid w:val="B1BF5C63"/>
    <w:rsid w:val="B1FF3A18"/>
    <w:rsid w:val="B3CDF284"/>
    <w:rsid w:val="B3E8107B"/>
    <w:rsid w:val="B5F66F24"/>
    <w:rsid w:val="B7F5200A"/>
    <w:rsid w:val="BABDA1AA"/>
    <w:rsid w:val="BB1B4BF1"/>
    <w:rsid w:val="BBE5FE68"/>
    <w:rsid w:val="BBFEB9C1"/>
    <w:rsid w:val="BDF7406A"/>
    <w:rsid w:val="BE6FD8DB"/>
    <w:rsid w:val="BEEF57C2"/>
    <w:rsid w:val="BF6D5596"/>
    <w:rsid w:val="BFBEBB2C"/>
    <w:rsid w:val="BFC68935"/>
    <w:rsid w:val="BFDD0F1D"/>
    <w:rsid w:val="BFDDD096"/>
    <w:rsid w:val="C5B3F496"/>
    <w:rsid w:val="C96F3E49"/>
    <w:rsid w:val="CBBF14F3"/>
    <w:rsid w:val="CBE5DCF2"/>
    <w:rsid w:val="CCFCC735"/>
    <w:rsid w:val="CEEB8A74"/>
    <w:rsid w:val="D37FB642"/>
    <w:rsid w:val="D7BCD4BF"/>
    <w:rsid w:val="D7F99798"/>
    <w:rsid w:val="D7FF400C"/>
    <w:rsid w:val="DBED1CD4"/>
    <w:rsid w:val="DBFBB328"/>
    <w:rsid w:val="DDD7453A"/>
    <w:rsid w:val="DE3E1FD7"/>
    <w:rsid w:val="DFBE1B79"/>
    <w:rsid w:val="DFCF1FEC"/>
    <w:rsid w:val="DFE75A3D"/>
    <w:rsid w:val="DFED2117"/>
    <w:rsid w:val="DFEF594B"/>
    <w:rsid w:val="DFF3F960"/>
    <w:rsid w:val="DFFE0D61"/>
    <w:rsid w:val="E35C4B3C"/>
    <w:rsid w:val="E3A781CA"/>
    <w:rsid w:val="E5DFAB50"/>
    <w:rsid w:val="E6FC647F"/>
    <w:rsid w:val="EBFBC8F1"/>
    <w:rsid w:val="EBFDF757"/>
    <w:rsid w:val="ED758B5D"/>
    <w:rsid w:val="ED76A08D"/>
    <w:rsid w:val="EDBDD81F"/>
    <w:rsid w:val="EDFDB542"/>
    <w:rsid w:val="EF0FCF96"/>
    <w:rsid w:val="EF95E20F"/>
    <w:rsid w:val="EFAF7DFF"/>
    <w:rsid w:val="EFAFB283"/>
    <w:rsid w:val="EFBDA38B"/>
    <w:rsid w:val="EFEE9A76"/>
    <w:rsid w:val="F1BF6FBC"/>
    <w:rsid w:val="F1F9A9B5"/>
    <w:rsid w:val="F3779FC2"/>
    <w:rsid w:val="F3D5C239"/>
    <w:rsid w:val="F3F37DF4"/>
    <w:rsid w:val="F3F96DE6"/>
    <w:rsid w:val="F3FBC54A"/>
    <w:rsid w:val="F47BB68A"/>
    <w:rsid w:val="F47F523E"/>
    <w:rsid w:val="F69FD6B0"/>
    <w:rsid w:val="F7E7F921"/>
    <w:rsid w:val="F7F7AC6A"/>
    <w:rsid w:val="F7FD93B9"/>
    <w:rsid w:val="FABF64A5"/>
    <w:rsid w:val="FABF7411"/>
    <w:rsid w:val="FBA53981"/>
    <w:rsid w:val="FBE4457E"/>
    <w:rsid w:val="FBFC558A"/>
    <w:rsid w:val="FBFF71AC"/>
    <w:rsid w:val="FBFFEA2B"/>
    <w:rsid w:val="FCBB4792"/>
    <w:rsid w:val="FCCB27AA"/>
    <w:rsid w:val="FCFF8F4B"/>
    <w:rsid w:val="FD9595AD"/>
    <w:rsid w:val="FDF9DD9A"/>
    <w:rsid w:val="FDFF2821"/>
    <w:rsid w:val="FDFFA696"/>
    <w:rsid w:val="FE7FB02B"/>
    <w:rsid w:val="FEBD0232"/>
    <w:rsid w:val="FED5A77F"/>
    <w:rsid w:val="FEDFD193"/>
    <w:rsid w:val="FEE7097E"/>
    <w:rsid w:val="FEEF8230"/>
    <w:rsid w:val="FEF1F1BE"/>
    <w:rsid w:val="FEF99316"/>
    <w:rsid w:val="FEFB20CB"/>
    <w:rsid w:val="FEFD95B3"/>
    <w:rsid w:val="FEFE4E93"/>
    <w:rsid w:val="FEFFA483"/>
    <w:rsid w:val="FF29B32D"/>
    <w:rsid w:val="FF2E6944"/>
    <w:rsid w:val="FF5F9D52"/>
    <w:rsid w:val="FF7A0B6A"/>
    <w:rsid w:val="FF7B6DC2"/>
    <w:rsid w:val="FF7FFF75"/>
    <w:rsid w:val="FF921F59"/>
    <w:rsid w:val="FFBB1E09"/>
    <w:rsid w:val="FFBB6A0C"/>
    <w:rsid w:val="FFBD894B"/>
    <w:rsid w:val="FFBF33B3"/>
    <w:rsid w:val="FFD09362"/>
    <w:rsid w:val="FFD1DA08"/>
    <w:rsid w:val="FFD7DEDD"/>
    <w:rsid w:val="FFDE369F"/>
    <w:rsid w:val="FFEF98C9"/>
    <w:rsid w:val="FFEFCE62"/>
    <w:rsid w:val="FFF973B0"/>
    <w:rsid w:val="FFFB4F05"/>
    <w:rsid w:val="FFFEC8F5"/>
    <w:rsid w:val="FFFEF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spacing w:before="156" w:beforeLines="50" w:line="360" w:lineRule="auto"/>
      <w:ind w:firstLine="480" w:firstLineChars="200"/>
    </w:pPr>
    <w:rPr>
      <w:rFonts w:eastAsia="仿宋"/>
      <w:sz w:val="24"/>
      <w:szCs w:val="23"/>
      <w:lang w:eastAsia="ar-SA"/>
    </w:rPr>
  </w:style>
  <w:style w:type="paragraph" w:styleId="7">
    <w:name w:val="Document Map"/>
    <w:basedOn w:val="1"/>
    <w:link w:val="22"/>
    <w:qFormat/>
    <w:uiPriority w:val="0"/>
    <w:rPr>
      <w:rFonts w:ascii="宋体" w:eastAsia="宋体"/>
      <w:sz w:val="18"/>
      <w:szCs w:val="18"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Body Text First Indent 2"/>
    <w:basedOn w:val="9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paragraph" w:customStyle="1" w:styleId="19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20">
    <w:name w:val="四号正文"/>
    <w:basedOn w:val="1"/>
    <w:link w:val="21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21">
    <w:name w:val="四号正文 Char"/>
    <w:basedOn w:val="17"/>
    <w:link w:val="20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22">
    <w:name w:val="文档结构图 Char"/>
    <w:basedOn w:val="17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23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4">
    <w:name w:val="页脚 Char"/>
    <w:basedOn w:val="17"/>
    <w:link w:val="11"/>
    <w:qFormat/>
    <w:uiPriority w:val="99"/>
    <w:rPr>
      <w:kern w:val="2"/>
      <w:sz w:val="18"/>
      <w:szCs w:val="18"/>
    </w:rPr>
  </w:style>
  <w:style w:type="character" w:customStyle="1" w:styleId="25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51"/>
    <w:basedOn w:val="17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27">
    <w:name w:val="font01"/>
    <w:basedOn w:val="1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41"/>
    <w:basedOn w:val="1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paragraph" w:customStyle="1" w:styleId="29">
    <w:name w:val="质联正文"/>
    <w:basedOn w:val="1"/>
    <w:qFormat/>
    <w:uiPriority w:val="3"/>
    <w:pPr>
      <w:spacing w:line="600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28"/>
      <w:lang w:val="zh-CN"/>
    </w:rPr>
  </w:style>
  <w:style w:type="paragraph" w:customStyle="1" w:styleId="30">
    <w:name w:val="章标题"/>
    <w:basedOn w:val="1"/>
    <w:next w:val="31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/>
      <w:color w:val="FF0000"/>
      <w:sz w:val="18"/>
    </w:rPr>
  </w:style>
  <w:style w:type="paragraph" w:customStyle="1" w:styleId="31">
    <w:name w:val="节标题"/>
    <w:basedOn w:val="1"/>
    <w:next w:val="1"/>
    <w:autoRedefine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/>
      <w:color w:val="000000"/>
      <w:sz w:val="28"/>
    </w:rPr>
  </w:style>
  <w:style w:type="paragraph" w:customStyle="1" w:styleId="32">
    <w:name w:val="图表目录1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3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19</Pages>
  <Words>3082</Words>
  <Characters>3759</Characters>
  <Lines>2</Lines>
  <Paragraphs>1</Paragraphs>
  <TotalTime>50</TotalTime>
  <ScaleCrop>false</ScaleCrop>
  <LinksUpToDate>false</LinksUpToDate>
  <CharactersWithSpaces>3776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2019-05-29T11:06:00Z</dcterms:created>
  <dc:creator>陈萍</dc:creator>
  <cp:lastModifiedBy>青丝衣琯眉黛伊画゛</cp:lastModifiedBy>
  <cp:lastPrinted>2016-02-16T00:25:00Z</cp:lastPrinted>
  <dcterms:modified xsi:type="dcterms:W3CDTF">2025-09-01T04:59:06Z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507C7EF1107A4EFF975F96D22CD9D7AC_13</vt:lpwstr>
  </property>
  <property fmtid="{D5CDD505-2E9C-101B-9397-08002B2CF9AE}" pid="4" name="KSOTemplateDocerSaveRecord">
    <vt:lpwstr>eyJoZGlkIjoiZDgxMGI4ZTA2ZjU4MzJhYzU1NWQ2M2ViMGE2NmYwYjQiLCJ1c2VySWQiOiI3NjczNDUwMjUifQ==</vt:lpwstr>
  </property>
</Properties>
</file>