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7DC01">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2024年助企纾困专项资金绩效自评报告</w:t>
      </w:r>
    </w:p>
    <w:p w14:paraId="56E48C47">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rPr>
      </w:pPr>
    </w:p>
    <w:p w14:paraId="3555169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一、项目概况</w:t>
      </w:r>
      <w:bookmarkStart w:id="0" w:name="_GoBack"/>
      <w:bookmarkEnd w:id="0"/>
    </w:p>
    <w:p w14:paraId="509F0F83">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（一）设立背景及基本情况。</w:t>
      </w:r>
      <w:r>
        <w:rPr>
          <w:rFonts w:hint="default" w:ascii="Times New Roman" w:hAnsi="Times New Roman" w:eastAsia="仿宋_GB2312" w:cs="Times New Roman"/>
          <w:sz w:val="32"/>
          <w:szCs w:val="32"/>
        </w:rPr>
        <w:t>为贯彻落实《大英县2022年稳住经济增长若干政策》，大英县文化广电旅游局为支持民营旅游景区发展，纾解文化和旅游市场主体经营困难，为做好文旅行业稳增长政策落实落地，快速推动全县文旅复苏，积极推动相关事宜，项目按照规定的程序申请项目设立。</w:t>
      </w:r>
    </w:p>
    <w:p w14:paraId="0BC1081D">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（二）实施目的及支持方向。</w:t>
      </w:r>
      <w:r>
        <w:rPr>
          <w:rFonts w:hint="default" w:ascii="Times New Roman" w:hAnsi="Times New Roman" w:eastAsia="仿宋_GB2312" w:cs="Times New Roman"/>
          <w:sz w:val="32"/>
          <w:szCs w:val="32"/>
        </w:rPr>
        <w:t>为确保纾困资金顺利发放，我局制定了专门的工作方案《大英县文旅行业稳增长措施实施细则》。我局组织机构健全，严格依据县政府的相关批示，由局党组全面统筹，市场管理工作组负责方案拟定等，财务管理工作组负责该笔资金的拨付和资金使用的监管等。该笔资金完全按照合法合规的程序进行申报和兑现且资金能足额保证，并配有完善的相关财务制度进行有效保障，项目实施方案可行。</w:t>
      </w:r>
    </w:p>
    <w:p w14:paraId="5CC7C14C">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（三）预算安排及分配管理。</w:t>
      </w:r>
      <w:r>
        <w:rPr>
          <w:rFonts w:hint="default" w:ascii="Times New Roman" w:hAnsi="Times New Roman" w:eastAsia="仿宋_GB2312" w:cs="Times New Roman"/>
          <w:sz w:val="32"/>
          <w:szCs w:val="32"/>
        </w:rPr>
        <w:t>根据《补助文旅行业纾困资金》（大文广旅〔2023〕186号）文件，项目总费用共为29.7万元，实现2024年成功帮助大英县文旅行业高质量发展，快速推动全县文旅复苏，并支付了所有费用29.7万元。</w:t>
      </w:r>
    </w:p>
    <w:p w14:paraId="714B8EB9">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（四）项目绩效目标设置。</w:t>
      </w:r>
      <w:r>
        <w:rPr>
          <w:rFonts w:hint="default" w:ascii="Times New Roman" w:hAnsi="Times New Roman" w:eastAsia="仿宋_GB2312" w:cs="Times New Roman"/>
          <w:sz w:val="32"/>
          <w:szCs w:val="32"/>
        </w:rPr>
        <w:t>项目整体、区域和具体绩效目标设置情况，项目自评工作开展情况。</w:t>
      </w:r>
    </w:p>
    <w:p w14:paraId="2A96C95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二、评价实施</w:t>
      </w:r>
    </w:p>
    <w:p w14:paraId="0AD9BEE4">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（一）评价目的。</w:t>
      </w:r>
      <w:r>
        <w:rPr>
          <w:rFonts w:hint="default" w:ascii="Times New Roman" w:hAnsi="Times New Roman" w:eastAsia="仿宋_GB2312" w:cs="Times New Roman"/>
          <w:sz w:val="32"/>
          <w:szCs w:val="32"/>
        </w:rPr>
        <w:t>通过项目绩效自评，摸清资金是否到位，是否为企业解决困难。</w:t>
      </w:r>
    </w:p>
    <w:p w14:paraId="77F235EB">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（二）预设问题及评价重点。</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项目成果是否达标，比如数量、质量、时效是否合格；</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效果实不实在，比如满意度、对行业或社会的实际影响。</w:t>
      </w:r>
    </w:p>
    <w:p w14:paraId="005E50BE">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（三）评价选点。</w:t>
      </w:r>
      <w:r>
        <w:rPr>
          <w:rFonts w:hint="default" w:ascii="Times New Roman" w:hAnsi="Times New Roman" w:eastAsia="仿宋_GB2312" w:cs="Times New Roman"/>
          <w:sz w:val="32"/>
          <w:szCs w:val="32"/>
        </w:rPr>
        <w:t>项目绩效自评所抽样点位主要在全县各文旅企业。</w:t>
      </w:r>
    </w:p>
    <w:p w14:paraId="699EAE2F">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（四）评价方法。</w:t>
      </w:r>
      <w:r>
        <w:rPr>
          <w:rFonts w:hint="default" w:ascii="Times New Roman" w:hAnsi="Times New Roman" w:eastAsia="仿宋_GB2312" w:cs="Times New Roman"/>
          <w:sz w:val="32"/>
          <w:szCs w:val="32"/>
        </w:rPr>
        <w:t>评价方式主要采用成本效益分析法、单位自评法、实地勘察法、问卷调查法、座谈调研法等方法进行。</w:t>
      </w:r>
    </w:p>
    <w:p w14:paraId="7203C09F">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（五）评价组织。</w:t>
      </w:r>
      <w:r>
        <w:rPr>
          <w:rFonts w:hint="default" w:ascii="Times New Roman" w:hAnsi="Times New Roman" w:eastAsia="仿宋_GB2312" w:cs="Times New Roman"/>
          <w:sz w:val="32"/>
          <w:szCs w:val="32"/>
        </w:rPr>
        <w:t>财务人员负责报账资料审核和资金支付，业务人员紧盯进度和效果，第三方机构帮忙设计问卷和分析数据。</w:t>
      </w:r>
    </w:p>
    <w:p w14:paraId="7464D16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rPr>
        <w:t>三、绩效分析</w:t>
      </w:r>
    </w:p>
    <w:p w14:paraId="5BC6D4C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根据项目预算绩效评价指标体系“通用指标”“专用指标”“个性指标”涉及二、三级指标进行逐项绩效分析并评分。</w:t>
      </w:r>
    </w:p>
    <w:p w14:paraId="173B17CA">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（一）通用指标绩效分析</w:t>
      </w:r>
    </w:p>
    <w:p w14:paraId="4DF5A1FC">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1.项目决策。</w:t>
      </w:r>
      <w:r>
        <w:rPr>
          <w:rFonts w:hint="default" w:ascii="Times New Roman" w:hAnsi="Times New Roman" w:eastAsia="仿宋_GB2312" w:cs="Times New Roman"/>
          <w:sz w:val="32"/>
          <w:szCs w:val="32"/>
        </w:rPr>
        <w:t>《补助文旅行业纾困资金》（大文广旅〔2023〕186号）由局党组会议研究同意，报请县领导研究同意后实施。</w:t>
      </w:r>
    </w:p>
    <w:p w14:paraId="1BAB2C85">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2.项目管理。一是严格议事制度。</w:t>
      </w:r>
      <w:r>
        <w:rPr>
          <w:rFonts w:hint="default" w:ascii="Times New Roman" w:hAnsi="Times New Roman" w:eastAsia="仿宋_GB2312" w:cs="Times New Roman"/>
          <w:sz w:val="32"/>
          <w:szCs w:val="32"/>
        </w:rPr>
        <w:t>由分管领导组织相关部门制订工作方案，并报局党组会议讨论通过。</w:t>
      </w:r>
      <w:r>
        <w:rPr>
          <w:rFonts w:hint="default" w:ascii="Times New Roman" w:hAnsi="Times New Roman" w:eastAsia="仿宋_GB2312" w:cs="Times New Roman"/>
          <w:b/>
          <w:bCs/>
          <w:sz w:val="32"/>
          <w:szCs w:val="32"/>
        </w:rPr>
        <w:t>二是规范经费使用制度。</w:t>
      </w:r>
      <w:r>
        <w:rPr>
          <w:rFonts w:hint="default" w:ascii="Times New Roman" w:hAnsi="Times New Roman" w:eastAsia="仿宋_GB2312" w:cs="Times New Roman"/>
          <w:sz w:val="32"/>
          <w:szCs w:val="32"/>
        </w:rPr>
        <w:t>要求相关部门严格遵守经费使用程序，对专项资金进行合理规范使用。</w:t>
      </w:r>
      <w:r>
        <w:rPr>
          <w:rFonts w:hint="default" w:ascii="Times New Roman" w:hAnsi="Times New Roman" w:eastAsia="仿宋_GB2312" w:cs="Times New Roman"/>
          <w:b/>
          <w:bCs/>
          <w:sz w:val="32"/>
          <w:szCs w:val="32"/>
        </w:rPr>
        <w:t>三是健全考核机制。</w:t>
      </w:r>
      <w:r>
        <w:rPr>
          <w:rFonts w:hint="default" w:ascii="Times New Roman" w:hAnsi="Times New Roman" w:eastAsia="仿宋_GB2312" w:cs="Times New Roman"/>
          <w:sz w:val="32"/>
          <w:szCs w:val="32"/>
        </w:rPr>
        <w:t>制定了相关的专项资金使用管理措施，做到专款专用。</w:t>
      </w:r>
    </w:p>
    <w:p w14:paraId="1B02CD1E">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3.项目实施。</w:t>
      </w:r>
      <w:r>
        <w:rPr>
          <w:rFonts w:hint="default" w:ascii="Times New Roman" w:hAnsi="Times New Roman" w:eastAsia="仿宋_GB2312" w:cs="Times New Roman"/>
          <w:sz w:val="32"/>
          <w:szCs w:val="32"/>
        </w:rPr>
        <w:t>根据围绕《大英县2022年稳住经济增长若干政策》《补助文旅行业纾困资金》（大文广旅〔2023〕186号）的要求，结合实际情况，制定切合实际的实施方案。</w:t>
      </w:r>
    </w:p>
    <w:p w14:paraId="4EF64201">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4.项目结果。</w:t>
      </w:r>
      <w:r>
        <w:rPr>
          <w:rFonts w:hint="default" w:ascii="Times New Roman" w:hAnsi="Times New Roman" w:eastAsia="仿宋_GB2312" w:cs="Times New Roman"/>
          <w:sz w:val="32"/>
          <w:szCs w:val="32"/>
        </w:rPr>
        <w:t>2024年发放助企纾困资金29.7万元。</w:t>
      </w:r>
    </w:p>
    <w:p w14:paraId="6B19F63A">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（二）专用指标绩效分析</w:t>
      </w:r>
    </w:p>
    <w:p w14:paraId="467753E0">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产业发展。</w:t>
      </w:r>
      <w:r>
        <w:rPr>
          <w:rFonts w:hint="default" w:ascii="Times New Roman" w:hAnsi="Times New Roman" w:eastAsia="仿宋_GB2312" w:cs="Times New Roman"/>
          <w:sz w:val="32"/>
          <w:szCs w:val="32"/>
        </w:rPr>
        <w:t>指导企业在产业发展等方面提升建设，纾解文化和旅游市场主体经营困难，快速推动全县文旅复苏。提高群众满意度。</w:t>
      </w:r>
    </w:p>
    <w:p w14:paraId="2D13A1C4">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（三）个性指标绩效分析</w:t>
      </w:r>
    </w:p>
    <w:p w14:paraId="0443958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补助民营景区1家，民营文艺表演团体1个，资金发放准确率100%，资金发放及时率100%，文旅行业纾困成功影响率100%。</w:t>
      </w:r>
    </w:p>
    <w:p w14:paraId="79716B8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四、评价结论</w:t>
      </w:r>
    </w:p>
    <w:p w14:paraId="0ADC03B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按照文件要求，该经费项目申报内容与具体实施内容相符，并由县文化广电旅游局、县财政局进行审核，报县政府通过，其申报目标合理可行。2024年为企业发放助企纾困资金29.7万元。</w:t>
      </w:r>
    </w:p>
    <w:p w14:paraId="74342CF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五、存在主要问题</w:t>
      </w:r>
    </w:p>
    <w:p w14:paraId="2F22C3B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6698E47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六、改进建议</w:t>
      </w:r>
    </w:p>
    <w:p w14:paraId="4B2B282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25F2821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p>
    <w:p w14:paraId="5DD8965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附表：1.项目资金分配涉及所有点位自评得分情况表</w:t>
      </w:r>
    </w:p>
    <w:p w14:paraId="6B68AC38">
      <w:pPr>
        <w:keepNext w:val="0"/>
        <w:keepLines w:val="0"/>
        <w:pageBreakBefore w:val="0"/>
        <w:widowControl w:val="0"/>
        <w:kinsoku/>
        <w:wordWrap/>
        <w:overflowPunct/>
        <w:topLinePunct w:val="0"/>
        <w:autoSpaceDE/>
        <w:autoSpaceDN/>
        <w:bidi w:val="0"/>
        <w:adjustRightInd/>
        <w:snapToGrid/>
        <w:spacing w:line="57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2.专项资金绩效目标完成情况自评表</w:t>
      </w:r>
    </w:p>
    <w:p w14:paraId="49BB3B93">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5EBA0255">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附表1</w:t>
      </w:r>
    </w:p>
    <w:p w14:paraId="7F29EDD3">
      <w:pPr>
        <w:keepNext w:val="0"/>
        <w:keepLines w:val="0"/>
        <w:pageBreakBefore w:val="0"/>
        <w:widowControl w:val="0"/>
        <w:kinsoku/>
        <w:wordWrap/>
        <w:overflowPunct/>
        <w:topLinePunct w:val="0"/>
        <w:autoSpaceDE/>
        <w:autoSpaceDN/>
        <w:bidi w:val="0"/>
        <w:adjustRightInd/>
        <w:snapToGrid/>
        <w:spacing w:after="89" w:afterLines="20" w:afterAutospacing="0" w:line="660" w:lineRule="exact"/>
        <w:jc w:val="center"/>
        <w:textAlignment w:val="auto"/>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项目资金分配涉及所有点位自评得分情况表</w:t>
      </w:r>
    </w:p>
    <w:tbl>
      <w:tblPr>
        <w:tblStyle w:val="7"/>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3869"/>
        <w:gridCol w:w="2880"/>
        <w:gridCol w:w="999"/>
      </w:tblGrid>
      <w:tr w14:paraId="3319B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1130" w:type="dxa"/>
            <w:vAlign w:val="center"/>
          </w:tcPr>
          <w:p w14:paraId="499E8B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序号</w:t>
            </w:r>
          </w:p>
        </w:tc>
        <w:tc>
          <w:tcPr>
            <w:tcW w:w="3869" w:type="dxa"/>
            <w:vAlign w:val="center"/>
          </w:tcPr>
          <w:p w14:paraId="6461E5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 w:eastAsia="zh-CN"/>
              </w:rPr>
            </w:pPr>
            <w:r>
              <w:rPr>
                <w:rFonts w:hint="default" w:ascii="Times New Roman" w:hAnsi="Times New Roman" w:eastAsia="仿宋_GB2312" w:cs="Times New Roman"/>
                <w:sz w:val="24"/>
                <w:szCs w:val="24"/>
                <w:lang w:val="en-US" w:eastAsia="zh-CN"/>
              </w:rPr>
              <w:t>项目资金末端分配点位</w:t>
            </w:r>
          </w:p>
        </w:tc>
        <w:tc>
          <w:tcPr>
            <w:tcW w:w="2880" w:type="dxa"/>
            <w:vAlign w:val="center"/>
          </w:tcPr>
          <w:p w14:paraId="7930D4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 w:eastAsia="zh-CN"/>
              </w:rPr>
              <w:t>自评得分（百分制）</w:t>
            </w:r>
          </w:p>
        </w:tc>
        <w:tc>
          <w:tcPr>
            <w:tcW w:w="999" w:type="dxa"/>
            <w:vAlign w:val="center"/>
          </w:tcPr>
          <w:p w14:paraId="43CD47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备注</w:t>
            </w:r>
          </w:p>
        </w:tc>
      </w:tr>
      <w:tr w14:paraId="4423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1130" w:type="dxa"/>
            <w:vAlign w:val="center"/>
          </w:tcPr>
          <w:p w14:paraId="61070F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p>
        </w:tc>
        <w:tc>
          <w:tcPr>
            <w:tcW w:w="3869" w:type="dxa"/>
            <w:vAlign w:val="center"/>
          </w:tcPr>
          <w:p w14:paraId="0FA640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 w:eastAsia="zh-CN"/>
              </w:rPr>
            </w:pPr>
            <w:r>
              <w:rPr>
                <w:rFonts w:hint="default" w:ascii="Times New Roman" w:hAnsi="Times New Roman" w:eastAsia="仿宋_GB2312" w:cs="Times New Roman"/>
                <w:sz w:val="24"/>
                <w:szCs w:val="24"/>
                <w:lang w:val="en-US" w:eastAsia="zh-CN"/>
              </w:rPr>
              <w:t>大英县文化广播电视和旅游局</w:t>
            </w:r>
          </w:p>
        </w:tc>
        <w:tc>
          <w:tcPr>
            <w:tcW w:w="2880" w:type="dxa"/>
            <w:vAlign w:val="center"/>
          </w:tcPr>
          <w:p w14:paraId="607FFC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95</w:t>
            </w:r>
          </w:p>
        </w:tc>
        <w:tc>
          <w:tcPr>
            <w:tcW w:w="999" w:type="dxa"/>
            <w:vAlign w:val="center"/>
          </w:tcPr>
          <w:p w14:paraId="564C58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p>
        </w:tc>
      </w:tr>
      <w:tr w14:paraId="7CFB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1130" w:type="dxa"/>
            <w:vAlign w:val="center"/>
          </w:tcPr>
          <w:p w14:paraId="4EDC65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w:t>
            </w:r>
          </w:p>
        </w:tc>
        <w:tc>
          <w:tcPr>
            <w:tcW w:w="3869" w:type="dxa"/>
            <w:vAlign w:val="center"/>
          </w:tcPr>
          <w:p w14:paraId="765A3A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 w:eastAsia="zh-CN"/>
              </w:rPr>
            </w:pPr>
          </w:p>
        </w:tc>
        <w:tc>
          <w:tcPr>
            <w:tcW w:w="2880" w:type="dxa"/>
            <w:vAlign w:val="center"/>
          </w:tcPr>
          <w:p w14:paraId="2884A5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 w:eastAsia="zh-CN"/>
              </w:rPr>
            </w:pPr>
          </w:p>
        </w:tc>
        <w:tc>
          <w:tcPr>
            <w:tcW w:w="999" w:type="dxa"/>
            <w:vAlign w:val="center"/>
          </w:tcPr>
          <w:p w14:paraId="71733A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p>
        </w:tc>
      </w:tr>
      <w:tr w14:paraId="05F9F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1130" w:type="dxa"/>
            <w:vAlign w:val="center"/>
          </w:tcPr>
          <w:p w14:paraId="0B051B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w:t>
            </w:r>
          </w:p>
        </w:tc>
        <w:tc>
          <w:tcPr>
            <w:tcW w:w="3869" w:type="dxa"/>
            <w:vAlign w:val="center"/>
          </w:tcPr>
          <w:p w14:paraId="664756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 w:eastAsia="zh-CN"/>
              </w:rPr>
            </w:pPr>
          </w:p>
        </w:tc>
        <w:tc>
          <w:tcPr>
            <w:tcW w:w="2880" w:type="dxa"/>
            <w:vAlign w:val="center"/>
          </w:tcPr>
          <w:p w14:paraId="34A91D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 w:eastAsia="zh-CN"/>
              </w:rPr>
            </w:pPr>
          </w:p>
        </w:tc>
        <w:tc>
          <w:tcPr>
            <w:tcW w:w="999" w:type="dxa"/>
            <w:vAlign w:val="center"/>
          </w:tcPr>
          <w:p w14:paraId="7F0815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p>
        </w:tc>
      </w:tr>
      <w:tr w14:paraId="228B3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1130" w:type="dxa"/>
            <w:vAlign w:val="center"/>
          </w:tcPr>
          <w:p w14:paraId="4B578F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w:t>
            </w:r>
          </w:p>
        </w:tc>
        <w:tc>
          <w:tcPr>
            <w:tcW w:w="3869" w:type="dxa"/>
            <w:vAlign w:val="center"/>
          </w:tcPr>
          <w:p w14:paraId="040478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 w:eastAsia="zh-CN"/>
              </w:rPr>
            </w:pPr>
          </w:p>
        </w:tc>
        <w:tc>
          <w:tcPr>
            <w:tcW w:w="2880" w:type="dxa"/>
            <w:vAlign w:val="center"/>
          </w:tcPr>
          <w:p w14:paraId="139EA1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 w:eastAsia="zh-CN"/>
              </w:rPr>
            </w:pPr>
          </w:p>
        </w:tc>
        <w:tc>
          <w:tcPr>
            <w:tcW w:w="999" w:type="dxa"/>
            <w:vAlign w:val="center"/>
          </w:tcPr>
          <w:p w14:paraId="0518F3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p>
        </w:tc>
      </w:tr>
      <w:tr w14:paraId="24C3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1130" w:type="dxa"/>
            <w:vAlign w:val="center"/>
          </w:tcPr>
          <w:p w14:paraId="376026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w:t>
            </w:r>
          </w:p>
        </w:tc>
        <w:tc>
          <w:tcPr>
            <w:tcW w:w="3869" w:type="dxa"/>
            <w:vAlign w:val="center"/>
          </w:tcPr>
          <w:p w14:paraId="4DE46B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 w:eastAsia="zh-CN"/>
              </w:rPr>
            </w:pPr>
          </w:p>
        </w:tc>
        <w:tc>
          <w:tcPr>
            <w:tcW w:w="2880" w:type="dxa"/>
            <w:vAlign w:val="center"/>
          </w:tcPr>
          <w:p w14:paraId="0CA3FC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 w:eastAsia="zh-CN"/>
              </w:rPr>
            </w:pPr>
          </w:p>
        </w:tc>
        <w:tc>
          <w:tcPr>
            <w:tcW w:w="999" w:type="dxa"/>
            <w:vAlign w:val="center"/>
          </w:tcPr>
          <w:p w14:paraId="116994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p>
        </w:tc>
      </w:tr>
      <w:tr w14:paraId="50C2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1130" w:type="dxa"/>
            <w:vAlign w:val="center"/>
          </w:tcPr>
          <w:p w14:paraId="5B511D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6</w:t>
            </w:r>
          </w:p>
        </w:tc>
        <w:tc>
          <w:tcPr>
            <w:tcW w:w="3869" w:type="dxa"/>
            <w:vAlign w:val="center"/>
          </w:tcPr>
          <w:p w14:paraId="09F3A5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 w:eastAsia="zh-CN"/>
              </w:rPr>
            </w:pPr>
          </w:p>
        </w:tc>
        <w:tc>
          <w:tcPr>
            <w:tcW w:w="2880" w:type="dxa"/>
            <w:vAlign w:val="center"/>
          </w:tcPr>
          <w:p w14:paraId="3B7440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 w:eastAsia="zh-CN"/>
              </w:rPr>
            </w:pPr>
          </w:p>
        </w:tc>
        <w:tc>
          <w:tcPr>
            <w:tcW w:w="999" w:type="dxa"/>
            <w:vAlign w:val="center"/>
          </w:tcPr>
          <w:p w14:paraId="1ADFF8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p>
        </w:tc>
      </w:tr>
      <w:tr w14:paraId="1807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1130" w:type="dxa"/>
            <w:vAlign w:val="center"/>
          </w:tcPr>
          <w:p w14:paraId="7AE2D2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7</w:t>
            </w:r>
          </w:p>
        </w:tc>
        <w:tc>
          <w:tcPr>
            <w:tcW w:w="3869" w:type="dxa"/>
            <w:vAlign w:val="center"/>
          </w:tcPr>
          <w:p w14:paraId="405629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 w:eastAsia="zh-CN"/>
              </w:rPr>
            </w:pPr>
          </w:p>
        </w:tc>
        <w:tc>
          <w:tcPr>
            <w:tcW w:w="2880" w:type="dxa"/>
            <w:vAlign w:val="center"/>
          </w:tcPr>
          <w:p w14:paraId="3645D0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 w:eastAsia="zh-CN"/>
              </w:rPr>
            </w:pPr>
          </w:p>
        </w:tc>
        <w:tc>
          <w:tcPr>
            <w:tcW w:w="999" w:type="dxa"/>
            <w:vAlign w:val="center"/>
          </w:tcPr>
          <w:p w14:paraId="276E15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p>
        </w:tc>
      </w:tr>
      <w:tr w14:paraId="5EC6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1130" w:type="dxa"/>
            <w:vAlign w:val="center"/>
          </w:tcPr>
          <w:p w14:paraId="2A5F69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8</w:t>
            </w:r>
          </w:p>
        </w:tc>
        <w:tc>
          <w:tcPr>
            <w:tcW w:w="3869" w:type="dxa"/>
            <w:vAlign w:val="center"/>
          </w:tcPr>
          <w:p w14:paraId="1E837A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 w:eastAsia="zh-CN"/>
              </w:rPr>
            </w:pPr>
          </w:p>
        </w:tc>
        <w:tc>
          <w:tcPr>
            <w:tcW w:w="2880" w:type="dxa"/>
            <w:vAlign w:val="center"/>
          </w:tcPr>
          <w:p w14:paraId="7D5442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 w:eastAsia="zh-CN"/>
              </w:rPr>
            </w:pPr>
          </w:p>
        </w:tc>
        <w:tc>
          <w:tcPr>
            <w:tcW w:w="999" w:type="dxa"/>
            <w:vAlign w:val="center"/>
          </w:tcPr>
          <w:p w14:paraId="2DEE89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p>
        </w:tc>
      </w:tr>
      <w:tr w14:paraId="2E8F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130" w:type="dxa"/>
            <w:vAlign w:val="center"/>
          </w:tcPr>
          <w:p w14:paraId="0D02B7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c>
          <w:tcPr>
            <w:tcW w:w="3869" w:type="dxa"/>
            <w:vAlign w:val="center"/>
          </w:tcPr>
          <w:p w14:paraId="0ADFB1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 w:eastAsia="zh-CN"/>
              </w:rPr>
            </w:pPr>
          </w:p>
        </w:tc>
        <w:tc>
          <w:tcPr>
            <w:tcW w:w="2880" w:type="dxa"/>
            <w:vAlign w:val="center"/>
          </w:tcPr>
          <w:p w14:paraId="419776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 w:eastAsia="zh-CN"/>
              </w:rPr>
            </w:pPr>
          </w:p>
        </w:tc>
        <w:tc>
          <w:tcPr>
            <w:tcW w:w="999" w:type="dxa"/>
            <w:vAlign w:val="center"/>
          </w:tcPr>
          <w:p w14:paraId="742A77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p>
        </w:tc>
      </w:tr>
    </w:tbl>
    <w:p w14:paraId="227AA37C">
      <w:pPr>
        <w:keepNext w:val="0"/>
        <w:keepLines w:val="0"/>
        <w:pageBreakBefore w:val="0"/>
        <w:widowControl w:val="0"/>
        <w:kinsoku/>
        <w:wordWrap/>
        <w:overflowPunct/>
        <w:topLinePunct w:val="0"/>
        <w:autoSpaceDE/>
        <w:autoSpaceDN/>
        <w:bidi w:val="0"/>
        <w:adjustRightInd/>
        <w:snapToGrid/>
        <w:spacing w:line="320" w:lineRule="exact"/>
        <w:ind w:left="1334" w:leftChars="150" w:hanging="854" w:hangingChars="356"/>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备注：1.项目资金末端分配点位包括县（市、区）、市级部门下属单位及一次性单位等。</w:t>
      </w:r>
    </w:p>
    <w:p w14:paraId="7637B748">
      <w:pPr>
        <w:keepNext w:val="0"/>
        <w:keepLines w:val="0"/>
        <w:pageBreakBefore w:val="0"/>
        <w:widowControl w:val="0"/>
        <w:kinsoku/>
        <w:wordWrap/>
        <w:overflowPunct/>
        <w:topLinePunct w:val="0"/>
        <w:autoSpaceDE/>
        <w:autoSpaceDN/>
        <w:bidi w:val="0"/>
        <w:adjustRightInd/>
        <w:snapToGrid/>
        <w:spacing w:line="320" w:lineRule="exact"/>
        <w:ind w:left="1327" w:leftChars="375" w:hanging="127" w:hangingChars="53"/>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2.自评得分（百分制）从高到低划分为优、良、中、差四个档次，各个档次数量占比分别为20%、20%、55%、5%，且不同档次间得分分值应体现差异化，同档次得分分值相同的比例不超过该档次总数量的10%。</w:t>
      </w:r>
    </w:p>
    <w:p w14:paraId="2E3F83D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p>
    <w:p w14:paraId="147A460A">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5C7252C4">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附表2</w:t>
      </w:r>
    </w:p>
    <w:p w14:paraId="4A0C2DEC">
      <w:pPr>
        <w:keepNext w:val="0"/>
        <w:keepLines w:val="0"/>
        <w:pageBreakBefore w:val="0"/>
        <w:widowControl w:val="0"/>
        <w:kinsoku/>
        <w:wordWrap/>
        <w:overflowPunct/>
        <w:topLinePunct w:val="0"/>
        <w:autoSpaceDE/>
        <w:autoSpaceDN/>
        <w:bidi w:val="0"/>
        <w:adjustRightInd/>
        <w:snapToGrid/>
        <w:spacing w:after="89" w:afterLines="20" w:afterAutospacing="0" w:line="660" w:lineRule="exact"/>
        <w:jc w:val="center"/>
        <w:textAlignment w:val="auto"/>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专项资金绩效目标完成情况自评表</w:t>
      </w:r>
    </w:p>
    <w:tbl>
      <w:tblPr>
        <w:tblStyle w:val="6"/>
        <w:tblW w:w="102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3"/>
        <w:gridCol w:w="1023"/>
        <w:gridCol w:w="1314"/>
        <w:gridCol w:w="1071"/>
        <w:gridCol w:w="1200"/>
        <w:gridCol w:w="960"/>
        <w:gridCol w:w="660"/>
        <w:gridCol w:w="165"/>
        <w:gridCol w:w="1050"/>
        <w:gridCol w:w="315"/>
        <w:gridCol w:w="600"/>
        <w:gridCol w:w="1248"/>
      </w:tblGrid>
      <w:tr w14:paraId="6118C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1" w:hRule="atLeast"/>
          <w:jc w:val="center"/>
        </w:trPr>
        <w:tc>
          <w:tcPr>
            <w:tcW w:w="40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AA14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项目名称</w:t>
            </w:r>
          </w:p>
        </w:tc>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DB3B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补助文旅行业纾困资金</w:t>
            </w:r>
            <w:r>
              <w:rPr>
                <w:rFonts w:hint="default" w:ascii="Times New Roman" w:hAnsi="Times New Roman" w:eastAsia="仿宋_GB2312" w:cs="Times New Roman"/>
                <w:sz w:val="24"/>
                <w:szCs w:val="24"/>
                <w:lang w:val="en-US" w:eastAsia="zh-CN"/>
              </w:rPr>
              <w:t>.大文广旅﹝2023﹞186号</w:t>
            </w:r>
          </w:p>
        </w:tc>
      </w:tr>
      <w:tr w14:paraId="1222F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jc w:val="center"/>
        </w:trPr>
        <w:tc>
          <w:tcPr>
            <w:tcW w:w="40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847E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预算单位</w:t>
            </w:r>
          </w:p>
        </w:tc>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7CB0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大英县文化广播电视和旅游局</w:t>
            </w:r>
          </w:p>
        </w:tc>
      </w:tr>
      <w:tr w14:paraId="7D766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jc w:val="center"/>
        </w:trPr>
        <w:tc>
          <w:tcPr>
            <w:tcW w:w="40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3A38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项目类型</w:t>
            </w:r>
          </w:p>
        </w:tc>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AF85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助企纾困</w:t>
            </w:r>
          </w:p>
        </w:tc>
      </w:tr>
      <w:tr w14:paraId="04706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0"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F60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项目概况</w:t>
            </w:r>
          </w:p>
        </w:tc>
        <w:tc>
          <w:tcPr>
            <w:tcW w:w="3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AB73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中长期规划（名称、文号，仅指</w:t>
            </w:r>
          </w:p>
          <w:p w14:paraId="68E9ED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常年项目）</w:t>
            </w:r>
          </w:p>
        </w:tc>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0C58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14:paraId="5CAD9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845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3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4967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资金管理办法（名称、文号）</w:t>
            </w:r>
          </w:p>
        </w:tc>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EB4A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补助文旅行业纾困资金</w:t>
            </w:r>
            <w:r>
              <w:rPr>
                <w:rFonts w:hint="default" w:ascii="Times New Roman" w:hAnsi="Times New Roman" w:eastAsia="仿宋_GB2312" w:cs="Times New Roman"/>
                <w:sz w:val="24"/>
                <w:szCs w:val="24"/>
                <w:lang w:val="en-US" w:eastAsia="zh-CN"/>
              </w:rPr>
              <w:t>.大文广旅﹝2023﹞186号</w:t>
            </w:r>
          </w:p>
        </w:tc>
      </w:tr>
      <w:tr w14:paraId="2269E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4"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8FE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3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6BFB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绩效分配方式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FF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sym w:font="Wingdings 2" w:char="00A3"/>
            </w:r>
            <w:r>
              <w:rPr>
                <w:rFonts w:hint="default" w:ascii="Times New Roman" w:hAnsi="Times New Roman" w:eastAsia="仿宋_GB2312" w:cs="Times New Roman"/>
                <w:sz w:val="24"/>
                <w:szCs w:val="24"/>
                <w:lang w:val="en-US" w:eastAsia="zh-CN"/>
              </w:rPr>
              <w:t>因素法</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457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sym w:font="Wingdings 2" w:char="00A3"/>
            </w:r>
            <w:r>
              <w:rPr>
                <w:rFonts w:hint="default" w:ascii="Times New Roman" w:hAnsi="Times New Roman" w:eastAsia="仿宋_GB2312" w:cs="Times New Roman"/>
                <w:sz w:val="24"/>
                <w:szCs w:val="24"/>
                <w:lang w:val="en-US" w:eastAsia="zh-CN"/>
              </w:rPr>
              <w:t>项目法</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C177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sym w:font="Wingdings 2" w:char="00A3"/>
            </w:r>
            <w:r>
              <w:rPr>
                <w:rFonts w:hint="default" w:ascii="Times New Roman" w:hAnsi="Times New Roman" w:eastAsia="仿宋_GB2312" w:cs="Times New Roman"/>
                <w:sz w:val="24"/>
                <w:szCs w:val="24"/>
                <w:lang w:val="en-US" w:eastAsia="zh-CN"/>
              </w:rPr>
              <w:t>据实据效</w:t>
            </w: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F72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sym w:font="Wingdings 2" w:char="00A3"/>
            </w:r>
            <w:r>
              <w:rPr>
                <w:rFonts w:hint="default" w:ascii="Times New Roman" w:hAnsi="Times New Roman" w:eastAsia="仿宋_GB2312" w:cs="Times New Roman"/>
                <w:sz w:val="24"/>
                <w:szCs w:val="24"/>
                <w:lang w:val="en-US" w:eastAsia="zh-CN"/>
              </w:rPr>
              <w:t>因素法与项目法相结合</w:t>
            </w:r>
          </w:p>
        </w:tc>
      </w:tr>
      <w:tr w14:paraId="01A12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7CC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3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8B15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立项依据</w:t>
            </w:r>
          </w:p>
        </w:tc>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68B8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纾解文化和旅游市场经营困难</w:t>
            </w:r>
          </w:p>
        </w:tc>
      </w:tr>
      <w:tr w14:paraId="0E404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5A67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3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FB57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使用范围</w:t>
            </w:r>
          </w:p>
        </w:tc>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9901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助企纾困补助，维持企业正常经营</w:t>
            </w:r>
          </w:p>
        </w:tc>
      </w:tr>
      <w:tr w14:paraId="65F88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4C7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3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A99B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申报（补助）条件</w:t>
            </w:r>
          </w:p>
        </w:tc>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6FB6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14:paraId="17AA3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D26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3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FA24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项目起止年限</w:t>
            </w:r>
          </w:p>
        </w:tc>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43C9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2024年</w:t>
            </w:r>
          </w:p>
        </w:tc>
      </w:tr>
      <w:tr w14:paraId="5949F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jc w:val="center"/>
        </w:trPr>
        <w:tc>
          <w:tcPr>
            <w:tcW w:w="16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0BB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项目资金</w:t>
            </w:r>
          </w:p>
          <w:p w14:paraId="1202E8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（万元）</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DA1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年度资金总额：</w:t>
            </w:r>
          </w:p>
        </w:tc>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EA80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29.7</w:t>
            </w:r>
          </w:p>
        </w:tc>
      </w:tr>
      <w:tr w14:paraId="5A694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jc w:val="center"/>
        </w:trPr>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672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02C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其中：财政拨款</w:t>
            </w:r>
          </w:p>
        </w:tc>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9A5F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29.7</w:t>
            </w:r>
          </w:p>
        </w:tc>
      </w:tr>
      <w:tr w14:paraId="4FBA0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jc w:val="center"/>
        </w:trPr>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E1F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E52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其他资金</w:t>
            </w:r>
          </w:p>
        </w:tc>
        <w:tc>
          <w:tcPr>
            <w:tcW w:w="61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C698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无</w:t>
            </w:r>
          </w:p>
        </w:tc>
      </w:tr>
      <w:tr w14:paraId="72439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DF4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总体目标</w:t>
            </w:r>
          </w:p>
        </w:tc>
        <w:tc>
          <w:tcPr>
            <w:tcW w:w="96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30B0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年度目标</w:t>
            </w:r>
          </w:p>
        </w:tc>
      </w:tr>
      <w:tr w14:paraId="3C235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8"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89B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6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B5FF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2024年助企纾困扶持资金29.7万元，用于补助1家企业、1家社会团体。用于帮助企业应对疫情带来的经营困难，维持企业正常经营。</w:t>
            </w:r>
          </w:p>
        </w:tc>
      </w:tr>
      <w:tr w14:paraId="00723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4" w:hRule="atLeast"/>
          <w:jc w:val="center"/>
        </w:trPr>
        <w:tc>
          <w:tcPr>
            <w:tcW w:w="653" w:type="dxa"/>
            <w:vMerge w:val="restart"/>
            <w:tcBorders>
              <w:top w:val="single" w:color="000000" w:sz="4" w:space="0"/>
              <w:left w:val="single" w:color="000000" w:sz="4" w:space="0"/>
              <w:bottom w:val="single" w:color="000000" w:sz="4" w:space="0"/>
            </w:tcBorders>
            <w:shd w:val="clear" w:color="auto" w:fill="auto"/>
            <w:vAlign w:val="center"/>
          </w:tcPr>
          <w:p w14:paraId="5BC7FC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绩效指标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03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一级指标</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6E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二级指标</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BE7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三级指标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13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指标</w:t>
            </w:r>
          </w:p>
          <w:p w14:paraId="5DE4C9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性质</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CFD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指标值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71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度量单位</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CD8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权重</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A9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实际完成指标值</w:t>
            </w:r>
          </w:p>
        </w:tc>
      </w:tr>
      <w:tr w14:paraId="00189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jc w:val="center"/>
        </w:trPr>
        <w:tc>
          <w:tcPr>
            <w:tcW w:w="653" w:type="dxa"/>
            <w:vMerge w:val="continue"/>
            <w:tcBorders>
              <w:top w:val="single" w:color="000000" w:sz="4" w:space="0"/>
              <w:left w:val="single" w:color="000000" w:sz="4" w:space="0"/>
              <w:bottom w:val="single" w:color="000000" w:sz="4" w:space="0"/>
            </w:tcBorders>
            <w:shd w:val="clear" w:color="auto" w:fill="auto"/>
            <w:vAlign w:val="center"/>
          </w:tcPr>
          <w:p w14:paraId="69FB3E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772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产出指标</w:t>
            </w:r>
          </w:p>
        </w:tc>
        <w:tc>
          <w:tcPr>
            <w:tcW w:w="13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1AD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数量指标</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F1F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民营景区扶持景区数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2C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E3D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68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家</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CA0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85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1家</w:t>
            </w:r>
          </w:p>
        </w:tc>
      </w:tr>
      <w:tr w14:paraId="5F8B1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jc w:val="center"/>
        </w:trPr>
        <w:tc>
          <w:tcPr>
            <w:tcW w:w="653" w:type="dxa"/>
            <w:vMerge w:val="continue"/>
            <w:tcBorders>
              <w:top w:val="single" w:color="000000" w:sz="4" w:space="0"/>
              <w:left w:val="single" w:color="000000" w:sz="4" w:space="0"/>
              <w:bottom w:val="single" w:color="000000" w:sz="4" w:space="0"/>
            </w:tcBorders>
            <w:shd w:val="clear" w:color="auto" w:fill="auto"/>
            <w:vAlign w:val="center"/>
          </w:tcPr>
          <w:p w14:paraId="5C9DCA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E5B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DE7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ACE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民营文艺表演团体数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30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D8C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0E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个</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1E5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05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1个</w:t>
            </w:r>
          </w:p>
        </w:tc>
      </w:tr>
      <w:tr w14:paraId="7B2AD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4" w:hRule="atLeast"/>
          <w:jc w:val="center"/>
        </w:trPr>
        <w:tc>
          <w:tcPr>
            <w:tcW w:w="653" w:type="dxa"/>
            <w:vMerge w:val="continue"/>
            <w:tcBorders>
              <w:top w:val="single" w:color="000000" w:sz="4" w:space="0"/>
              <w:left w:val="single" w:color="000000" w:sz="4" w:space="0"/>
              <w:bottom w:val="single" w:color="000000" w:sz="4" w:space="0"/>
            </w:tcBorders>
            <w:shd w:val="clear" w:color="auto" w:fill="auto"/>
            <w:vAlign w:val="center"/>
          </w:tcPr>
          <w:p w14:paraId="76B866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8FC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E2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质量指标</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09E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文旅行业纾困资金</w:t>
            </w:r>
            <w:r>
              <w:rPr>
                <w:rFonts w:hint="default" w:ascii="Times New Roman" w:hAnsi="Times New Roman" w:eastAsia="仿宋_GB2312" w:cs="Times New Roman"/>
                <w:sz w:val="24"/>
                <w:szCs w:val="24"/>
                <w:lang w:eastAsia="zh-CN"/>
              </w:rPr>
              <w:t>发放准确率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33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28B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F3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百分比</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7C5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64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=100%</w:t>
            </w:r>
          </w:p>
        </w:tc>
      </w:tr>
      <w:tr w14:paraId="4403A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4" w:hRule="atLeast"/>
          <w:jc w:val="center"/>
        </w:trPr>
        <w:tc>
          <w:tcPr>
            <w:tcW w:w="653" w:type="dxa"/>
            <w:vMerge w:val="continue"/>
            <w:tcBorders>
              <w:top w:val="single" w:color="000000" w:sz="4" w:space="0"/>
              <w:left w:val="single" w:color="000000" w:sz="4" w:space="0"/>
              <w:bottom w:val="single" w:color="000000" w:sz="4" w:space="0"/>
            </w:tcBorders>
            <w:shd w:val="clear" w:color="auto" w:fill="auto"/>
            <w:vAlign w:val="center"/>
          </w:tcPr>
          <w:p w14:paraId="7104E7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E95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B7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时效指标</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F80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文旅行业纾困资金</w:t>
            </w:r>
            <w:r>
              <w:rPr>
                <w:rFonts w:hint="default" w:ascii="Times New Roman" w:hAnsi="Times New Roman" w:eastAsia="仿宋_GB2312" w:cs="Times New Roman"/>
                <w:sz w:val="24"/>
                <w:szCs w:val="24"/>
                <w:lang w:eastAsia="zh-CN"/>
              </w:rPr>
              <w:t>发放及时率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AC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1CE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54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百分比</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5DE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7A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=100%</w:t>
            </w:r>
          </w:p>
        </w:tc>
      </w:tr>
      <w:tr w14:paraId="3A31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4" w:hRule="atLeast"/>
          <w:jc w:val="center"/>
        </w:trPr>
        <w:tc>
          <w:tcPr>
            <w:tcW w:w="653" w:type="dxa"/>
            <w:vMerge w:val="continue"/>
            <w:tcBorders>
              <w:top w:val="single" w:color="000000" w:sz="4" w:space="0"/>
              <w:left w:val="single" w:color="000000" w:sz="4" w:space="0"/>
              <w:bottom w:val="single" w:color="000000" w:sz="4" w:space="0"/>
            </w:tcBorders>
            <w:shd w:val="clear" w:color="auto" w:fill="auto"/>
            <w:vAlign w:val="center"/>
          </w:tcPr>
          <w:p w14:paraId="2AD1CE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65A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right w:val="single" w:color="000000" w:sz="4" w:space="0"/>
            </w:tcBorders>
            <w:shd w:val="clear" w:color="auto" w:fill="auto"/>
            <w:vAlign w:val="center"/>
          </w:tcPr>
          <w:p w14:paraId="4E2C31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社会效益</w:t>
            </w:r>
          </w:p>
          <w:p w14:paraId="46D394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指标</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8C6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文旅行业纾困成功</w:t>
            </w:r>
          </w:p>
          <w:p w14:paraId="349D95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影响率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DA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9F4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2A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百分比</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423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88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=100%</w:t>
            </w:r>
          </w:p>
        </w:tc>
      </w:tr>
      <w:tr w14:paraId="10D48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jc w:val="center"/>
        </w:trPr>
        <w:tc>
          <w:tcPr>
            <w:tcW w:w="653" w:type="dxa"/>
            <w:vMerge w:val="continue"/>
            <w:tcBorders>
              <w:top w:val="single" w:color="000000" w:sz="4" w:space="0"/>
              <w:left w:val="single" w:color="000000" w:sz="4" w:space="0"/>
              <w:bottom w:val="single" w:color="000000" w:sz="4" w:space="0"/>
            </w:tcBorders>
            <w:shd w:val="clear" w:color="auto" w:fill="auto"/>
            <w:vAlign w:val="center"/>
          </w:tcPr>
          <w:p w14:paraId="753C69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1023" w:type="dxa"/>
            <w:vMerge w:val="restart"/>
            <w:tcBorders>
              <w:top w:val="single" w:color="000000" w:sz="4" w:space="0"/>
              <w:left w:val="single" w:color="000000" w:sz="4" w:space="0"/>
              <w:right w:val="single" w:color="000000" w:sz="4" w:space="0"/>
            </w:tcBorders>
            <w:shd w:val="clear" w:color="auto" w:fill="auto"/>
            <w:vAlign w:val="center"/>
          </w:tcPr>
          <w:p w14:paraId="2571B9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满意度</w:t>
            </w:r>
          </w:p>
          <w:p w14:paraId="6F74BF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指标</w:t>
            </w:r>
          </w:p>
        </w:tc>
        <w:tc>
          <w:tcPr>
            <w:tcW w:w="1314" w:type="dxa"/>
            <w:vMerge w:val="restart"/>
            <w:tcBorders>
              <w:top w:val="single" w:color="000000" w:sz="4" w:space="0"/>
              <w:left w:val="single" w:color="000000" w:sz="4" w:space="0"/>
              <w:right w:val="single" w:color="000000" w:sz="4" w:space="0"/>
            </w:tcBorders>
            <w:shd w:val="clear" w:color="auto" w:fill="auto"/>
            <w:vAlign w:val="center"/>
          </w:tcPr>
          <w:p w14:paraId="5BC0E0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服务对象</w:t>
            </w:r>
          </w:p>
          <w:p w14:paraId="19212B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满意度指标</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ABC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纾困企业满意度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FE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ED7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95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96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百分比</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503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E1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98%</w:t>
            </w:r>
          </w:p>
        </w:tc>
      </w:tr>
      <w:tr w14:paraId="5A587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jc w:val="center"/>
        </w:trPr>
        <w:tc>
          <w:tcPr>
            <w:tcW w:w="653" w:type="dxa"/>
            <w:vMerge w:val="continue"/>
            <w:tcBorders>
              <w:top w:val="single" w:color="000000" w:sz="4" w:space="0"/>
              <w:left w:val="single" w:color="000000" w:sz="4" w:space="0"/>
              <w:bottom w:val="single" w:color="000000" w:sz="4" w:space="0"/>
            </w:tcBorders>
            <w:shd w:val="clear" w:color="auto" w:fill="auto"/>
            <w:vAlign w:val="center"/>
          </w:tcPr>
          <w:p w14:paraId="407659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1023" w:type="dxa"/>
            <w:vMerge w:val="continue"/>
            <w:tcBorders>
              <w:left w:val="single" w:color="000000" w:sz="4" w:space="0"/>
              <w:right w:val="single" w:color="000000" w:sz="4" w:space="0"/>
            </w:tcBorders>
            <w:shd w:val="clear" w:color="auto" w:fill="auto"/>
            <w:vAlign w:val="center"/>
          </w:tcPr>
          <w:p w14:paraId="5D26E8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p>
        </w:tc>
        <w:tc>
          <w:tcPr>
            <w:tcW w:w="1314" w:type="dxa"/>
            <w:vMerge w:val="continue"/>
            <w:tcBorders>
              <w:left w:val="single" w:color="000000" w:sz="4" w:space="0"/>
              <w:right w:val="single" w:color="000000" w:sz="4" w:space="0"/>
            </w:tcBorders>
            <w:shd w:val="clear" w:color="auto" w:fill="auto"/>
            <w:vAlign w:val="center"/>
          </w:tcPr>
          <w:p w14:paraId="57774E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26B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社会满意度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E4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D04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95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06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百分比</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FB7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F6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98%</w:t>
            </w:r>
          </w:p>
        </w:tc>
      </w:tr>
      <w:tr w14:paraId="63A8F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4" w:hRule="atLeast"/>
          <w:jc w:val="center"/>
        </w:trPr>
        <w:tc>
          <w:tcPr>
            <w:tcW w:w="653" w:type="dxa"/>
            <w:vMerge w:val="continue"/>
            <w:tcBorders>
              <w:top w:val="single" w:color="000000" w:sz="4" w:space="0"/>
              <w:left w:val="single" w:color="000000" w:sz="4" w:space="0"/>
              <w:bottom w:val="single" w:color="000000" w:sz="4" w:space="0"/>
            </w:tcBorders>
            <w:shd w:val="clear" w:color="auto" w:fill="auto"/>
            <w:vAlign w:val="center"/>
          </w:tcPr>
          <w:p w14:paraId="31B3F3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4E7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成本指标</w:t>
            </w:r>
          </w:p>
        </w:tc>
        <w:tc>
          <w:tcPr>
            <w:tcW w:w="1314" w:type="dxa"/>
            <w:vMerge w:val="restart"/>
            <w:tcBorders>
              <w:top w:val="single" w:color="000000" w:sz="4" w:space="0"/>
              <w:left w:val="single" w:color="000000" w:sz="4" w:space="0"/>
              <w:right w:val="single" w:color="000000" w:sz="4" w:space="0"/>
            </w:tcBorders>
            <w:shd w:val="clear" w:color="auto" w:fill="auto"/>
            <w:vAlign w:val="center"/>
          </w:tcPr>
          <w:p w14:paraId="6FC8C3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经济成本</w:t>
            </w:r>
          </w:p>
          <w:p w14:paraId="1C2CC2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指标</w:t>
            </w:r>
          </w:p>
        </w:tc>
        <w:tc>
          <w:tcPr>
            <w:tcW w:w="2271" w:type="dxa"/>
            <w:gridSpan w:val="2"/>
            <w:tcBorders>
              <w:top w:val="single" w:color="000000" w:sz="4" w:space="0"/>
              <w:bottom w:val="single" w:color="000000" w:sz="4" w:space="0"/>
              <w:right w:val="single" w:color="000000" w:sz="4" w:space="0"/>
            </w:tcBorders>
            <w:shd w:val="clear" w:color="auto" w:fill="auto"/>
            <w:vAlign w:val="center"/>
          </w:tcPr>
          <w:p w14:paraId="06421D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民营景区扶持补助</w:t>
            </w:r>
          </w:p>
          <w:p w14:paraId="0A63A1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13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3D5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19.7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B2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万元</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C1C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18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=19.7万元</w:t>
            </w:r>
          </w:p>
        </w:tc>
      </w:tr>
      <w:tr w14:paraId="43A6D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8" w:hRule="atLeast"/>
          <w:jc w:val="center"/>
        </w:trPr>
        <w:tc>
          <w:tcPr>
            <w:tcW w:w="653" w:type="dxa"/>
            <w:vMerge w:val="continue"/>
            <w:tcBorders>
              <w:top w:val="single" w:color="000000" w:sz="4" w:space="0"/>
              <w:left w:val="single" w:color="000000" w:sz="4" w:space="0"/>
              <w:bottom w:val="single" w:color="000000" w:sz="4" w:space="0"/>
            </w:tcBorders>
            <w:shd w:val="clear" w:color="auto" w:fill="auto"/>
            <w:vAlign w:val="center"/>
          </w:tcPr>
          <w:p w14:paraId="46405A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6CE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1314" w:type="dxa"/>
            <w:vMerge w:val="continue"/>
            <w:tcBorders>
              <w:left w:val="single" w:color="000000" w:sz="4" w:space="0"/>
              <w:bottom w:val="single" w:color="000000" w:sz="4" w:space="0"/>
              <w:right w:val="single" w:color="000000" w:sz="4" w:space="0"/>
            </w:tcBorders>
            <w:shd w:val="clear" w:color="auto" w:fill="auto"/>
            <w:vAlign w:val="center"/>
          </w:tcPr>
          <w:p w14:paraId="61A87C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271" w:type="dxa"/>
            <w:gridSpan w:val="2"/>
            <w:tcBorders>
              <w:top w:val="single" w:color="000000" w:sz="4" w:space="0"/>
              <w:bottom w:val="single" w:color="000000" w:sz="4" w:space="0"/>
              <w:right w:val="single" w:color="000000" w:sz="4" w:space="0"/>
            </w:tcBorders>
            <w:shd w:val="clear" w:color="auto" w:fill="auto"/>
            <w:vAlign w:val="center"/>
          </w:tcPr>
          <w:p w14:paraId="346135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pacing w:val="-8"/>
                <w:sz w:val="24"/>
                <w:szCs w:val="24"/>
                <w:lang w:eastAsia="zh-CN"/>
              </w:rPr>
              <w:t>街头艺人表演纾困补助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2A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D5B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8D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万元</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BBC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63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=10万元</w:t>
            </w:r>
          </w:p>
        </w:tc>
      </w:tr>
    </w:tbl>
    <w:p w14:paraId="3F183587">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eastAsia="仿宋_GB2312" w:cs="Times New Roman"/>
          <w:sz w:val="32"/>
          <w:szCs w:val="32"/>
        </w:rPr>
      </w:pPr>
    </w:p>
    <w:sectPr>
      <w:footerReference r:id="rId3" w:type="default"/>
      <w:pgSz w:w="11906" w:h="16838"/>
      <w:pgMar w:top="2098" w:right="1474" w:bottom="1984" w:left="1587" w:header="851" w:footer="1701" w:gutter="0"/>
      <w:paperSrc/>
      <w:pgNumType w:fmt="decimal"/>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042C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A07136">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EA07136">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010031"/>
    <w:rsid w:val="1E010031"/>
    <w:rsid w:val="24180B49"/>
    <w:rsid w:val="67D2645A"/>
    <w:rsid w:val="6F504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Theme="minorEastAsia" w:cstheme="minorBidi"/>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章标题"/>
    <w:basedOn w:val="1"/>
    <w:next w:val="3"/>
    <w:qFormat/>
    <w:uiPriority w:val="99"/>
    <w:pPr>
      <w:spacing w:line="323" w:lineRule="atLeast"/>
      <w:ind w:right="-120"/>
      <w:jc w:val="center"/>
      <w:textAlignment w:val="baseline"/>
    </w:pPr>
    <w:rPr>
      <w:color w:val="FF0000"/>
      <w:sz w:val="18"/>
      <w:szCs w:val="18"/>
    </w:rPr>
  </w:style>
  <w:style w:type="paragraph" w:customStyle="1" w:styleId="3">
    <w:name w:val="节标题"/>
    <w:basedOn w:val="1"/>
    <w:next w:val="1"/>
    <w:qFormat/>
    <w:uiPriority w:val="0"/>
    <w:pPr>
      <w:widowControl/>
      <w:spacing w:line="289" w:lineRule="atLeast"/>
      <w:jc w:val="center"/>
      <w:textAlignment w:val="baseline"/>
    </w:pPr>
    <w:rPr>
      <w:color w:val="000000"/>
      <w:sz w:val="2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2025-06-10T10:54:00Z</dcterms:created>
  <dc:creator>恒阳文化传播有限公司</dc:creator>
  <cp:lastModifiedBy>恒阳文化传播有限公司</cp:lastModifiedBy>
  <dcterms:modified xsi:type="dcterms:W3CDTF">2025-06-10T11:04:46Z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69B639B1527F4493AD916FF36E3706C3_11</vt:lpwstr>
  </property>
  <property fmtid="{D5CDD505-2E9C-101B-9397-08002B2CF9AE}" pid="4" name="KSOTemplateDocerSaveRecord">
    <vt:lpwstr>eyJoZGlkIjoiZGQ3NzdkNzJhMjRkMjczYjc3MTNjYTE4Nzc1N2NiYmYiLCJ1c2VySWQiOiI5NzgwNDc5ODQifQ==</vt:lpwstr>
  </property>
</Properties>
</file>