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0F76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大英县乡镇级片区旅游专项规划及公共文化</w:t>
      </w:r>
    </w:p>
    <w:p w14:paraId="3F2E5B9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设施专项规划编制专项资金绩效</w:t>
      </w:r>
    </w:p>
    <w:p w14:paraId="7C64C41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自评报告</w:t>
      </w:r>
    </w:p>
    <w:p w14:paraId="77D3822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rPr>
      </w:pPr>
    </w:p>
    <w:p w14:paraId="103F0D7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一、项目概况</w:t>
      </w:r>
    </w:p>
    <w:p w14:paraId="0FF7920B">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（一）设立背景及基本情况。</w:t>
      </w:r>
      <w:r>
        <w:rPr>
          <w:rFonts w:hint="default" w:ascii="Times New Roman" w:hAnsi="Times New Roman" w:eastAsia="仿宋_GB2312" w:cs="Times New Roman"/>
          <w:sz w:val="32"/>
          <w:szCs w:val="32"/>
        </w:rPr>
        <w:t>深入贯彻习近平总书记关于国土空间规划的系列批示指示精神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全面落实省委省政府关于做好两项改革“后半篇</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文章相关工作的决策部署。根据《中共中央、国务院关于建立国土空间规划体系并监督实施的若干意见》（中发〔2019〕18号）、《中共四川省委办公厅、四川省人民政府办公厅印发＜关于全省县域内片区化分指导意见＞＜关于以片区为单元编制乡村国土空间规划的指导意见＞的通知》（川委厅〔2021〕53号）、《四川省自然资源厅关于印发＜乡镇级片区专项规划省级工作方案＞的通知》（川自然资发〔2021〕43号）等文件精神，在扎实推动大英乡镇级片区国土空间规划的同时，梳理符合片区旅游发展需求项目清单，编制遂大融城发展片区和大英极核发展2个片区旅游专项规划及公共文化设施专项规划，编制成遂协调绿色发展片区1个旅游规划专章及公共文化设施专章。</w:t>
      </w:r>
    </w:p>
    <w:p w14:paraId="0D5FE652">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（二）实施目的及支持方向。</w:t>
      </w:r>
      <w:r>
        <w:rPr>
          <w:rFonts w:hint="default" w:ascii="Times New Roman" w:hAnsi="Times New Roman" w:eastAsia="仿宋_GB2312" w:cs="Times New Roman"/>
          <w:sz w:val="32"/>
          <w:szCs w:val="32"/>
        </w:rPr>
        <w:t>通过国土空间规划与文化旅游专项规划的有效融合衔接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进一步提高片区规划的整体性和协同性，确保大英两项改革“后半篇”文章国土空间规划的落实落地，为大英乡村振兴和县域经济高质量发展打下基础。</w:t>
      </w:r>
    </w:p>
    <w:p w14:paraId="469BF35F">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（三）预算安排及分配管理。</w:t>
      </w:r>
      <w:r>
        <w:rPr>
          <w:rFonts w:hint="default" w:ascii="Times New Roman" w:hAnsi="Times New Roman" w:eastAsia="仿宋_GB2312" w:cs="Times New Roman"/>
          <w:sz w:val="32"/>
          <w:szCs w:val="32"/>
        </w:rPr>
        <w:t>根据《大英县乡镇级片区旅游专项规划及公共文化设施专项规划编制项目协议》，项目总费用共为123.75万元，资金分3次支付。目前，支付了第一期费用37.125万元，还欠86.625万元。</w:t>
      </w:r>
    </w:p>
    <w:p w14:paraId="207D8277">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（四）项目绩效目标设置。</w:t>
      </w:r>
      <w:r>
        <w:rPr>
          <w:rFonts w:hint="default" w:ascii="Times New Roman" w:hAnsi="Times New Roman" w:eastAsia="仿宋_GB2312" w:cs="Times New Roman"/>
          <w:sz w:val="32"/>
          <w:szCs w:val="32"/>
        </w:rPr>
        <w:t>按照《四川省文化和旅游厅关于印发＜四川省乡镇级旅游规划导则（试行）＞的通知》（川文旅发〔2021〕89号）要求，结合实际情况，制定切合实际的实施方案。编制遂大融城发展片区和大英极核发展2个片区编制旅游专项规划和公共文化设施专项规划，成遂协同绿色发展片区编制旅游规划专章和公共文化设施规划专章。</w:t>
      </w:r>
    </w:p>
    <w:p w14:paraId="6D71152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二、评价实施</w:t>
      </w:r>
    </w:p>
    <w:p w14:paraId="12E75BA7">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（一）评价目的</w:t>
      </w:r>
      <w:r>
        <w:rPr>
          <w:rFonts w:hint="default" w:ascii="Times New Roman" w:hAnsi="Times New Roman" w:eastAsia="仿宋_GB2312" w:cs="Times New Roman"/>
          <w:sz w:val="32"/>
          <w:szCs w:val="32"/>
        </w:rPr>
        <w:t>。主要是检查项目支出绩效目标完成情况，揭示项目预算执行和绩效管理过程中存在的问题，进而从数量、质量、时效、成本、效益等方面，综合衡量项目支出预算资金管理使用效果，进一步完善政策制度、改进项目管理、优化财政支出结构，提高财政资金使用效益，提升财政管理效率质量，为财政部门和预算执行单位强化支出预算绩效管理提供依据。</w:t>
      </w:r>
    </w:p>
    <w:p w14:paraId="18A168E0">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（二）预设问题及评价重点。</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钱有没有按规定使用，比如有没有乱用或浪费；</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项目成果是否达标，比如数量、质量、时效是否合格；</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效果实不实在，比如满意度、对行业或社会的实际影响。</w:t>
      </w:r>
    </w:p>
    <w:p w14:paraId="18D4BD52">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（三）评价选点。</w:t>
      </w:r>
      <w:r>
        <w:rPr>
          <w:rFonts w:hint="default" w:ascii="Times New Roman" w:hAnsi="Times New Roman" w:eastAsia="仿宋_GB2312" w:cs="Times New Roman"/>
          <w:sz w:val="32"/>
          <w:szCs w:val="32"/>
        </w:rPr>
        <w:t>项目绩效自评所抽样点位主要在全县各镇（街道）。</w:t>
      </w:r>
    </w:p>
    <w:p w14:paraId="50A687D9">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（四）评价方法。</w:t>
      </w:r>
      <w:r>
        <w:rPr>
          <w:rFonts w:hint="default" w:ascii="Times New Roman" w:hAnsi="Times New Roman" w:eastAsia="仿宋_GB2312" w:cs="Times New Roman"/>
          <w:sz w:val="32"/>
          <w:szCs w:val="32"/>
        </w:rPr>
        <w:t>评价方式主要采用成本效益分析法、单位自评法、实地勘察法、问卷调查法、座谈调研法等方法进行。</w:t>
      </w:r>
    </w:p>
    <w:p w14:paraId="742B20A5">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（五）评价组织。</w:t>
      </w:r>
      <w:r>
        <w:rPr>
          <w:rFonts w:hint="default" w:ascii="Times New Roman" w:hAnsi="Times New Roman" w:eastAsia="仿宋_GB2312" w:cs="Times New Roman"/>
          <w:sz w:val="32"/>
          <w:szCs w:val="32"/>
        </w:rPr>
        <w:t>财务专家负责查账，业务骨干盯进度和效果，第三方机构帮忙设计问卷和分析数据。</w:t>
      </w:r>
    </w:p>
    <w:p w14:paraId="752A305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rPr>
        <w:t>三、绩效分析</w:t>
      </w:r>
    </w:p>
    <w:p w14:paraId="5BB17D47">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（一）通用指标绩效分析</w:t>
      </w:r>
    </w:p>
    <w:p w14:paraId="5BBE62C1">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1.项目决策。</w:t>
      </w:r>
      <w:r>
        <w:rPr>
          <w:rFonts w:hint="default" w:ascii="Times New Roman" w:hAnsi="Times New Roman" w:eastAsia="仿宋_GB2312" w:cs="Times New Roman"/>
          <w:sz w:val="32"/>
          <w:szCs w:val="32"/>
        </w:rPr>
        <w:t>《大英县乡镇级片区旅游专项规划及公共文化设施专项规划编制项目工作方案》由局党组会议研究同意，报请县领导研究同意后实施。</w:t>
      </w:r>
    </w:p>
    <w:p w14:paraId="6C11DA74">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2.项目管理。一是严格议事制度。</w:t>
      </w:r>
      <w:r>
        <w:rPr>
          <w:rFonts w:hint="default" w:ascii="Times New Roman" w:hAnsi="Times New Roman" w:eastAsia="仿宋_GB2312" w:cs="Times New Roman"/>
          <w:sz w:val="32"/>
          <w:szCs w:val="32"/>
        </w:rPr>
        <w:t>由分管领导组织相关部门制订工作方案，并报局党组会议讨论通过。</w:t>
      </w:r>
      <w:r>
        <w:rPr>
          <w:rFonts w:hint="default" w:ascii="Times New Roman" w:hAnsi="Times New Roman" w:eastAsia="仿宋_GB2312" w:cs="Times New Roman"/>
          <w:b/>
          <w:bCs/>
          <w:sz w:val="32"/>
          <w:szCs w:val="32"/>
        </w:rPr>
        <w:t>二是规范经费使用制度。</w:t>
      </w:r>
      <w:r>
        <w:rPr>
          <w:rFonts w:hint="default" w:ascii="Times New Roman" w:hAnsi="Times New Roman" w:eastAsia="仿宋_GB2312" w:cs="Times New Roman"/>
          <w:sz w:val="32"/>
          <w:szCs w:val="32"/>
        </w:rPr>
        <w:t>要求相关部门严格遵守经费使用程序，对专项资金进行合理规范使用。</w:t>
      </w:r>
      <w:r>
        <w:rPr>
          <w:rFonts w:hint="default" w:ascii="Times New Roman" w:hAnsi="Times New Roman" w:eastAsia="仿宋_GB2312" w:cs="Times New Roman"/>
          <w:b/>
          <w:bCs/>
          <w:sz w:val="32"/>
          <w:szCs w:val="32"/>
        </w:rPr>
        <w:t>三是健全考核机制。</w:t>
      </w:r>
      <w:r>
        <w:rPr>
          <w:rFonts w:hint="default" w:ascii="Times New Roman" w:hAnsi="Times New Roman" w:eastAsia="仿宋_GB2312" w:cs="Times New Roman"/>
          <w:sz w:val="32"/>
          <w:szCs w:val="32"/>
        </w:rPr>
        <w:t>制定了相关的专项资金使用管理措施，做到专款专用。</w:t>
      </w:r>
    </w:p>
    <w:p w14:paraId="5CF563D5">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3.项目实施。</w:t>
      </w:r>
      <w:r>
        <w:rPr>
          <w:rFonts w:hint="default" w:ascii="Times New Roman" w:hAnsi="Times New Roman" w:eastAsia="仿宋_GB2312" w:cs="Times New Roman"/>
          <w:sz w:val="32"/>
          <w:szCs w:val="32"/>
        </w:rPr>
        <w:t>按照《四川省文化和旅游厅关于印发＜四川省乡镇级旅游规划导则（试行）＞的通知》（川文旅发〔2021〕89号）要求，制定实施方案。基础指标收集、编制片区旅游专项规划及公共文化设施专项规划成果文本数量6套，第三方专家聘用数量8人以上，专家现场收集资料6人次数以上。</w:t>
      </w:r>
    </w:p>
    <w:p w14:paraId="0B19B883">
      <w:pPr>
        <w:keepNext w:val="0"/>
        <w:keepLines w:val="0"/>
        <w:pageBreakBefore w:val="0"/>
        <w:widowControl w:val="0"/>
        <w:kinsoku/>
        <w:wordWrap/>
        <w:overflowPunct/>
        <w:topLinePunct w:val="0"/>
        <w:autoSpaceDE/>
        <w:autoSpaceDN/>
        <w:bidi w:val="0"/>
        <w:adjustRightInd/>
        <w:snapToGrid/>
        <w:spacing w:line="570" w:lineRule="exact"/>
        <w:ind w:firstLine="72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6"/>
          <w:szCs w:val="36"/>
        </w:rPr>
        <w:t>4.项目结果。</w:t>
      </w:r>
      <w:r>
        <w:rPr>
          <w:rFonts w:hint="default" w:ascii="Times New Roman" w:hAnsi="Times New Roman" w:eastAsia="仿宋_GB2312" w:cs="Times New Roman"/>
          <w:sz w:val="32"/>
          <w:szCs w:val="32"/>
        </w:rPr>
        <w:t>2023年12月，编制遂大融城发展片区、大英极核发展片区和成遂协同绿色发展片区专项规划已基本编制完成，并通过了县规委会审核。</w:t>
      </w:r>
    </w:p>
    <w:p w14:paraId="0D010C1A">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（二）专用指标绩效分析</w:t>
      </w:r>
    </w:p>
    <w:p w14:paraId="23A7FA5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产业发展。</w:t>
      </w:r>
      <w:r>
        <w:rPr>
          <w:rFonts w:hint="default" w:ascii="Times New Roman" w:hAnsi="Times New Roman" w:eastAsia="仿宋_GB2312" w:cs="Times New Roman"/>
          <w:sz w:val="32"/>
          <w:szCs w:val="32"/>
        </w:rPr>
        <w:t>编制遂大融城发展片区和大英极核发展2个片区旅游专项规划及公共文化设施专项规划，编制成遂协调绿色发展片区1个旅游规划专章及公共文化设施专章。对9镇1街道在文化、旅游产业发展、品牌建设等方面进行详细规划，进一步完善综合文化站、旅游交通、旅游厕所、停车场、导视系统等体系，包装项目，培育业态，提升品质。</w:t>
      </w:r>
    </w:p>
    <w:p w14:paraId="6C01AD33">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（三）个性指标绩效分析</w:t>
      </w:r>
    </w:p>
    <w:p w14:paraId="3F78484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基础指标收集、编制片区旅游专项规划及公共文化设施专项规划成果文本数量6套，第三方专家聘用数量8人以上，专家现场收集资料6人次数以上。</w:t>
      </w:r>
    </w:p>
    <w:p w14:paraId="2243C51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四、评价结论</w:t>
      </w:r>
    </w:p>
    <w:p w14:paraId="4548BA5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协议要求，编制遂大融城发展片区和大英极核发展2个片区编制旅游专项规划和公共文化设施专项规划，成遂协同绿色发展片区编制旅游规划专章和公共文化设施规划专章。该经费项目申报内容与具体实施内容相符，并由县文化广电旅游局、县财政局进行审核，报县政府通过，其申报目标合理可行。2023年12月，编制遂大融城发展片区、大英极核发展片区和成遂协同绿色发展片区专项规划已基本编制完成，并通过了县规委会审核。</w:t>
      </w:r>
    </w:p>
    <w:p w14:paraId="0E84F21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五、存在主要问题</w:t>
      </w:r>
    </w:p>
    <w:p w14:paraId="0ACCE31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1955CBE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六、改进建议</w:t>
      </w:r>
    </w:p>
    <w:p w14:paraId="7B3DDE8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65E7BDC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p>
    <w:p w14:paraId="3E8E58B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附表：1.项目资金分配涉及所有点位自评得分情况表</w:t>
      </w:r>
    </w:p>
    <w:p w14:paraId="4300920A">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2.专项资金绩效目标完成情况自评表</w:t>
      </w:r>
    </w:p>
    <w:p w14:paraId="7FBD5530">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6937AD4E">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附表1</w:t>
      </w:r>
    </w:p>
    <w:p w14:paraId="10D3908F">
      <w:pPr>
        <w:keepNext w:val="0"/>
        <w:keepLines w:val="0"/>
        <w:pageBreakBefore w:val="0"/>
        <w:widowControl w:val="0"/>
        <w:kinsoku/>
        <w:wordWrap/>
        <w:overflowPunct/>
        <w:topLinePunct w:val="0"/>
        <w:autoSpaceDE/>
        <w:autoSpaceDN/>
        <w:bidi w:val="0"/>
        <w:adjustRightInd/>
        <w:snapToGrid/>
        <w:spacing w:after="231" w:afterLines="50" w:afterAutospacing="0" w:line="66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项目资金分配涉及所有点位自评得分情况表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871"/>
        <w:gridCol w:w="2881"/>
        <w:gridCol w:w="997"/>
      </w:tblGrid>
      <w:tr w14:paraId="3E66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9" w:type="dxa"/>
            <w:vAlign w:val="center"/>
          </w:tcPr>
          <w:p w14:paraId="2B0F4C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序号</w:t>
            </w:r>
          </w:p>
        </w:tc>
        <w:tc>
          <w:tcPr>
            <w:tcW w:w="3871" w:type="dxa"/>
            <w:vAlign w:val="center"/>
          </w:tcPr>
          <w:p w14:paraId="523F5F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4"/>
                <w:szCs w:val="24"/>
                <w:lang w:val="en" w:eastAsia="zh-CN"/>
              </w:rPr>
            </w:pPr>
            <w:r>
              <w:rPr>
                <w:rFonts w:hint="default" w:ascii="Times New Roman" w:hAnsi="Times New Roman" w:eastAsia="仿宋_GB2312" w:cs="Times New Roman"/>
                <w:b/>
                <w:bCs/>
                <w:sz w:val="24"/>
                <w:szCs w:val="24"/>
                <w:lang w:val="en-US" w:eastAsia="zh-CN"/>
              </w:rPr>
              <w:t>项目资金末端分配点位</w:t>
            </w:r>
          </w:p>
        </w:tc>
        <w:tc>
          <w:tcPr>
            <w:tcW w:w="2881" w:type="dxa"/>
            <w:vAlign w:val="center"/>
          </w:tcPr>
          <w:p w14:paraId="526F7C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 w:eastAsia="zh-CN"/>
              </w:rPr>
              <w:t>自评得分（百分制）</w:t>
            </w:r>
          </w:p>
        </w:tc>
        <w:tc>
          <w:tcPr>
            <w:tcW w:w="997" w:type="dxa"/>
            <w:vAlign w:val="center"/>
          </w:tcPr>
          <w:p w14:paraId="6ABDD9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备注</w:t>
            </w:r>
          </w:p>
        </w:tc>
      </w:tr>
      <w:tr w14:paraId="577C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9" w:type="dxa"/>
            <w:vAlign w:val="center"/>
          </w:tcPr>
          <w:p w14:paraId="3658A3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3871" w:type="dxa"/>
            <w:vAlign w:val="center"/>
          </w:tcPr>
          <w:p w14:paraId="7ED79B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大英县文化广播电视和旅游局</w:t>
            </w:r>
          </w:p>
        </w:tc>
        <w:tc>
          <w:tcPr>
            <w:tcW w:w="2881" w:type="dxa"/>
            <w:vAlign w:val="center"/>
          </w:tcPr>
          <w:p w14:paraId="769B78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95</w:t>
            </w:r>
          </w:p>
        </w:tc>
        <w:tc>
          <w:tcPr>
            <w:tcW w:w="997" w:type="dxa"/>
            <w:vAlign w:val="center"/>
          </w:tcPr>
          <w:p w14:paraId="0D8126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p>
        </w:tc>
      </w:tr>
      <w:tr w14:paraId="6FE7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9" w:type="dxa"/>
            <w:vAlign w:val="center"/>
          </w:tcPr>
          <w:p w14:paraId="2C5D40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p>
        </w:tc>
        <w:tc>
          <w:tcPr>
            <w:tcW w:w="3871" w:type="dxa"/>
            <w:vAlign w:val="center"/>
          </w:tcPr>
          <w:p w14:paraId="32866F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2881" w:type="dxa"/>
            <w:vAlign w:val="center"/>
          </w:tcPr>
          <w:p w14:paraId="59CA6A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997" w:type="dxa"/>
            <w:vAlign w:val="center"/>
          </w:tcPr>
          <w:p w14:paraId="3C5E8F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p>
        </w:tc>
      </w:tr>
      <w:tr w14:paraId="5AB8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9" w:type="dxa"/>
            <w:vAlign w:val="center"/>
          </w:tcPr>
          <w:p w14:paraId="5F1069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w:t>
            </w:r>
          </w:p>
        </w:tc>
        <w:tc>
          <w:tcPr>
            <w:tcW w:w="3871" w:type="dxa"/>
            <w:vAlign w:val="center"/>
          </w:tcPr>
          <w:p w14:paraId="00AE20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2881" w:type="dxa"/>
            <w:vAlign w:val="center"/>
          </w:tcPr>
          <w:p w14:paraId="050B44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997" w:type="dxa"/>
            <w:vAlign w:val="center"/>
          </w:tcPr>
          <w:p w14:paraId="0AE206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p>
        </w:tc>
      </w:tr>
      <w:tr w14:paraId="0ACE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9" w:type="dxa"/>
            <w:vAlign w:val="center"/>
          </w:tcPr>
          <w:p w14:paraId="3069B8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w:t>
            </w:r>
          </w:p>
        </w:tc>
        <w:tc>
          <w:tcPr>
            <w:tcW w:w="3871" w:type="dxa"/>
            <w:vAlign w:val="center"/>
          </w:tcPr>
          <w:p w14:paraId="264FC1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2881" w:type="dxa"/>
            <w:vAlign w:val="center"/>
          </w:tcPr>
          <w:p w14:paraId="2B0D79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997" w:type="dxa"/>
            <w:vAlign w:val="center"/>
          </w:tcPr>
          <w:p w14:paraId="25EFEF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p>
        </w:tc>
      </w:tr>
      <w:tr w14:paraId="67AF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9" w:type="dxa"/>
            <w:vAlign w:val="center"/>
          </w:tcPr>
          <w:p w14:paraId="1EDE29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3871" w:type="dxa"/>
            <w:vAlign w:val="center"/>
          </w:tcPr>
          <w:p w14:paraId="698219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2881" w:type="dxa"/>
            <w:vAlign w:val="center"/>
          </w:tcPr>
          <w:p w14:paraId="57B231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997" w:type="dxa"/>
            <w:vAlign w:val="center"/>
          </w:tcPr>
          <w:p w14:paraId="4617DE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p>
        </w:tc>
      </w:tr>
      <w:tr w14:paraId="5507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9" w:type="dxa"/>
            <w:vAlign w:val="center"/>
          </w:tcPr>
          <w:p w14:paraId="113BD9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6</w:t>
            </w:r>
          </w:p>
        </w:tc>
        <w:tc>
          <w:tcPr>
            <w:tcW w:w="3871" w:type="dxa"/>
            <w:vAlign w:val="center"/>
          </w:tcPr>
          <w:p w14:paraId="4F4D46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2881" w:type="dxa"/>
            <w:vAlign w:val="center"/>
          </w:tcPr>
          <w:p w14:paraId="20E6C8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997" w:type="dxa"/>
            <w:vAlign w:val="center"/>
          </w:tcPr>
          <w:p w14:paraId="33FCB4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p>
        </w:tc>
      </w:tr>
      <w:tr w14:paraId="0716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9" w:type="dxa"/>
            <w:vAlign w:val="center"/>
          </w:tcPr>
          <w:p w14:paraId="266AE4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7</w:t>
            </w:r>
          </w:p>
        </w:tc>
        <w:tc>
          <w:tcPr>
            <w:tcW w:w="3871" w:type="dxa"/>
            <w:vAlign w:val="center"/>
          </w:tcPr>
          <w:p w14:paraId="0AA0A0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2881" w:type="dxa"/>
            <w:vAlign w:val="center"/>
          </w:tcPr>
          <w:p w14:paraId="522A8E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997" w:type="dxa"/>
            <w:vAlign w:val="center"/>
          </w:tcPr>
          <w:p w14:paraId="7C72AB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p>
        </w:tc>
      </w:tr>
      <w:tr w14:paraId="1701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9" w:type="dxa"/>
            <w:vAlign w:val="center"/>
          </w:tcPr>
          <w:p w14:paraId="5AC096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8</w:t>
            </w:r>
          </w:p>
        </w:tc>
        <w:tc>
          <w:tcPr>
            <w:tcW w:w="3871" w:type="dxa"/>
            <w:vAlign w:val="center"/>
          </w:tcPr>
          <w:p w14:paraId="16F059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2881" w:type="dxa"/>
            <w:vAlign w:val="center"/>
          </w:tcPr>
          <w:p w14:paraId="654C25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997" w:type="dxa"/>
            <w:vAlign w:val="center"/>
          </w:tcPr>
          <w:p w14:paraId="6A28E7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p>
        </w:tc>
      </w:tr>
      <w:tr w14:paraId="312E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9" w:type="dxa"/>
            <w:vAlign w:val="center"/>
          </w:tcPr>
          <w:p w14:paraId="36544F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3871" w:type="dxa"/>
            <w:vAlign w:val="center"/>
          </w:tcPr>
          <w:p w14:paraId="4536C7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2881" w:type="dxa"/>
            <w:vAlign w:val="center"/>
          </w:tcPr>
          <w:p w14:paraId="5775AA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 w:eastAsia="zh-CN"/>
              </w:rPr>
            </w:pPr>
          </w:p>
        </w:tc>
        <w:tc>
          <w:tcPr>
            <w:tcW w:w="997" w:type="dxa"/>
            <w:vAlign w:val="center"/>
          </w:tcPr>
          <w:p w14:paraId="6D7148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p>
        </w:tc>
      </w:tr>
    </w:tbl>
    <w:p w14:paraId="446B17F5">
      <w:pPr>
        <w:keepNext w:val="0"/>
        <w:keepLines w:val="0"/>
        <w:pageBreakBefore w:val="0"/>
        <w:widowControl w:val="0"/>
        <w:kinsoku/>
        <w:wordWrap/>
        <w:overflowPunct/>
        <w:topLinePunct w:val="0"/>
        <w:autoSpaceDE/>
        <w:autoSpaceDN/>
        <w:bidi w:val="0"/>
        <w:adjustRightInd/>
        <w:snapToGrid/>
        <w:spacing w:line="320" w:lineRule="exact"/>
        <w:ind w:left="1334" w:leftChars="150" w:hanging="854" w:hangingChars="356"/>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备注：1.项目资金末端分配点位包括县（市、区）、市级部门下属单位及一次性单位等。</w:t>
      </w:r>
    </w:p>
    <w:p w14:paraId="21E888BC">
      <w:pPr>
        <w:keepNext w:val="0"/>
        <w:keepLines w:val="0"/>
        <w:pageBreakBefore w:val="0"/>
        <w:widowControl w:val="0"/>
        <w:kinsoku/>
        <w:wordWrap/>
        <w:overflowPunct/>
        <w:topLinePunct w:val="0"/>
        <w:autoSpaceDE/>
        <w:autoSpaceDN/>
        <w:bidi w:val="0"/>
        <w:adjustRightInd/>
        <w:snapToGrid/>
        <w:spacing w:line="320" w:lineRule="exact"/>
        <w:ind w:left="1327" w:leftChars="375" w:hanging="127" w:hangingChars="53"/>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2.自评得分（百分制）从高到低划分为优、良、中、差四个档次，各个档次数量占比分别为20%、20%、55%、5%，且不同档次间得分分值应体现差异化，同档次得分分值相同的比例不超过该档次总数量的10%。</w:t>
      </w:r>
    </w:p>
    <w:p w14:paraId="242AEC8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p>
    <w:p w14:paraId="368A9CDC">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bookmarkStart w:id="0" w:name="_GoBack"/>
      <w:bookmarkEnd w:id="0"/>
    </w:p>
    <w:p w14:paraId="10985894">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附表2</w:t>
      </w:r>
    </w:p>
    <w:p w14:paraId="754F650F">
      <w:pPr>
        <w:keepNext w:val="0"/>
        <w:keepLines w:val="0"/>
        <w:pageBreakBefore w:val="0"/>
        <w:widowControl w:val="0"/>
        <w:kinsoku/>
        <w:wordWrap/>
        <w:overflowPunct/>
        <w:topLinePunct w:val="0"/>
        <w:autoSpaceDE/>
        <w:autoSpaceDN/>
        <w:bidi w:val="0"/>
        <w:adjustRightInd/>
        <w:snapToGrid/>
        <w:spacing w:after="59" w:afterLines="13" w:afterAutospacing="0" w:line="66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专项资金绩效目标完成情况自评表</w:t>
      </w:r>
    </w:p>
    <w:tbl>
      <w:tblPr>
        <w:tblStyle w:val="7"/>
        <w:tblW w:w="102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4"/>
        <w:gridCol w:w="1253"/>
        <w:gridCol w:w="992"/>
        <w:gridCol w:w="1383"/>
        <w:gridCol w:w="69"/>
        <w:gridCol w:w="951"/>
        <w:gridCol w:w="457"/>
        <w:gridCol w:w="442"/>
        <w:gridCol w:w="1064"/>
        <w:gridCol w:w="884"/>
        <w:gridCol w:w="1028"/>
      </w:tblGrid>
      <w:tr w14:paraId="78E2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jc w:val="center"/>
        </w:trPr>
        <w:tc>
          <w:tcPr>
            <w:tcW w:w="3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EA67A7">
            <w:pPr>
              <w:keepNext w:val="0"/>
              <w:keepLines w:val="0"/>
              <w:pageBreakBefore w:val="0"/>
              <w:widowControl w:val="0"/>
              <w:kinsoku/>
              <w:wordWrap/>
              <w:overflowPunct/>
              <w:topLinePunct w:val="0"/>
              <w:autoSpaceDE/>
              <w:autoSpaceDN/>
              <w:bidi w:val="0"/>
              <w:adjustRightInd/>
              <w:snapToGrid/>
              <w:spacing w:beforeAutospacing="0"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项目名称</w:t>
            </w:r>
          </w:p>
        </w:tc>
        <w:tc>
          <w:tcPr>
            <w:tcW w:w="62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44A0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大英县乡镇级片区旅游专项规划及公共文化设施专项规划编制项目</w:t>
            </w:r>
          </w:p>
        </w:tc>
      </w:tr>
      <w:tr w14:paraId="55FF8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2" w:hRule="atLeast"/>
          <w:jc w:val="center"/>
        </w:trPr>
        <w:tc>
          <w:tcPr>
            <w:tcW w:w="3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FD7B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预算单位</w:t>
            </w:r>
          </w:p>
        </w:tc>
        <w:tc>
          <w:tcPr>
            <w:tcW w:w="62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49E9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大英县文化广播电视和旅游局</w:t>
            </w:r>
          </w:p>
        </w:tc>
      </w:tr>
      <w:tr w14:paraId="0C2A9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jc w:val="center"/>
        </w:trPr>
        <w:tc>
          <w:tcPr>
            <w:tcW w:w="3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8256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项目类型</w:t>
            </w:r>
          </w:p>
        </w:tc>
        <w:tc>
          <w:tcPr>
            <w:tcW w:w="62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28F6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规划编制</w:t>
            </w:r>
          </w:p>
        </w:tc>
      </w:tr>
      <w:tr w14:paraId="6E00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2"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49C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项目概况</w:t>
            </w: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369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中长期规划（名称、文号，仅指</w:t>
            </w:r>
          </w:p>
          <w:p w14:paraId="69C55C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常年项目）</w:t>
            </w:r>
          </w:p>
        </w:tc>
        <w:tc>
          <w:tcPr>
            <w:tcW w:w="62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B05A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r>
      <w:tr w14:paraId="1C307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274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1F4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资金管理办法（名称、文号）</w:t>
            </w:r>
          </w:p>
        </w:tc>
        <w:tc>
          <w:tcPr>
            <w:tcW w:w="62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7433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大文广旅〔2023〕100号</w:t>
            </w:r>
          </w:p>
        </w:tc>
      </w:tr>
      <w:tr w14:paraId="022C0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2"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FC1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06A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绩效分配方式</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D75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sym w:font="Wingdings 2" w:char="00A3"/>
            </w:r>
            <w:r>
              <w:rPr>
                <w:rFonts w:hint="default" w:ascii="Times New Roman" w:hAnsi="Times New Roman" w:eastAsia="仿宋_GB2312" w:cs="Times New Roman"/>
                <w:sz w:val="24"/>
                <w:szCs w:val="24"/>
                <w:lang w:val="en-US" w:eastAsia="zh-CN"/>
              </w:rPr>
              <w:t>因素法</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891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sym w:font="Wingdings 2" w:char="00A3"/>
            </w:r>
            <w:r>
              <w:rPr>
                <w:rFonts w:hint="default" w:ascii="Times New Roman" w:hAnsi="Times New Roman" w:eastAsia="仿宋_GB2312" w:cs="Times New Roman"/>
                <w:sz w:val="24"/>
                <w:szCs w:val="24"/>
                <w:lang w:val="en-US" w:eastAsia="zh-CN"/>
              </w:rPr>
              <w:t>项目法</w:t>
            </w:r>
          </w:p>
        </w:tc>
        <w:tc>
          <w:tcPr>
            <w:tcW w:w="1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EAD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sym w:font="Wingdings 2" w:char="00A3"/>
            </w:r>
            <w:r>
              <w:rPr>
                <w:rFonts w:hint="default" w:ascii="Times New Roman" w:hAnsi="Times New Roman" w:eastAsia="仿宋_GB2312" w:cs="Times New Roman"/>
                <w:sz w:val="24"/>
                <w:szCs w:val="24"/>
                <w:lang w:val="en-US" w:eastAsia="zh-CN"/>
              </w:rPr>
              <w:t>据实据效</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70F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sym w:font="Wingdings 2" w:char="0052"/>
            </w:r>
            <w:r>
              <w:rPr>
                <w:rFonts w:hint="default" w:ascii="Times New Roman" w:hAnsi="Times New Roman" w:eastAsia="仿宋_GB2312" w:cs="Times New Roman"/>
                <w:sz w:val="24"/>
                <w:szCs w:val="24"/>
                <w:lang w:val="en-US" w:eastAsia="zh-CN"/>
              </w:rPr>
              <w:t>因素法与项目法相结合</w:t>
            </w:r>
          </w:p>
        </w:tc>
      </w:tr>
      <w:tr w14:paraId="5553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7"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645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335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立项依据</w:t>
            </w:r>
          </w:p>
        </w:tc>
        <w:tc>
          <w:tcPr>
            <w:tcW w:w="62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9937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四川省文化和旅游厅关于印发</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四川省乡镇级旅游规划导则（试行）</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的通知》（川文旅</w:t>
            </w:r>
            <w:r>
              <w:rPr>
                <w:rFonts w:hint="default" w:ascii="Times New Roman" w:hAnsi="Times New Roman" w:eastAsia="仿宋_GB2312" w:cs="Times New Roman"/>
                <w:sz w:val="24"/>
                <w:szCs w:val="24"/>
                <w:lang w:val="en-US" w:eastAsia="zh-CN"/>
              </w:rPr>
              <w:t>发〔2021〕89号）</w:t>
            </w:r>
          </w:p>
        </w:tc>
      </w:tr>
      <w:tr w14:paraId="55A5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2AF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E52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使用范围</w:t>
            </w:r>
          </w:p>
        </w:tc>
        <w:tc>
          <w:tcPr>
            <w:tcW w:w="62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FFC7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大英县</w:t>
            </w:r>
          </w:p>
        </w:tc>
      </w:tr>
      <w:tr w14:paraId="33A08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2"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4AC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0B7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申报（补助）条件</w:t>
            </w:r>
          </w:p>
        </w:tc>
        <w:tc>
          <w:tcPr>
            <w:tcW w:w="62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7267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r>
      <w:tr w14:paraId="68A1D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2"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6E6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3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E10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项目起止年限</w:t>
            </w:r>
          </w:p>
        </w:tc>
        <w:tc>
          <w:tcPr>
            <w:tcW w:w="62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548F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2023年</w:t>
            </w:r>
          </w:p>
        </w:tc>
      </w:tr>
      <w:tr w14:paraId="7A6D8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7" w:hRule="atLeast"/>
          <w:jc w:val="center"/>
        </w:trPr>
        <w:tc>
          <w:tcPr>
            <w:tcW w:w="1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D68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项目资金</w:t>
            </w:r>
          </w:p>
          <w:p w14:paraId="6451A5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（万元）</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616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年度资金总额：</w:t>
            </w:r>
          </w:p>
        </w:tc>
        <w:tc>
          <w:tcPr>
            <w:tcW w:w="62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E0CA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123.75</w:t>
            </w:r>
          </w:p>
        </w:tc>
      </w:tr>
      <w:tr w14:paraId="0809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jc w:val="center"/>
        </w:trPr>
        <w:tc>
          <w:tcPr>
            <w:tcW w:w="1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1C9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305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其中：财政拨款</w:t>
            </w:r>
          </w:p>
        </w:tc>
        <w:tc>
          <w:tcPr>
            <w:tcW w:w="62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0340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123.75</w:t>
            </w:r>
          </w:p>
        </w:tc>
      </w:tr>
      <w:tr w14:paraId="2E68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jc w:val="center"/>
        </w:trPr>
        <w:tc>
          <w:tcPr>
            <w:tcW w:w="1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2BB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E3C55">
            <w:pPr>
              <w:keepNext w:val="0"/>
              <w:keepLines w:val="0"/>
              <w:pageBreakBefore w:val="0"/>
              <w:widowControl w:val="0"/>
              <w:kinsoku/>
              <w:wordWrap/>
              <w:overflowPunct/>
              <w:topLinePunct w:val="0"/>
              <w:autoSpaceDE/>
              <w:autoSpaceDN/>
              <w:bidi w:val="0"/>
              <w:adjustRightInd/>
              <w:snapToGrid/>
              <w:spacing w:line="320" w:lineRule="exact"/>
              <w:ind w:firstLine="960" w:firstLineChars="4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其他资金</w:t>
            </w:r>
          </w:p>
        </w:tc>
        <w:tc>
          <w:tcPr>
            <w:tcW w:w="62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4912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无</w:t>
            </w:r>
          </w:p>
        </w:tc>
      </w:tr>
      <w:tr w14:paraId="20FA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2"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0EA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总体目标</w:t>
            </w:r>
          </w:p>
        </w:tc>
        <w:tc>
          <w:tcPr>
            <w:tcW w:w="96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62B6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年度目标</w:t>
            </w:r>
          </w:p>
        </w:tc>
      </w:tr>
      <w:tr w14:paraId="7BAB5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2F8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960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07D3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大英县乡镇级片区旅游专项规划及公共文化设施专项规划编制项目</w:t>
            </w:r>
            <w:r>
              <w:rPr>
                <w:rFonts w:hint="default" w:ascii="Times New Roman" w:hAnsi="Times New Roman" w:eastAsia="仿宋_GB2312" w:cs="Times New Roman"/>
                <w:sz w:val="24"/>
                <w:szCs w:val="24"/>
                <w:lang w:eastAsia="zh-CN"/>
              </w:rPr>
              <w:t>服务</w:t>
            </w:r>
            <w:r>
              <w:rPr>
                <w:rFonts w:hint="default" w:ascii="Times New Roman" w:hAnsi="Times New Roman" w:eastAsia="仿宋_GB2312" w:cs="Times New Roman"/>
                <w:sz w:val="24"/>
                <w:szCs w:val="24"/>
              </w:rPr>
              <w:t>费</w:t>
            </w:r>
            <w:r>
              <w:rPr>
                <w:rFonts w:hint="default" w:ascii="Times New Roman" w:hAnsi="Times New Roman" w:eastAsia="仿宋_GB2312" w:cs="Times New Roman"/>
                <w:sz w:val="24"/>
                <w:szCs w:val="24"/>
                <w:lang w:val="en-US" w:eastAsia="zh-CN"/>
              </w:rPr>
              <w:t>123.75万元。根据四川省文化和旅游厅《关于印发&lt;四川省乡镇级旅游规划导则（试行）&gt;的通知》（川文旅发〔2021〕89号）和《天府旅游命名县提升建设考核细则》相关要求，结合县国土空间规划相关规定，</w:t>
            </w:r>
            <w:r>
              <w:rPr>
                <w:rFonts w:hint="default" w:ascii="Times New Roman" w:hAnsi="Times New Roman" w:eastAsia="仿宋_GB2312" w:cs="Times New Roman"/>
                <w:sz w:val="24"/>
                <w:szCs w:val="24"/>
                <w:lang w:eastAsia="zh-CN"/>
              </w:rPr>
              <w:t>申请财政资金</w:t>
            </w:r>
            <w:r>
              <w:rPr>
                <w:rFonts w:hint="default" w:ascii="Times New Roman" w:hAnsi="Times New Roman" w:eastAsia="仿宋_GB2312" w:cs="Times New Roman"/>
                <w:sz w:val="24"/>
                <w:szCs w:val="24"/>
                <w:lang w:val="en-US" w:eastAsia="zh-CN"/>
              </w:rPr>
              <w:t>123.75万元，用于编制遂大融城发展片区和大英极核发展2个片区旅游专项规划及公共文化设施专项规划，编制成遂协调绿色发展片区1个旅游规划专章、1个公共文化设施专章</w:t>
            </w:r>
            <w:r>
              <w:rPr>
                <w:rFonts w:hint="default" w:ascii="Times New Roman" w:hAnsi="Times New Roman" w:eastAsia="仿宋_GB2312" w:cs="Times New Roman"/>
                <w:sz w:val="24"/>
                <w:szCs w:val="24"/>
              </w:rPr>
              <w:t>。</w:t>
            </w:r>
          </w:p>
        </w:tc>
      </w:tr>
      <w:tr w14:paraId="74C6B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7"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2BD536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绩效</w:t>
            </w:r>
          </w:p>
          <w:p w14:paraId="15C4AE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指标</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8E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一级指标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26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二级指标</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538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三级指标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780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指标性质</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81D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指标值</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3D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ED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权重</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85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实际完成指标值</w:t>
            </w:r>
          </w:p>
        </w:tc>
      </w:tr>
      <w:tr w14:paraId="3C19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DC5FC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009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产出指标</w:t>
            </w:r>
          </w:p>
        </w:tc>
        <w:tc>
          <w:tcPr>
            <w:tcW w:w="1253" w:type="dxa"/>
            <w:vMerge w:val="restart"/>
            <w:tcBorders>
              <w:top w:val="single" w:color="000000" w:sz="4" w:space="0"/>
              <w:left w:val="single" w:color="000000" w:sz="4" w:space="0"/>
              <w:right w:val="single" w:color="000000" w:sz="4" w:space="0"/>
            </w:tcBorders>
            <w:shd w:val="clear" w:color="auto" w:fill="auto"/>
            <w:vAlign w:val="center"/>
          </w:tcPr>
          <w:p w14:paraId="15863F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数量指标</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4D2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基础指标收</w:t>
            </w:r>
            <w:r>
              <w:rPr>
                <w:rFonts w:hint="default" w:ascii="Times New Roman" w:hAnsi="Times New Roman" w:eastAsia="仿宋_GB2312" w:cs="Times New Roman"/>
                <w:sz w:val="24"/>
                <w:szCs w:val="24"/>
              </w:rPr>
              <w:t>集、</w:t>
            </w:r>
            <w:r>
              <w:rPr>
                <w:rFonts w:hint="default" w:ascii="Times New Roman" w:hAnsi="Times New Roman" w:eastAsia="仿宋_GB2312" w:cs="Times New Roman"/>
                <w:sz w:val="24"/>
                <w:szCs w:val="24"/>
                <w:lang w:eastAsia="zh-CN"/>
              </w:rPr>
              <w:t>编制</w:t>
            </w:r>
            <w:r>
              <w:rPr>
                <w:rFonts w:hint="default" w:ascii="Times New Roman" w:hAnsi="Times New Roman" w:eastAsia="仿宋_GB2312" w:cs="Times New Roman"/>
                <w:sz w:val="24"/>
                <w:szCs w:val="24"/>
                <w:lang w:val="en-US" w:eastAsia="zh-CN"/>
              </w:rPr>
              <w:t>片区旅游专项规划及公共文化设施专项规划</w:t>
            </w:r>
            <w:r>
              <w:rPr>
                <w:rFonts w:hint="default" w:ascii="Times New Roman" w:hAnsi="Times New Roman" w:eastAsia="仿宋_GB2312" w:cs="Times New Roman"/>
                <w:sz w:val="24"/>
                <w:szCs w:val="24"/>
                <w:lang w:eastAsia="zh-CN"/>
              </w:rPr>
              <w:t>成果文本数量</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4DF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919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A7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06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D4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6套</w:t>
            </w:r>
          </w:p>
        </w:tc>
      </w:tr>
      <w:tr w14:paraId="2FFF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2"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9299C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DDA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53" w:type="dxa"/>
            <w:vMerge w:val="continue"/>
            <w:tcBorders>
              <w:left w:val="single" w:color="000000" w:sz="4" w:space="0"/>
              <w:right w:val="single" w:color="000000" w:sz="4" w:space="0"/>
            </w:tcBorders>
            <w:shd w:val="clear" w:color="auto" w:fill="auto"/>
            <w:vAlign w:val="center"/>
          </w:tcPr>
          <w:p w14:paraId="298F30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75C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第三方专家聘用数量</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DD6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202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0D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BC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EA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8人</w:t>
            </w:r>
          </w:p>
        </w:tc>
      </w:tr>
      <w:tr w14:paraId="3B07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7"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E7792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84B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53" w:type="dxa"/>
            <w:vMerge w:val="continue"/>
            <w:tcBorders>
              <w:left w:val="single" w:color="000000" w:sz="4" w:space="0"/>
              <w:right w:val="single" w:color="000000" w:sz="4" w:space="0"/>
            </w:tcBorders>
            <w:shd w:val="clear" w:color="auto" w:fill="auto"/>
            <w:vAlign w:val="center"/>
          </w:tcPr>
          <w:p w14:paraId="11D6E8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BE6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专家现场</w:t>
            </w:r>
            <w:r>
              <w:rPr>
                <w:rFonts w:hint="default" w:ascii="Times New Roman" w:hAnsi="Times New Roman" w:eastAsia="仿宋_GB2312" w:cs="Times New Roman"/>
                <w:sz w:val="24"/>
                <w:szCs w:val="24"/>
                <w:lang w:eastAsia="zh-CN"/>
              </w:rPr>
              <w:t>收集资料</w:t>
            </w:r>
          </w:p>
          <w:p w14:paraId="3F1254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次数</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F1D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E5C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1C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次</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CD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4C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6次</w:t>
            </w:r>
          </w:p>
        </w:tc>
      </w:tr>
      <w:tr w14:paraId="5AF96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06"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9AF71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CDF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53" w:type="dxa"/>
            <w:vMerge w:val="restart"/>
            <w:tcBorders>
              <w:top w:val="single" w:color="000000" w:sz="4" w:space="0"/>
              <w:left w:val="single" w:color="000000" w:sz="4" w:space="0"/>
              <w:right w:val="single" w:color="000000" w:sz="4" w:space="0"/>
            </w:tcBorders>
            <w:shd w:val="clear" w:color="auto" w:fill="auto"/>
            <w:vAlign w:val="center"/>
          </w:tcPr>
          <w:p w14:paraId="63365B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质量指标</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2C7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基础资料收</w:t>
            </w:r>
            <w:r>
              <w:rPr>
                <w:rFonts w:hint="default" w:ascii="Times New Roman" w:hAnsi="Times New Roman" w:eastAsia="仿宋_GB2312" w:cs="Times New Roman"/>
                <w:sz w:val="24"/>
                <w:szCs w:val="24"/>
              </w:rPr>
              <w:t>集、</w:t>
            </w:r>
            <w:r>
              <w:rPr>
                <w:rFonts w:hint="default" w:ascii="Times New Roman" w:hAnsi="Times New Roman" w:eastAsia="仿宋_GB2312" w:cs="Times New Roman"/>
                <w:sz w:val="24"/>
                <w:szCs w:val="24"/>
                <w:lang w:eastAsia="zh-CN"/>
              </w:rPr>
              <w:t>编制</w:t>
            </w:r>
            <w:r>
              <w:rPr>
                <w:rFonts w:hint="default" w:ascii="Times New Roman" w:hAnsi="Times New Roman" w:eastAsia="仿宋_GB2312" w:cs="Times New Roman"/>
                <w:sz w:val="24"/>
                <w:szCs w:val="24"/>
                <w:lang w:val="en-US" w:eastAsia="zh-CN"/>
              </w:rPr>
              <w:t>2个片区旅游专项规划及公共文化设施专项规划和1个片区旅游规划专章及公共文化设施专章成果文本</w:t>
            </w:r>
            <w:r>
              <w:rPr>
                <w:rFonts w:hint="default" w:ascii="Times New Roman" w:hAnsi="Times New Roman" w:eastAsia="仿宋_GB2312" w:cs="Times New Roman"/>
                <w:sz w:val="24"/>
                <w:szCs w:val="24"/>
                <w:lang w:eastAsia="zh-CN"/>
              </w:rPr>
              <w:t>质量合格率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EA9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C7B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24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百分比</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39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64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r>
      <w:tr w14:paraId="792F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2"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32703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64C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53" w:type="dxa"/>
            <w:vMerge w:val="continue"/>
            <w:tcBorders>
              <w:left w:val="single" w:color="000000" w:sz="4" w:space="0"/>
              <w:right w:val="single" w:color="000000" w:sz="4" w:space="0"/>
            </w:tcBorders>
            <w:shd w:val="clear" w:color="auto" w:fill="auto"/>
            <w:vAlign w:val="center"/>
          </w:tcPr>
          <w:p w14:paraId="7C6ED3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4DA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编制内容准确率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B42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BCE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EB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百分比</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D0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69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r>
      <w:tr w14:paraId="7B8BB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22"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42C39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8A6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53" w:type="dxa"/>
            <w:vMerge w:val="restart"/>
            <w:tcBorders>
              <w:top w:val="single" w:color="000000" w:sz="4" w:space="0"/>
              <w:left w:val="single" w:color="000000" w:sz="4" w:space="0"/>
              <w:right w:val="single" w:color="000000" w:sz="4" w:space="0"/>
            </w:tcBorders>
            <w:shd w:val="clear" w:color="auto" w:fill="auto"/>
            <w:vAlign w:val="center"/>
          </w:tcPr>
          <w:p w14:paraId="15F0D5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时效指标</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6ED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基础资料收集、编制片区旅游专项规划及公共文化设施专项规划成果文本出具及时率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400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012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4B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百分比</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9D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66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r>
      <w:tr w14:paraId="353E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2"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2FC46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D12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53" w:type="dxa"/>
            <w:vMerge w:val="continue"/>
            <w:tcBorders>
              <w:left w:val="single" w:color="000000" w:sz="4" w:space="0"/>
              <w:right w:val="single" w:color="000000" w:sz="4" w:space="0"/>
            </w:tcBorders>
            <w:shd w:val="clear" w:color="auto" w:fill="auto"/>
            <w:vAlign w:val="center"/>
          </w:tcPr>
          <w:p w14:paraId="07DCEA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522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第三方专家服务</w:t>
            </w:r>
          </w:p>
          <w:p w14:paraId="16FF8B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及时率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1BD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34C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4F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百分比</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FE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5C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r>
      <w:tr w14:paraId="2EFB7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77"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8ACC3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EA8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效益指标</w:t>
            </w:r>
          </w:p>
        </w:tc>
        <w:tc>
          <w:tcPr>
            <w:tcW w:w="1253" w:type="dxa"/>
            <w:vMerge w:val="restart"/>
            <w:tcBorders>
              <w:top w:val="single" w:color="000000" w:sz="4" w:space="0"/>
              <w:left w:val="single" w:color="000000" w:sz="4" w:space="0"/>
              <w:right w:val="single" w:color="000000" w:sz="4" w:space="0"/>
            </w:tcBorders>
            <w:shd w:val="clear" w:color="auto" w:fill="auto"/>
            <w:vAlign w:val="center"/>
          </w:tcPr>
          <w:p w14:paraId="1A43FB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社会效益</w:t>
            </w:r>
          </w:p>
          <w:p w14:paraId="725C2C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指标</w:t>
            </w:r>
          </w:p>
        </w:tc>
        <w:tc>
          <w:tcPr>
            <w:tcW w:w="2375" w:type="dxa"/>
            <w:gridSpan w:val="2"/>
            <w:tcBorders>
              <w:top w:val="single" w:color="000000" w:sz="4" w:space="0"/>
              <w:left w:val="single" w:color="000000" w:sz="4" w:space="0"/>
              <w:right w:val="single" w:color="000000" w:sz="4" w:space="0"/>
            </w:tcBorders>
            <w:shd w:val="clear" w:color="auto" w:fill="auto"/>
            <w:vAlign w:val="center"/>
          </w:tcPr>
          <w:p w14:paraId="424126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片区旅游专项规划及公共文化设施专项规划编制成果利用率</w:t>
            </w:r>
          </w:p>
        </w:tc>
        <w:tc>
          <w:tcPr>
            <w:tcW w:w="1020" w:type="dxa"/>
            <w:gridSpan w:val="2"/>
            <w:tcBorders>
              <w:top w:val="single" w:color="000000" w:sz="4" w:space="0"/>
              <w:left w:val="single" w:color="000000" w:sz="4" w:space="0"/>
              <w:right w:val="single" w:color="000000" w:sz="4" w:space="0"/>
            </w:tcBorders>
            <w:shd w:val="clear" w:color="auto" w:fill="auto"/>
            <w:vAlign w:val="center"/>
          </w:tcPr>
          <w:p w14:paraId="4F436D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w:t>
            </w:r>
          </w:p>
        </w:tc>
        <w:tc>
          <w:tcPr>
            <w:tcW w:w="899" w:type="dxa"/>
            <w:gridSpan w:val="2"/>
            <w:tcBorders>
              <w:top w:val="single" w:color="000000" w:sz="4" w:space="0"/>
              <w:left w:val="single" w:color="000000" w:sz="4" w:space="0"/>
              <w:right w:val="single" w:color="000000" w:sz="4" w:space="0"/>
            </w:tcBorders>
            <w:shd w:val="clear" w:color="auto" w:fill="auto"/>
            <w:vAlign w:val="center"/>
          </w:tcPr>
          <w:p w14:paraId="4DB293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c>
          <w:tcPr>
            <w:tcW w:w="1064" w:type="dxa"/>
            <w:tcBorders>
              <w:top w:val="single" w:color="000000" w:sz="4" w:space="0"/>
              <w:left w:val="single" w:color="000000" w:sz="4" w:space="0"/>
              <w:right w:val="single" w:color="000000" w:sz="4" w:space="0"/>
            </w:tcBorders>
            <w:shd w:val="clear" w:color="auto" w:fill="auto"/>
            <w:vAlign w:val="center"/>
          </w:tcPr>
          <w:p w14:paraId="7EB640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百分比</w:t>
            </w:r>
          </w:p>
        </w:tc>
        <w:tc>
          <w:tcPr>
            <w:tcW w:w="884" w:type="dxa"/>
            <w:tcBorders>
              <w:top w:val="single" w:color="000000" w:sz="4" w:space="0"/>
              <w:left w:val="single" w:color="000000" w:sz="4" w:space="0"/>
              <w:right w:val="single" w:color="000000" w:sz="4" w:space="0"/>
            </w:tcBorders>
            <w:shd w:val="clear" w:color="auto" w:fill="auto"/>
            <w:vAlign w:val="center"/>
          </w:tcPr>
          <w:p w14:paraId="40F99E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F0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r>
      <w:tr w14:paraId="14CF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A001A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548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53" w:type="dxa"/>
            <w:vMerge w:val="continue"/>
            <w:tcBorders>
              <w:left w:val="single" w:color="000000" w:sz="4" w:space="0"/>
              <w:right w:val="single" w:color="000000" w:sz="4" w:space="0"/>
            </w:tcBorders>
            <w:shd w:val="clear" w:color="auto" w:fill="auto"/>
            <w:vAlign w:val="center"/>
          </w:tcPr>
          <w:p w14:paraId="073F64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B8A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专家资料收集内容覆盖率</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A60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C68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C4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百分比</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97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C9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r>
      <w:tr w14:paraId="3B7EF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9A675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84" w:type="dxa"/>
            <w:vMerge w:val="restart"/>
            <w:tcBorders>
              <w:top w:val="single" w:color="000000" w:sz="4" w:space="0"/>
              <w:left w:val="single" w:color="000000" w:sz="4" w:space="0"/>
              <w:right w:val="single" w:color="000000" w:sz="4" w:space="0"/>
            </w:tcBorders>
            <w:shd w:val="clear" w:color="auto" w:fill="auto"/>
            <w:vAlign w:val="center"/>
          </w:tcPr>
          <w:p w14:paraId="167897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满意度</w:t>
            </w:r>
          </w:p>
          <w:p w14:paraId="60A5C5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指标</w:t>
            </w:r>
          </w:p>
        </w:tc>
        <w:tc>
          <w:tcPr>
            <w:tcW w:w="1253" w:type="dxa"/>
            <w:vMerge w:val="restart"/>
            <w:tcBorders>
              <w:top w:val="single" w:color="000000" w:sz="4" w:space="0"/>
              <w:left w:val="single" w:color="000000" w:sz="4" w:space="0"/>
              <w:right w:val="single" w:color="000000" w:sz="4" w:space="0"/>
            </w:tcBorders>
            <w:shd w:val="clear" w:color="auto" w:fill="auto"/>
            <w:vAlign w:val="center"/>
          </w:tcPr>
          <w:p w14:paraId="36A7A8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服务对象</w:t>
            </w:r>
          </w:p>
          <w:p w14:paraId="1A1D94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满意度指标</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C0B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聘用方满意度</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401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F45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8B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百分比</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11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BA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99%</w:t>
            </w:r>
          </w:p>
        </w:tc>
      </w:tr>
      <w:tr w14:paraId="648EA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A94C5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84" w:type="dxa"/>
            <w:vMerge w:val="continue"/>
            <w:tcBorders>
              <w:left w:val="single" w:color="000000" w:sz="4" w:space="0"/>
              <w:right w:val="single" w:color="000000" w:sz="4" w:space="0"/>
            </w:tcBorders>
            <w:shd w:val="clear" w:color="auto" w:fill="auto"/>
            <w:vAlign w:val="center"/>
          </w:tcPr>
          <w:p w14:paraId="58F6F3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p>
        </w:tc>
        <w:tc>
          <w:tcPr>
            <w:tcW w:w="1253" w:type="dxa"/>
            <w:vMerge w:val="continue"/>
            <w:tcBorders>
              <w:left w:val="single" w:color="000000" w:sz="4" w:space="0"/>
              <w:right w:val="single" w:color="000000" w:sz="4" w:space="0"/>
            </w:tcBorders>
            <w:shd w:val="clear" w:color="auto" w:fill="auto"/>
            <w:vAlign w:val="center"/>
          </w:tcPr>
          <w:p w14:paraId="294A45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A9A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县辖区内群众满意度</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6D6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C45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98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CF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百分比</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6D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72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99%</w:t>
            </w:r>
          </w:p>
        </w:tc>
      </w:tr>
      <w:tr w14:paraId="5E6E0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7"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1971E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84" w:type="dxa"/>
            <w:vMerge w:val="continue"/>
            <w:tcBorders>
              <w:left w:val="single" w:color="000000" w:sz="4" w:space="0"/>
              <w:right w:val="single" w:color="000000" w:sz="4" w:space="0"/>
            </w:tcBorders>
            <w:shd w:val="clear" w:color="auto" w:fill="auto"/>
            <w:vAlign w:val="center"/>
          </w:tcPr>
          <w:p w14:paraId="2BFC9B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p>
        </w:tc>
        <w:tc>
          <w:tcPr>
            <w:tcW w:w="1253" w:type="dxa"/>
            <w:vMerge w:val="continue"/>
            <w:tcBorders>
              <w:left w:val="single" w:color="000000" w:sz="4" w:space="0"/>
              <w:right w:val="single" w:color="000000" w:sz="4" w:space="0"/>
            </w:tcBorders>
            <w:shd w:val="clear" w:color="auto" w:fill="auto"/>
            <w:vAlign w:val="center"/>
          </w:tcPr>
          <w:p w14:paraId="04DF18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8D2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专家满意度</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B68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E73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98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FA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百分比</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75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D2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99%</w:t>
            </w:r>
          </w:p>
        </w:tc>
      </w:tr>
      <w:tr w14:paraId="40211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3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EB983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79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成本指标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F7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经济成本</w:t>
            </w:r>
          </w:p>
          <w:p w14:paraId="0703A4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指标</w:t>
            </w:r>
          </w:p>
        </w:tc>
        <w:tc>
          <w:tcPr>
            <w:tcW w:w="2375" w:type="dxa"/>
            <w:gridSpan w:val="2"/>
            <w:tcBorders>
              <w:top w:val="single" w:color="000000" w:sz="4" w:space="0"/>
              <w:bottom w:val="single" w:color="000000" w:sz="4" w:space="0"/>
              <w:right w:val="single" w:color="000000" w:sz="4" w:space="0"/>
            </w:tcBorders>
            <w:shd w:val="clear" w:color="auto" w:fill="auto"/>
            <w:vAlign w:val="center"/>
          </w:tcPr>
          <w:p w14:paraId="45F4E9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大英县乡镇级片区旅游专项规划及公共文化</w:t>
            </w:r>
            <w:r>
              <w:rPr>
                <w:rFonts w:hint="default" w:ascii="Times New Roman" w:hAnsi="Times New Roman" w:eastAsia="仿宋_GB2312" w:cs="Times New Roman"/>
                <w:sz w:val="24"/>
                <w:szCs w:val="24"/>
                <w:lang w:eastAsia="zh-CN"/>
              </w:rPr>
              <w:t>设施专项规划编制项目</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25E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5A3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150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E8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万元</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A1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00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123.75</w:t>
            </w:r>
          </w:p>
        </w:tc>
      </w:tr>
    </w:tbl>
    <w:p w14:paraId="41080A3F">
      <w:pPr>
        <w:keepNext w:val="0"/>
        <w:keepLines w:val="0"/>
        <w:pageBreakBefore w:val="0"/>
        <w:widowControl w:val="0"/>
        <w:kinsoku/>
        <w:wordWrap/>
        <w:overflowPunct/>
        <w:topLinePunct w:val="0"/>
        <w:autoSpaceDE/>
        <w:autoSpaceDN/>
        <w:bidi w:val="0"/>
        <w:adjustRightInd/>
        <w:snapToGrid/>
        <w:spacing w:line="40" w:lineRule="exact"/>
        <w:textAlignment w:val="auto"/>
        <w:rPr>
          <w:rFonts w:hint="default" w:ascii="Times New Roman" w:hAnsi="Times New Roman" w:eastAsia="仿宋_GB2312" w:cs="Times New Roman"/>
          <w:sz w:val="32"/>
          <w:szCs w:val="32"/>
        </w:rPr>
      </w:pPr>
    </w:p>
    <w:sectPr>
      <w:footerReference r:id="rId3" w:type="default"/>
      <w:pgSz w:w="11906" w:h="16838"/>
      <w:pgMar w:top="2098" w:right="1474" w:bottom="1984" w:left="1587" w:header="851" w:footer="1701" w:gutter="0"/>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D74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E03B4">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EE03B4">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10380"/>
    <w:rsid w:val="11932913"/>
    <w:rsid w:val="152D0554"/>
    <w:rsid w:val="24180B49"/>
    <w:rsid w:val="5D610380"/>
    <w:rsid w:val="67D2645A"/>
    <w:rsid w:val="69FD1FBF"/>
    <w:rsid w:val="6F504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Theme="minorEastAsia" w:cstheme="minorBidi"/>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3"/>
    <w:qFormat/>
    <w:uiPriority w:val="99"/>
    <w:pPr>
      <w:spacing w:line="323" w:lineRule="atLeast"/>
      <w:ind w:right="-120"/>
      <w:jc w:val="center"/>
      <w:textAlignment w:val="baseline"/>
    </w:pPr>
    <w:rPr>
      <w:color w:val="FF0000"/>
      <w:sz w:val="18"/>
      <w:szCs w:val="18"/>
    </w:rPr>
  </w:style>
  <w:style w:type="paragraph" w:customStyle="1" w:styleId="3">
    <w:name w:val="节标题"/>
    <w:basedOn w:val="1"/>
    <w:next w:val="1"/>
    <w:qFormat/>
    <w:uiPriority w:val="0"/>
    <w:pPr>
      <w:widowControl/>
      <w:spacing w:line="289" w:lineRule="atLeast"/>
      <w:jc w:val="center"/>
      <w:textAlignment w:val="baseline"/>
    </w:pPr>
    <w:rPr>
      <w:color w:val="000000"/>
      <w:sz w:val="28"/>
    </w:rPr>
  </w:style>
  <w:style w:type="paragraph" w:styleId="4">
    <w:name w:val="Salutation"/>
    <w:basedOn w:val="1"/>
    <w:next w:val="1"/>
    <w:qFormat/>
    <w:uiPriority w:val="0"/>
    <w:rPr>
      <w:rFonts w:ascii="Times New Roman" w:hAnsi="Times New Roman" w:eastAsia="宋体" w:cs="Times New Roma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3116</Words>
  <Characters>3285</Characters>
  <Lines>0</Lines>
  <Paragraphs>0</Paragraphs>
  <TotalTime>1</TotalTime>
  <ScaleCrop>false</ScaleCrop>
  <LinksUpToDate>false</LinksUpToDate>
  <CharactersWithSpaces>3285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2025-06-10T09:21:00Z</dcterms:created>
  <dc:creator>恒阳文化传播有限公司</dc:creator>
  <cp:lastModifiedBy>恒阳文化传播有限公司</cp:lastModifiedBy>
  <dcterms:modified xsi:type="dcterms:W3CDTF">2025-06-11T07:03:29Z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69B7F1EEB0FB47EB87888C253FB650E4_11</vt:lpwstr>
  </property>
  <property fmtid="{D5CDD505-2E9C-101B-9397-08002B2CF9AE}" pid="4" name="KSOTemplateDocerSaveRecord">
    <vt:lpwstr>eyJoZGlkIjoiZGQ3NzdkNzJhMjRkMjczYjc3MTNjYTE4Nzc1N2NiYmYiLCJ1c2VySWQiOiI5NzgwNDc5ODQifQ==</vt:lpwstr>
  </property>
</Properties>
</file>