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A2C476">
      <w:pPr>
        <w:rPr>
          <w:sz w:val="36"/>
          <w:szCs w:val="36"/>
        </w:rPr>
      </w:pPr>
    </w:p>
    <w:p w14:paraId="385798F7">
      <w:pPr>
        <w:rPr>
          <w:sz w:val="36"/>
          <w:szCs w:val="36"/>
        </w:rPr>
      </w:pPr>
    </w:p>
    <w:p w14:paraId="13941B1E">
      <w:pPr>
        <w:adjustRightInd w:val="0"/>
        <w:snapToGrid w:val="0"/>
        <w:jc w:val="center"/>
        <w:rPr>
          <w:rFonts w:ascii="方正小标宋_GBK" w:eastAsia="方正小标宋_GBK"/>
          <w:bCs/>
          <w:sz w:val="72"/>
          <w:szCs w:val="72"/>
        </w:rPr>
      </w:pPr>
      <w:bookmarkStart w:id="0" w:name="_Toc31194"/>
      <w:r>
        <w:rPr>
          <w:rFonts w:hint="eastAsia" w:ascii="方正小标宋_GBK" w:eastAsia="方正小标宋_GBK"/>
          <w:bCs/>
          <w:sz w:val="72"/>
          <w:szCs w:val="72"/>
        </w:rPr>
        <w:t>建设项目环境影响报告表</w:t>
      </w:r>
      <w:bookmarkEnd w:id="0"/>
    </w:p>
    <w:p w14:paraId="33E10A24">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（生态影响类）</w:t>
      </w:r>
    </w:p>
    <w:p w14:paraId="5B4EE26A">
      <w:pPr>
        <w:adjustRightInd w:val="0"/>
        <w:snapToGrid w:val="0"/>
        <w:spacing w:before="192" w:beforeLines="80"/>
        <w:jc w:val="center"/>
        <w:rPr>
          <w:rFonts w:ascii="楷体_GB2312" w:eastAsia="楷体_GB2312"/>
          <w:bCs/>
          <w:sz w:val="48"/>
          <w:szCs w:val="48"/>
        </w:rPr>
      </w:pPr>
    </w:p>
    <w:p w14:paraId="7C50E674">
      <w:pPr>
        <w:rPr>
          <w:rFonts w:eastAsia="仿宋"/>
          <w:sz w:val="44"/>
          <w:szCs w:val="44"/>
        </w:rPr>
      </w:pPr>
    </w:p>
    <w:p w14:paraId="46A5EA33">
      <w:pPr>
        <w:rPr>
          <w:rFonts w:eastAsia="仿宋"/>
          <w:sz w:val="44"/>
          <w:szCs w:val="44"/>
        </w:rPr>
      </w:pPr>
    </w:p>
    <w:p w14:paraId="66167C51">
      <w:pPr>
        <w:rPr>
          <w:rFonts w:eastAsia="仿宋"/>
          <w:sz w:val="44"/>
          <w:szCs w:val="44"/>
        </w:rPr>
      </w:pPr>
    </w:p>
    <w:p w14:paraId="07AC2ECF">
      <w:pPr>
        <w:rPr>
          <w:rFonts w:eastAsia="仿宋"/>
          <w:sz w:val="44"/>
          <w:szCs w:val="44"/>
        </w:rPr>
      </w:pPr>
    </w:p>
    <w:p w14:paraId="738C6694">
      <w:pPr>
        <w:adjustRightInd w:val="0"/>
        <w:snapToGrid w:val="0"/>
        <w:spacing w:line="360" w:lineRule="auto"/>
        <w:rPr>
          <w:rFonts w:eastAsia="仿宋_GB2312"/>
          <w:sz w:val="36"/>
          <w:szCs w:val="36"/>
          <w:u w:val="single"/>
        </w:rPr>
      </w:pPr>
      <w:r>
        <w:rPr>
          <w:rFonts w:eastAsia="仿宋_GB2312"/>
          <w:sz w:val="36"/>
          <w:szCs w:val="36"/>
        </w:rPr>
        <w:t>项目名称：</w:t>
      </w:r>
      <w:r>
        <w:rPr>
          <w:rFonts w:hint="eastAsia" w:eastAsia="仿宋_GB2312"/>
          <w:sz w:val="36"/>
          <w:szCs w:val="36"/>
          <w:u w:val="single"/>
        </w:rPr>
        <w:t>大英县金水河金元场镇山洪沟治理工程</w:t>
      </w:r>
    </w:p>
    <w:p w14:paraId="6C48427C">
      <w:pPr>
        <w:adjustRightInd w:val="0"/>
        <w:snapToGrid w:val="0"/>
        <w:spacing w:line="360" w:lineRule="auto"/>
        <w:ind w:left="3060" w:hanging="3060" w:hangingChars="850"/>
        <w:rPr>
          <w:rFonts w:eastAsia="仿宋_GB2312"/>
          <w:sz w:val="36"/>
          <w:szCs w:val="36"/>
        </w:rPr>
      </w:pPr>
      <w:r>
        <w:rPr>
          <w:rFonts w:eastAsia="仿宋_GB2312"/>
          <w:sz w:val="36"/>
          <w:szCs w:val="36"/>
        </w:rPr>
        <w:t>建设单位（盖章）：</w:t>
      </w:r>
      <w:r>
        <w:rPr>
          <w:rFonts w:hint="eastAsia" w:eastAsia="仿宋_GB2312"/>
          <w:sz w:val="36"/>
          <w:szCs w:val="36"/>
          <w:u w:val="single"/>
        </w:rPr>
        <w:t xml:space="preserve">大英县祥凤寨水库建设开发有限责任公司    </w:t>
      </w:r>
    </w:p>
    <w:p w14:paraId="2B2B7FAA">
      <w:pPr>
        <w:adjustRightInd w:val="0"/>
        <w:snapToGrid w:val="0"/>
        <w:spacing w:line="360" w:lineRule="auto"/>
        <w:rPr>
          <w:rFonts w:eastAsia="仿宋_GB2312"/>
          <w:sz w:val="36"/>
          <w:szCs w:val="36"/>
          <w:u w:val="single"/>
        </w:rPr>
      </w:pPr>
      <w:r>
        <w:rPr>
          <w:rFonts w:eastAsia="仿宋_GB2312"/>
          <w:sz w:val="36"/>
          <w:szCs w:val="36"/>
        </w:rPr>
        <w:t>编制日期：</w:t>
      </w:r>
      <w:r>
        <w:rPr>
          <w:rFonts w:eastAsia="仿宋_GB2312"/>
          <w:sz w:val="36"/>
          <w:szCs w:val="36"/>
          <w:u w:val="single"/>
        </w:rPr>
        <w:t xml:space="preserve">         </w:t>
      </w:r>
      <w:r>
        <w:rPr>
          <w:rFonts w:hint="eastAsia" w:eastAsia="仿宋_GB2312"/>
          <w:sz w:val="36"/>
          <w:szCs w:val="36"/>
          <w:u w:val="single"/>
        </w:rPr>
        <w:t xml:space="preserve"> </w:t>
      </w:r>
      <w:r>
        <w:rPr>
          <w:rFonts w:eastAsia="仿宋_GB2312"/>
          <w:sz w:val="36"/>
          <w:szCs w:val="36"/>
          <w:u w:val="single"/>
        </w:rPr>
        <w:t xml:space="preserve">  </w:t>
      </w:r>
      <w:r>
        <w:rPr>
          <w:rFonts w:hint="eastAsia" w:eastAsia="仿宋_GB2312"/>
          <w:sz w:val="36"/>
          <w:szCs w:val="36"/>
          <w:u w:val="single"/>
        </w:rPr>
        <w:t>2025年10月</w:t>
      </w:r>
      <w:r>
        <w:rPr>
          <w:rFonts w:eastAsia="仿宋_GB2312"/>
          <w:sz w:val="36"/>
          <w:szCs w:val="36"/>
          <w:u w:val="single"/>
        </w:rPr>
        <w:t xml:space="preserve">             </w:t>
      </w:r>
      <w:r>
        <w:rPr>
          <w:rFonts w:hint="eastAsia" w:eastAsia="仿宋_GB2312"/>
          <w:sz w:val="36"/>
          <w:szCs w:val="36"/>
          <w:u w:val="single"/>
        </w:rPr>
        <w:t xml:space="preserve"> </w:t>
      </w:r>
      <w:r>
        <w:rPr>
          <w:rFonts w:eastAsia="仿宋_GB2312"/>
          <w:sz w:val="36"/>
          <w:szCs w:val="36"/>
          <w:u w:val="single"/>
        </w:rPr>
        <w:t xml:space="preserve"> </w:t>
      </w:r>
    </w:p>
    <w:p w14:paraId="3ECD76E6">
      <w:pPr>
        <w:adjustRightInd w:val="0"/>
        <w:snapToGrid w:val="0"/>
        <w:spacing w:line="288" w:lineRule="auto"/>
        <w:rPr>
          <w:rFonts w:ascii="仿宋_GB2312" w:eastAsia="仿宋_GB2312"/>
          <w:sz w:val="36"/>
          <w:szCs w:val="36"/>
          <w:u w:val="single"/>
        </w:rPr>
      </w:pPr>
    </w:p>
    <w:p w14:paraId="6B571CBC">
      <w:pPr>
        <w:adjustRightInd w:val="0"/>
        <w:snapToGrid w:val="0"/>
        <w:spacing w:line="288" w:lineRule="auto"/>
        <w:rPr>
          <w:rFonts w:ascii="仿宋_GB2312" w:eastAsia="仿宋_GB2312"/>
          <w:sz w:val="36"/>
          <w:szCs w:val="36"/>
        </w:rPr>
      </w:pPr>
    </w:p>
    <w:p w14:paraId="07F64792">
      <w:pPr>
        <w:adjustRightInd w:val="0"/>
        <w:snapToGrid w:val="0"/>
        <w:spacing w:line="288" w:lineRule="auto"/>
        <w:rPr>
          <w:rFonts w:ascii="仿宋_GB2312" w:eastAsia="仿宋_GB2312"/>
          <w:sz w:val="36"/>
          <w:szCs w:val="36"/>
        </w:rPr>
      </w:pPr>
    </w:p>
    <w:p w14:paraId="0E24557A">
      <w:pPr>
        <w:adjustRightInd w:val="0"/>
        <w:snapToGrid w:val="0"/>
        <w:spacing w:line="288" w:lineRule="auto"/>
        <w:rPr>
          <w:rFonts w:ascii="仿宋_GB2312" w:eastAsia="仿宋_GB2312"/>
          <w:sz w:val="36"/>
          <w:szCs w:val="36"/>
        </w:rPr>
      </w:pPr>
    </w:p>
    <w:p w14:paraId="22EFEDF5">
      <w:pPr>
        <w:adjustRightInd w:val="0"/>
        <w:snapToGrid w:val="0"/>
        <w:spacing w:line="288" w:lineRule="auto"/>
        <w:rPr>
          <w:rFonts w:ascii="仿宋_GB2312" w:eastAsia="仿宋_GB2312"/>
          <w:sz w:val="36"/>
          <w:szCs w:val="36"/>
        </w:rPr>
      </w:pPr>
    </w:p>
    <w:p w14:paraId="6988922A">
      <w:pPr>
        <w:adjustRightInd w:val="0"/>
        <w:snapToGrid w:val="0"/>
        <w:spacing w:line="288" w:lineRule="auto"/>
        <w:rPr>
          <w:rFonts w:ascii="仿宋_GB2312" w:eastAsia="仿宋_GB2312"/>
          <w:sz w:val="36"/>
          <w:szCs w:val="36"/>
        </w:rPr>
      </w:pPr>
    </w:p>
    <w:p w14:paraId="375C3E02">
      <w:pPr>
        <w:adjustRightInd w:val="0"/>
        <w:snapToGrid w:val="0"/>
        <w:spacing w:line="288" w:lineRule="auto"/>
        <w:rPr>
          <w:rFonts w:ascii="仿宋_GB2312" w:eastAsia="仿宋_GB2312"/>
          <w:sz w:val="36"/>
          <w:szCs w:val="36"/>
        </w:rPr>
      </w:pPr>
    </w:p>
    <w:p w14:paraId="68C3AA04">
      <w:pPr>
        <w:jc w:val="center"/>
        <w:rPr>
          <w:sz w:val="36"/>
          <w:szCs w:val="36"/>
        </w:rPr>
      </w:pPr>
      <w:r>
        <w:rPr>
          <w:rFonts w:hint="eastAsia" w:ascii="楷体_GB2312" w:eastAsia="楷体_GB2312"/>
          <w:sz w:val="36"/>
          <w:szCs w:val="36"/>
        </w:rPr>
        <w:t>中华人民共和国生态环境部制</w:t>
      </w:r>
    </w:p>
    <w:p w14:paraId="355E4CBF">
      <w:pPr>
        <w:adjustRightInd w:val="0"/>
        <w:snapToGrid w:val="0"/>
        <w:spacing w:line="288" w:lineRule="auto"/>
        <w:ind w:firstLine="1040"/>
        <w:rPr>
          <w:sz w:val="36"/>
          <w:szCs w:val="36"/>
        </w:rPr>
        <w:sectPr>
          <w:footerReference r:id="rId3" w:type="default"/>
          <w:footerReference r:id="rId4" w:type="even"/>
          <w:pgSz w:w="11906" w:h="16838"/>
          <w:pgMar w:top="1474" w:right="1474" w:bottom="1474" w:left="1474" w:header="851" w:footer="1077" w:gutter="0"/>
          <w:pgNumType w:fmt="numberInDash" w:start="3"/>
          <w:cols w:space="720" w:num="1"/>
          <w:docGrid w:linePitch="312" w:charSpace="0"/>
        </w:sectPr>
      </w:pPr>
    </w:p>
    <w:p w14:paraId="7DB3076F">
      <w:pPr>
        <w:pStyle w:val="18"/>
        <w:jc w:val="center"/>
      </w:pPr>
      <w:r>
        <w:t>目录</w:t>
      </w:r>
    </w:p>
    <w:p w14:paraId="58313B89">
      <w:pPr>
        <w:pStyle w:val="18"/>
        <w:tabs>
          <w:tab w:val="right" w:leader="dot" w:pos="8958"/>
        </w:tabs>
      </w:pPr>
      <w:r>
        <w:fldChar w:fldCharType="begin"/>
      </w:r>
      <w:r>
        <w:instrText xml:space="preserve">TOC \o "1-1" \h \u </w:instrText>
      </w:r>
      <w:r>
        <w:fldChar w:fldCharType="separate"/>
      </w:r>
      <w:r>
        <w:fldChar w:fldCharType="begin"/>
      </w:r>
      <w:r>
        <w:instrText xml:space="preserve"> HYPERLINK \l "_Toc8496" </w:instrText>
      </w:r>
      <w:r>
        <w:fldChar w:fldCharType="separate"/>
      </w:r>
      <w:r>
        <w:rPr>
          <w:rFonts w:hint="eastAsia"/>
        </w:rPr>
        <w:t xml:space="preserve">一、 </w:t>
      </w:r>
      <w:r>
        <w:t>建设项目基本情况</w:t>
      </w:r>
      <w:r>
        <w:tab/>
      </w:r>
      <w:r>
        <w:fldChar w:fldCharType="begin"/>
      </w:r>
      <w:r>
        <w:instrText xml:space="preserve"> PAGEREF _Toc8496 \h </w:instrText>
      </w:r>
      <w:r>
        <w:fldChar w:fldCharType="separate"/>
      </w:r>
      <w:r>
        <w:t>- 1 -</w:t>
      </w:r>
      <w:r>
        <w:fldChar w:fldCharType="end"/>
      </w:r>
      <w:r>
        <w:fldChar w:fldCharType="end"/>
      </w:r>
    </w:p>
    <w:p w14:paraId="73C5EDAE">
      <w:pPr>
        <w:pStyle w:val="18"/>
        <w:tabs>
          <w:tab w:val="right" w:leader="dot" w:pos="8958"/>
        </w:tabs>
      </w:pPr>
      <w:r>
        <w:fldChar w:fldCharType="begin"/>
      </w:r>
      <w:r>
        <w:instrText xml:space="preserve"> HYPERLINK \l "_Toc29033" </w:instrText>
      </w:r>
      <w:r>
        <w:fldChar w:fldCharType="separate"/>
      </w:r>
      <w:r>
        <w:rPr>
          <w:rFonts w:hint="eastAsia"/>
        </w:rPr>
        <w:t xml:space="preserve">二、 </w:t>
      </w:r>
      <w:r>
        <w:t>建设项目工程分析</w:t>
      </w:r>
      <w:r>
        <w:tab/>
      </w:r>
      <w:r>
        <w:fldChar w:fldCharType="begin"/>
      </w:r>
      <w:r>
        <w:instrText xml:space="preserve"> PAGEREF _Toc29033 \h </w:instrText>
      </w:r>
      <w:r>
        <w:fldChar w:fldCharType="separate"/>
      </w:r>
      <w:r>
        <w:t>- 29 -</w:t>
      </w:r>
      <w:r>
        <w:fldChar w:fldCharType="end"/>
      </w:r>
      <w:r>
        <w:fldChar w:fldCharType="end"/>
      </w:r>
    </w:p>
    <w:p w14:paraId="0B3C102B">
      <w:pPr>
        <w:pStyle w:val="18"/>
        <w:tabs>
          <w:tab w:val="right" w:leader="dot" w:pos="8958"/>
        </w:tabs>
      </w:pPr>
      <w:r>
        <w:fldChar w:fldCharType="begin"/>
      </w:r>
      <w:r>
        <w:instrText xml:space="preserve"> HYPERLINK \l "_Toc25214" </w:instrText>
      </w:r>
      <w:r>
        <w:fldChar w:fldCharType="separate"/>
      </w:r>
      <w:r>
        <w:rPr>
          <w:rFonts w:hint="eastAsia"/>
        </w:rPr>
        <w:t>三、 生态环境现状</w:t>
      </w:r>
      <w:r>
        <w:t>、环境保护目标及评价标准</w:t>
      </w:r>
      <w:r>
        <w:tab/>
      </w:r>
      <w:r>
        <w:fldChar w:fldCharType="begin"/>
      </w:r>
      <w:r>
        <w:instrText xml:space="preserve"> PAGEREF _Toc25214 \h </w:instrText>
      </w:r>
      <w:r>
        <w:fldChar w:fldCharType="separate"/>
      </w:r>
      <w:r>
        <w:t>- 50 -</w:t>
      </w:r>
      <w:r>
        <w:fldChar w:fldCharType="end"/>
      </w:r>
      <w:r>
        <w:fldChar w:fldCharType="end"/>
      </w:r>
    </w:p>
    <w:p w14:paraId="1A450117">
      <w:pPr>
        <w:pStyle w:val="18"/>
        <w:tabs>
          <w:tab w:val="right" w:leader="dot" w:pos="8958"/>
        </w:tabs>
      </w:pPr>
      <w:r>
        <w:fldChar w:fldCharType="begin"/>
      </w:r>
      <w:r>
        <w:instrText xml:space="preserve"> HYPERLINK \l "_Toc31152" </w:instrText>
      </w:r>
      <w:r>
        <w:fldChar w:fldCharType="separate"/>
      </w:r>
      <w:r>
        <w:rPr>
          <w:rFonts w:hint="eastAsia"/>
        </w:rPr>
        <w:t xml:space="preserve">四、 </w:t>
      </w:r>
      <w:r>
        <w:t>主要环境影响和保护措施</w:t>
      </w:r>
      <w:r>
        <w:tab/>
      </w:r>
      <w:r>
        <w:fldChar w:fldCharType="begin"/>
      </w:r>
      <w:r>
        <w:instrText xml:space="preserve"> PAGEREF _Toc31152 \h </w:instrText>
      </w:r>
      <w:r>
        <w:fldChar w:fldCharType="separate"/>
      </w:r>
      <w:r>
        <w:t>- 74 -</w:t>
      </w:r>
      <w:r>
        <w:fldChar w:fldCharType="end"/>
      </w:r>
      <w:r>
        <w:fldChar w:fldCharType="end"/>
      </w:r>
    </w:p>
    <w:p w14:paraId="64477D0F">
      <w:pPr>
        <w:pStyle w:val="18"/>
        <w:tabs>
          <w:tab w:val="right" w:leader="dot" w:pos="8958"/>
        </w:tabs>
      </w:pPr>
      <w:r>
        <w:fldChar w:fldCharType="begin"/>
      </w:r>
      <w:r>
        <w:instrText xml:space="preserve"> HYPERLINK \l "_Toc1467" </w:instrText>
      </w:r>
      <w:r>
        <w:fldChar w:fldCharType="separate"/>
      </w:r>
      <w:r>
        <w:rPr>
          <w:rFonts w:hint="eastAsia"/>
        </w:rPr>
        <w:t>五、 主要生态环境保护措施</w:t>
      </w:r>
      <w:r>
        <w:tab/>
      </w:r>
      <w:r>
        <w:fldChar w:fldCharType="begin"/>
      </w:r>
      <w:r>
        <w:instrText xml:space="preserve"> PAGEREF _Toc1467 \h </w:instrText>
      </w:r>
      <w:r>
        <w:fldChar w:fldCharType="separate"/>
      </w:r>
      <w:r>
        <w:t>- 97 -</w:t>
      </w:r>
      <w:r>
        <w:fldChar w:fldCharType="end"/>
      </w:r>
      <w:r>
        <w:fldChar w:fldCharType="end"/>
      </w:r>
    </w:p>
    <w:p w14:paraId="2595A103">
      <w:pPr>
        <w:pStyle w:val="18"/>
        <w:tabs>
          <w:tab w:val="right" w:leader="dot" w:pos="8958"/>
        </w:tabs>
      </w:pPr>
      <w:r>
        <w:fldChar w:fldCharType="begin"/>
      </w:r>
      <w:r>
        <w:instrText xml:space="preserve"> HYPERLINK \l "_Toc31204" </w:instrText>
      </w:r>
      <w:r>
        <w:fldChar w:fldCharType="separate"/>
      </w:r>
      <w:r>
        <w:rPr>
          <w:rFonts w:hint="eastAsia"/>
        </w:rPr>
        <w:t xml:space="preserve">六、 </w:t>
      </w:r>
      <w:r>
        <w:t>生态环境保护措施监督检查清单</w:t>
      </w:r>
      <w:r>
        <w:tab/>
      </w:r>
      <w:r>
        <w:fldChar w:fldCharType="begin"/>
      </w:r>
      <w:r>
        <w:instrText xml:space="preserve"> PAGEREF _Toc31204 \h </w:instrText>
      </w:r>
      <w:r>
        <w:fldChar w:fldCharType="separate"/>
      </w:r>
      <w:r>
        <w:t>- 111 -</w:t>
      </w:r>
      <w:r>
        <w:fldChar w:fldCharType="end"/>
      </w:r>
      <w:r>
        <w:fldChar w:fldCharType="end"/>
      </w:r>
    </w:p>
    <w:p w14:paraId="784EAD87">
      <w:pPr>
        <w:pStyle w:val="18"/>
        <w:tabs>
          <w:tab w:val="right" w:leader="dot" w:pos="8958"/>
        </w:tabs>
      </w:pPr>
      <w:r>
        <w:fldChar w:fldCharType="begin"/>
      </w:r>
      <w:r>
        <w:instrText xml:space="preserve"> HYPERLINK \l "_Toc27896" </w:instrText>
      </w:r>
      <w:r>
        <w:fldChar w:fldCharType="separate"/>
      </w:r>
      <w:r>
        <w:rPr>
          <w:rFonts w:hint="eastAsia"/>
        </w:rPr>
        <w:t xml:space="preserve">七、 </w:t>
      </w:r>
      <w:r>
        <w:t>结论</w:t>
      </w:r>
      <w:r>
        <w:tab/>
      </w:r>
      <w:r>
        <w:fldChar w:fldCharType="begin"/>
      </w:r>
      <w:r>
        <w:instrText xml:space="preserve"> PAGEREF _Toc27896 \h </w:instrText>
      </w:r>
      <w:r>
        <w:fldChar w:fldCharType="separate"/>
      </w:r>
      <w:r>
        <w:t>- 113 -</w:t>
      </w:r>
      <w:r>
        <w:fldChar w:fldCharType="end"/>
      </w:r>
      <w:r>
        <w:fldChar w:fldCharType="end"/>
      </w:r>
    </w:p>
    <w:p w14:paraId="7D641225">
      <w:r>
        <w:fldChar w:fldCharType="end"/>
      </w:r>
    </w:p>
    <w:p w14:paraId="090577DC">
      <w:pPr>
        <w:spacing w:line="480" w:lineRule="exact"/>
        <w:rPr>
          <w:sz w:val="24"/>
        </w:rPr>
        <w:sectPr>
          <w:footerReference r:id="rId5" w:type="default"/>
          <w:footerReference r:id="rId6" w:type="even"/>
          <w:pgSz w:w="11906" w:h="16838"/>
          <w:pgMar w:top="1474" w:right="1474" w:bottom="1474" w:left="1474" w:header="851" w:footer="1077" w:gutter="0"/>
          <w:pgNumType w:fmt="numberInDash" w:start="1"/>
          <w:cols w:space="720" w:num="1"/>
          <w:docGrid w:linePitch="312" w:charSpace="0"/>
        </w:sectPr>
      </w:pPr>
    </w:p>
    <w:p w14:paraId="31D3DDC8">
      <w:pPr>
        <w:pStyle w:val="3"/>
      </w:pPr>
      <w:bookmarkStart w:id="1" w:name="_Toc17296"/>
      <w:bookmarkStart w:id="2" w:name="_Toc8496"/>
      <w:r>
        <w:t>建设项目基本情况</w:t>
      </w:r>
      <w:bookmarkEnd w:id="1"/>
      <w:bookmarkEnd w:id="2"/>
    </w:p>
    <w:tbl>
      <w:tblPr>
        <w:tblStyle w:val="26"/>
        <w:tblW w:w="494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84"/>
        <w:gridCol w:w="1404"/>
        <w:gridCol w:w="1977"/>
        <w:gridCol w:w="1806"/>
        <w:gridCol w:w="3007"/>
      </w:tblGrid>
      <w:tr w14:paraId="0E1A64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090" w:type="dxa"/>
            <w:gridSpan w:val="2"/>
            <w:tcMar>
              <w:top w:w="16" w:type="dxa"/>
              <w:left w:w="16" w:type="dxa"/>
              <w:right w:w="16" w:type="dxa"/>
            </w:tcMar>
            <w:vAlign w:val="center"/>
          </w:tcPr>
          <w:p w14:paraId="27F0179A">
            <w:pPr>
              <w:adjustRightInd w:val="0"/>
              <w:snapToGrid w:val="0"/>
              <w:jc w:val="center"/>
              <w:rPr>
                <w:sz w:val="24"/>
              </w:rPr>
            </w:pPr>
            <w:r>
              <w:rPr>
                <w:rFonts w:hint="eastAsia"/>
                <w:sz w:val="24"/>
              </w:rPr>
              <w:t>建设项目名称</w:t>
            </w:r>
          </w:p>
        </w:tc>
        <w:tc>
          <w:tcPr>
            <w:tcW w:w="6795" w:type="dxa"/>
            <w:gridSpan w:val="3"/>
            <w:vAlign w:val="center"/>
          </w:tcPr>
          <w:p w14:paraId="40C62F89">
            <w:pPr>
              <w:adjustRightInd w:val="0"/>
              <w:snapToGrid w:val="0"/>
              <w:spacing w:line="400" w:lineRule="exact"/>
              <w:jc w:val="center"/>
              <w:rPr>
                <w:sz w:val="24"/>
              </w:rPr>
            </w:pPr>
            <w:r>
              <w:rPr>
                <w:sz w:val="24"/>
              </w:rPr>
              <w:t>大英县金水河金元场镇山洪沟治理工程</w:t>
            </w:r>
          </w:p>
        </w:tc>
      </w:tr>
      <w:tr w14:paraId="656316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090" w:type="dxa"/>
            <w:gridSpan w:val="2"/>
            <w:tcMar>
              <w:top w:w="16" w:type="dxa"/>
              <w:left w:w="16" w:type="dxa"/>
              <w:right w:w="16" w:type="dxa"/>
            </w:tcMar>
            <w:vAlign w:val="center"/>
          </w:tcPr>
          <w:p w14:paraId="2585B28A">
            <w:pPr>
              <w:adjustRightInd w:val="0"/>
              <w:snapToGrid w:val="0"/>
              <w:jc w:val="center"/>
              <w:rPr>
                <w:sz w:val="24"/>
              </w:rPr>
            </w:pPr>
            <w:r>
              <w:rPr>
                <w:rFonts w:hint="eastAsia"/>
                <w:sz w:val="24"/>
              </w:rPr>
              <w:t>项目代码</w:t>
            </w:r>
          </w:p>
        </w:tc>
        <w:tc>
          <w:tcPr>
            <w:tcW w:w="6795" w:type="dxa"/>
            <w:gridSpan w:val="3"/>
            <w:vAlign w:val="center"/>
          </w:tcPr>
          <w:p w14:paraId="151F1B32">
            <w:pPr>
              <w:adjustRightInd w:val="0"/>
              <w:snapToGrid w:val="0"/>
              <w:spacing w:line="400" w:lineRule="exact"/>
              <w:jc w:val="center"/>
              <w:rPr>
                <w:rFonts w:hint="eastAsia" w:eastAsia="宋体"/>
                <w:sz w:val="24"/>
                <w:lang w:val="en-US" w:eastAsia="zh-CN"/>
              </w:rPr>
            </w:pPr>
            <w:r>
              <w:rPr>
                <w:rFonts w:hint="eastAsia"/>
                <w:sz w:val="24"/>
                <w:lang w:val="en-US" w:eastAsia="zh-CN"/>
              </w:rPr>
              <w:t>/</w:t>
            </w:r>
          </w:p>
        </w:tc>
      </w:tr>
      <w:tr w14:paraId="4E320A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090" w:type="dxa"/>
            <w:gridSpan w:val="2"/>
            <w:tcMar>
              <w:top w:w="16" w:type="dxa"/>
              <w:left w:w="16" w:type="dxa"/>
              <w:right w:w="16" w:type="dxa"/>
            </w:tcMar>
            <w:vAlign w:val="center"/>
          </w:tcPr>
          <w:p w14:paraId="2560DF9E">
            <w:pPr>
              <w:adjustRightInd w:val="0"/>
              <w:snapToGrid w:val="0"/>
              <w:jc w:val="center"/>
              <w:rPr>
                <w:sz w:val="24"/>
              </w:rPr>
            </w:pPr>
            <w:r>
              <w:rPr>
                <w:rFonts w:hint="eastAsia"/>
                <w:sz w:val="24"/>
              </w:rPr>
              <w:t>建设单位联系人</w:t>
            </w:r>
          </w:p>
        </w:tc>
        <w:tc>
          <w:tcPr>
            <w:tcW w:w="1979" w:type="dxa"/>
            <w:vAlign w:val="center"/>
          </w:tcPr>
          <w:p w14:paraId="106F7FD3">
            <w:pPr>
              <w:adjustRightInd w:val="0"/>
              <w:snapToGrid w:val="0"/>
              <w:spacing w:line="400" w:lineRule="exact"/>
              <w:jc w:val="center"/>
              <w:rPr>
                <w:rFonts w:hint="eastAsia" w:eastAsia="宋体"/>
                <w:sz w:val="24"/>
                <w:lang w:eastAsia="zh-CN"/>
              </w:rPr>
            </w:pPr>
            <w:r>
              <w:rPr>
                <w:rFonts w:hint="eastAsia"/>
                <w:sz w:val="24"/>
              </w:rPr>
              <w:t>高</w:t>
            </w:r>
            <w:r>
              <w:rPr>
                <w:rFonts w:hint="eastAsia"/>
                <w:sz w:val="24"/>
                <w:lang w:val="en-US" w:eastAsia="zh-CN"/>
              </w:rPr>
              <w:t>*</w:t>
            </w:r>
          </w:p>
        </w:tc>
        <w:tc>
          <w:tcPr>
            <w:tcW w:w="1807" w:type="dxa"/>
            <w:vAlign w:val="center"/>
          </w:tcPr>
          <w:p w14:paraId="208789CF">
            <w:pPr>
              <w:adjustRightInd w:val="0"/>
              <w:snapToGrid w:val="0"/>
              <w:jc w:val="center"/>
              <w:rPr>
                <w:sz w:val="24"/>
              </w:rPr>
            </w:pPr>
            <w:r>
              <w:rPr>
                <w:rFonts w:hint="eastAsia"/>
                <w:sz w:val="24"/>
              </w:rPr>
              <w:t>联系方式</w:t>
            </w:r>
          </w:p>
        </w:tc>
        <w:tc>
          <w:tcPr>
            <w:tcW w:w="3009" w:type="dxa"/>
            <w:vAlign w:val="center"/>
          </w:tcPr>
          <w:p w14:paraId="0ABEA0F8">
            <w:pPr>
              <w:adjustRightInd w:val="0"/>
              <w:snapToGrid w:val="0"/>
              <w:spacing w:line="400" w:lineRule="exact"/>
              <w:jc w:val="center"/>
              <w:rPr>
                <w:sz w:val="24"/>
              </w:rPr>
            </w:pPr>
            <w:r>
              <w:rPr>
                <w:sz w:val="24"/>
              </w:rPr>
              <w:t>180</w:t>
            </w:r>
            <w:r>
              <w:rPr>
                <w:rFonts w:hint="eastAsia"/>
                <w:sz w:val="24"/>
                <w:lang w:val="en-US" w:eastAsia="zh-CN"/>
              </w:rPr>
              <w:t>****</w:t>
            </w:r>
            <w:r>
              <w:rPr>
                <w:sz w:val="24"/>
              </w:rPr>
              <w:t>9089</w:t>
            </w:r>
          </w:p>
        </w:tc>
      </w:tr>
      <w:tr w14:paraId="0075C2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090" w:type="dxa"/>
            <w:gridSpan w:val="2"/>
            <w:tcMar>
              <w:top w:w="16" w:type="dxa"/>
              <w:left w:w="16" w:type="dxa"/>
              <w:right w:w="16" w:type="dxa"/>
            </w:tcMar>
            <w:vAlign w:val="center"/>
          </w:tcPr>
          <w:p w14:paraId="70CDC535">
            <w:pPr>
              <w:adjustRightInd w:val="0"/>
              <w:snapToGrid w:val="0"/>
              <w:jc w:val="center"/>
              <w:rPr>
                <w:sz w:val="24"/>
              </w:rPr>
            </w:pPr>
            <w:r>
              <w:rPr>
                <w:rFonts w:hint="eastAsia"/>
                <w:sz w:val="24"/>
              </w:rPr>
              <w:t>建设地点</w:t>
            </w:r>
          </w:p>
        </w:tc>
        <w:tc>
          <w:tcPr>
            <w:tcW w:w="6795" w:type="dxa"/>
            <w:gridSpan w:val="3"/>
            <w:vAlign w:val="center"/>
          </w:tcPr>
          <w:p w14:paraId="2113677C">
            <w:pPr>
              <w:adjustRightInd w:val="0"/>
              <w:snapToGrid w:val="0"/>
              <w:spacing w:line="400" w:lineRule="exact"/>
              <w:jc w:val="center"/>
              <w:rPr>
                <w:sz w:val="24"/>
              </w:rPr>
            </w:pPr>
            <w:r>
              <w:rPr>
                <w:rFonts w:hint="eastAsia"/>
                <w:sz w:val="24"/>
              </w:rPr>
              <w:t>四川省遂宁市大英县金元镇</w:t>
            </w:r>
          </w:p>
        </w:tc>
      </w:tr>
      <w:tr w14:paraId="5A44D7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090" w:type="dxa"/>
            <w:gridSpan w:val="2"/>
            <w:tcMar>
              <w:top w:w="16" w:type="dxa"/>
              <w:left w:w="16" w:type="dxa"/>
              <w:right w:w="16" w:type="dxa"/>
            </w:tcMar>
            <w:vAlign w:val="center"/>
          </w:tcPr>
          <w:p w14:paraId="40BF52F8">
            <w:pPr>
              <w:adjustRightInd w:val="0"/>
              <w:snapToGrid w:val="0"/>
              <w:jc w:val="center"/>
              <w:rPr>
                <w:sz w:val="24"/>
              </w:rPr>
            </w:pPr>
            <w:r>
              <w:rPr>
                <w:rFonts w:hint="eastAsia"/>
                <w:sz w:val="24"/>
              </w:rPr>
              <w:t>地理坐标</w:t>
            </w:r>
          </w:p>
        </w:tc>
        <w:tc>
          <w:tcPr>
            <w:tcW w:w="6795" w:type="dxa"/>
            <w:gridSpan w:val="3"/>
            <w:vAlign w:val="center"/>
          </w:tcPr>
          <w:p w14:paraId="06DED0C9">
            <w:pPr>
              <w:spacing w:line="400" w:lineRule="exact"/>
              <w:jc w:val="center"/>
              <w:rPr>
                <w:sz w:val="24"/>
              </w:rPr>
            </w:pPr>
            <w:r>
              <w:rPr>
                <w:rFonts w:hint="eastAsia"/>
                <w:sz w:val="24"/>
              </w:rPr>
              <w:t>胜利溪河段</w:t>
            </w:r>
          </w:p>
          <w:p w14:paraId="2CFC620C">
            <w:pPr>
              <w:spacing w:line="400" w:lineRule="exact"/>
              <w:jc w:val="center"/>
              <w:rPr>
                <w:sz w:val="24"/>
              </w:rPr>
            </w:pPr>
            <w:r>
              <w:rPr>
                <w:rFonts w:hint="eastAsia"/>
                <w:sz w:val="24"/>
              </w:rPr>
              <w:t>起点：便民桥（E105°20′19.512″，N30°32′52.093″）</w:t>
            </w:r>
          </w:p>
          <w:p w14:paraId="694A3495">
            <w:pPr>
              <w:spacing w:line="400" w:lineRule="exact"/>
              <w:jc w:val="center"/>
              <w:rPr>
                <w:sz w:val="24"/>
              </w:rPr>
            </w:pPr>
            <w:r>
              <w:rPr>
                <w:rFonts w:hint="eastAsia"/>
                <w:sz w:val="24"/>
              </w:rPr>
              <w:t>终点：（E105°20′21.858″，N30°32′51.127″）</w:t>
            </w:r>
          </w:p>
          <w:p w14:paraId="5ED02A3E">
            <w:pPr>
              <w:spacing w:line="400" w:lineRule="exact"/>
              <w:jc w:val="center"/>
              <w:rPr>
                <w:sz w:val="24"/>
              </w:rPr>
            </w:pPr>
            <w:r>
              <w:rPr>
                <w:rFonts w:hint="eastAsia"/>
                <w:sz w:val="24"/>
              </w:rPr>
              <w:t>金水河河段</w:t>
            </w:r>
          </w:p>
          <w:p w14:paraId="72F17EDC">
            <w:pPr>
              <w:spacing w:line="400" w:lineRule="exact"/>
              <w:jc w:val="center"/>
              <w:rPr>
                <w:sz w:val="24"/>
              </w:rPr>
            </w:pPr>
            <w:r>
              <w:rPr>
                <w:rFonts w:hint="eastAsia"/>
                <w:sz w:val="24"/>
              </w:rPr>
              <w:t>起点：（E105°20′21.858″，N30°32′51.127″）</w:t>
            </w:r>
          </w:p>
          <w:p w14:paraId="359CC52B">
            <w:pPr>
              <w:spacing w:line="400" w:lineRule="exact"/>
              <w:jc w:val="center"/>
              <w:rPr>
                <w:sz w:val="24"/>
              </w:rPr>
            </w:pPr>
            <w:r>
              <w:rPr>
                <w:rFonts w:hint="eastAsia"/>
                <w:sz w:val="24"/>
              </w:rPr>
              <w:t>终点：金元堰（E105°20′37.385″，N30°33′2.758″）</w:t>
            </w:r>
          </w:p>
        </w:tc>
      </w:tr>
      <w:tr w14:paraId="1C5564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090" w:type="dxa"/>
            <w:gridSpan w:val="2"/>
            <w:tcMar>
              <w:top w:w="16" w:type="dxa"/>
              <w:left w:w="16" w:type="dxa"/>
              <w:right w:w="16" w:type="dxa"/>
            </w:tcMar>
            <w:vAlign w:val="center"/>
          </w:tcPr>
          <w:p w14:paraId="1E013598">
            <w:pPr>
              <w:adjustRightInd w:val="0"/>
              <w:snapToGrid w:val="0"/>
              <w:jc w:val="center"/>
              <w:rPr>
                <w:sz w:val="24"/>
              </w:rPr>
            </w:pPr>
            <w:r>
              <w:rPr>
                <w:rFonts w:hint="eastAsia"/>
                <w:sz w:val="24"/>
              </w:rPr>
              <w:t>建设项目</w:t>
            </w:r>
          </w:p>
          <w:p w14:paraId="2F71CF2D">
            <w:pPr>
              <w:adjustRightInd w:val="0"/>
              <w:snapToGrid w:val="0"/>
              <w:jc w:val="center"/>
              <w:rPr>
                <w:sz w:val="24"/>
              </w:rPr>
            </w:pPr>
            <w:r>
              <w:rPr>
                <w:rFonts w:hint="eastAsia"/>
                <w:sz w:val="24"/>
              </w:rPr>
              <w:t>行业类别</w:t>
            </w:r>
          </w:p>
        </w:tc>
        <w:tc>
          <w:tcPr>
            <w:tcW w:w="1979" w:type="dxa"/>
            <w:vAlign w:val="center"/>
          </w:tcPr>
          <w:p w14:paraId="3C25CBB6">
            <w:pPr>
              <w:adjustRightInd w:val="0"/>
              <w:snapToGrid w:val="0"/>
              <w:spacing w:line="400" w:lineRule="exact"/>
              <w:jc w:val="center"/>
              <w:rPr>
                <w:sz w:val="24"/>
              </w:rPr>
            </w:pPr>
            <w:r>
              <w:rPr>
                <w:rFonts w:hint="eastAsia"/>
                <w:sz w:val="24"/>
              </w:rPr>
              <w:t>五十一、水利</w:t>
            </w:r>
            <w:r>
              <w:rPr>
                <w:sz w:val="24"/>
              </w:rPr>
              <w:t>——</w:t>
            </w:r>
            <w:r>
              <w:rPr>
                <w:rFonts w:hint="eastAsia"/>
                <w:sz w:val="24"/>
              </w:rPr>
              <w:t>128河湖整治（不含农村塘堰、水渠）</w:t>
            </w:r>
            <w:r>
              <w:rPr>
                <w:sz w:val="24"/>
              </w:rPr>
              <w:t>——</w:t>
            </w:r>
            <w:r>
              <w:rPr>
                <w:rFonts w:hint="eastAsia"/>
                <w:sz w:val="24"/>
              </w:rPr>
              <w:t>其他</w:t>
            </w:r>
          </w:p>
        </w:tc>
        <w:tc>
          <w:tcPr>
            <w:tcW w:w="1807" w:type="dxa"/>
            <w:vAlign w:val="center"/>
          </w:tcPr>
          <w:p w14:paraId="1104E135">
            <w:pPr>
              <w:adjustRightInd w:val="0"/>
              <w:snapToGrid w:val="0"/>
              <w:jc w:val="center"/>
              <w:rPr>
                <w:sz w:val="24"/>
              </w:rPr>
            </w:pPr>
            <w:r>
              <w:rPr>
                <w:rFonts w:hint="eastAsia"/>
                <w:spacing w:val="-6"/>
                <w:sz w:val="24"/>
              </w:rPr>
              <w:t>用地（用海）面积（m</w:t>
            </w:r>
            <w:r>
              <w:rPr>
                <w:rFonts w:hint="eastAsia"/>
                <w:spacing w:val="-6"/>
                <w:sz w:val="24"/>
                <w:vertAlign w:val="superscript"/>
              </w:rPr>
              <w:t>2</w:t>
            </w:r>
            <w:r>
              <w:rPr>
                <w:rFonts w:hint="eastAsia"/>
                <w:spacing w:val="-6"/>
                <w:sz w:val="24"/>
              </w:rPr>
              <w:t>）/长度（km）</w:t>
            </w:r>
          </w:p>
        </w:tc>
        <w:tc>
          <w:tcPr>
            <w:tcW w:w="3009" w:type="dxa"/>
            <w:vAlign w:val="center"/>
          </w:tcPr>
          <w:p w14:paraId="03406ACD">
            <w:pPr>
              <w:adjustRightInd w:val="0"/>
              <w:snapToGrid w:val="0"/>
              <w:spacing w:line="400" w:lineRule="exact"/>
              <w:jc w:val="center"/>
              <w:rPr>
                <w:sz w:val="24"/>
              </w:rPr>
            </w:pPr>
            <w:r>
              <w:rPr>
                <w:rFonts w:hint="eastAsia"/>
                <w:sz w:val="24"/>
              </w:rPr>
              <w:t>项目永久用地：14041.72m</w:t>
            </w:r>
            <w:r>
              <w:rPr>
                <w:rFonts w:hint="eastAsia"/>
                <w:sz w:val="24"/>
                <w:vertAlign w:val="superscript"/>
              </w:rPr>
              <w:t>2</w:t>
            </w:r>
          </w:p>
          <w:p w14:paraId="594DE4F5">
            <w:pPr>
              <w:adjustRightInd w:val="0"/>
              <w:snapToGrid w:val="0"/>
              <w:spacing w:line="400" w:lineRule="exact"/>
              <w:jc w:val="center"/>
              <w:rPr>
                <w:sz w:val="24"/>
              </w:rPr>
            </w:pPr>
            <w:r>
              <w:rPr>
                <w:rFonts w:hint="eastAsia"/>
                <w:sz w:val="24"/>
              </w:rPr>
              <w:t>临时用地：1064.22m</w:t>
            </w:r>
            <w:r>
              <w:rPr>
                <w:rFonts w:hint="eastAsia"/>
                <w:sz w:val="24"/>
                <w:vertAlign w:val="superscript"/>
              </w:rPr>
              <w:t>2</w:t>
            </w:r>
          </w:p>
        </w:tc>
      </w:tr>
      <w:tr w14:paraId="4C5CFB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090" w:type="dxa"/>
            <w:gridSpan w:val="2"/>
            <w:tcMar>
              <w:top w:w="16" w:type="dxa"/>
              <w:left w:w="16" w:type="dxa"/>
              <w:right w:w="16" w:type="dxa"/>
            </w:tcMar>
            <w:vAlign w:val="center"/>
          </w:tcPr>
          <w:p w14:paraId="12FC3BCB">
            <w:pPr>
              <w:adjustRightInd w:val="0"/>
              <w:snapToGrid w:val="0"/>
              <w:jc w:val="center"/>
              <w:rPr>
                <w:sz w:val="24"/>
              </w:rPr>
            </w:pPr>
            <w:r>
              <w:rPr>
                <w:rFonts w:hint="eastAsia"/>
                <w:sz w:val="24"/>
              </w:rPr>
              <w:t>建设性质</w:t>
            </w:r>
          </w:p>
        </w:tc>
        <w:tc>
          <w:tcPr>
            <w:tcW w:w="1979" w:type="dxa"/>
            <w:vAlign w:val="center"/>
          </w:tcPr>
          <w:p w14:paraId="718E994F">
            <w:pPr>
              <w:spacing w:line="400" w:lineRule="exact"/>
              <w:jc w:val="left"/>
              <w:rPr>
                <w:sz w:val="24"/>
              </w:rPr>
            </w:pPr>
            <w:r>
              <w:rPr>
                <w:rFonts w:hint="eastAsia"/>
                <w:sz w:val="24"/>
              </w:rPr>
              <w:sym w:font="Wingdings 2" w:char="0052"/>
            </w:r>
            <w:r>
              <w:rPr>
                <w:rFonts w:hint="eastAsia"/>
                <w:sz w:val="24"/>
              </w:rPr>
              <w:t>新建（迁建）</w:t>
            </w:r>
          </w:p>
          <w:p w14:paraId="069C5F3E">
            <w:pPr>
              <w:spacing w:line="400" w:lineRule="exact"/>
              <w:jc w:val="left"/>
              <w:rPr>
                <w:sz w:val="24"/>
              </w:rPr>
            </w:pPr>
            <w:r>
              <w:rPr>
                <w:rFonts w:hint="eastAsia"/>
                <w:sz w:val="24"/>
              </w:rPr>
              <w:sym w:font="Wingdings 2" w:char="00A3"/>
            </w:r>
            <w:r>
              <w:rPr>
                <w:rFonts w:hint="eastAsia"/>
                <w:sz w:val="24"/>
              </w:rPr>
              <w:t>改建</w:t>
            </w:r>
          </w:p>
          <w:p w14:paraId="37FE8499">
            <w:pPr>
              <w:spacing w:line="400" w:lineRule="exact"/>
              <w:jc w:val="left"/>
              <w:rPr>
                <w:sz w:val="24"/>
              </w:rPr>
            </w:pPr>
            <w:r>
              <w:rPr>
                <w:rFonts w:hint="eastAsia"/>
                <w:sz w:val="24"/>
              </w:rPr>
              <w:sym w:font="Wingdings 2" w:char="00A3"/>
            </w:r>
            <w:r>
              <w:rPr>
                <w:rFonts w:hint="eastAsia"/>
                <w:sz w:val="24"/>
              </w:rPr>
              <w:t>扩建</w:t>
            </w:r>
          </w:p>
          <w:p w14:paraId="3A31A877">
            <w:pPr>
              <w:spacing w:line="400" w:lineRule="exact"/>
              <w:jc w:val="left"/>
              <w:rPr>
                <w:sz w:val="24"/>
              </w:rPr>
            </w:pPr>
            <w:r>
              <w:rPr>
                <w:rFonts w:hint="eastAsia"/>
                <w:sz w:val="24"/>
              </w:rPr>
              <w:sym w:font="Wingdings 2" w:char="00A3"/>
            </w:r>
            <w:r>
              <w:rPr>
                <w:rFonts w:hint="eastAsia"/>
                <w:sz w:val="24"/>
              </w:rPr>
              <w:t>技术改造</w:t>
            </w:r>
          </w:p>
        </w:tc>
        <w:tc>
          <w:tcPr>
            <w:tcW w:w="1807" w:type="dxa"/>
            <w:vAlign w:val="center"/>
          </w:tcPr>
          <w:p w14:paraId="1E18B0A1">
            <w:pPr>
              <w:adjustRightInd w:val="0"/>
              <w:snapToGrid w:val="0"/>
              <w:jc w:val="center"/>
              <w:rPr>
                <w:sz w:val="24"/>
              </w:rPr>
            </w:pPr>
            <w:r>
              <w:rPr>
                <w:rFonts w:hint="eastAsia"/>
                <w:sz w:val="24"/>
              </w:rPr>
              <w:t>建设项目</w:t>
            </w:r>
          </w:p>
          <w:p w14:paraId="343CCA55">
            <w:pPr>
              <w:adjustRightInd w:val="0"/>
              <w:snapToGrid w:val="0"/>
              <w:jc w:val="center"/>
              <w:rPr>
                <w:sz w:val="24"/>
              </w:rPr>
            </w:pPr>
            <w:r>
              <w:rPr>
                <w:rFonts w:hint="eastAsia"/>
                <w:sz w:val="24"/>
              </w:rPr>
              <w:t>申报情形</w:t>
            </w:r>
          </w:p>
        </w:tc>
        <w:tc>
          <w:tcPr>
            <w:tcW w:w="3009" w:type="dxa"/>
            <w:vAlign w:val="center"/>
          </w:tcPr>
          <w:p w14:paraId="1B2B016A">
            <w:pPr>
              <w:spacing w:line="400" w:lineRule="exact"/>
              <w:jc w:val="left"/>
              <w:rPr>
                <w:sz w:val="24"/>
              </w:rPr>
            </w:pPr>
            <w:r>
              <w:rPr>
                <w:rFonts w:hint="eastAsia"/>
                <w:sz w:val="24"/>
              </w:rPr>
              <w:sym w:font="Wingdings 2" w:char="0052"/>
            </w:r>
            <w:r>
              <w:rPr>
                <w:rFonts w:hint="eastAsia"/>
                <w:sz w:val="24"/>
              </w:rPr>
              <w:t>首次申报项目</w:t>
            </w:r>
          </w:p>
          <w:p w14:paraId="5BE1ED83">
            <w:pPr>
              <w:spacing w:line="400" w:lineRule="exact"/>
              <w:jc w:val="left"/>
              <w:rPr>
                <w:sz w:val="24"/>
              </w:rPr>
            </w:pPr>
            <w:r>
              <w:rPr>
                <w:rFonts w:hint="eastAsia"/>
                <w:sz w:val="24"/>
              </w:rPr>
              <w:sym w:font="Wingdings 2" w:char="00A3"/>
            </w:r>
            <w:r>
              <w:rPr>
                <w:rFonts w:hint="eastAsia"/>
                <w:sz w:val="24"/>
              </w:rPr>
              <w:t>不予批准后再次申报项目</w:t>
            </w:r>
          </w:p>
          <w:p w14:paraId="0561A8AA">
            <w:pPr>
              <w:spacing w:line="400" w:lineRule="exact"/>
              <w:jc w:val="left"/>
              <w:rPr>
                <w:sz w:val="24"/>
              </w:rPr>
            </w:pPr>
            <w:r>
              <w:rPr>
                <w:rFonts w:hint="eastAsia"/>
                <w:sz w:val="24"/>
              </w:rPr>
              <w:sym w:font="Wingdings 2" w:char="00A3"/>
            </w:r>
            <w:r>
              <w:rPr>
                <w:rFonts w:hint="eastAsia"/>
                <w:sz w:val="24"/>
              </w:rPr>
              <w:t>超五年重新审核项目</w:t>
            </w:r>
          </w:p>
          <w:p w14:paraId="0E902EB8">
            <w:pPr>
              <w:spacing w:line="400" w:lineRule="exact"/>
              <w:jc w:val="left"/>
              <w:rPr>
                <w:sz w:val="24"/>
              </w:rPr>
            </w:pPr>
            <w:r>
              <w:rPr>
                <w:rFonts w:hint="eastAsia"/>
                <w:sz w:val="24"/>
              </w:rPr>
              <w:sym w:font="Wingdings 2" w:char="00A3"/>
            </w:r>
            <w:r>
              <w:rPr>
                <w:rFonts w:hint="eastAsia"/>
                <w:sz w:val="24"/>
              </w:rPr>
              <w:t>重大变动重新报批项目</w:t>
            </w:r>
          </w:p>
        </w:tc>
      </w:tr>
      <w:tr w14:paraId="6747AD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090" w:type="dxa"/>
            <w:gridSpan w:val="2"/>
            <w:tcMar>
              <w:top w:w="16" w:type="dxa"/>
              <w:left w:w="16" w:type="dxa"/>
              <w:right w:w="16" w:type="dxa"/>
            </w:tcMar>
            <w:vAlign w:val="center"/>
          </w:tcPr>
          <w:p w14:paraId="2631A87F">
            <w:pPr>
              <w:adjustRightInd w:val="0"/>
              <w:snapToGrid w:val="0"/>
              <w:jc w:val="center"/>
              <w:rPr>
                <w:sz w:val="24"/>
              </w:rPr>
            </w:pPr>
            <w:r>
              <w:rPr>
                <w:rFonts w:hint="eastAsia"/>
                <w:sz w:val="24"/>
              </w:rPr>
              <w:t>项目审批（核准/备案）部门（选填）</w:t>
            </w:r>
          </w:p>
        </w:tc>
        <w:tc>
          <w:tcPr>
            <w:tcW w:w="1979" w:type="dxa"/>
            <w:vAlign w:val="center"/>
          </w:tcPr>
          <w:p w14:paraId="5A19E421">
            <w:pPr>
              <w:adjustRightInd w:val="0"/>
              <w:snapToGrid w:val="0"/>
              <w:spacing w:line="400" w:lineRule="exact"/>
              <w:jc w:val="center"/>
              <w:rPr>
                <w:sz w:val="24"/>
              </w:rPr>
            </w:pPr>
            <w:r>
              <w:rPr>
                <w:rFonts w:hint="eastAsia"/>
                <w:sz w:val="24"/>
              </w:rPr>
              <w:t>大英县水利局</w:t>
            </w:r>
          </w:p>
        </w:tc>
        <w:tc>
          <w:tcPr>
            <w:tcW w:w="1807" w:type="dxa"/>
            <w:vAlign w:val="center"/>
          </w:tcPr>
          <w:p w14:paraId="2E51B795">
            <w:pPr>
              <w:adjustRightInd w:val="0"/>
              <w:snapToGrid w:val="0"/>
              <w:jc w:val="center"/>
              <w:rPr>
                <w:sz w:val="24"/>
              </w:rPr>
            </w:pPr>
            <w:r>
              <w:rPr>
                <w:rFonts w:hint="eastAsia"/>
                <w:sz w:val="24"/>
              </w:rPr>
              <w:t>项目审批（核准/备案）文号（选填）</w:t>
            </w:r>
          </w:p>
        </w:tc>
        <w:tc>
          <w:tcPr>
            <w:tcW w:w="3009" w:type="dxa"/>
            <w:vAlign w:val="center"/>
          </w:tcPr>
          <w:p w14:paraId="0FFC90B2">
            <w:pPr>
              <w:widowControl/>
              <w:spacing w:line="400" w:lineRule="exact"/>
              <w:jc w:val="center"/>
              <w:rPr>
                <w:sz w:val="24"/>
              </w:rPr>
            </w:pPr>
            <w:r>
              <w:rPr>
                <w:rFonts w:hint="eastAsia"/>
                <w:sz w:val="24"/>
              </w:rPr>
              <w:t>大水函〔2025〕130号</w:t>
            </w:r>
          </w:p>
        </w:tc>
      </w:tr>
      <w:tr w14:paraId="275DD6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090" w:type="dxa"/>
            <w:gridSpan w:val="2"/>
            <w:tcMar>
              <w:top w:w="16" w:type="dxa"/>
              <w:left w:w="16" w:type="dxa"/>
              <w:right w:w="16" w:type="dxa"/>
            </w:tcMar>
            <w:vAlign w:val="center"/>
          </w:tcPr>
          <w:p w14:paraId="43DE4B05">
            <w:pPr>
              <w:adjustRightInd w:val="0"/>
              <w:snapToGrid w:val="0"/>
              <w:jc w:val="center"/>
              <w:rPr>
                <w:sz w:val="24"/>
              </w:rPr>
            </w:pPr>
            <w:r>
              <w:rPr>
                <w:rFonts w:hint="eastAsia"/>
                <w:sz w:val="24"/>
              </w:rPr>
              <w:t>总投资（万元）</w:t>
            </w:r>
          </w:p>
        </w:tc>
        <w:tc>
          <w:tcPr>
            <w:tcW w:w="1979" w:type="dxa"/>
            <w:vAlign w:val="center"/>
          </w:tcPr>
          <w:p w14:paraId="41F0C6BF">
            <w:pPr>
              <w:adjustRightInd w:val="0"/>
              <w:snapToGrid w:val="0"/>
              <w:spacing w:line="400" w:lineRule="exact"/>
              <w:jc w:val="center"/>
              <w:rPr>
                <w:sz w:val="24"/>
              </w:rPr>
            </w:pPr>
            <w:r>
              <w:rPr>
                <w:rFonts w:hint="eastAsia"/>
                <w:sz w:val="24"/>
              </w:rPr>
              <w:t>1001.44</w:t>
            </w:r>
          </w:p>
        </w:tc>
        <w:tc>
          <w:tcPr>
            <w:tcW w:w="1807" w:type="dxa"/>
            <w:tcMar>
              <w:top w:w="16" w:type="dxa"/>
              <w:left w:w="16" w:type="dxa"/>
              <w:right w:w="16" w:type="dxa"/>
            </w:tcMar>
            <w:vAlign w:val="center"/>
          </w:tcPr>
          <w:p w14:paraId="4D05759D">
            <w:pPr>
              <w:adjustRightInd w:val="0"/>
              <w:snapToGrid w:val="0"/>
              <w:jc w:val="center"/>
              <w:rPr>
                <w:sz w:val="24"/>
              </w:rPr>
            </w:pPr>
            <w:r>
              <w:rPr>
                <w:rFonts w:hint="eastAsia"/>
                <w:sz w:val="24"/>
              </w:rPr>
              <w:t>环保投资（万元）</w:t>
            </w:r>
          </w:p>
        </w:tc>
        <w:tc>
          <w:tcPr>
            <w:tcW w:w="3009" w:type="dxa"/>
            <w:vAlign w:val="center"/>
          </w:tcPr>
          <w:p w14:paraId="657DD4E9">
            <w:pPr>
              <w:adjustRightInd w:val="0"/>
              <w:snapToGrid w:val="0"/>
              <w:spacing w:line="400" w:lineRule="exact"/>
              <w:jc w:val="center"/>
              <w:rPr>
                <w:sz w:val="24"/>
              </w:rPr>
            </w:pPr>
            <w:r>
              <w:rPr>
                <w:rFonts w:hint="eastAsia"/>
                <w:sz w:val="24"/>
              </w:rPr>
              <w:t>23.12</w:t>
            </w:r>
          </w:p>
        </w:tc>
      </w:tr>
      <w:tr w14:paraId="08FE3C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090" w:type="dxa"/>
            <w:gridSpan w:val="2"/>
            <w:tcMar>
              <w:top w:w="16" w:type="dxa"/>
              <w:left w:w="16" w:type="dxa"/>
              <w:right w:w="16" w:type="dxa"/>
            </w:tcMar>
            <w:vAlign w:val="center"/>
          </w:tcPr>
          <w:p w14:paraId="55F7B6AA">
            <w:pPr>
              <w:adjustRightInd w:val="0"/>
              <w:snapToGrid w:val="0"/>
              <w:jc w:val="center"/>
              <w:rPr>
                <w:sz w:val="24"/>
              </w:rPr>
            </w:pPr>
            <w:r>
              <w:rPr>
                <w:rFonts w:hint="eastAsia"/>
                <w:sz w:val="24"/>
              </w:rPr>
              <w:t>环保投资占比（%）</w:t>
            </w:r>
          </w:p>
        </w:tc>
        <w:tc>
          <w:tcPr>
            <w:tcW w:w="1979" w:type="dxa"/>
            <w:vAlign w:val="center"/>
          </w:tcPr>
          <w:p w14:paraId="1B2771E6">
            <w:pPr>
              <w:adjustRightInd w:val="0"/>
              <w:snapToGrid w:val="0"/>
              <w:spacing w:line="400" w:lineRule="exact"/>
              <w:jc w:val="center"/>
              <w:rPr>
                <w:sz w:val="24"/>
              </w:rPr>
            </w:pPr>
            <w:r>
              <w:rPr>
                <w:rFonts w:hint="eastAsia"/>
                <w:sz w:val="24"/>
              </w:rPr>
              <w:t>2.31</w:t>
            </w:r>
          </w:p>
        </w:tc>
        <w:tc>
          <w:tcPr>
            <w:tcW w:w="1807" w:type="dxa"/>
            <w:tcMar>
              <w:top w:w="16" w:type="dxa"/>
              <w:left w:w="16" w:type="dxa"/>
              <w:right w:w="16" w:type="dxa"/>
            </w:tcMar>
            <w:vAlign w:val="center"/>
          </w:tcPr>
          <w:p w14:paraId="53494BBC">
            <w:pPr>
              <w:adjustRightInd w:val="0"/>
              <w:snapToGrid w:val="0"/>
              <w:jc w:val="center"/>
              <w:rPr>
                <w:sz w:val="24"/>
              </w:rPr>
            </w:pPr>
            <w:r>
              <w:rPr>
                <w:rFonts w:hint="eastAsia"/>
                <w:sz w:val="24"/>
              </w:rPr>
              <w:t>施工工期</w:t>
            </w:r>
          </w:p>
        </w:tc>
        <w:tc>
          <w:tcPr>
            <w:tcW w:w="3009" w:type="dxa"/>
            <w:vAlign w:val="center"/>
          </w:tcPr>
          <w:p w14:paraId="3DEB5A91">
            <w:pPr>
              <w:adjustRightInd w:val="0"/>
              <w:snapToGrid w:val="0"/>
              <w:spacing w:line="400" w:lineRule="exact"/>
              <w:jc w:val="center"/>
              <w:rPr>
                <w:sz w:val="24"/>
              </w:rPr>
            </w:pPr>
            <w:r>
              <w:rPr>
                <w:rFonts w:hint="eastAsia"/>
                <w:sz w:val="24"/>
              </w:rPr>
              <w:t>7个月</w:t>
            </w:r>
          </w:p>
        </w:tc>
      </w:tr>
      <w:tr w14:paraId="39F969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090" w:type="dxa"/>
            <w:gridSpan w:val="2"/>
            <w:tcMar>
              <w:top w:w="16" w:type="dxa"/>
              <w:left w:w="16" w:type="dxa"/>
              <w:right w:w="16" w:type="dxa"/>
            </w:tcMar>
            <w:vAlign w:val="center"/>
          </w:tcPr>
          <w:p w14:paraId="1C5FF916">
            <w:pPr>
              <w:adjustRightInd w:val="0"/>
              <w:snapToGrid w:val="0"/>
              <w:jc w:val="center"/>
              <w:rPr>
                <w:sz w:val="24"/>
              </w:rPr>
            </w:pPr>
            <w:r>
              <w:rPr>
                <w:rFonts w:hint="eastAsia"/>
                <w:sz w:val="24"/>
              </w:rPr>
              <w:t>是否开工建设</w:t>
            </w:r>
          </w:p>
        </w:tc>
        <w:tc>
          <w:tcPr>
            <w:tcW w:w="6795" w:type="dxa"/>
            <w:gridSpan w:val="3"/>
            <w:vAlign w:val="center"/>
          </w:tcPr>
          <w:p w14:paraId="28E38747">
            <w:pPr>
              <w:adjustRightInd w:val="0"/>
              <w:snapToGrid w:val="0"/>
              <w:spacing w:line="400" w:lineRule="exact"/>
              <w:rPr>
                <w:sz w:val="24"/>
              </w:rPr>
            </w:pPr>
            <w:r>
              <w:rPr>
                <w:rFonts w:hint="eastAsia"/>
                <w:sz w:val="24"/>
              </w:rPr>
              <w:sym w:font="Wingdings 2" w:char="0052"/>
            </w:r>
            <w:r>
              <w:rPr>
                <w:rFonts w:hint="eastAsia"/>
                <w:sz w:val="24"/>
              </w:rPr>
              <w:t>否</w:t>
            </w:r>
          </w:p>
          <w:p w14:paraId="3BC970CE">
            <w:pPr>
              <w:adjustRightInd w:val="0"/>
              <w:snapToGrid w:val="0"/>
              <w:spacing w:line="400" w:lineRule="exact"/>
              <w:rPr>
                <w:sz w:val="24"/>
              </w:rPr>
            </w:pPr>
            <w:r>
              <w:rPr>
                <w:rFonts w:hint="eastAsia"/>
                <w:sz w:val="24"/>
              </w:rPr>
              <w:sym w:font="Wingdings 2" w:char="00A3"/>
            </w:r>
            <w:r>
              <w:rPr>
                <w:rFonts w:hint="eastAsia"/>
                <w:sz w:val="24"/>
              </w:rPr>
              <w:t>是：</w:t>
            </w:r>
            <w:r>
              <w:rPr>
                <w:rFonts w:hint="eastAsia"/>
                <w:sz w:val="24"/>
                <w:u w:val="single"/>
              </w:rPr>
              <w:t xml:space="preserve">                                  </w:t>
            </w:r>
          </w:p>
        </w:tc>
      </w:tr>
      <w:tr w14:paraId="607B83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dxa"/>
            <w:vAlign w:val="center"/>
          </w:tcPr>
          <w:p w14:paraId="3056E4D7">
            <w:pPr>
              <w:autoSpaceDE w:val="0"/>
              <w:autoSpaceDN w:val="0"/>
              <w:adjustRightInd w:val="0"/>
              <w:snapToGrid w:val="0"/>
              <w:jc w:val="center"/>
              <w:rPr>
                <w:kern w:val="0"/>
                <w:sz w:val="24"/>
              </w:rPr>
            </w:pPr>
            <w:r>
              <w:rPr>
                <w:rFonts w:hint="eastAsia"/>
                <w:kern w:val="0"/>
                <w:sz w:val="24"/>
              </w:rPr>
              <w:t>专项评价设置情况</w:t>
            </w:r>
          </w:p>
        </w:tc>
        <w:tc>
          <w:tcPr>
            <w:tcW w:w="8200" w:type="dxa"/>
            <w:gridSpan w:val="4"/>
            <w:vAlign w:val="center"/>
          </w:tcPr>
          <w:p w14:paraId="1095D64A">
            <w:pPr>
              <w:pStyle w:val="36"/>
              <w:ind w:firstLine="480"/>
              <w:rPr>
                <w:rFonts w:hint="default"/>
              </w:rPr>
            </w:pPr>
            <w:r>
              <w:t>根据《建设项目环境影响报告表编制技术指南（生态影响类）（试行）》，本项目无需设置生态专项评价，分析如下表。</w:t>
            </w:r>
          </w:p>
          <w:p w14:paraId="5F4A819D">
            <w:pPr>
              <w:pStyle w:val="37"/>
              <w:spacing w:before="156"/>
              <w:rPr>
                <w:rFonts w:hint="default"/>
              </w:rPr>
            </w:pPr>
            <w:r>
              <w:t>项目专项评价设置情况分析一览表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9"/>
              <w:gridCol w:w="3180"/>
              <w:gridCol w:w="2525"/>
              <w:gridCol w:w="1061"/>
            </w:tblGrid>
            <w:tr w14:paraId="6819F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3" w:type="pct"/>
                  <w:vAlign w:val="center"/>
                </w:tcPr>
                <w:p w14:paraId="485B4EBC">
                  <w:pPr>
                    <w:pStyle w:val="38"/>
                    <w:rPr>
                      <w:rFonts w:hint="default"/>
                      <w:b/>
                      <w:bCs/>
                    </w:rPr>
                  </w:pPr>
                  <w:r>
                    <w:rPr>
                      <w:b/>
                      <w:bCs/>
                    </w:rPr>
                    <w:t>专项评价的类别</w:t>
                  </w:r>
                </w:p>
              </w:tc>
              <w:tc>
                <w:tcPr>
                  <w:tcW w:w="1996" w:type="pct"/>
                  <w:vAlign w:val="center"/>
                </w:tcPr>
                <w:p w14:paraId="71E84EF2">
                  <w:pPr>
                    <w:pStyle w:val="38"/>
                    <w:rPr>
                      <w:rFonts w:hint="default"/>
                      <w:b/>
                      <w:bCs/>
                    </w:rPr>
                  </w:pPr>
                  <w:r>
                    <w:rPr>
                      <w:b/>
                      <w:bCs/>
                    </w:rPr>
                    <w:t>设置原则</w:t>
                  </w:r>
                </w:p>
              </w:tc>
              <w:tc>
                <w:tcPr>
                  <w:tcW w:w="1585" w:type="pct"/>
                  <w:vAlign w:val="center"/>
                </w:tcPr>
                <w:p w14:paraId="78299325">
                  <w:pPr>
                    <w:pStyle w:val="38"/>
                    <w:rPr>
                      <w:rFonts w:hint="default"/>
                      <w:b/>
                      <w:bCs/>
                    </w:rPr>
                  </w:pPr>
                  <w:r>
                    <w:rPr>
                      <w:b/>
                      <w:bCs/>
                    </w:rPr>
                    <w:t>本项目</w:t>
                  </w:r>
                </w:p>
              </w:tc>
              <w:tc>
                <w:tcPr>
                  <w:tcW w:w="664" w:type="pct"/>
                  <w:vAlign w:val="center"/>
                </w:tcPr>
                <w:p w14:paraId="6DFEEEBF">
                  <w:pPr>
                    <w:pStyle w:val="38"/>
                    <w:rPr>
                      <w:rFonts w:hint="default"/>
                      <w:b/>
                      <w:bCs/>
                    </w:rPr>
                  </w:pPr>
                  <w:r>
                    <w:rPr>
                      <w:b/>
                      <w:bCs/>
                    </w:rPr>
                    <w:t>是否设置专项</w:t>
                  </w:r>
                </w:p>
              </w:tc>
            </w:tr>
            <w:tr w14:paraId="44F37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3" w:type="pct"/>
                  <w:vAlign w:val="center"/>
                </w:tcPr>
                <w:p w14:paraId="47F53F0E">
                  <w:pPr>
                    <w:adjustRightInd w:val="0"/>
                    <w:snapToGrid w:val="0"/>
                    <w:jc w:val="center"/>
                  </w:pPr>
                  <w:r>
                    <w:rPr>
                      <w:rFonts w:hint="eastAsia"/>
                      <w:bCs/>
                      <w:kern w:val="0"/>
                      <w:szCs w:val="21"/>
                    </w:rPr>
                    <w:t>地表水</w:t>
                  </w:r>
                </w:p>
              </w:tc>
              <w:tc>
                <w:tcPr>
                  <w:tcW w:w="1996" w:type="pct"/>
                  <w:vAlign w:val="center"/>
                </w:tcPr>
                <w:p w14:paraId="2680E00B">
                  <w:pPr>
                    <w:adjustRightInd w:val="0"/>
                    <w:snapToGrid w:val="0"/>
                    <w:jc w:val="left"/>
                    <w:rPr>
                      <w:bCs/>
                      <w:kern w:val="0"/>
                      <w:szCs w:val="21"/>
                      <w:lang w:val="zh-CN"/>
                    </w:rPr>
                  </w:pPr>
                  <w:r>
                    <w:rPr>
                      <w:rFonts w:hint="eastAsia"/>
                      <w:bCs/>
                      <w:kern w:val="0"/>
                      <w:szCs w:val="21"/>
                      <w:lang w:val="zh-CN"/>
                    </w:rPr>
                    <w:t>水力发电：引水式发电、涉及调峰发电的项目；</w:t>
                  </w:r>
                </w:p>
                <w:p w14:paraId="391FC550">
                  <w:pPr>
                    <w:adjustRightInd w:val="0"/>
                    <w:snapToGrid w:val="0"/>
                    <w:jc w:val="left"/>
                    <w:rPr>
                      <w:bCs/>
                      <w:kern w:val="0"/>
                      <w:szCs w:val="21"/>
                      <w:lang w:val="zh-CN"/>
                    </w:rPr>
                  </w:pPr>
                  <w:r>
                    <w:rPr>
                      <w:rFonts w:hint="eastAsia"/>
                      <w:bCs/>
                      <w:kern w:val="0"/>
                      <w:szCs w:val="21"/>
                      <w:lang w:val="zh-CN"/>
                    </w:rPr>
                    <w:t>人工湖、人工湿地：全部；</w:t>
                  </w:r>
                </w:p>
                <w:p w14:paraId="12E15433">
                  <w:pPr>
                    <w:adjustRightInd w:val="0"/>
                    <w:snapToGrid w:val="0"/>
                    <w:jc w:val="left"/>
                    <w:rPr>
                      <w:bCs/>
                      <w:kern w:val="0"/>
                      <w:szCs w:val="21"/>
                      <w:lang w:val="zh-CN"/>
                    </w:rPr>
                  </w:pPr>
                  <w:r>
                    <w:rPr>
                      <w:rFonts w:hint="eastAsia"/>
                      <w:bCs/>
                      <w:kern w:val="0"/>
                      <w:szCs w:val="21"/>
                      <w:lang w:val="zh-CN"/>
                    </w:rPr>
                    <w:t>水库：全部；</w:t>
                  </w:r>
                </w:p>
                <w:p w14:paraId="6967DC9A">
                  <w:pPr>
                    <w:adjustRightInd w:val="0"/>
                    <w:snapToGrid w:val="0"/>
                    <w:jc w:val="left"/>
                    <w:rPr>
                      <w:bCs/>
                      <w:kern w:val="0"/>
                      <w:szCs w:val="21"/>
                      <w:lang w:val="zh-CN"/>
                    </w:rPr>
                  </w:pPr>
                  <w:r>
                    <w:rPr>
                      <w:rFonts w:hint="eastAsia"/>
                      <w:bCs/>
                      <w:kern w:val="0"/>
                      <w:szCs w:val="21"/>
                      <w:lang w:val="zh-CN"/>
                    </w:rPr>
                    <w:t>引水工程：全部（配套的管线工程等除外）；</w:t>
                  </w:r>
                </w:p>
                <w:p w14:paraId="5086E300">
                  <w:pPr>
                    <w:adjustRightInd w:val="0"/>
                    <w:snapToGrid w:val="0"/>
                    <w:jc w:val="left"/>
                    <w:rPr>
                      <w:bCs/>
                      <w:kern w:val="0"/>
                      <w:szCs w:val="21"/>
                      <w:lang w:val="zh-CN"/>
                    </w:rPr>
                  </w:pPr>
                  <w:r>
                    <w:rPr>
                      <w:rFonts w:hint="eastAsia"/>
                      <w:bCs/>
                      <w:kern w:val="0"/>
                      <w:szCs w:val="21"/>
                      <w:lang w:val="zh-CN"/>
                    </w:rPr>
                    <w:t>防洪除涝工程：包含水库的项目；</w:t>
                  </w:r>
                </w:p>
                <w:p w14:paraId="61BF55C8">
                  <w:pPr>
                    <w:adjustRightInd w:val="0"/>
                    <w:snapToGrid w:val="0"/>
                    <w:jc w:val="left"/>
                  </w:pPr>
                  <w:r>
                    <w:rPr>
                      <w:rFonts w:hint="eastAsia"/>
                      <w:bCs/>
                      <w:kern w:val="0"/>
                      <w:szCs w:val="21"/>
                      <w:lang w:val="zh-CN"/>
                    </w:rPr>
                    <w:t>河湖整治：涉及清淤且底泥存在重金属污染的项目。</w:t>
                  </w:r>
                </w:p>
              </w:tc>
              <w:tc>
                <w:tcPr>
                  <w:tcW w:w="1585" w:type="pct"/>
                  <w:vAlign w:val="center"/>
                </w:tcPr>
                <w:p w14:paraId="044AD13F">
                  <w:pPr>
                    <w:pStyle w:val="38"/>
                    <w:rPr>
                      <w:rFonts w:hint="default"/>
                    </w:rPr>
                  </w:pPr>
                  <w:r>
                    <w:t>本项目为河湖整治工程，涉及清淤工程，根据对现有河道底泥监测结果可知，各项监测指标均满足《土壤环境质量农用地土壤污染风险管控标准》(GB15618-2018)标准，故本项目非底泥存在重金属污染的项目。</w:t>
                  </w:r>
                </w:p>
              </w:tc>
              <w:tc>
                <w:tcPr>
                  <w:tcW w:w="664" w:type="pct"/>
                  <w:vAlign w:val="center"/>
                </w:tcPr>
                <w:p w14:paraId="454A0D77">
                  <w:pPr>
                    <w:pStyle w:val="38"/>
                    <w:rPr>
                      <w:rFonts w:hint="default"/>
                    </w:rPr>
                  </w:pPr>
                  <w:r>
                    <w:t>否</w:t>
                  </w:r>
                </w:p>
              </w:tc>
            </w:tr>
            <w:tr w14:paraId="59BC7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pct"/>
                  <w:vAlign w:val="center"/>
                </w:tcPr>
                <w:p w14:paraId="4AE35594">
                  <w:pPr>
                    <w:adjustRightInd w:val="0"/>
                    <w:snapToGrid w:val="0"/>
                    <w:jc w:val="center"/>
                  </w:pPr>
                  <w:r>
                    <w:rPr>
                      <w:rFonts w:hint="eastAsia"/>
                      <w:bCs/>
                      <w:kern w:val="0"/>
                      <w:szCs w:val="21"/>
                    </w:rPr>
                    <w:t>地下水</w:t>
                  </w:r>
                </w:p>
              </w:tc>
              <w:tc>
                <w:tcPr>
                  <w:tcW w:w="1996" w:type="pct"/>
                  <w:vAlign w:val="center"/>
                </w:tcPr>
                <w:p w14:paraId="0E56EFE0">
                  <w:pPr>
                    <w:adjustRightInd w:val="0"/>
                    <w:snapToGrid w:val="0"/>
                    <w:jc w:val="left"/>
                    <w:rPr>
                      <w:bCs/>
                      <w:kern w:val="0"/>
                      <w:szCs w:val="21"/>
                      <w:lang w:val="zh-CN"/>
                    </w:rPr>
                  </w:pPr>
                  <w:r>
                    <w:rPr>
                      <w:rFonts w:hint="eastAsia"/>
                      <w:bCs/>
                      <w:kern w:val="0"/>
                      <w:szCs w:val="21"/>
                      <w:lang w:val="zh-CN"/>
                    </w:rPr>
                    <w:t>陆地石油和天然气开采：全部；</w:t>
                  </w:r>
                </w:p>
                <w:p w14:paraId="383D2770">
                  <w:pPr>
                    <w:adjustRightInd w:val="0"/>
                    <w:snapToGrid w:val="0"/>
                    <w:jc w:val="left"/>
                    <w:rPr>
                      <w:bCs/>
                      <w:kern w:val="0"/>
                      <w:szCs w:val="21"/>
                      <w:lang w:val="zh-CN"/>
                    </w:rPr>
                  </w:pPr>
                  <w:r>
                    <w:rPr>
                      <w:rFonts w:hint="eastAsia"/>
                      <w:bCs/>
                      <w:kern w:val="0"/>
                      <w:szCs w:val="21"/>
                      <w:lang w:val="zh-CN"/>
                    </w:rPr>
                    <w:t>地下水（含矿泉水）开采：全部；</w:t>
                  </w:r>
                </w:p>
                <w:p w14:paraId="1D1EBCF8">
                  <w:pPr>
                    <w:adjustRightInd w:val="0"/>
                    <w:snapToGrid w:val="0"/>
                    <w:jc w:val="left"/>
                  </w:pPr>
                  <w:r>
                    <w:rPr>
                      <w:rFonts w:hint="eastAsia"/>
                      <w:bCs/>
                      <w:kern w:val="0"/>
                      <w:szCs w:val="21"/>
                      <w:lang w:val="zh-CN"/>
                    </w:rPr>
                    <w:t>水利、水电、交通等：含穿越可溶岩地层隧道的项目。</w:t>
                  </w:r>
                </w:p>
              </w:tc>
              <w:tc>
                <w:tcPr>
                  <w:tcW w:w="1585" w:type="pct"/>
                  <w:vAlign w:val="center"/>
                </w:tcPr>
                <w:p w14:paraId="3F44424C">
                  <w:pPr>
                    <w:pStyle w:val="38"/>
                    <w:rPr>
                      <w:rFonts w:hint="default"/>
                    </w:rPr>
                  </w:pPr>
                  <w:r>
                    <w:t>不涉及</w:t>
                  </w:r>
                </w:p>
              </w:tc>
              <w:tc>
                <w:tcPr>
                  <w:tcW w:w="664" w:type="pct"/>
                  <w:vAlign w:val="center"/>
                </w:tcPr>
                <w:p w14:paraId="38B02D09">
                  <w:pPr>
                    <w:pStyle w:val="38"/>
                    <w:rPr>
                      <w:rFonts w:hint="default"/>
                    </w:rPr>
                  </w:pPr>
                  <w:r>
                    <w:t>否</w:t>
                  </w:r>
                </w:p>
              </w:tc>
            </w:tr>
            <w:tr w14:paraId="00908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pct"/>
                  <w:vAlign w:val="center"/>
                </w:tcPr>
                <w:p w14:paraId="2EB17E5E">
                  <w:pPr>
                    <w:adjustRightInd w:val="0"/>
                    <w:snapToGrid w:val="0"/>
                    <w:jc w:val="center"/>
                  </w:pPr>
                  <w:r>
                    <w:rPr>
                      <w:rFonts w:hint="eastAsia"/>
                      <w:bCs/>
                      <w:kern w:val="0"/>
                      <w:szCs w:val="21"/>
                    </w:rPr>
                    <w:t>生态</w:t>
                  </w:r>
                </w:p>
              </w:tc>
              <w:tc>
                <w:tcPr>
                  <w:tcW w:w="1996" w:type="pct"/>
                  <w:vAlign w:val="center"/>
                </w:tcPr>
                <w:p w14:paraId="6A499CA9">
                  <w:pPr>
                    <w:adjustRightInd w:val="0"/>
                    <w:snapToGrid w:val="0"/>
                    <w:jc w:val="left"/>
                  </w:pPr>
                  <w:r>
                    <w:rPr>
                      <w:rFonts w:hint="eastAsia"/>
                      <w:bCs/>
                      <w:kern w:val="0"/>
                      <w:szCs w:val="21"/>
                      <w:lang w:val="zh-CN"/>
                    </w:rPr>
                    <w:t>涉及环境敏感区（不包括饮用水水源保护区，以居住、医疗卫生、文化教育、科研、行政办公为主要功能的区域，以及文物保护单位）的项目。</w:t>
                  </w:r>
                </w:p>
              </w:tc>
              <w:tc>
                <w:tcPr>
                  <w:tcW w:w="1585" w:type="pct"/>
                  <w:vAlign w:val="center"/>
                </w:tcPr>
                <w:p w14:paraId="250BE84C">
                  <w:pPr>
                    <w:pStyle w:val="38"/>
                    <w:rPr>
                      <w:rFonts w:hint="default"/>
                    </w:rPr>
                  </w:pPr>
                  <w:r>
                    <w:t>不涉及</w:t>
                  </w:r>
                </w:p>
              </w:tc>
              <w:tc>
                <w:tcPr>
                  <w:tcW w:w="664" w:type="pct"/>
                  <w:vAlign w:val="center"/>
                </w:tcPr>
                <w:p w14:paraId="54DB6A79">
                  <w:pPr>
                    <w:pStyle w:val="38"/>
                    <w:rPr>
                      <w:rFonts w:hint="default"/>
                    </w:rPr>
                  </w:pPr>
                  <w:r>
                    <w:t>否</w:t>
                  </w:r>
                </w:p>
              </w:tc>
            </w:tr>
            <w:tr w14:paraId="1D315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pct"/>
                  <w:vAlign w:val="center"/>
                </w:tcPr>
                <w:p w14:paraId="447E5287">
                  <w:pPr>
                    <w:adjustRightInd w:val="0"/>
                    <w:snapToGrid w:val="0"/>
                    <w:jc w:val="center"/>
                  </w:pPr>
                  <w:r>
                    <w:rPr>
                      <w:rFonts w:hint="eastAsia"/>
                      <w:bCs/>
                      <w:kern w:val="0"/>
                      <w:szCs w:val="21"/>
                    </w:rPr>
                    <w:t>大气</w:t>
                  </w:r>
                </w:p>
              </w:tc>
              <w:tc>
                <w:tcPr>
                  <w:tcW w:w="1996" w:type="pct"/>
                  <w:vAlign w:val="center"/>
                </w:tcPr>
                <w:p w14:paraId="3D30E5DA">
                  <w:pPr>
                    <w:adjustRightInd w:val="0"/>
                    <w:snapToGrid w:val="0"/>
                    <w:jc w:val="left"/>
                    <w:rPr>
                      <w:bCs/>
                      <w:kern w:val="0"/>
                      <w:szCs w:val="21"/>
                      <w:lang w:val="zh-CN"/>
                    </w:rPr>
                  </w:pPr>
                  <w:r>
                    <w:rPr>
                      <w:rFonts w:hint="eastAsia"/>
                      <w:bCs/>
                      <w:kern w:val="0"/>
                      <w:szCs w:val="21"/>
                      <w:lang w:val="zh-CN"/>
                    </w:rPr>
                    <w:t>油气、液体化工码头：全部；</w:t>
                  </w:r>
                </w:p>
                <w:p w14:paraId="17EEB537">
                  <w:pPr>
                    <w:adjustRightInd w:val="0"/>
                    <w:snapToGrid w:val="0"/>
                    <w:jc w:val="left"/>
                  </w:pPr>
                  <w:r>
                    <w:rPr>
                      <w:rFonts w:hint="eastAsia"/>
                      <w:bCs/>
                      <w:kern w:val="0"/>
                      <w:szCs w:val="21"/>
                      <w:lang w:val="zh-CN"/>
                    </w:rPr>
                    <w:t>干散货（含煤炭、矿石）、件杂、多用途、通用码头：涉及粉尘、挥发性有机物排放的项目。</w:t>
                  </w:r>
                </w:p>
              </w:tc>
              <w:tc>
                <w:tcPr>
                  <w:tcW w:w="1585" w:type="pct"/>
                  <w:vAlign w:val="center"/>
                </w:tcPr>
                <w:p w14:paraId="3BAAAA5D">
                  <w:pPr>
                    <w:pStyle w:val="38"/>
                    <w:rPr>
                      <w:rFonts w:hint="default"/>
                    </w:rPr>
                  </w:pPr>
                  <w:r>
                    <w:t>不涉及</w:t>
                  </w:r>
                </w:p>
              </w:tc>
              <w:tc>
                <w:tcPr>
                  <w:tcW w:w="664" w:type="pct"/>
                  <w:vAlign w:val="center"/>
                </w:tcPr>
                <w:p w14:paraId="1D569225">
                  <w:pPr>
                    <w:pStyle w:val="38"/>
                    <w:rPr>
                      <w:rFonts w:hint="default"/>
                    </w:rPr>
                  </w:pPr>
                  <w:r>
                    <w:t>否</w:t>
                  </w:r>
                </w:p>
              </w:tc>
            </w:tr>
            <w:tr w14:paraId="6976A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pct"/>
                  <w:vAlign w:val="center"/>
                </w:tcPr>
                <w:p w14:paraId="0A2B49FD">
                  <w:pPr>
                    <w:adjustRightInd w:val="0"/>
                    <w:snapToGrid w:val="0"/>
                    <w:jc w:val="center"/>
                  </w:pPr>
                  <w:r>
                    <w:rPr>
                      <w:rFonts w:hint="eastAsia"/>
                      <w:bCs/>
                      <w:kern w:val="0"/>
                      <w:szCs w:val="21"/>
                    </w:rPr>
                    <w:t>噪声</w:t>
                  </w:r>
                </w:p>
              </w:tc>
              <w:tc>
                <w:tcPr>
                  <w:tcW w:w="1996" w:type="pct"/>
                  <w:vAlign w:val="center"/>
                </w:tcPr>
                <w:p w14:paraId="39C2375E">
                  <w:pPr>
                    <w:adjustRightInd w:val="0"/>
                    <w:snapToGrid w:val="0"/>
                    <w:jc w:val="left"/>
                    <w:rPr>
                      <w:bCs/>
                      <w:kern w:val="0"/>
                      <w:szCs w:val="21"/>
                      <w:lang w:val="zh-CN"/>
                    </w:rPr>
                  </w:pPr>
                  <w:r>
                    <w:rPr>
                      <w:rFonts w:hint="eastAsia"/>
                      <w:bCs/>
                      <w:kern w:val="0"/>
                      <w:szCs w:val="21"/>
                      <w:lang w:val="zh-CN"/>
                    </w:rPr>
                    <w:t>公路、铁路、机场等交通运输业涉及环境敏感区（以居住、医疗卫生、文化教育、科研、行政办公为主要功能的区域）的项目；</w:t>
                  </w:r>
                </w:p>
                <w:p w14:paraId="6AD2DD6C">
                  <w:pPr>
                    <w:adjustRightInd w:val="0"/>
                    <w:snapToGrid w:val="0"/>
                    <w:jc w:val="left"/>
                  </w:pPr>
                  <w:r>
                    <w:rPr>
                      <w:rFonts w:hint="eastAsia"/>
                      <w:bCs/>
                      <w:kern w:val="0"/>
                      <w:szCs w:val="21"/>
                      <w:lang w:val="zh-CN"/>
                    </w:rPr>
                    <w:t>城市道路（不含维护，不含支路、人行天桥、人行地道）：全部。</w:t>
                  </w:r>
                </w:p>
              </w:tc>
              <w:tc>
                <w:tcPr>
                  <w:tcW w:w="1585" w:type="pct"/>
                  <w:vAlign w:val="center"/>
                </w:tcPr>
                <w:p w14:paraId="368574FE">
                  <w:pPr>
                    <w:pStyle w:val="38"/>
                    <w:rPr>
                      <w:rFonts w:hint="default"/>
                    </w:rPr>
                  </w:pPr>
                  <w:r>
                    <w:t>不涉及</w:t>
                  </w:r>
                </w:p>
              </w:tc>
              <w:tc>
                <w:tcPr>
                  <w:tcW w:w="664" w:type="pct"/>
                  <w:vAlign w:val="center"/>
                </w:tcPr>
                <w:p w14:paraId="38E5F862">
                  <w:pPr>
                    <w:pStyle w:val="38"/>
                    <w:rPr>
                      <w:rFonts w:hint="default"/>
                    </w:rPr>
                  </w:pPr>
                  <w:r>
                    <w:t>否</w:t>
                  </w:r>
                </w:p>
              </w:tc>
            </w:tr>
            <w:tr w14:paraId="27C71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pct"/>
                  <w:vAlign w:val="center"/>
                </w:tcPr>
                <w:p w14:paraId="07C0165B">
                  <w:pPr>
                    <w:adjustRightInd w:val="0"/>
                    <w:snapToGrid w:val="0"/>
                    <w:jc w:val="center"/>
                  </w:pPr>
                  <w:r>
                    <w:rPr>
                      <w:rFonts w:hint="eastAsia"/>
                      <w:bCs/>
                      <w:kern w:val="0"/>
                      <w:szCs w:val="21"/>
                    </w:rPr>
                    <w:t>环境风险</w:t>
                  </w:r>
                </w:p>
              </w:tc>
              <w:tc>
                <w:tcPr>
                  <w:tcW w:w="1996" w:type="pct"/>
                  <w:vAlign w:val="center"/>
                </w:tcPr>
                <w:p w14:paraId="6F264F5D">
                  <w:pPr>
                    <w:adjustRightInd w:val="0"/>
                    <w:snapToGrid w:val="0"/>
                    <w:jc w:val="left"/>
                    <w:rPr>
                      <w:bCs/>
                      <w:kern w:val="0"/>
                      <w:szCs w:val="21"/>
                      <w:lang w:val="zh-CN"/>
                    </w:rPr>
                  </w:pPr>
                  <w:r>
                    <w:rPr>
                      <w:rFonts w:hint="eastAsia"/>
                      <w:bCs/>
                      <w:kern w:val="0"/>
                      <w:szCs w:val="21"/>
                      <w:lang w:val="zh-CN"/>
                    </w:rPr>
                    <w:t>石油和天然气开采：全部；</w:t>
                  </w:r>
                </w:p>
                <w:p w14:paraId="2BBF865E">
                  <w:pPr>
                    <w:adjustRightInd w:val="0"/>
                    <w:snapToGrid w:val="0"/>
                    <w:jc w:val="left"/>
                    <w:rPr>
                      <w:bCs/>
                      <w:kern w:val="0"/>
                      <w:szCs w:val="21"/>
                      <w:lang w:val="zh-CN"/>
                    </w:rPr>
                  </w:pPr>
                  <w:r>
                    <w:rPr>
                      <w:rFonts w:hint="eastAsia"/>
                      <w:bCs/>
                      <w:kern w:val="0"/>
                      <w:szCs w:val="21"/>
                      <w:lang w:val="zh-CN"/>
                    </w:rPr>
                    <w:t>油气、液体化工码头：全部；</w:t>
                  </w:r>
                </w:p>
                <w:p w14:paraId="6D92870F">
                  <w:pPr>
                    <w:adjustRightInd w:val="0"/>
                    <w:snapToGrid w:val="0"/>
                    <w:jc w:val="left"/>
                  </w:pPr>
                  <w:r>
                    <w:rPr>
                      <w:rFonts w:hint="eastAsia"/>
                      <w:bCs/>
                      <w:kern w:val="0"/>
                      <w:szCs w:val="21"/>
                      <w:lang w:val="zh-CN"/>
                    </w:rPr>
                    <w:t>原油、成品油、天然气管线（不含城镇天然气管线、企业厂区内管线），危险化学品输送管线（不含企业厂区内管线）：全部。</w:t>
                  </w:r>
                </w:p>
              </w:tc>
              <w:tc>
                <w:tcPr>
                  <w:tcW w:w="1585" w:type="pct"/>
                  <w:vAlign w:val="center"/>
                </w:tcPr>
                <w:p w14:paraId="29542C28">
                  <w:pPr>
                    <w:pStyle w:val="38"/>
                    <w:rPr>
                      <w:rFonts w:hint="default"/>
                    </w:rPr>
                  </w:pPr>
                  <w:r>
                    <w:t>不涉及</w:t>
                  </w:r>
                </w:p>
              </w:tc>
              <w:tc>
                <w:tcPr>
                  <w:tcW w:w="664" w:type="pct"/>
                  <w:vAlign w:val="center"/>
                </w:tcPr>
                <w:p w14:paraId="1D2ECEFA">
                  <w:pPr>
                    <w:pStyle w:val="38"/>
                    <w:rPr>
                      <w:rFonts w:hint="default"/>
                    </w:rPr>
                  </w:pPr>
                  <w:r>
                    <w:t>否</w:t>
                  </w:r>
                </w:p>
              </w:tc>
            </w:tr>
            <w:tr w14:paraId="0ED80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vAlign w:val="center"/>
                </w:tcPr>
                <w:p w14:paraId="1C76A657">
                  <w:pPr>
                    <w:pStyle w:val="38"/>
                    <w:jc w:val="left"/>
                    <w:rPr>
                      <w:rFonts w:hint="default"/>
                    </w:rPr>
                  </w:pPr>
                  <w:r>
                    <w:rPr>
                      <w:bCs/>
                      <w:lang w:val="zh-CN"/>
                    </w:rPr>
                    <w:t>注：“涉及环境敏感区”是指建设项目位于、穿（跨）越（无害化通过的除外）环境敏感区，或环境影响范围涵盖环境敏感区。环境敏感区是指《建设项目环境影响评价分类管理名录》中针对该类项目所列的敏感区。</w:t>
                  </w:r>
                </w:p>
              </w:tc>
            </w:tr>
          </w:tbl>
          <w:p w14:paraId="112556B1">
            <w:pPr>
              <w:pStyle w:val="36"/>
              <w:ind w:firstLine="480"/>
              <w:rPr>
                <w:rFonts w:hint="default"/>
              </w:rPr>
            </w:pPr>
            <w:r>
              <w:t>综上，本项目不属于上述专项评价设置原则表中所需设置专项评价的类别，因此，本项目不需要设置专项评价。</w:t>
            </w:r>
          </w:p>
        </w:tc>
      </w:tr>
      <w:tr w14:paraId="0C0EC8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dxa"/>
            <w:vAlign w:val="center"/>
          </w:tcPr>
          <w:p w14:paraId="7D77EA66">
            <w:pPr>
              <w:autoSpaceDE w:val="0"/>
              <w:autoSpaceDN w:val="0"/>
              <w:adjustRightInd w:val="0"/>
              <w:snapToGrid w:val="0"/>
              <w:jc w:val="center"/>
              <w:rPr>
                <w:kern w:val="0"/>
                <w:sz w:val="24"/>
              </w:rPr>
            </w:pPr>
            <w:r>
              <w:rPr>
                <w:rFonts w:hint="eastAsia"/>
                <w:sz w:val="24"/>
              </w:rPr>
              <w:t>规划情况</w:t>
            </w:r>
          </w:p>
        </w:tc>
        <w:tc>
          <w:tcPr>
            <w:tcW w:w="8200" w:type="dxa"/>
            <w:gridSpan w:val="4"/>
            <w:vAlign w:val="center"/>
          </w:tcPr>
          <w:p w14:paraId="7C6847BB">
            <w:pPr>
              <w:widowControl/>
              <w:jc w:val="left"/>
              <w:rPr>
                <w:sz w:val="24"/>
              </w:rPr>
            </w:pPr>
            <w:r>
              <w:rPr>
                <w:rFonts w:hint="eastAsia"/>
                <w:color w:val="000000"/>
                <w:kern w:val="0"/>
                <w:sz w:val="24"/>
                <w:lang w:bidi="ar"/>
              </w:rPr>
              <w:t>规划名称：《四川省“十四五”生态环境保护规划》</w:t>
            </w:r>
          </w:p>
          <w:p w14:paraId="4794DABA">
            <w:pPr>
              <w:widowControl/>
              <w:spacing w:line="440" w:lineRule="exact"/>
              <w:jc w:val="left"/>
              <w:rPr>
                <w:color w:val="000000"/>
                <w:kern w:val="0"/>
                <w:sz w:val="24"/>
                <w:lang w:bidi="ar"/>
              </w:rPr>
            </w:pPr>
            <w:r>
              <w:rPr>
                <w:rFonts w:hint="eastAsia"/>
                <w:color w:val="000000"/>
                <w:kern w:val="0"/>
                <w:sz w:val="24"/>
                <w:lang w:bidi="ar"/>
              </w:rPr>
              <w:t>审批机关：四川省人民政府</w:t>
            </w:r>
          </w:p>
          <w:p w14:paraId="3497ECE9">
            <w:pPr>
              <w:widowControl/>
              <w:spacing w:line="440" w:lineRule="exact"/>
              <w:jc w:val="left"/>
              <w:rPr>
                <w:color w:val="000000"/>
                <w:kern w:val="0"/>
                <w:sz w:val="24"/>
                <w:lang w:bidi="ar"/>
              </w:rPr>
            </w:pPr>
            <w:r>
              <w:rPr>
                <w:rFonts w:hint="eastAsia"/>
                <w:color w:val="000000"/>
                <w:kern w:val="0"/>
                <w:sz w:val="24"/>
                <w:lang w:bidi="ar"/>
              </w:rPr>
              <w:t>审批文件名称：</w:t>
            </w:r>
            <w:r>
              <w:rPr>
                <w:rFonts w:hint="eastAsia"/>
                <w:sz w:val="24"/>
              </w:rPr>
              <w:t>关于印发《四川省“十四五”生态环境保护规划》的通知</w:t>
            </w:r>
          </w:p>
          <w:p w14:paraId="43686A3B">
            <w:pPr>
              <w:pStyle w:val="36"/>
              <w:ind w:firstLine="0" w:firstLineChars="0"/>
              <w:rPr>
                <w:rFonts w:hint="default"/>
              </w:rPr>
            </w:pPr>
            <w:r>
              <w:rPr>
                <w:color w:val="000000"/>
                <w:lang w:bidi="ar"/>
              </w:rPr>
              <w:t>审批文号：</w:t>
            </w:r>
            <w:r>
              <w:t>川府发〔2022〕2号</w:t>
            </w:r>
          </w:p>
          <w:p w14:paraId="17C02D22">
            <w:pPr>
              <w:pStyle w:val="36"/>
              <w:ind w:firstLine="0" w:firstLineChars="0"/>
              <w:rPr>
                <w:rFonts w:hint="default"/>
              </w:rPr>
            </w:pPr>
          </w:p>
          <w:p w14:paraId="429020B5">
            <w:pPr>
              <w:pStyle w:val="36"/>
              <w:ind w:firstLine="0" w:firstLineChars="0"/>
              <w:rPr>
                <w:rFonts w:hint="default"/>
              </w:rPr>
            </w:pPr>
            <w:r>
              <w:rPr>
                <w:rFonts w:hint="default"/>
              </w:rPr>
              <w:t>规划名称：《大英县</w:t>
            </w:r>
            <w:r>
              <w:t>“</w:t>
            </w:r>
            <w:r>
              <w:rPr>
                <w:rFonts w:hint="default"/>
              </w:rPr>
              <w:t>十四五</w:t>
            </w:r>
            <w:r>
              <w:t>”</w:t>
            </w:r>
            <w:r>
              <w:rPr>
                <w:rFonts w:hint="default"/>
              </w:rPr>
              <w:t>水安全保障规划》</w:t>
            </w:r>
          </w:p>
          <w:p w14:paraId="2E4391CD">
            <w:pPr>
              <w:pStyle w:val="36"/>
              <w:ind w:firstLine="0" w:firstLineChars="0"/>
              <w:rPr>
                <w:rFonts w:hint="default"/>
              </w:rPr>
            </w:pPr>
            <w:r>
              <w:rPr>
                <w:rFonts w:hint="default"/>
              </w:rPr>
              <w:t>审批机关：大英县人民政府</w:t>
            </w:r>
          </w:p>
          <w:p w14:paraId="713D3B56">
            <w:pPr>
              <w:pStyle w:val="36"/>
              <w:ind w:firstLine="0" w:firstLineChars="0"/>
              <w:rPr>
                <w:rFonts w:hint="default"/>
              </w:rPr>
            </w:pPr>
            <w:r>
              <w:rPr>
                <w:rFonts w:hint="default"/>
              </w:rPr>
              <w:t>审批文件名称及文号：关于印发《大英县</w:t>
            </w:r>
            <w:r>
              <w:t>“</w:t>
            </w:r>
            <w:r>
              <w:rPr>
                <w:rFonts w:hint="default"/>
              </w:rPr>
              <w:t>十四五</w:t>
            </w:r>
            <w:r>
              <w:t>”</w:t>
            </w:r>
            <w:r>
              <w:rPr>
                <w:rFonts w:hint="default"/>
              </w:rPr>
              <w:t>水安全保障规划》的通知（大府办函〔2023〕122号）</w:t>
            </w:r>
          </w:p>
          <w:p w14:paraId="551A5896">
            <w:pPr>
              <w:pStyle w:val="36"/>
              <w:ind w:firstLine="0" w:firstLineChars="0"/>
              <w:rPr>
                <w:rFonts w:hint="default"/>
              </w:rPr>
            </w:pPr>
          </w:p>
          <w:p w14:paraId="6EC5668E">
            <w:pPr>
              <w:pStyle w:val="36"/>
              <w:ind w:firstLine="0" w:firstLineChars="0"/>
              <w:rPr>
                <w:rFonts w:hint="default"/>
              </w:rPr>
            </w:pPr>
            <w:r>
              <w:rPr>
                <w:rFonts w:hint="default"/>
              </w:rPr>
              <w:t>规划名称：《四川省涪江流域综合规划》</w:t>
            </w:r>
          </w:p>
          <w:p w14:paraId="25FC3D4A">
            <w:pPr>
              <w:pStyle w:val="36"/>
              <w:ind w:firstLine="0" w:firstLineChars="0"/>
              <w:rPr>
                <w:rFonts w:hint="default"/>
              </w:rPr>
            </w:pPr>
            <w:r>
              <w:rPr>
                <w:rFonts w:hint="default"/>
              </w:rPr>
              <w:t>审批机关：四川省人民政府</w:t>
            </w:r>
          </w:p>
          <w:p w14:paraId="58C80258">
            <w:pPr>
              <w:pStyle w:val="36"/>
              <w:ind w:firstLine="0" w:firstLineChars="0"/>
              <w:rPr>
                <w:rFonts w:hint="default"/>
              </w:rPr>
            </w:pPr>
            <w:r>
              <w:rPr>
                <w:rFonts w:hint="default"/>
              </w:rPr>
              <w:t>审批文件名称及文号：关于《四川省涪江流域综合规划》的批复（川府函〔2013〕204号）</w:t>
            </w:r>
          </w:p>
        </w:tc>
      </w:tr>
      <w:tr w14:paraId="64B560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dxa"/>
            <w:vAlign w:val="center"/>
          </w:tcPr>
          <w:p w14:paraId="2E24463E">
            <w:pPr>
              <w:adjustRightInd w:val="0"/>
              <w:snapToGrid w:val="0"/>
              <w:jc w:val="center"/>
              <w:rPr>
                <w:sz w:val="24"/>
              </w:rPr>
            </w:pPr>
            <w:r>
              <w:rPr>
                <w:rFonts w:hint="eastAsia"/>
                <w:sz w:val="24"/>
              </w:rPr>
              <w:t>规划环境影响</w:t>
            </w:r>
          </w:p>
          <w:p w14:paraId="40A784F3">
            <w:pPr>
              <w:adjustRightInd w:val="0"/>
              <w:snapToGrid w:val="0"/>
              <w:jc w:val="center"/>
              <w:rPr>
                <w:kern w:val="0"/>
                <w:sz w:val="24"/>
              </w:rPr>
            </w:pPr>
            <w:r>
              <w:rPr>
                <w:rFonts w:hint="eastAsia"/>
                <w:sz w:val="24"/>
              </w:rPr>
              <w:t>评价情况</w:t>
            </w:r>
          </w:p>
        </w:tc>
        <w:tc>
          <w:tcPr>
            <w:tcW w:w="8200" w:type="dxa"/>
            <w:gridSpan w:val="4"/>
            <w:vAlign w:val="center"/>
          </w:tcPr>
          <w:p w14:paraId="75A4429A">
            <w:pPr>
              <w:pStyle w:val="36"/>
              <w:ind w:firstLine="0" w:firstLineChars="0"/>
              <w:rPr>
                <w:rFonts w:hint="default"/>
              </w:rPr>
            </w:pPr>
            <w:r>
              <w:rPr>
                <w:rFonts w:hint="default"/>
              </w:rPr>
              <w:t>规划名称：《四川省涪江流域综合规划环境影响报告书》</w:t>
            </w:r>
          </w:p>
          <w:p w14:paraId="399C1677">
            <w:pPr>
              <w:pStyle w:val="36"/>
              <w:ind w:firstLine="0" w:firstLineChars="0"/>
              <w:rPr>
                <w:rFonts w:hint="default"/>
              </w:rPr>
            </w:pPr>
            <w:r>
              <w:rPr>
                <w:rFonts w:hint="default"/>
              </w:rPr>
              <w:t>审查机关：四川省生态环境厅</w:t>
            </w:r>
          </w:p>
          <w:p w14:paraId="3416AB46">
            <w:pPr>
              <w:pStyle w:val="36"/>
              <w:ind w:firstLine="0" w:firstLineChars="0"/>
              <w:rPr>
                <w:rFonts w:hint="default"/>
              </w:rPr>
            </w:pPr>
            <w:r>
              <w:rPr>
                <w:rFonts w:hint="default"/>
              </w:rPr>
              <w:t>批复文件：《四川省涪江流域综合规划环境影响报告书》审查意见的函（川环建函〔2020〕56 号）</w:t>
            </w:r>
          </w:p>
        </w:tc>
      </w:tr>
      <w:tr w14:paraId="7907FB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dxa"/>
            <w:vAlign w:val="center"/>
          </w:tcPr>
          <w:p w14:paraId="1D3CCCA2">
            <w:pPr>
              <w:autoSpaceDE w:val="0"/>
              <w:autoSpaceDN w:val="0"/>
              <w:adjustRightInd w:val="0"/>
              <w:snapToGrid w:val="0"/>
              <w:jc w:val="center"/>
              <w:rPr>
                <w:kern w:val="0"/>
                <w:sz w:val="24"/>
              </w:rPr>
            </w:pPr>
            <w:r>
              <w:rPr>
                <w:rFonts w:hint="eastAsia"/>
                <w:kern w:val="0"/>
                <w:sz w:val="24"/>
              </w:rPr>
              <w:t>规划及规划环境</w:t>
            </w:r>
          </w:p>
          <w:p w14:paraId="40832816">
            <w:pPr>
              <w:autoSpaceDE w:val="0"/>
              <w:autoSpaceDN w:val="0"/>
              <w:adjustRightInd w:val="0"/>
              <w:snapToGrid w:val="0"/>
              <w:jc w:val="center"/>
              <w:rPr>
                <w:kern w:val="0"/>
                <w:sz w:val="24"/>
              </w:rPr>
            </w:pPr>
            <w:r>
              <w:rPr>
                <w:rFonts w:hint="eastAsia"/>
                <w:kern w:val="0"/>
                <w:sz w:val="24"/>
              </w:rPr>
              <w:t>影响评价符合性分析</w:t>
            </w:r>
          </w:p>
        </w:tc>
        <w:tc>
          <w:tcPr>
            <w:tcW w:w="8200" w:type="dxa"/>
            <w:gridSpan w:val="4"/>
            <w:vAlign w:val="center"/>
          </w:tcPr>
          <w:p w14:paraId="02A5A78B">
            <w:pPr>
              <w:pStyle w:val="4"/>
            </w:pPr>
            <w:r>
              <w:rPr>
                <w:rFonts w:hint="eastAsia"/>
              </w:rPr>
              <w:t>与《四川省“十四五”生态环境保护规划》符合性分析</w:t>
            </w:r>
          </w:p>
          <w:p w14:paraId="281920EA">
            <w:pPr>
              <w:pStyle w:val="36"/>
              <w:ind w:firstLine="480"/>
              <w:rPr>
                <w:rFonts w:hint="default"/>
              </w:rPr>
            </w:pPr>
            <w:r>
              <w:t>“十四五”时期，绿色低碳生产生活方式基本形成，环境治理效果显著增强，大气、水和土壤环境质量持续好转，进一步筑牢长江黄河上游生态安全屏障，全国绿色发展示范区、高品质生活宜居地基本建成，美丽四川建设取得明显进展。”</w:t>
            </w:r>
          </w:p>
          <w:p w14:paraId="67108B4C">
            <w:pPr>
              <w:pStyle w:val="36"/>
              <w:ind w:firstLine="480"/>
              <w:rPr>
                <w:rFonts w:hint="default"/>
              </w:rPr>
            </w:pPr>
            <w:r>
              <w:t>“生态环境持续改善。主要污染物排放总量持续减少，环境质量稳步改善到2025年，力争21个市(州)和183个县(市、区)空气质量全面达标，基本消除重污染天气，全省国控断面水质以Ⅱ类为主，长江黄河干流水质稳定达到Ⅱ类。”“水岸协同推进河湖生态保护修复。严格河湖生态缓冲带管理，强化岸线用途管制和节约集约利用，恢复河湖岸线生态功能，深化美丽岸线建设。以各流域上游地区及泸沽湖等为重点，加强水源涵养区封育保护，开展涵养林建设，提升水源涵养功能。以岷江、沱江、嘉陵江等流域为重点，实施沿线河湖岸线修复、滨岸缓冲带生态修复、河口湿地修复、河湖水域生态修复等水生态保护修复工程减轻人类生产活动和自然过程对湖泊(河流)干扰破坏，恢复河湖生态系统结构和功能。”</w:t>
            </w:r>
          </w:p>
          <w:p w14:paraId="00BCCEBC">
            <w:pPr>
              <w:pStyle w:val="36"/>
              <w:ind w:firstLine="480"/>
              <w:rPr>
                <w:rFonts w:hint="default"/>
              </w:rPr>
            </w:pPr>
            <w:r>
              <w:t>本项目位于四川省遂宁市大英县，为金水河水环境综合治理项目，金水河为郪江右岸二级支流，本项目建成后能有效解决河道淤积、水质污染、防洪排涝等问题，减轻人类生产活动和自然过程对金水河干扰破坏，保护水资源，促进经济发展和社会稳定。</w:t>
            </w:r>
          </w:p>
          <w:p w14:paraId="6653B9E4">
            <w:pPr>
              <w:pStyle w:val="36"/>
              <w:ind w:firstLine="480"/>
              <w:rPr>
                <w:rFonts w:hint="default"/>
              </w:rPr>
            </w:pPr>
            <w:r>
              <w:t>综上，本项目建设符合《四川省“十四五”生态环境保护规划》的相关要求。</w:t>
            </w:r>
          </w:p>
          <w:p w14:paraId="350F577E">
            <w:pPr>
              <w:pStyle w:val="4"/>
            </w:pPr>
            <w:r>
              <w:rPr>
                <w:rFonts w:hint="eastAsia"/>
              </w:rPr>
              <w:t>与《大英县“十四五”水安全保障规划》符合性分析</w:t>
            </w:r>
          </w:p>
          <w:p w14:paraId="289C3EC9">
            <w:pPr>
              <w:pStyle w:val="36"/>
              <w:ind w:firstLine="480"/>
              <w:rPr>
                <w:rFonts w:hint="default"/>
              </w:rPr>
            </w:pPr>
            <w:r>
              <w:rPr>
                <w:rFonts w:hint="default"/>
              </w:rPr>
              <w:t>根据《大英县</w:t>
            </w:r>
            <w:r>
              <w:t>“</w:t>
            </w:r>
            <w:r>
              <w:rPr>
                <w:rFonts w:hint="default"/>
              </w:rPr>
              <w:t>十四五</w:t>
            </w:r>
            <w:r>
              <w:t>”</w:t>
            </w:r>
            <w:r>
              <w:rPr>
                <w:rFonts w:hint="default"/>
              </w:rPr>
              <w:t>水安全保障规划》：五、加快构建现代水利基础设施生态网络体系坚持</w:t>
            </w:r>
            <w:r>
              <w:t>“</w:t>
            </w:r>
            <w:r>
              <w:rPr>
                <w:rFonts w:hint="default"/>
              </w:rPr>
              <w:t>确有需要、生态安全、可以持续</w:t>
            </w:r>
            <w:r>
              <w:t>”</w:t>
            </w:r>
            <w:r>
              <w:rPr>
                <w:rFonts w:hint="default"/>
              </w:rPr>
              <w:t>的原则，按照</w:t>
            </w:r>
            <w:r>
              <w:t>“</w:t>
            </w:r>
            <w:r>
              <w:rPr>
                <w:rFonts w:hint="default"/>
              </w:rPr>
              <w:t>建水网、开水源，统筹流域、连通区域</w:t>
            </w:r>
            <w:r>
              <w:t>”</w:t>
            </w:r>
            <w:r>
              <w:rPr>
                <w:rFonts w:hint="default"/>
              </w:rPr>
              <w:t>的思路，加快建设一批生态水利工程，形成以引水补水生态水网为骨架、大中小微协调配套、蓄引提供泄排生态功能完备的现代水利基础设施网络体系，强化工程水网与天然水网的互联互通，完善水网配套建设，全面提升供水安全保障能力。</w:t>
            </w:r>
          </w:p>
          <w:p w14:paraId="0D217FD6">
            <w:pPr>
              <w:pStyle w:val="36"/>
              <w:ind w:firstLine="480"/>
              <w:rPr>
                <w:rFonts w:hint="default"/>
              </w:rPr>
            </w:pPr>
            <w:r>
              <w:t>（</w:t>
            </w:r>
            <w:r>
              <w:rPr>
                <w:rFonts w:hint="default"/>
              </w:rPr>
              <w:t>五</w:t>
            </w:r>
            <w:r>
              <w:t>）</w:t>
            </w:r>
            <w:r>
              <w:rPr>
                <w:rFonts w:hint="default"/>
              </w:rPr>
              <w:t>加强水污染防治和水环境治理</w:t>
            </w:r>
          </w:p>
          <w:p w14:paraId="5931EDE9">
            <w:pPr>
              <w:pStyle w:val="36"/>
              <w:ind w:firstLine="480"/>
              <w:rPr>
                <w:rFonts w:hint="default"/>
              </w:rPr>
            </w:pPr>
            <w:r>
              <w:rPr>
                <w:rFonts w:hint="default"/>
              </w:rPr>
              <w:t>坚持源头严控、过程严管、未端严治，水岸联动，严格控制水污染排放总量，加大县境内15条大小河道水污染治理力度，推进水环境综合治理，确保郪江2025年实现稳定达标。构建全流域、全过程、全方位的水污染综合防治体系，不断提升河湖水环境质量。坚持以农村</w:t>
            </w:r>
            <w:r>
              <w:t>“</w:t>
            </w:r>
            <w:r>
              <w:rPr>
                <w:rFonts w:hint="default"/>
              </w:rPr>
              <w:t>垃圾、污水、厕所</w:t>
            </w:r>
            <w:r>
              <w:t>”</w:t>
            </w:r>
            <w:r>
              <w:rPr>
                <w:rFonts w:hint="default"/>
              </w:rPr>
              <w:t>三大革命为抓手，深入开展农村水环境综合治理，持续推进农业面源污染治理工作，强化水生态修复工程建设。同时，加大雨洪资源、再生水等开发利用力度，把非常规水源纳入区域水资源统一配置。以缺水及水污染严重区域为重点，加快建设再生水利用设施，工业生产、城市绿化、生态景观等优先使用再生水。完善雨洪资源利用设施，增加对雨洪径流的滞蓄利用能力。</w:t>
            </w:r>
          </w:p>
          <w:p w14:paraId="6B80F42F">
            <w:pPr>
              <w:pStyle w:val="36"/>
              <w:ind w:firstLine="480"/>
              <w:rPr>
                <w:rFonts w:hint="default"/>
              </w:rPr>
            </w:pPr>
            <w:r>
              <w:t>（</w:t>
            </w:r>
            <w:r>
              <w:rPr>
                <w:rFonts w:hint="default"/>
              </w:rPr>
              <w:t>六</w:t>
            </w:r>
            <w:r>
              <w:t>）</w:t>
            </w:r>
            <w:r>
              <w:rPr>
                <w:rFonts w:hint="default"/>
              </w:rPr>
              <w:t>实施水系连通和农村水系综合整治</w:t>
            </w:r>
          </w:p>
          <w:p w14:paraId="4D24A888">
            <w:pPr>
              <w:pStyle w:val="36"/>
              <w:ind w:firstLine="480"/>
              <w:rPr>
                <w:rFonts w:hint="default"/>
              </w:rPr>
            </w:pPr>
            <w:r>
              <w:rPr>
                <w:rFonts w:hint="default"/>
              </w:rPr>
              <w:t>以存在淤塞阻隔的河湖水系为重点，通过清淤疏浚、打开连通通道等方式，逐步恢复河湖水系的完整性，恢复或改善河湖水系之间的联系，形成科学的河湖水生态网络。按照实施乡村振兴战略的要求，立足乡村河流特点和保护发展需要，以乡镇为单元、河流为脉络、村庄为节点，通过清淤疏浚、岸坡整治、水系连通水源涵养与水土保持等多种措施，集中连片推进，水域岸线并治结合村庄建设和产业发展，积极开展农村水系综合整治，建设</w:t>
            </w:r>
            <w:r>
              <w:t>“</w:t>
            </w:r>
            <w:r>
              <w:rPr>
                <w:rFonts w:hint="default"/>
              </w:rPr>
              <w:t>水美新村</w:t>
            </w:r>
            <w:r>
              <w:t>”</w:t>
            </w:r>
            <w:r>
              <w:rPr>
                <w:rFonts w:hint="default"/>
              </w:rPr>
              <w:t>，进一步改善农村人居环境。</w:t>
            </w:r>
          </w:p>
          <w:p w14:paraId="1262542F">
            <w:pPr>
              <w:pStyle w:val="36"/>
              <w:ind w:firstLine="480"/>
              <w:rPr>
                <w:rFonts w:hint="default"/>
              </w:rPr>
            </w:pPr>
            <w:r>
              <w:rPr>
                <w:rFonts w:hint="default"/>
              </w:rPr>
              <w:t>本项目为大英县金水河金元场镇山洪沟治理工程，项目建设有利于推动大英县</w:t>
            </w:r>
            <w:r>
              <w:t>水污染防治和水环境治理</w:t>
            </w:r>
            <w:r>
              <w:rPr>
                <w:rFonts w:hint="default"/>
              </w:rPr>
              <w:t>，项目建设符合《大英县</w:t>
            </w:r>
            <w:r>
              <w:t>“</w:t>
            </w:r>
            <w:r>
              <w:rPr>
                <w:rFonts w:hint="default"/>
              </w:rPr>
              <w:t>十四五</w:t>
            </w:r>
            <w:r>
              <w:t>”</w:t>
            </w:r>
            <w:r>
              <w:rPr>
                <w:rFonts w:hint="default"/>
              </w:rPr>
              <w:t>水安全保障规划》要求。</w:t>
            </w:r>
          </w:p>
          <w:p w14:paraId="61443C54">
            <w:pPr>
              <w:pStyle w:val="4"/>
            </w:pPr>
            <w:r>
              <w:rPr>
                <w:rFonts w:hint="eastAsia"/>
              </w:rPr>
              <w:t>与《四川省涪江流域综合规划》符合性分析</w:t>
            </w:r>
          </w:p>
          <w:p w14:paraId="11CB57A2">
            <w:pPr>
              <w:pStyle w:val="36"/>
              <w:ind w:firstLine="480"/>
              <w:rPr>
                <w:rFonts w:hint="default"/>
              </w:rPr>
            </w:pPr>
            <w:r>
              <w:rPr>
                <w:rFonts w:hint="default"/>
              </w:rPr>
              <w:t>（一）《四川省涪江流域综合规划》符合性分析</w:t>
            </w:r>
          </w:p>
          <w:p w14:paraId="40ED91A8">
            <w:pPr>
              <w:pStyle w:val="36"/>
              <w:ind w:firstLine="480"/>
              <w:rPr>
                <w:rFonts w:hint="default"/>
              </w:rPr>
            </w:pPr>
            <w:r>
              <w:rPr>
                <w:rFonts w:hint="default"/>
              </w:rPr>
              <w:t>《四川省涪江流域综合规划》中要求，按照我省长期坚持的</w:t>
            </w:r>
            <w:r>
              <w:t>“</w:t>
            </w:r>
            <w:r>
              <w:rPr>
                <w:rFonts w:hint="default"/>
              </w:rPr>
              <w:t>蓄引提结合，大中小微并举</w:t>
            </w:r>
            <w:r>
              <w:t>”</w:t>
            </w:r>
            <w:r>
              <w:rPr>
                <w:rFonts w:hint="default"/>
              </w:rPr>
              <w:t>的水利建设基本方针，对现有灌溉工程进行配套、挖潜和改造，大力提高工程管理水平和灌溉水利用率；推广节水、节能、高产、高效的灌溉新技术；同时兴建一批水源和灌区工程、机电提灌工程发展灌区。以保障城乡生活生产用水为目标，加快建设一批水源工程，完善小微型水利设施，对已成灌区进行续建配套与节水改造，建设武都引水二期灌区、蓬溪船山灌区和一批中小型灌区，共同解决流域灌溉和供水问题。</w:t>
            </w:r>
          </w:p>
          <w:p w14:paraId="74F9AF86">
            <w:pPr>
              <w:pStyle w:val="36"/>
              <w:ind w:firstLine="480"/>
              <w:rPr>
                <w:rFonts w:hint="default"/>
              </w:rPr>
            </w:pPr>
            <w:r>
              <w:rPr>
                <w:rFonts w:hint="default"/>
              </w:rPr>
              <w:t>本项目为大英县金水河金元场镇山洪沟治理工程，在原河道基础上进行整治，项目建设有利于推动大英县</w:t>
            </w:r>
            <w:r>
              <w:t>水污染防治和水环境治理</w:t>
            </w:r>
            <w:r>
              <w:rPr>
                <w:rFonts w:hint="default"/>
              </w:rPr>
              <w:t>，有利于</w:t>
            </w:r>
            <w:r>
              <w:t>当地</w:t>
            </w:r>
            <w:r>
              <w:rPr>
                <w:rFonts w:hint="default"/>
              </w:rPr>
              <w:t>水资源得到更充分利用。</w:t>
            </w:r>
          </w:p>
          <w:p w14:paraId="29CF8B30">
            <w:pPr>
              <w:pStyle w:val="36"/>
              <w:ind w:firstLine="480"/>
              <w:rPr>
                <w:rFonts w:hint="default"/>
              </w:rPr>
            </w:pPr>
            <w:r>
              <w:rPr>
                <w:rFonts w:hint="default"/>
              </w:rPr>
              <w:t>因此，本工程建设与四川省涪江流域综合规划相符。</w:t>
            </w:r>
          </w:p>
          <w:p w14:paraId="1A1B6C4F">
            <w:pPr>
              <w:pStyle w:val="36"/>
              <w:ind w:firstLine="480"/>
              <w:rPr>
                <w:rFonts w:hint="default"/>
              </w:rPr>
            </w:pPr>
            <w:r>
              <w:rPr>
                <w:rFonts w:hint="default"/>
              </w:rPr>
              <w:t>（二）《四川省涪江流域综合规划环境影响报告书》及其审查意见符合</w:t>
            </w:r>
          </w:p>
          <w:p w14:paraId="2916CB32">
            <w:pPr>
              <w:pStyle w:val="36"/>
              <w:ind w:firstLine="480"/>
              <w:rPr>
                <w:rFonts w:hint="default"/>
              </w:rPr>
            </w:pPr>
            <w:r>
              <w:rPr>
                <w:rFonts w:hint="default"/>
              </w:rPr>
              <w:t>性分析根据《四川省涪江流域综合规划环境影响报告书》及《四川省生态环境厅关于〈四川省涪江流域综合规划环境影响报告书〉审查意见的函》（川环建函〔2020〕56 号），本项目建设与《四川省涪江流域综合规划环境影响报告书》及其审查意见符合性分析如下：</w:t>
            </w:r>
          </w:p>
          <w:p w14:paraId="6A7E155A">
            <w:pPr>
              <w:pStyle w:val="37"/>
              <w:spacing w:before="156"/>
              <w:rPr>
                <w:rFonts w:hint="default"/>
              </w:rPr>
            </w:pPr>
            <w:r>
              <w:t>项目专项评价设置情况分析一览表</w:t>
            </w:r>
          </w:p>
          <w:tbl>
            <w:tblPr>
              <w:tblStyle w:val="27"/>
              <w:tblW w:w="79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4017"/>
              <w:gridCol w:w="2333"/>
              <w:gridCol w:w="908"/>
            </w:tblGrid>
            <w:tr w14:paraId="3B52B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0" w:type="dxa"/>
                  <w:vAlign w:val="center"/>
                </w:tcPr>
                <w:p w14:paraId="020615E2">
                  <w:pPr>
                    <w:pStyle w:val="36"/>
                    <w:spacing w:line="320" w:lineRule="exact"/>
                    <w:ind w:firstLine="0" w:firstLineChars="0"/>
                    <w:jc w:val="center"/>
                    <w:rPr>
                      <w:rFonts w:hint="default"/>
                      <w:sz w:val="21"/>
                      <w:szCs w:val="21"/>
                    </w:rPr>
                  </w:pPr>
                  <w:r>
                    <w:rPr>
                      <w:sz w:val="21"/>
                      <w:szCs w:val="21"/>
                    </w:rPr>
                    <w:t>序号</w:t>
                  </w:r>
                </w:p>
              </w:tc>
              <w:tc>
                <w:tcPr>
                  <w:tcW w:w="4017" w:type="dxa"/>
                  <w:vAlign w:val="center"/>
                </w:tcPr>
                <w:p w14:paraId="3E824011">
                  <w:pPr>
                    <w:pStyle w:val="36"/>
                    <w:spacing w:line="320" w:lineRule="exact"/>
                    <w:ind w:firstLine="0" w:firstLineChars="0"/>
                    <w:jc w:val="center"/>
                    <w:rPr>
                      <w:rFonts w:hint="default"/>
                      <w:sz w:val="21"/>
                      <w:szCs w:val="21"/>
                    </w:rPr>
                  </w:pPr>
                  <w:r>
                    <w:rPr>
                      <w:sz w:val="21"/>
                      <w:szCs w:val="21"/>
                    </w:rPr>
                    <w:t>报告书及其审查意见相关要求</w:t>
                  </w:r>
                </w:p>
              </w:tc>
              <w:tc>
                <w:tcPr>
                  <w:tcW w:w="2333" w:type="dxa"/>
                  <w:vAlign w:val="center"/>
                </w:tcPr>
                <w:p w14:paraId="25E0922A">
                  <w:pPr>
                    <w:pStyle w:val="36"/>
                    <w:spacing w:line="320" w:lineRule="exact"/>
                    <w:ind w:firstLine="0" w:firstLineChars="0"/>
                    <w:jc w:val="center"/>
                    <w:rPr>
                      <w:rFonts w:hint="default"/>
                      <w:sz w:val="21"/>
                      <w:szCs w:val="21"/>
                    </w:rPr>
                  </w:pPr>
                  <w:r>
                    <w:rPr>
                      <w:sz w:val="21"/>
                      <w:szCs w:val="21"/>
                    </w:rPr>
                    <w:t>本项目情况</w:t>
                  </w:r>
                </w:p>
              </w:tc>
              <w:tc>
                <w:tcPr>
                  <w:tcW w:w="908" w:type="dxa"/>
                  <w:vAlign w:val="center"/>
                </w:tcPr>
                <w:p w14:paraId="33541267">
                  <w:pPr>
                    <w:pStyle w:val="36"/>
                    <w:spacing w:line="320" w:lineRule="exact"/>
                    <w:ind w:firstLine="0" w:firstLineChars="0"/>
                    <w:jc w:val="center"/>
                    <w:rPr>
                      <w:rFonts w:hint="default"/>
                      <w:sz w:val="21"/>
                      <w:szCs w:val="21"/>
                    </w:rPr>
                  </w:pPr>
                  <w:r>
                    <w:rPr>
                      <w:sz w:val="21"/>
                      <w:szCs w:val="21"/>
                    </w:rPr>
                    <w:t>符合性</w:t>
                  </w:r>
                </w:p>
              </w:tc>
            </w:tr>
            <w:tr w14:paraId="4387E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6F019060">
                  <w:pPr>
                    <w:pStyle w:val="36"/>
                    <w:spacing w:line="320" w:lineRule="exact"/>
                    <w:ind w:firstLine="0" w:firstLineChars="0"/>
                    <w:jc w:val="center"/>
                    <w:rPr>
                      <w:rFonts w:hint="default"/>
                      <w:sz w:val="21"/>
                      <w:szCs w:val="21"/>
                    </w:rPr>
                  </w:pPr>
                  <w:r>
                    <w:rPr>
                      <w:sz w:val="21"/>
                      <w:szCs w:val="21"/>
                    </w:rPr>
                    <w:t>1</w:t>
                  </w:r>
                </w:p>
              </w:tc>
              <w:tc>
                <w:tcPr>
                  <w:tcW w:w="4017" w:type="dxa"/>
                  <w:vAlign w:val="center"/>
                </w:tcPr>
                <w:p w14:paraId="2A0CB16E">
                  <w:pPr>
                    <w:pStyle w:val="36"/>
                    <w:spacing w:line="320" w:lineRule="exact"/>
                    <w:ind w:firstLine="0" w:firstLineChars="0"/>
                    <w:jc w:val="center"/>
                    <w:rPr>
                      <w:rFonts w:hint="default"/>
                      <w:sz w:val="21"/>
                      <w:szCs w:val="21"/>
                    </w:rPr>
                  </w:pPr>
                  <w:r>
                    <w:rPr>
                      <w:rFonts w:hint="default"/>
                      <w:sz w:val="21"/>
                      <w:szCs w:val="21"/>
                    </w:rPr>
                    <w:t>水资源及水生态保护规划实施的调整建议。规划实施过程中，严格按照川办发〔2014〕27号文和《四川省涪江</w:t>
                  </w:r>
                  <w:r>
                    <w:rPr>
                      <w:sz w:val="21"/>
                      <w:szCs w:val="21"/>
                    </w:rPr>
                    <w:t>“</w:t>
                  </w:r>
                  <w:r>
                    <w:rPr>
                      <w:rFonts w:hint="default"/>
                      <w:sz w:val="21"/>
                      <w:szCs w:val="21"/>
                    </w:rPr>
                    <w:t>一河一策</w:t>
                  </w:r>
                  <w:r>
                    <w:rPr>
                      <w:sz w:val="21"/>
                      <w:szCs w:val="21"/>
                    </w:rPr>
                    <w:t>”</w:t>
                  </w:r>
                  <w:r>
                    <w:rPr>
                      <w:rFonts w:hint="default"/>
                      <w:sz w:val="21"/>
                      <w:szCs w:val="21"/>
                    </w:rPr>
                    <w:t>管理保护方案》中关于</w:t>
                  </w:r>
                  <w:r>
                    <w:rPr>
                      <w:sz w:val="21"/>
                      <w:szCs w:val="21"/>
                    </w:rPr>
                    <w:t>“</w:t>
                  </w:r>
                  <w:r>
                    <w:rPr>
                      <w:rFonts w:hint="default"/>
                      <w:sz w:val="21"/>
                      <w:szCs w:val="21"/>
                    </w:rPr>
                    <w:t>水资源及水生态保护</w:t>
                  </w:r>
                  <w:r>
                    <w:rPr>
                      <w:sz w:val="21"/>
                      <w:szCs w:val="21"/>
                    </w:rPr>
                    <w:t>”</w:t>
                  </w:r>
                  <w:r>
                    <w:rPr>
                      <w:rFonts w:hint="default"/>
                      <w:sz w:val="21"/>
                      <w:szCs w:val="21"/>
                    </w:rPr>
                    <w:t>的相关要求，加强水资源与水域岸线的保护和开发管理，强化水污染防治、水环境治理及水生态修复。</w:t>
                  </w:r>
                </w:p>
              </w:tc>
              <w:tc>
                <w:tcPr>
                  <w:tcW w:w="2333" w:type="dxa"/>
                  <w:vAlign w:val="center"/>
                </w:tcPr>
                <w:p w14:paraId="43FF9ADC">
                  <w:pPr>
                    <w:pStyle w:val="36"/>
                    <w:spacing w:line="320" w:lineRule="exact"/>
                    <w:ind w:firstLine="0" w:firstLineChars="0"/>
                    <w:jc w:val="center"/>
                    <w:rPr>
                      <w:rFonts w:hint="default"/>
                      <w:sz w:val="21"/>
                      <w:szCs w:val="21"/>
                    </w:rPr>
                  </w:pPr>
                  <w:r>
                    <w:rPr>
                      <w:rFonts w:hint="default"/>
                      <w:sz w:val="21"/>
                      <w:szCs w:val="21"/>
                    </w:rPr>
                    <w:t>本项目属于</w:t>
                  </w:r>
                  <w:r>
                    <w:rPr>
                      <w:sz w:val="21"/>
                      <w:szCs w:val="21"/>
                    </w:rPr>
                    <w:t>河道</w:t>
                  </w:r>
                  <w:r>
                    <w:rPr>
                      <w:rFonts w:hint="default"/>
                      <w:sz w:val="21"/>
                      <w:szCs w:val="21"/>
                    </w:rPr>
                    <w:t>整治工程，</w:t>
                  </w:r>
                  <w:r>
                    <w:rPr>
                      <w:sz w:val="21"/>
                      <w:szCs w:val="21"/>
                    </w:rPr>
                    <w:t>有利于推动大英县水污染防治和水环境治理</w:t>
                  </w:r>
                  <w:r>
                    <w:rPr>
                      <w:rFonts w:hint="default"/>
                      <w:sz w:val="21"/>
                      <w:szCs w:val="21"/>
                    </w:rPr>
                    <w:t>；同时，施工期</w:t>
                  </w:r>
                  <w:r>
                    <w:rPr>
                      <w:sz w:val="21"/>
                      <w:szCs w:val="21"/>
                    </w:rPr>
                    <w:t>无</w:t>
                  </w:r>
                  <w:r>
                    <w:rPr>
                      <w:rFonts w:hint="default"/>
                      <w:sz w:val="21"/>
                      <w:szCs w:val="21"/>
                    </w:rPr>
                    <w:t>施工废水</w:t>
                  </w:r>
                  <w:r>
                    <w:rPr>
                      <w:sz w:val="21"/>
                      <w:szCs w:val="21"/>
                    </w:rPr>
                    <w:t>产生</w:t>
                  </w:r>
                  <w:r>
                    <w:rPr>
                      <w:rFonts w:hint="default"/>
                      <w:sz w:val="21"/>
                      <w:szCs w:val="21"/>
                    </w:rPr>
                    <w:t>、生活废水采取不外排等防治措施，对水环境影响较小。</w:t>
                  </w:r>
                </w:p>
              </w:tc>
              <w:tc>
                <w:tcPr>
                  <w:tcW w:w="908" w:type="dxa"/>
                  <w:vAlign w:val="center"/>
                </w:tcPr>
                <w:p w14:paraId="3FE4B1DA">
                  <w:pPr>
                    <w:autoSpaceDE w:val="0"/>
                    <w:autoSpaceDN w:val="0"/>
                    <w:adjustRightInd w:val="0"/>
                    <w:snapToGrid w:val="0"/>
                    <w:spacing w:line="320" w:lineRule="exact"/>
                    <w:jc w:val="center"/>
                    <w:rPr>
                      <w:szCs w:val="21"/>
                    </w:rPr>
                  </w:pPr>
                  <w:r>
                    <w:rPr>
                      <w:rFonts w:hint="eastAsia"/>
                      <w:szCs w:val="21"/>
                    </w:rPr>
                    <w:t>符合</w:t>
                  </w:r>
                </w:p>
              </w:tc>
            </w:tr>
            <w:tr w14:paraId="78283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4EB95C1C">
                  <w:pPr>
                    <w:pStyle w:val="36"/>
                    <w:spacing w:line="320" w:lineRule="exact"/>
                    <w:ind w:firstLine="0" w:firstLineChars="0"/>
                    <w:jc w:val="center"/>
                    <w:rPr>
                      <w:rFonts w:hint="default"/>
                      <w:sz w:val="21"/>
                      <w:szCs w:val="21"/>
                    </w:rPr>
                  </w:pPr>
                  <w:r>
                    <w:rPr>
                      <w:sz w:val="21"/>
                      <w:szCs w:val="21"/>
                    </w:rPr>
                    <w:t>2</w:t>
                  </w:r>
                </w:p>
              </w:tc>
              <w:tc>
                <w:tcPr>
                  <w:tcW w:w="4017" w:type="dxa"/>
                  <w:vAlign w:val="center"/>
                </w:tcPr>
                <w:p w14:paraId="380F85F3">
                  <w:pPr>
                    <w:pStyle w:val="36"/>
                    <w:spacing w:line="320" w:lineRule="exact"/>
                    <w:ind w:firstLine="0" w:firstLineChars="0"/>
                    <w:jc w:val="center"/>
                    <w:rPr>
                      <w:rFonts w:hint="default"/>
                      <w:sz w:val="21"/>
                      <w:szCs w:val="21"/>
                    </w:rPr>
                  </w:pPr>
                  <w:r>
                    <w:rPr>
                      <w:rFonts w:hint="default"/>
                      <w:sz w:val="21"/>
                      <w:szCs w:val="21"/>
                    </w:rPr>
                    <w:t>全面推进流域水生生态保护及修复工作。……进一步强化平通河裂腹鱼类国家级水产种质资源保护区、梓江国家级水产种质资源保护区、凯江国家级水产种质资源保护区、郪江黄颡鱼国家级水产种质资源保护区和琼江翘嘴红鲌省级水产种质资源保护区的保护与管理工作，上述河段不再建设水电等拦河闸坝工程，确需建设的重大民生工程需开展对栖息地影响的专题论证。</w:t>
                  </w:r>
                </w:p>
              </w:tc>
              <w:tc>
                <w:tcPr>
                  <w:tcW w:w="2333" w:type="dxa"/>
                  <w:vAlign w:val="center"/>
                </w:tcPr>
                <w:p w14:paraId="469284B5">
                  <w:pPr>
                    <w:pStyle w:val="36"/>
                    <w:spacing w:line="320" w:lineRule="exact"/>
                    <w:ind w:firstLine="0" w:firstLineChars="0"/>
                    <w:jc w:val="center"/>
                    <w:rPr>
                      <w:rFonts w:hint="default"/>
                      <w:sz w:val="21"/>
                      <w:szCs w:val="21"/>
                    </w:rPr>
                  </w:pPr>
                  <w:r>
                    <w:rPr>
                      <w:rFonts w:hint="default"/>
                      <w:sz w:val="21"/>
                      <w:szCs w:val="21"/>
                    </w:rPr>
                    <w:t>本项目不涉及上述水产种质资源保护区。</w:t>
                  </w:r>
                </w:p>
              </w:tc>
              <w:tc>
                <w:tcPr>
                  <w:tcW w:w="908" w:type="dxa"/>
                  <w:vAlign w:val="center"/>
                </w:tcPr>
                <w:p w14:paraId="7DF9EDE4">
                  <w:pPr>
                    <w:autoSpaceDE w:val="0"/>
                    <w:autoSpaceDN w:val="0"/>
                    <w:adjustRightInd w:val="0"/>
                    <w:snapToGrid w:val="0"/>
                    <w:spacing w:line="320" w:lineRule="exact"/>
                    <w:jc w:val="center"/>
                    <w:rPr>
                      <w:szCs w:val="21"/>
                    </w:rPr>
                  </w:pPr>
                  <w:r>
                    <w:rPr>
                      <w:rFonts w:hint="eastAsia"/>
                      <w:szCs w:val="21"/>
                    </w:rPr>
                    <w:t>符合</w:t>
                  </w:r>
                </w:p>
              </w:tc>
            </w:tr>
            <w:tr w14:paraId="171FB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38FAF8EE">
                  <w:pPr>
                    <w:pStyle w:val="36"/>
                    <w:spacing w:line="320" w:lineRule="exact"/>
                    <w:ind w:firstLine="0" w:firstLineChars="0"/>
                    <w:jc w:val="center"/>
                    <w:rPr>
                      <w:rFonts w:hint="default"/>
                      <w:sz w:val="21"/>
                      <w:szCs w:val="21"/>
                    </w:rPr>
                  </w:pPr>
                  <w:r>
                    <w:rPr>
                      <w:sz w:val="21"/>
                      <w:szCs w:val="21"/>
                    </w:rPr>
                    <w:t>3</w:t>
                  </w:r>
                </w:p>
              </w:tc>
              <w:tc>
                <w:tcPr>
                  <w:tcW w:w="4017" w:type="dxa"/>
                  <w:vAlign w:val="center"/>
                </w:tcPr>
                <w:p w14:paraId="0F2CA033">
                  <w:pPr>
                    <w:pStyle w:val="36"/>
                    <w:spacing w:line="320" w:lineRule="exact"/>
                    <w:ind w:firstLine="0" w:firstLineChars="0"/>
                    <w:jc w:val="center"/>
                    <w:rPr>
                      <w:rFonts w:hint="default"/>
                      <w:sz w:val="21"/>
                      <w:szCs w:val="21"/>
                    </w:rPr>
                  </w:pPr>
                  <w:r>
                    <w:rPr>
                      <w:rFonts w:hint="default"/>
                      <w:sz w:val="21"/>
                      <w:szCs w:val="21"/>
                    </w:rPr>
                    <w:t>落实陆生生态保护措施。规划项目实施阶段进一步优化工程建设方案，尽量避免占用林地、耕地；尽量避让珍稀濒危野生植物和古树名木，对无法避让的采取迁地或就地保护措施。加强规划项目施工期间的环境管理工作，及时对施工临时占地区进行生态修复或复垦。</w:t>
                  </w:r>
                </w:p>
              </w:tc>
              <w:tc>
                <w:tcPr>
                  <w:tcW w:w="2333" w:type="dxa"/>
                  <w:vAlign w:val="center"/>
                </w:tcPr>
                <w:p w14:paraId="3E0A80EC">
                  <w:pPr>
                    <w:pStyle w:val="36"/>
                    <w:spacing w:line="320" w:lineRule="exact"/>
                    <w:ind w:firstLine="0" w:firstLineChars="0"/>
                    <w:jc w:val="center"/>
                    <w:rPr>
                      <w:rFonts w:hint="default"/>
                      <w:sz w:val="21"/>
                      <w:szCs w:val="21"/>
                    </w:rPr>
                  </w:pPr>
                  <w:r>
                    <w:rPr>
                      <w:rFonts w:hint="default"/>
                      <w:sz w:val="21"/>
                      <w:szCs w:val="21"/>
                    </w:rPr>
                    <w:t>优化施工工艺，严格控制施工作业带，尽量减少土地占用，施工范围内不涉及珍稀濒危野生植物和古树名木，施工结束后对临时占地迹地恢复。</w:t>
                  </w:r>
                </w:p>
              </w:tc>
              <w:tc>
                <w:tcPr>
                  <w:tcW w:w="908" w:type="dxa"/>
                  <w:vAlign w:val="center"/>
                </w:tcPr>
                <w:p w14:paraId="3400A0A5">
                  <w:pPr>
                    <w:autoSpaceDE w:val="0"/>
                    <w:autoSpaceDN w:val="0"/>
                    <w:adjustRightInd w:val="0"/>
                    <w:snapToGrid w:val="0"/>
                    <w:spacing w:line="320" w:lineRule="exact"/>
                    <w:jc w:val="center"/>
                    <w:rPr>
                      <w:szCs w:val="21"/>
                    </w:rPr>
                  </w:pPr>
                  <w:r>
                    <w:rPr>
                      <w:rFonts w:hint="eastAsia"/>
                      <w:szCs w:val="21"/>
                    </w:rPr>
                    <w:t>符合</w:t>
                  </w:r>
                </w:p>
              </w:tc>
            </w:tr>
            <w:tr w14:paraId="399DB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376EA3C0">
                  <w:pPr>
                    <w:pStyle w:val="36"/>
                    <w:spacing w:line="320" w:lineRule="exact"/>
                    <w:ind w:firstLine="0" w:firstLineChars="0"/>
                    <w:jc w:val="center"/>
                    <w:rPr>
                      <w:rFonts w:hint="default"/>
                      <w:sz w:val="21"/>
                      <w:szCs w:val="21"/>
                    </w:rPr>
                  </w:pPr>
                  <w:r>
                    <w:rPr>
                      <w:sz w:val="21"/>
                      <w:szCs w:val="21"/>
                    </w:rPr>
                    <w:t>4</w:t>
                  </w:r>
                </w:p>
              </w:tc>
              <w:tc>
                <w:tcPr>
                  <w:tcW w:w="4017" w:type="dxa"/>
                  <w:vAlign w:val="center"/>
                </w:tcPr>
                <w:p w14:paraId="2A8CCB6D">
                  <w:pPr>
                    <w:pStyle w:val="36"/>
                    <w:spacing w:line="320" w:lineRule="exact"/>
                    <w:ind w:firstLine="0" w:firstLineChars="0"/>
                    <w:jc w:val="center"/>
                    <w:rPr>
                      <w:rFonts w:hint="default"/>
                      <w:sz w:val="21"/>
                      <w:szCs w:val="21"/>
                    </w:rPr>
                  </w:pPr>
                  <w:r>
                    <w:rPr>
                      <w:rFonts w:hint="default"/>
                      <w:sz w:val="21"/>
                      <w:szCs w:val="21"/>
                    </w:rPr>
                    <w:t>坚持生态优先、绿色发展，严格落实《四川省长江经济带发展负面清单实施细则（试行）》要求，加强涪江流域整体性保护。《规划》实施应按照涪江流域的生态功能定位、</w:t>
                  </w:r>
                  <w:r>
                    <w:rPr>
                      <w:sz w:val="21"/>
                      <w:szCs w:val="21"/>
                    </w:rPr>
                    <w:t>“</w:t>
                  </w:r>
                  <w:r>
                    <w:rPr>
                      <w:rFonts w:hint="default"/>
                      <w:sz w:val="21"/>
                      <w:szCs w:val="21"/>
                    </w:rPr>
                    <w:t>三线一单</w:t>
                  </w:r>
                  <w:r>
                    <w:rPr>
                      <w:sz w:val="21"/>
                      <w:szCs w:val="21"/>
                    </w:rPr>
                    <w:t>”</w:t>
                  </w:r>
                  <w:r>
                    <w:rPr>
                      <w:rFonts w:hint="default"/>
                      <w:sz w:val="21"/>
                      <w:szCs w:val="21"/>
                    </w:rPr>
                    <w:t>管控要求，优化后续建设项目，持续推进流域生态环境质量改善。</w:t>
                  </w:r>
                </w:p>
              </w:tc>
              <w:tc>
                <w:tcPr>
                  <w:tcW w:w="2333" w:type="dxa"/>
                  <w:vAlign w:val="center"/>
                </w:tcPr>
                <w:p w14:paraId="7664E3CB">
                  <w:pPr>
                    <w:pStyle w:val="36"/>
                    <w:spacing w:line="320" w:lineRule="exact"/>
                    <w:ind w:firstLine="0" w:firstLineChars="0"/>
                    <w:jc w:val="center"/>
                    <w:rPr>
                      <w:rFonts w:hint="default"/>
                      <w:sz w:val="21"/>
                      <w:szCs w:val="21"/>
                    </w:rPr>
                  </w:pPr>
                  <w:r>
                    <w:rPr>
                      <w:rFonts w:hint="default"/>
                      <w:sz w:val="21"/>
                      <w:szCs w:val="21"/>
                    </w:rPr>
                    <w:t>本项目严格按照《四川省、重庆市长江经济带发展负面清单实施细则（试行，2022 年版）》要求执行，项目为河道整治</w:t>
                  </w:r>
                  <w:r>
                    <w:rPr>
                      <w:sz w:val="21"/>
                      <w:szCs w:val="21"/>
                    </w:rPr>
                    <w:t>工程</w:t>
                  </w:r>
                  <w:r>
                    <w:rPr>
                      <w:rFonts w:hint="default"/>
                      <w:sz w:val="21"/>
                      <w:szCs w:val="21"/>
                    </w:rPr>
                    <w:t>，项目实施不会对环境质量和生态现状造成明显影响。</w:t>
                  </w:r>
                </w:p>
              </w:tc>
              <w:tc>
                <w:tcPr>
                  <w:tcW w:w="908" w:type="dxa"/>
                  <w:vAlign w:val="center"/>
                </w:tcPr>
                <w:p w14:paraId="1783E2BA">
                  <w:pPr>
                    <w:autoSpaceDE w:val="0"/>
                    <w:autoSpaceDN w:val="0"/>
                    <w:adjustRightInd w:val="0"/>
                    <w:snapToGrid w:val="0"/>
                    <w:spacing w:line="320" w:lineRule="exact"/>
                    <w:jc w:val="center"/>
                    <w:rPr>
                      <w:szCs w:val="21"/>
                    </w:rPr>
                  </w:pPr>
                  <w:r>
                    <w:rPr>
                      <w:rFonts w:hint="eastAsia"/>
                      <w:szCs w:val="21"/>
                    </w:rPr>
                    <w:t>符合</w:t>
                  </w:r>
                </w:p>
              </w:tc>
            </w:tr>
            <w:tr w14:paraId="2960C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7268E6FE">
                  <w:pPr>
                    <w:pStyle w:val="36"/>
                    <w:spacing w:line="320" w:lineRule="exact"/>
                    <w:ind w:firstLine="0" w:firstLineChars="0"/>
                    <w:jc w:val="center"/>
                    <w:rPr>
                      <w:rFonts w:hint="default"/>
                      <w:sz w:val="21"/>
                      <w:szCs w:val="21"/>
                    </w:rPr>
                  </w:pPr>
                  <w:r>
                    <w:rPr>
                      <w:sz w:val="21"/>
                      <w:szCs w:val="21"/>
                    </w:rPr>
                    <w:t>5</w:t>
                  </w:r>
                </w:p>
              </w:tc>
              <w:tc>
                <w:tcPr>
                  <w:tcW w:w="4017" w:type="dxa"/>
                  <w:vAlign w:val="center"/>
                </w:tcPr>
                <w:p w14:paraId="3D7291BD">
                  <w:pPr>
                    <w:pStyle w:val="36"/>
                    <w:spacing w:line="320" w:lineRule="exact"/>
                    <w:ind w:firstLine="0" w:firstLineChars="0"/>
                    <w:jc w:val="center"/>
                    <w:rPr>
                      <w:rFonts w:hint="default"/>
                      <w:sz w:val="21"/>
                      <w:szCs w:val="21"/>
                    </w:rPr>
                  </w:pPr>
                  <w:r>
                    <w:rPr>
                      <w:rFonts w:hint="default"/>
                      <w:sz w:val="21"/>
                      <w:szCs w:val="21"/>
                    </w:rPr>
                    <w:t>紧密结合《涪江流域水污染防治规划》《四川省涪江“一河一策”管理保护方案》等水环境保护要求，强化涪江流域水环境综合整治，切实改善流域水环境质量，确保饮用水水源水质达标，各考核断面稳定达到水质管控目标要求。</w:t>
                  </w:r>
                </w:p>
              </w:tc>
              <w:tc>
                <w:tcPr>
                  <w:tcW w:w="2333" w:type="dxa"/>
                  <w:vAlign w:val="center"/>
                </w:tcPr>
                <w:p w14:paraId="6F4DD60D">
                  <w:pPr>
                    <w:pStyle w:val="36"/>
                    <w:spacing w:line="320" w:lineRule="exact"/>
                    <w:ind w:firstLine="0" w:firstLineChars="0"/>
                    <w:jc w:val="center"/>
                    <w:rPr>
                      <w:rFonts w:hint="default"/>
                      <w:sz w:val="21"/>
                      <w:szCs w:val="21"/>
                    </w:rPr>
                  </w:pPr>
                  <w:r>
                    <w:rPr>
                      <w:rFonts w:hint="default"/>
                      <w:sz w:val="21"/>
                      <w:szCs w:val="21"/>
                    </w:rPr>
                    <w:t>运营期本项目渠道本身不会产生废水等污染物。</w:t>
                  </w:r>
                </w:p>
              </w:tc>
              <w:tc>
                <w:tcPr>
                  <w:tcW w:w="908" w:type="dxa"/>
                  <w:vAlign w:val="center"/>
                </w:tcPr>
                <w:p w14:paraId="18199B20">
                  <w:pPr>
                    <w:autoSpaceDE w:val="0"/>
                    <w:autoSpaceDN w:val="0"/>
                    <w:adjustRightInd w:val="0"/>
                    <w:snapToGrid w:val="0"/>
                    <w:spacing w:line="320" w:lineRule="exact"/>
                    <w:jc w:val="center"/>
                    <w:rPr>
                      <w:szCs w:val="21"/>
                    </w:rPr>
                  </w:pPr>
                  <w:r>
                    <w:rPr>
                      <w:rFonts w:hint="eastAsia"/>
                      <w:szCs w:val="21"/>
                    </w:rPr>
                    <w:t>符合</w:t>
                  </w:r>
                </w:p>
              </w:tc>
            </w:tr>
            <w:tr w14:paraId="4659A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016811C7">
                  <w:pPr>
                    <w:pStyle w:val="36"/>
                    <w:spacing w:line="320" w:lineRule="exact"/>
                    <w:ind w:firstLine="0" w:firstLineChars="0"/>
                    <w:jc w:val="center"/>
                    <w:rPr>
                      <w:rFonts w:hint="default"/>
                      <w:sz w:val="21"/>
                      <w:szCs w:val="21"/>
                    </w:rPr>
                  </w:pPr>
                  <w:r>
                    <w:rPr>
                      <w:sz w:val="21"/>
                      <w:szCs w:val="21"/>
                    </w:rPr>
                    <w:t>6</w:t>
                  </w:r>
                </w:p>
              </w:tc>
              <w:tc>
                <w:tcPr>
                  <w:tcW w:w="4017" w:type="dxa"/>
                  <w:vAlign w:val="center"/>
                </w:tcPr>
                <w:p w14:paraId="107EAD3A">
                  <w:pPr>
                    <w:pStyle w:val="36"/>
                    <w:spacing w:line="320" w:lineRule="exact"/>
                    <w:ind w:firstLine="0" w:firstLineChars="0"/>
                    <w:jc w:val="center"/>
                    <w:rPr>
                      <w:rFonts w:hint="default"/>
                      <w:sz w:val="21"/>
                      <w:szCs w:val="21"/>
                    </w:rPr>
                  </w:pPr>
                  <w:r>
                    <w:rPr>
                      <w:rFonts w:hint="default"/>
                      <w:sz w:val="21"/>
                      <w:szCs w:val="21"/>
                    </w:rPr>
                    <w:t>严格保护生态空间，进一步优化《规划》的空间布局。基于河流整体性、系统性保护的原则，对已实施且涉及环境敏感区的项目，及时开展生态补偿及生态修复，存在严重生态环境影响的，纳入退出机制。</w:t>
                  </w:r>
                </w:p>
              </w:tc>
              <w:tc>
                <w:tcPr>
                  <w:tcW w:w="2333" w:type="dxa"/>
                  <w:vAlign w:val="center"/>
                </w:tcPr>
                <w:p w14:paraId="66C84ACF">
                  <w:pPr>
                    <w:pStyle w:val="36"/>
                    <w:spacing w:line="320" w:lineRule="exact"/>
                    <w:ind w:firstLine="0" w:firstLineChars="0"/>
                    <w:jc w:val="center"/>
                    <w:rPr>
                      <w:rFonts w:hint="default"/>
                      <w:sz w:val="21"/>
                      <w:szCs w:val="21"/>
                    </w:rPr>
                  </w:pPr>
                  <w:r>
                    <w:rPr>
                      <w:rFonts w:hint="default"/>
                      <w:sz w:val="21"/>
                      <w:szCs w:val="21"/>
                    </w:rPr>
                    <w:t>本项目不涉及自然保护区、重要湿地、水产种质资源保护区等生态敏感区，同时根据现场调查及现有资料汇总，本项目河段不涉及重要水生生物的自然产卵场、索饵场、越冬场和洄游通道。</w:t>
                  </w:r>
                </w:p>
              </w:tc>
              <w:tc>
                <w:tcPr>
                  <w:tcW w:w="908" w:type="dxa"/>
                  <w:vAlign w:val="center"/>
                </w:tcPr>
                <w:p w14:paraId="2CEACA25">
                  <w:pPr>
                    <w:autoSpaceDE w:val="0"/>
                    <w:autoSpaceDN w:val="0"/>
                    <w:adjustRightInd w:val="0"/>
                    <w:snapToGrid w:val="0"/>
                    <w:spacing w:line="320" w:lineRule="exact"/>
                    <w:jc w:val="center"/>
                    <w:rPr>
                      <w:szCs w:val="21"/>
                    </w:rPr>
                  </w:pPr>
                  <w:r>
                    <w:rPr>
                      <w:rFonts w:hint="eastAsia"/>
                      <w:szCs w:val="21"/>
                    </w:rPr>
                    <w:t>符合</w:t>
                  </w:r>
                </w:p>
              </w:tc>
            </w:tr>
            <w:tr w14:paraId="1C565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798D3160">
                  <w:pPr>
                    <w:pStyle w:val="36"/>
                    <w:spacing w:line="320" w:lineRule="exact"/>
                    <w:ind w:firstLine="0" w:firstLineChars="0"/>
                    <w:jc w:val="center"/>
                    <w:rPr>
                      <w:rFonts w:hint="default"/>
                      <w:sz w:val="21"/>
                      <w:szCs w:val="21"/>
                    </w:rPr>
                  </w:pPr>
                  <w:r>
                    <w:rPr>
                      <w:sz w:val="21"/>
                      <w:szCs w:val="21"/>
                    </w:rPr>
                    <w:t>7</w:t>
                  </w:r>
                </w:p>
              </w:tc>
              <w:tc>
                <w:tcPr>
                  <w:tcW w:w="4017" w:type="dxa"/>
                  <w:vAlign w:val="center"/>
                </w:tcPr>
                <w:p w14:paraId="38AC1661">
                  <w:pPr>
                    <w:pStyle w:val="36"/>
                    <w:spacing w:line="320" w:lineRule="exact"/>
                    <w:ind w:firstLine="0" w:firstLineChars="0"/>
                    <w:jc w:val="center"/>
                    <w:rPr>
                      <w:rFonts w:hint="default"/>
                      <w:sz w:val="21"/>
                      <w:szCs w:val="21"/>
                    </w:rPr>
                  </w:pPr>
                  <w:r>
                    <w:rPr>
                      <w:rFonts w:hint="default"/>
                      <w:sz w:val="21"/>
                      <w:szCs w:val="21"/>
                    </w:rPr>
                    <w:t>维持河道连通性，对拟建的水利水电及电航工程，需进行深入的过鱼方案论证。对于涪江干流各已建涉水工程，相关业主需结合其工程特性、影响河段水生生态特征及鱼类保护需求，及时补建过鱼设施。</w:t>
                  </w:r>
                </w:p>
              </w:tc>
              <w:tc>
                <w:tcPr>
                  <w:tcW w:w="2333" w:type="dxa"/>
                  <w:vAlign w:val="center"/>
                </w:tcPr>
                <w:p w14:paraId="3CE34D4C">
                  <w:pPr>
                    <w:pStyle w:val="36"/>
                    <w:spacing w:line="320" w:lineRule="exact"/>
                    <w:ind w:firstLine="0" w:firstLineChars="0"/>
                    <w:jc w:val="center"/>
                    <w:rPr>
                      <w:rFonts w:hint="default"/>
                      <w:sz w:val="21"/>
                      <w:szCs w:val="21"/>
                    </w:rPr>
                  </w:pPr>
                  <w:r>
                    <w:rPr>
                      <w:rFonts w:hint="default"/>
                      <w:sz w:val="21"/>
                      <w:szCs w:val="21"/>
                    </w:rPr>
                    <w:t>本项目不属于涪江干流建设项目。</w:t>
                  </w:r>
                </w:p>
              </w:tc>
              <w:tc>
                <w:tcPr>
                  <w:tcW w:w="908" w:type="dxa"/>
                  <w:vAlign w:val="center"/>
                </w:tcPr>
                <w:p w14:paraId="77193014">
                  <w:pPr>
                    <w:autoSpaceDE w:val="0"/>
                    <w:autoSpaceDN w:val="0"/>
                    <w:adjustRightInd w:val="0"/>
                    <w:snapToGrid w:val="0"/>
                    <w:spacing w:line="320" w:lineRule="exact"/>
                    <w:jc w:val="center"/>
                    <w:rPr>
                      <w:szCs w:val="21"/>
                    </w:rPr>
                  </w:pPr>
                  <w:r>
                    <w:rPr>
                      <w:rFonts w:hint="eastAsia"/>
                      <w:szCs w:val="21"/>
                    </w:rPr>
                    <w:t>符合</w:t>
                  </w:r>
                </w:p>
              </w:tc>
            </w:tr>
            <w:tr w14:paraId="6002D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373F0B89">
                  <w:pPr>
                    <w:pStyle w:val="36"/>
                    <w:spacing w:line="320" w:lineRule="exact"/>
                    <w:ind w:firstLine="0" w:firstLineChars="0"/>
                    <w:jc w:val="center"/>
                    <w:rPr>
                      <w:rFonts w:hint="default"/>
                      <w:sz w:val="21"/>
                      <w:szCs w:val="21"/>
                    </w:rPr>
                  </w:pPr>
                  <w:r>
                    <w:rPr>
                      <w:sz w:val="21"/>
                      <w:szCs w:val="21"/>
                    </w:rPr>
                    <w:t>8</w:t>
                  </w:r>
                </w:p>
              </w:tc>
              <w:tc>
                <w:tcPr>
                  <w:tcW w:w="4017" w:type="dxa"/>
                  <w:vAlign w:val="center"/>
                </w:tcPr>
                <w:p w14:paraId="08AA627C">
                  <w:pPr>
                    <w:pStyle w:val="36"/>
                    <w:spacing w:line="320" w:lineRule="exact"/>
                    <w:ind w:firstLine="0" w:firstLineChars="0"/>
                    <w:jc w:val="center"/>
                    <w:rPr>
                      <w:rFonts w:hint="default"/>
                      <w:sz w:val="21"/>
                      <w:szCs w:val="21"/>
                    </w:rPr>
                  </w:pPr>
                  <w:r>
                    <w:rPr>
                      <w:rFonts w:hint="default"/>
                      <w:sz w:val="21"/>
                      <w:szCs w:val="21"/>
                    </w:rPr>
                    <w:t>《规划》实施过程中应按本次规划环评成果，做好水资源及水生态保护专项规划工作。《规划》后续实施的项目与需落实的相应环保对策措施，要根据本次规划环评成果及审查意见，针对性进行调整和优化。</w:t>
                  </w:r>
                </w:p>
              </w:tc>
              <w:tc>
                <w:tcPr>
                  <w:tcW w:w="2333" w:type="dxa"/>
                  <w:vAlign w:val="center"/>
                </w:tcPr>
                <w:p w14:paraId="0B90EF1D">
                  <w:pPr>
                    <w:pStyle w:val="36"/>
                    <w:spacing w:line="320" w:lineRule="exact"/>
                    <w:ind w:firstLine="0" w:firstLineChars="0"/>
                    <w:jc w:val="center"/>
                    <w:rPr>
                      <w:rFonts w:hint="default"/>
                      <w:sz w:val="21"/>
                      <w:szCs w:val="21"/>
                    </w:rPr>
                  </w:pPr>
                  <w:r>
                    <w:rPr>
                      <w:rFonts w:hint="default"/>
                      <w:sz w:val="21"/>
                      <w:szCs w:val="21"/>
                    </w:rPr>
                    <w:t>本项目施工期主要污染物为扬尘、噪声、废水等，提出了相应环保措施，运营期渠道本身不产生污染物。</w:t>
                  </w:r>
                </w:p>
              </w:tc>
              <w:tc>
                <w:tcPr>
                  <w:tcW w:w="908" w:type="dxa"/>
                  <w:vAlign w:val="center"/>
                </w:tcPr>
                <w:p w14:paraId="5231EAA0">
                  <w:pPr>
                    <w:pStyle w:val="36"/>
                    <w:spacing w:line="320" w:lineRule="exact"/>
                    <w:ind w:firstLine="0" w:firstLineChars="0"/>
                    <w:jc w:val="center"/>
                    <w:rPr>
                      <w:rFonts w:hint="default"/>
                      <w:sz w:val="21"/>
                      <w:szCs w:val="21"/>
                    </w:rPr>
                  </w:pPr>
                  <w:r>
                    <w:rPr>
                      <w:sz w:val="21"/>
                      <w:szCs w:val="21"/>
                    </w:rPr>
                    <w:t>符合</w:t>
                  </w:r>
                </w:p>
              </w:tc>
            </w:tr>
          </w:tbl>
          <w:p w14:paraId="6780FA48">
            <w:pPr>
              <w:pStyle w:val="36"/>
              <w:ind w:firstLine="480"/>
              <w:rPr>
                <w:rFonts w:hint="default"/>
              </w:rPr>
            </w:pPr>
          </w:p>
          <w:p w14:paraId="5A0E7E16">
            <w:pPr>
              <w:pStyle w:val="36"/>
              <w:ind w:firstLine="480"/>
              <w:rPr>
                <w:rFonts w:hint="default"/>
              </w:rPr>
            </w:pPr>
          </w:p>
        </w:tc>
      </w:tr>
      <w:tr w14:paraId="5AEA82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dxa"/>
            <w:vAlign w:val="center"/>
          </w:tcPr>
          <w:p w14:paraId="42422148">
            <w:pPr>
              <w:autoSpaceDE w:val="0"/>
              <w:autoSpaceDN w:val="0"/>
              <w:adjustRightInd w:val="0"/>
              <w:snapToGrid w:val="0"/>
              <w:jc w:val="center"/>
              <w:rPr>
                <w:kern w:val="0"/>
                <w:sz w:val="24"/>
              </w:rPr>
            </w:pPr>
            <w:r>
              <w:rPr>
                <w:rFonts w:hint="eastAsia"/>
                <w:kern w:val="0"/>
                <w:sz w:val="24"/>
              </w:rPr>
              <w:t>其他符合性分析</w:t>
            </w:r>
          </w:p>
        </w:tc>
        <w:tc>
          <w:tcPr>
            <w:tcW w:w="8200" w:type="dxa"/>
            <w:gridSpan w:val="4"/>
            <w:vAlign w:val="center"/>
          </w:tcPr>
          <w:p w14:paraId="7E03978D">
            <w:pPr>
              <w:pStyle w:val="4"/>
              <w:numPr>
                <w:ilvl w:val="0"/>
                <w:numId w:val="17"/>
              </w:numPr>
            </w:pPr>
            <w:r>
              <w:rPr>
                <w:rFonts w:hint="eastAsia"/>
              </w:rPr>
              <w:t>用地规划符合性分析</w:t>
            </w:r>
          </w:p>
          <w:p w14:paraId="6AD9F89A">
            <w:pPr>
              <w:pStyle w:val="36"/>
              <w:ind w:firstLine="480"/>
              <w:rPr>
                <w:rFonts w:hint="default"/>
              </w:rPr>
            </w:pPr>
            <w:r>
              <w:t>本项目位于四川省遂宁市大英县金元镇，根据设计单位提供资料，</w:t>
            </w:r>
            <w:r>
              <w:rPr>
                <w:rFonts w:hint="default" w:cs="Times New Roman"/>
                <w:color w:val="auto"/>
                <w:highlight w:val="none"/>
                <w:lang w:val="en-US" w:eastAsia="zh-CN"/>
              </w:rPr>
              <w:t>本工程征占用各类土地共计</w:t>
            </w:r>
            <w:r>
              <w:rPr>
                <w:rFonts w:hint="eastAsia" w:cs="Times New Roman"/>
                <w:color w:val="auto"/>
                <w:highlight w:val="none"/>
                <w:lang w:val="en-US" w:eastAsia="zh-CN"/>
              </w:rPr>
              <w:t>15105.94m</w:t>
            </w:r>
            <w:r>
              <w:rPr>
                <w:rFonts w:hint="eastAsia" w:cs="Times New Roman"/>
                <w:color w:val="auto"/>
                <w:highlight w:val="none"/>
                <w:vertAlign w:val="superscript"/>
                <w:lang w:val="en-US" w:eastAsia="zh-CN"/>
              </w:rPr>
              <w:t>2</w:t>
            </w:r>
            <w:r>
              <w:rPr>
                <w:rFonts w:hint="default" w:cs="Times New Roman"/>
                <w:color w:val="auto"/>
                <w:highlight w:val="none"/>
                <w:lang w:val="en-US" w:eastAsia="zh-CN"/>
              </w:rPr>
              <w:t>，其中永久占地</w:t>
            </w:r>
            <w:r>
              <w:rPr>
                <w:rFonts w:hint="eastAsia" w:cs="Times New Roman"/>
                <w:color w:val="auto"/>
                <w:highlight w:val="none"/>
                <w:lang w:val="en-US" w:eastAsia="zh-CN"/>
              </w:rPr>
              <w:t>14041.72m</w:t>
            </w:r>
            <w:r>
              <w:rPr>
                <w:rFonts w:hint="eastAsia" w:cs="Times New Roman"/>
                <w:color w:val="auto"/>
                <w:highlight w:val="none"/>
                <w:vertAlign w:val="superscript"/>
                <w:lang w:val="en-US" w:eastAsia="zh-CN"/>
              </w:rPr>
              <w:t>2</w:t>
            </w:r>
            <w:r>
              <w:rPr>
                <w:rFonts w:hint="default" w:cs="Times New Roman"/>
                <w:color w:val="auto"/>
                <w:highlight w:val="none"/>
                <w:lang w:val="en-US" w:eastAsia="zh-CN"/>
              </w:rPr>
              <w:t>，临时占地</w:t>
            </w:r>
            <w:r>
              <w:rPr>
                <w:rFonts w:hint="eastAsia" w:cs="Times New Roman"/>
                <w:color w:val="auto"/>
                <w:highlight w:val="none"/>
                <w:lang w:val="en-US" w:eastAsia="zh-CN"/>
              </w:rPr>
              <w:t>1064.22m</w:t>
            </w:r>
            <w:r>
              <w:rPr>
                <w:rFonts w:hint="eastAsia" w:cs="Times New Roman"/>
                <w:color w:val="auto"/>
                <w:highlight w:val="none"/>
                <w:vertAlign w:val="superscript"/>
                <w:lang w:val="en-US" w:eastAsia="zh-CN"/>
              </w:rPr>
              <w:t>2</w:t>
            </w:r>
            <w:r>
              <w:rPr>
                <w:rFonts w:hint="default" w:cs="Times New Roman"/>
                <w:color w:val="auto"/>
                <w:highlight w:val="none"/>
                <w:lang w:val="en-US" w:eastAsia="zh-CN"/>
              </w:rPr>
              <w:t>。</w:t>
            </w:r>
            <w:r>
              <w:t>工程占地范围内不涉及基本农田、天然林、不涉及文物古迹等。项目土地利用现状如下表。</w:t>
            </w:r>
          </w:p>
          <w:p w14:paraId="472319DD">
            <w:pPr>
              <w:pStyle w:val="37"/>
              <w:spacing w:before="156"/>
              <w:rPr>
                <w:rFonts w:hint="default"/>
              </w:rPr>
            </w:pPr>
            <w:r>
              <w:t>土地利用现状</w:t>
            </w:r>
          </w:p>
          <w:tbl>
            <w:tblPr>
              <w:tblStyle w:val="105"/>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0"/>
              <w:gridCol w:w="2057"/>
              <w:gridCol w:w="717"/>
              <w:gridCol w:w="1659"/>
              <w:gridCol w:w="1767"/>
              <w:gridCol w:w="1448"/>
            </w:tblGrid>
            <w:tr w14:paraId="3CFAA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0" w:type="pct"/>
                  <w:vMerge w:val="restart"/>
                  <w:noWrap/>
                  <w:vAlign w:val="center"/>
                </w:tcPr>
                <w:p w14:paraId="3518C623">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序号</w:t>
                  </w:r>
                </w:p>
              </w:tc>
              <w:tc>
                <w:tcPr>
                  <w:tcW w:w="1290" w:type="pct"/>
                  <w:vMerge w:val="restart"/>
                  <w:noWrap/>
                  <w:vAlign w:val="center"/>
                </w:tcPr>
                <w:p w14:paraId="3DF8A2F0">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项目</w:t>
                  </w:r>
                </w:p>
              </w:tc>
              <w:tc>
                <w:tcPr>
                  <w:tcW w:w="449" w:type="pct"/>
                  <w:vMerge w:val="restart"/>
                  <w:noWrap/>
                  <w:vAlign w:val="center"/>
                </w:tcPr>
                <w:p w14:paraId="2172BBEA">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单位</w:t>
                  </w:r>
                </w:p>
              </w:tc>
              <w:tc>
                <w:tcPr>
                  <w:tcW w:w="1040" w:type="pct"/>
                  <w:noWrap/>
                  <w:vAlign w:val="center"/>
                </w:tcPr>
                <w:p w14:paraId="0FDED1A7">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永久用地</w:t>
                  </w:r>
                </w:p>
              </w:tc>
              <w:tc>
                <w:tcPr>
                  <w:tcW w:w="1108" w:type="pct"/>
                  <w:noWrap/>
                  <w:vAlign w:val="center"/>
                </w:tcPr>
                <w:p w14:paraId="26B6CE3D">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临时用地区</w:t>
                  </w:r>
                </w:p>
              </w:tc>
              <w:tc>
                <w:tcPr>
                  <w:tcW w:w="908" w:type="pct"/>
                  <w:vMerge w:val="restart"/>
                  <w:noWrap/>
                  <w:vAlign w:val="center"/>
                </w:tcPr>
                <w:p w14:paraId="38998BEE">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合计</w:t>
                  </w:r>
                </w:p>
              </w:tc>
            </w:tr>
            <w:tr w14:paraId="2EE48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0" w:type="pct"/>
                  <w:vMerge w:val="continue"/>
                  <w:vAlign w:val="center"/>
                </w:tcPr>
                <w:p w14:paraId="2ADA3939">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rPr>
                  </w:pPr>
                </w:p>
              </w:tc>
              <w:tc>
                <w:tcPr>
                  <w:tcW w:w="1290" w:type="pct"/>
                  <w:vMerge w:val="continue"/>
                  <w:vAlign w:val="center"/>
                </w:tcPr>
                <w:p w14:paraId="27FE26A3">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rPr>
                  </w:pPr>
                </w:p>
              </w:tc>
              <w:tc>
                <w:tcPr>
                  <w:tcW w:w="449" w:type="pct"/>
                  <w:vMerge w:val="continue"/>
                  <w:vAlign w:val="center"/>
                </w:tcPr>
                <w:p w14:paraId="4D3A9282">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rPr>
                  </w:pPr>
                </w:p>
              </w:tc>
              <w:tc>
                <w:tcPr>
                  <w:tcW w:w="1040" w:type="pct"/>
                  <w:noWrap/>
                  <w:vAlign w:val="center"/>
                </w:tcPr>
                <w:p w14:paraId="7E002D06">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主体工程</w:t>
                  </w:r>
                </w:p>
              </w:tc>
              <w:tc>
                <w:tcPr>
                  <w:tcW w:w="1108" w:type="pct"/>
                  <w:noWrap/>
                  <w:vAlign w:val="center"/>
                </w:tcPr>
                <w:p w14:paraId="346477E9">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施工临时场地</w:t>
                  </w:r>
                </w:p>
              </w:tc>
              <w:tc>
                <w:tcPr>
                  <w:tcW w:w="908" w:type="pct"/>
                  <w:vMerge w:val="continue"/>
                  <w:noWrap/>
                  <w:vAlign w:val="center"/>
                </w:tcPr>
                <w:p w14:paraId="0FE24737">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lang w:eastAsia="zh-CN"/>
                    </w:rPr>
                  </w:pPr>
                </w:p>
              </w:tc>
            </w:tr>
            <w:tr w14:paraId="3AF6D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0" w:type="pct"/>
                  <w:noWrap/>
                  <w:vAlign w:val="center"/>
                </w:tcPr>
                <w:p w14:paraId="50ABAEE3">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w:t>
                  </w:r>
                </w:p>
              </w:tc>
              <w:tc>
                <w:tcPr>
                  <w:tcW w:w="1290" w:type="pct"/>
                  <w:noWrap/>
                  <w:vAlign w:val="center"/>
                </w:tcPr>
                <w:p w14:paraId="42709537">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耕地</w:t>
                  </w:r>
                </w:p>
              </w:tc>
              <w:tc>
                <w:tcPr>
                  <w:tcW w:w="449" w:type="pct"/>
                  <w:noWrap/>
                  <w:vAlign w:val="center"/>
                </w:tcPr>
                <w:p w14:paraId="7FFA2FC8">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default" w:ascii="Times New Roman" w:hAnsi="Times New Roman" w:eastAsia="宋体" w:cs="Times New Roman"/>
                      <w:sz w:val="21"/>
                      <w:szCs w:val="21"/>
                      <w:highlight w:val="none"/>
                      <w:vertAlign w:val="superscript"/>
                      <w:lang w:val="en-US" w:eastAsia="zh-CN"/>
                    </w:rPr>
                  </w:pPr>
                  <w:r>
                    <w:rPr>
                      <w:rFonts w:hint="eastAsia" w:ascii="Times New Roman" w:hAnsi="Times New Roman" w:eastAsia="宋体" w:cs="Times New Roman"/>
                      <w:sz w:val="21"/>
                      <w:szCs w:val="21"/>
                      <w:highlight w:val="none"/>
                      <w:lang w:val="en-US" w:eastAsia="zh-CN"/>
                    </w:rPr>
                    <w:t>m</w:t>
                  </w:r>
                  <w:r>
                    <w:rPr>
                      <w:rFonts w:hint="eastAsia" w:ascii="Times New Roman" w:hAnsi="Times New Roman" w:eastAsia="宋体" w:cs="Times New Roman"/>
                      <w:sz w:val="21"/>
                      <w:szCs w:val="21"/>
                      <w:highlight w:val="none"/>
                      <w:vertAlign w:val="superscript"/>
                      <w:lang w:val="en-US" w:eastAsia="zh-CN"/>
                    </w:rPr>
                    <w:t>2</w:t>
                  </w:r>
                </w:p>
              </w:tc>
              <w:tc>
                <w:tcPr>
                  <w:tcW w:w="1040" w:type="pct"/>
                  <w:noWrap/>
                  <w:vAlign w:val="center"/>
                </w:tcPr>
                <w:p w14:paraId="2852967D">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69.25</w:t>
                  </w:r>
                </w:p>
              </w:tc>
              <w:tc>
                <w:tcPr>
                  <w:tcW w:w="1108" w:type="pct"/>
                  <w:noWrap/>
                  <w:vAlign w:val="center"/>
                </w:tcPr>
                <w:p w14:paraId="1AA2CD0B">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811.27</w:t>
                  </w:r>
                </w:p>
              </w:tc>
              <w:tc>
                <w:tcPr>
                  <w:tcW w:w="908" w:type="pct"/>
                  <w:noWrap/>
                  <w:vAlign w:val="center"/>
                </w:tcPr>
                <w:p w14:paraId="1784FB74">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880.52</w:t>
                  </w:r>
                </w:p>
              </w:tc>
            </w:tr>
            <w:tr w14:paraId="20661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0" w:type="pct"/>
                  <w:noWrap/>
                  <w:vAlign w:val="center"/>
                </w:tcPr>
                <w:p w14:paraId="1A62F342">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2</w:t>
                  </w:r>
                </w:p>
              </w:tc>
              <w:tc>
                <w:tcPr>
                  <w:tcW w:w="1290" w:type="pct"/>
                  <w:noWrap/>
                  <w:vAlign w:val="center"/>
                </w:tcPr>
                <w:p w14:paraId="5C636F3C">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林地</w:t>
                  </w:r>
                </w:p>
              </w:tc>
              <w:tc>
                <w:tcPr>
                  <w:tcW w:w="449" w:type="pct"/>
                  <w:noWrap/>
                  <w:vAlign w:val="center"/>
                </w:tcPr>
                <w:p w14:paraId="71BE57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m</w:t>
                  </w:r>
                  <w:r>
                    <w:rPr>
                      <w:rFonts w:hint="eastAsia" w:ascii="Times New Roman" w:hAnsi="Times New Roman" w:eastAsia="宋体" w:cs="Times New Roman"/>
                      <w:sz w:val="21"/>
                      <w:szCs w:val="21"/>
                      <w:highlight w:val="none"/>
                      <w:vertAlign w:val="superscript"/>
                      <w:lang w:val="en-US" w:eastAsia="zh-CN"/>
                    </w:rPr>
                    <w:t>2</w:t>
                  </w:r>
                </w:p>
              </w:tc>
              <w:tc>
                <w:tcPr>
                  <w:tcW w:w="1040" w:type="pct"/>
                  <w:noWrap/>
                  <w:vAlign w:val="center"/>
                </w:tcPr>
                <w:p w14:paraId="20EAC1F5">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3516.85</w:t>
                  </w:r>
                </w:p>
              </w:tc>
              <w:tc>
                <w:tcPr>
                  <w:tcW w:w="1108" w:type="pct"/>
                  <w:noWrap/>
                  <w:vAlign w:val="center"/>
                </w:tcPr>
                <w:p w14:paraId="3FEBAA0A">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0</w:t>
                  </w:r>
                </w:p>
              </w:tc>
              <w:tc>
                <w:tcPr>
                  <w:tcW w:w="908" w:type="pct"/>
                  <w:noWrap/>
                  <w:vAlign w:val="center"/>
                </w:tcPr>
                <w:p w14:paraId="463209C2">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3516.85</w:t>
                  </w:r>
                </w:p>
              </w:tc>
            </w:tr>
            <w:tr w14:paraId="72802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0" w:type="pct"/>
                  <w:noWrap/>
                  <w:vAlign w:val="center"/>
                </w:tcPr>
                <w:p w14:paraId="0B2AF562">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3</w:t>
                  </w:r>
                </w:p>
              </w:tc>
              <w:tc>
                <w:tcPr>
                  <w:tcW w:w="1290" w:type="pct"/>
                  <w:noWrap/>
                  <w:vAlign w:val="center"/>
                </w:tcPr>
                <w:p w14:paraId="11E2FDF4">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交通运输用地</w:t>
                  </w:r>
                </w:p>
              </w:tc>
              <w:tc>
                <w:tcPr>
                  <w:tcW w:w="449" w:type="pct"/>
                  <w:noWrap/>
                  <w:vAlign w:val="center"/>
                </w:tcPr>
                <w:p w14:paraId="5EBD22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m</w:t>
                  </w:r>
                  <w:r>
                    <w:rPr>
                      <w:rFonts w:hint="eastAsia" w:ascii="Times New Roman" w:hAnsi="Times New Roman" w:eastAsia="宋体" w:cs="Times New Roman"/>
                      <w:sz w:val="21"/>
                      <w:szCs w:val="21"/>
                      <w:highlight w:val="none"/>
                      <w:vertAlign w:val="superscript"/>
                      <w:lang w:val="en-US" w:eastAsia="zh-CN"/>
                    </w:rPr>
                    <w:t>2</w:t>
                  </w:r>
                </w:p>
              </w:tc>
              <w:tc>
                <w:tcPr>
                  <w:tcW w:w="1040" w:type="pct"/>
                  <w:noWrap/>
                  <w:vAlign w:val="center"/>
                </w:tcPr>
                <w:p w14:paraId="128290F7">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200.62</w:t>
                  </w:r>
                </w:p>
              </w:tc>
              <w:tc>
                <w:tcPr>
                  <w:tcW w:w="1108" w:type="pct"/>
                  <w:noWrap/>
                  <w:vAlign w:val="center"/>
                </w:tcPr>
                <w:p w14:paraId="54DF93A6">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0</w:t>
                  </w:r>
                </w:p>
              </w:tc>
              <w:tc>
                <w:tcPr>
                  <w:tcW w:w="908" w:type="pct"/>
                  <w:noWrap/>
                  <w:vAlign w:val="center"/>
                </w:tcPr>
                <w:p w14:paraId="7906D915">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200.62</w:t>
                  </w:r>
                </w:p>
              </w:tc>
            </w:tr>
            <w:tr w14:paraId="53103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0" w:type="pct"/>
                  <w:noWrap/>
                  <w:vAlign w:val="center"/>
                </w:tcPr>
                <w:p w14:paraId="2C8E838C">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4</w:t>
                  </w:r>
                </w:p>
              </w:tc>
              <w:tc>
                <w:tcPr>
                  <w:tcW w:w="1290" w:type="pct"/>
                  <w:noWrap/>
                  <w:vAlign w:val="center"/>
                </w:tcPr>
                <w:p w14:paraId="61107DE3">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水域及水利设施用地</w:t>
                  </w:r>
                </w:p>
              </w:tc>
              <w:tc>
                <w:tcPr>
                  <w:tcW w:w="449" w:type="pct"/>
                  <w:noWrap/>
                  <w:vAlign w:val="center"/>
                </w:tcPr>
                <w:p w14:paraId="2674EE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m</w:t>
                  </w:r>
                  <w:r>
                    <w:rPr>
                      <w:rFonts w:hint="eastAsia" w:ascii="Times New Roman" w:hAnsi="Times New Roman" w:eastAsia="宋体" w:cs="Times New Roman"/>
                      <w:sz w:val="21"/>
                      <w:szCs w:val="21"/>
                      <w:highlight w:val="none"/>
                      <w:vertAlign w:val="superscript"/>
                      <w:lang w:val="en-US" w:eastAsia="zh-CN"/>
                    </w:rPr>
                    <w:t>2</w:t>
                  </w:r>
                </w:p>
              </w:tc>
              <w:tc>
                <w:tcPr>
                  <w:tcW w:w="1040" w:type="pct"/>
                  <w:noWrap/>
                  <w:vAlign w:val="center"/>
                </w:tcPr>
                <w:p w14:paraId="67AA93E1">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9631.95</w:t>
                  </w:r>
                </w:p>
              </w:tc>
              <w:tc>
                <w:tcPr>
                  <w:tcW w:w="1108" w:type="pct"/>
                  <w:noWrap/>
                  <w:vAlign w:val="center"/>
                </w:tcPr>
                <w:p w14:paraId="68925578">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0</w:t>
                  </w:r>
                </w:p>
              </w:tc>
              <w:tc>
                <w:tcPr>
                  <w:tcW w:w="908" w:type="pct"/>
                  <w:noWrap/>
                  <w:vAlign w:val="center"/>
                </w:tcPr>
                <w:p w14:paraId="28BC10F5">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9631.95</w:t>
                  </w:r>
                </w:p>
              </w:tc>
            </w:tr>
            <w:tr w14:paraId="6FC24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0" w:type="pct"/>
                  <w:noWrap/>
                  <w:vAlign w:val="center"/>
                </w:tcPr>
                <w:p w14:paraId="15328CF7">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5</w:t>
                  </w:r>
                </w:p>
              </w:tc>
              <w:tc>
                <w:tcPr>
                  <w:tcW w:w="1290" w:type="pct"/>
                  <w:noWrap/>
                  <w:vAlign w:val="center"/>
                </w:tcPr>
                <w:p w14:paraId="0B1A9B01">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其他土地</w:t>
                  </w:r>
                </w:p>
              </w:tc>
              <w:tc>
                <w:tcPr>
                  <w:tcW w:w="449" w:type="pct"/>
                  <w:noWrap/>
                  <w:vAlign w:val="center"/>
                </w:tcPr>
                <w:p w14:paraId="79FDE4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m</w:t>
                  </w:r>
                  <w:r>
                    <w:rPr>
                      <w:rFonts w:hint="eastAsia" w:ascii="Times New Roman" w:hAnsi="Times New Roman" w:eastAsia="宋体" w:cs="Times New Roman"/>
                      <w:sz w:val="21"/>
                      <w:szCs w:val="21"/>
                      <w:highlight w:val="none"/>
                      <w:vertAlign w:val="superscript"/>
                      <w:lang w:val="en-US" w:eastAsia="zh-CN"/>
                    </w:rPr>
                    <w:t>2</w:t>
                  </w:r>
                </w:p>
              </w:tc>
              <w:tc>
                <w:tcPr>
                  <w:tcW w:w="1040" w:type="pct"/>
                  <w:noWrap/>
                  <w:vAlign w:val="center"/>
                </w:tcPr>
                <w:p w14:paraId="6AE128B6">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623.05</w:t>
                  </w:r>
                </w:p>
              </w:tc>
              <w:tc>
                <w:tcPr>
                  <w:tcW w:w="1108" w:type="pct"/>
                  <w:noWrap/>
                  <w:vAlign w:val="center"/>
                </w:tcPr>
                <w:p w14:paraId="03B70AAE">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252.95</w:t>
                  </w:r>
                </w:p>
              </w:tc>
              <w:tc>
                <w:tcPr>
                  <w:tcW w:w="908" w:type="pct"/>
                  <w:noWrap/>
                  <w:vAlign w:val="center"/>
                </w:tcPr>
                <w:p w14:paraId="1DB0E91C">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876.00</w:t>
                  </w:r>
                </w:p>
              </w:tc>
            </w:tr>
            <w:tr w14:paraId="0FB65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0" w:type="pct"/>
                  <w:shd w:val="clear" w:color="auto" w:fill="auto"/>
                  <w:noWrap/>
                  <w:vAlign w:val="center"/>
                </w:tcPr>
                <w:p w14:paraId="630C0A55">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baseline"/>
                    <w:rPr>
                      <w:rFonts w:hint="eastAsia" w:ascii="Times New Roman" w:hAnsi="Times New Roman" w:eastAsia="宋体" w:cs="Times New Roman"/>
                      <w:kern w:val="0"/>
                      <w:sz w:val="21"/>
                      <w:szCs w:val="21"/>
                      <w:highlight w:val="none"/>
                      <w:lang w:val="en-US" w:eastAsia="zh-CN" w:bidi="ar-SA"/>
                    </w:rPr>
                  </w:pPr>
                </w:p>
              </w:tc>
              <w:tc>
                <w:tcPr>
                  <w:tcW w:w="1290" w:type="pct"/>
                  <w:shd w:val="clear" w:color="auto" w:fill="auto"/>
                  <w:noWrap/>
                  <w:vAlign w:val="center"/>
                </w:tcPr>
                <w:p w14:paraId="7DE53189">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baseline"/>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sz w:val="21"/>
                      <w:szCs w:val="21"/>
                      <w:highlight w:val="none"/>
                      <w:lang w:eastAsia="zh-CN"/>
                    </w:rPr>
                    <w:t>占用</w:t>
                  </w:r>
                  <w:r>
                    <w:rPr>
                      <w:rFonts w:hint="eastAsia" w:ascii="Times New Roman" w:hAnsi="Times New Roman" w:eastAsia="宋体" w:cs="Times New Roman"/>
                      <w:sz w:val="21"/>
                      <w:szCs w:val="21"/>
                      <w:highlight w:val="none"/>
                    </w:rPr>
                    <w:t>土地面积</w:t>
                  </w:r>
                </w:p>
              </w:tc>
              <w:tc>
                <w:tcPr>
                  <w:tcW w:w="449" w:type="pct"/>
                  <w:shd w:val="clear" w:color="auto" w:fill="auto"/>
                  <w:noWrap/>
                  <w:vAlign w:val="center"/>
                </w:tcPr>
                <w:p w14:paraId="2D24AE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baseline"/>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m</w:t>
                  </w:r>
                  <w:r>
                    <w:rPr>
                      <w:rFonts w:hint="eastAsia" w:ascii="Times New Roman" w:hAnsi="Times New Roman" w:eastAsia="宋体" w:cs="Times New Roman"/>
                      <w:sz w:val="21"/>
                      <w:szCs w:val="21"/>
                      <w:highlight w:val="none"/>
                      <w:vertAlign w:val="superscript"/>
                      <w:lang w:val="en-US" w:eastAsia="zh-CN"/>
                    </w:rPr>
                    <w:t>2</w:t>
                  </w:r>
                </w:p>
              </w:tc>
              <w:tc>
                <w:tcPr>
                  <w:tcW w:w="1040" w:type="pct"/>
                  <w:shd w:val="clear" w:color="auto" w:fill="auto"/>
                  <w:noWrap/>
                  <w:vAlign w:val="center"/>
                </w:tcPr>
                <w:p w14:paraId="2B36CBFF">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baseline"/>
                    <w:rPr>
                      <w:rFonts w:hint="eastAsia" w:ascii="Times New Roman" w:hAnsi="Times New Roman" w:eastAsia="宋体" w:cs="Times New Roman"/>
                      <w:kern w:val="0"/>
                      <w:sz w:val="21"/>
                      <w:szCs w:val="21"/>
                      <w:highlight w:val="none"/>
                      <w:lang w:val="en-US" w:eastAsia="zh-CN" w:bidi="ar-SA"/>
                    </w:rPr>
                  </w:pPr>
                  <w:r>
                    <w:rPr>
                      <w:rFonts w:hint="eastAsia" w:cs="Times New Roman"/>
                      <w:kern w:val="0"/>
                      <w:sz w:val="21"/>
                      <w:szCs w:val="21"/>
                      <w:highlight w:val="none"/>
                      <w:lang w:val="en-US" w:eastAsia="zh-CN" w:bidi="ar-SA"/>
                    </w:rPr>
                    <w:t>14041.72</w:t>
                  </w:r>
                </w:p>
              </w:tc>
              <w:tc>
                <w:tcPr>
                  <w:tcW w:w="1108" w:type="pct"/>
                  <w:shd w:val="clear" w:color="auto" w:fill="auto"/>
                  <w:noWrap/>
                  <w:vAlign w:val="center"/>
                </w:tcPr>
                <w:p w14:paraId="63ECE193">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baseline"/>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bidi="ar-SA"/>
                    </w:rPr>
                    <w:t>1064.22</w:t>
                  </w:r>
                </w:p>
              </w:tc>
              <w:tc>
                <w:tcPr>
                  <w:tcW w:w="908" w:type="pct"/>
                  <w:shd w:val="clear" w:color="auto" w:fill="auto"/>
                  <w:noWrap/>
                  <w:vAlign w:val="center"/>
                </w:tcPr>
                <w:p w14:paraId="1C9C214E">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baseline"/>
                    <w:rPr>
                      <w:rFonts w:hint="default" w:ascii="Times New Roman" w:hAnsi="Times New Roman" w:eastAsia="宋体" w:cs="Times New Roman"/>
                      <w:kern w:val="0"/>
                      <w:sz w:val="21"/>
                      <w:szCs w:val="21"/>
                      <w:highlight w:val="none"/>
                      <w:lang w:val="en-US" w:eastAsia="zh-CN" w:bidi="ar-SA"/>
                    </w:rPr>
                  </w:pPr>
                  <w:r>
                    <w:rPr>
                      <w:rFonts w:hint="eastAsia" w:cs="Times New Roman"/>
                      <w:kern w:val="0"/>
                      <w:sz w:val="21"/>
                      <w:szCs w:val="21"/>
                      <w:highlight w:val="none"/>
                      <w:lang w:val="en-US" w:eastAsia="zh-CN" w:bidi="ar-SA"/>
                    </w:rPr>
                    <w:t>15105.94</w:t>
                  </w:r>
                </w:p>
              </w:tc>
            </w:tr>
          </w:tbl>
          <w:p w14:paraId="34154697">
            <w:pPr>
              <w:pStyle w:val="36"/>
              <w:ind w:firstLine="480"/>
              <w:rPr>
                <w:rFonts w:hint="default"/>
                <w:highlight w:val="yellow"/>
              </w:rPr>
            </w:pPr>
            <w:r>
              <w:t>由上表可知，本项目主体工程永久用地的土地利用现状主要为林地和水域及水利设施用地，其次为少量的耕地、交通运输用地和其他土地；临时用地的土地利用现状主要为耕地和其他土地。本工程位于大英县金元镇场镇内，永久用地和临时用地均不涉及文物保护区、自然保护区、风景名胜区、森林公园、饮用水源保护区、生态保护红线等环境敏感区。</w:t>
            </w:r>
          </w:p>
          <w:p w14:paraId="2F41EB3E">
            <w:pPr>
              <w:pStyle w:val="36"/>
              <w:ind w:firstLine="480"/>
              <w:rPr>
                <w:rFonts w:hint="default"/>
              </w:rPr>
            </w:pPr>
            <w:r>
              <w:t>综上所述，本项目用地符合相关规划。</w:t>
            </w:r>
          </w:p>
          <w:p w14:paraId="0EEA81F1">
            <w:pPr>
              <w:pStyle w:val="4"/>
              <w:numPr>
                <w:ilvl w:val="0"/>
                <w:numId w:val="17"/>
              </w:numPr>
            </w:pPr>
            <w:r>
              <w:rPr>
                <w:rFonts w:hint="eastAsia"/>
              </w:rPr>
              <w:t>产业政策符合性分析</w:t>
            </w:r>
          </w:p>
          <w:p w14:paraId="5587BAEA">
            <w:pPr>
              <w:pStyle w:val="36"/>
              <w:ind w:firstLine="480"/>
              <w:rPr>
                <w:rFonts w:hint="default"/>
              </w:rPr>
            </w:pPr>
            <w:r>
              <w:t>根据《国民经济行业分类》（GB/T4754-2017），本项目属于E4822河湖治理及防洪设施工程建筑</w:t>
            </w:r>
            <w:r>
              <w:rPr>
                <w:rFonts w:hint="default"/>
              </w:rPr>
              <w:t>。</w:t>
            </w:r>
            <w:r>
              <w:t>对照《产业结构调整指导目录（2024年本）》，本项目属于</w:t>
            </w:r>
            <w:r>
              <w:rPr>
                <w:b/>
                <w:bCs/>
              </w:rPr>
              <w:t>鼓励类</w:t>
            </w:r>
            <w:r>
              <w:t>中“二、水利-3、防洪提升工程”。</w:t>
            </w:r>
          </w:p>
          <w:p w14:paraId="531A7DF8">
            <w:pPr>
              <w:pStyle w:val="36"/>
              <w:ind w:firstLine="480"/>
              <w:rPr>
                <w:rFonts w:hint="default"/>
              </w:rPr>
            </w:pPr>
            <w:r>
              <w:t>大英县水利局于2025年7月7日出具了《关于大英县金水河金元场镇山洪沟治理工程初步设计及概算的批复》（大水函[2025]130号）。</w:t>
            </w:r>
          </w:p>
          <w:p w14:paraId="3A5F8091">
            <w:pPr>
              <w:pStyle w:val="36"/>
              <w:ind w:firstLine="480"/>
              <w:rPr>
                <w:rFonts w:hint="default"/>
              </w:rPr>
            </w:pPr>
            <w:r>
              <w:t>因此，本项目符合国家和地方的有关产业政策。</w:t>
            </w:r>
          </w:p>
          <w:p w14:paraId="7CD3FC9C">
            <w:pPr>
              <w:pStyle w:val="4"/>
              <w:numPr>
                <w:ilvl w:val="0"/>
                <w:numId w:val="17"/>
              </w:numPr>
            </w:pPr>
            <w:r>
              <w:rPr>
                <w:rFonts w:hint="eastAsia"/>
              </w:rPr>
              <w:t>与分区管控符合性分析</w:t>
            </w:r>
          </w:p>
          <w:p w14:paraId="6B8EE6E1">
            <w:pPr>
              <w:pStyle w:val="36"/>
              <w:ind w:firstLine="480"/>
              <w:rPr>
                <w:rFonts w:hint="default"/>
              </w:rPr>
            </w:pPr>
            <w:r>
              <w:rPr>
                <w:rFonts w:hint="default"/>
              </w:rPr>
              <w:t>本项目位于四川省</w:t>
            </w:r>
            <w:r>
              <w:t>遂宁市大英县金元镇，综合治理河道长度730.06m（其中金水河665.06m，胜利溪65.0m），起点为便民桥，终点为金元堰；其中</w:t>
            </w:r>
            <w:r>
              <w:rPr>
                <w:rFonts w:hint="default"/>
              </w:rPr>
              <w:t>胜利溪河段起点</w:t>
            </w:r>
            <w:r>
              <w:t>为</w:t>
            </w:r>
            <w:r>
              <w:rPr>
                <w:rFonts w:hint="default"/>
              </w:rPr>
              <w:t>便民桥（E105°20′19.512″，N30°32′52.093″）</w:t>
            </w:r>
            <w:r>
              <w:t>，</w:t>
            </w:r>
            <w:r>
              <w:rPr>
                <w:rFonts w:hint="default"/>
              </w:rPr>
              <w:t>终点</w:t>
            </w:r>
            <w:r>
              <w:t>至河道前中部分</w:t>
            </w:r>
            <w:r>
              <w:rPr>
                <w:rFonts w:hint="default"/>
              </w:rPr>
              <w:t>（E105°20′21.858″，N30°32′51.127″）</w:t>
            </w:r>
            <w:r>
              <w:t>；</w:t>
            </w:r>
            <w:r>
              <w:rPr>
                <w:rFonts w:hint="default"/>
              </w:rPr>
              <w:t>金水河河段起点</w:t>
            </w:r>
            <w:r>
              <w:t>为河道前中部分</w:t>
            </w:r>
            <w:r>
              <w:rPr>
                <w:rFonts w:hint="default"/>
              </w:rPr>
              <w:t>（E105°20′21.858″，N30°32′51.127″）</w:t>
            </w:r>
            <w:r>
              <w:t>，</w:t>
            </w:r>
            <w:r>
              <w:rPr>
                <w:rFonts w:hint="default"/>
              </w:rPr>
              <w:t>终点</w:t>
            </w:r>
            <w:r>
              <w:t>至</w:t>
            </w:r>
            <w:r>
              <w:rPr>
                <w:rFonts w:hint="default"/>
              </w:rPr>
              <w:t>金元堰（E105°20′37.385″，N30°33′2.758″）。</w:t>
            </w:r>
          </w:p>
          <w:p w14:paraId="643C2977">
            <w:pPr>
              <w:pStyle w:val="36"/>
              <w:ind w:firstLine="482"/>
              <w:rPr>
                <w:rFonts w:hint="default"/>
                <w:b/>
                <w:bCs/>
              </w:rPr>
            </w:pPr>
            <w:r>
              <w:rPr>
                <w:rFonts w:hint="default"/>
                <w:b/>
                <w:bCs/>
              </w:rPr>
              <w:t>（1）与四川省</w:t>
            </w:r>
            <w:r>
              <w:rPr>
                <w:b/>
                <w:bCs/>
              </w:rPr>
              <w:t>分区管控</w:t>
            </w:r>
            <w:r>
              <w:rPr>
                <w:rFonts w:hint="default"/>
                <w:b/>
                <w:bCs/>
              </w:rPr>
              <w:t>符合性分析</w:t>
            </w:r>
          </w:p>
          <w:p w14:paraId="730FB170">
            <w:pPr>
              <w:pStyle w:val="36"/>
              <w:ind w:firstLine="480"/>
              <w:rPr>
                <w:rFonts w:hint="default"/>
              </w:rPr>
            </w:pPr>
            <w:r>
              <w:rPr>
                <w:rFonts w:hint="default"/>
              </w:rPr>
              <w:t>根据四川政务服务网</w:t>
            </w:r>
            <w:r>
              <w:t>“</w:t>
            </w:r>
            <w:r>
              <w:rPr>
                <w:rFonts w:hint="default"/>
              </w:rPr>
              <w:t>生态环境分区管控数据分析系统</w:t>
            </w:r>
            <w:r>
              <w:t>”</w:t>
            </w:r>
            <w:r>
              <w:rPr>
                <w:rFonts w:hint="default"/>
              </w:rPr>
              <w:t>查询结果，本项目所属环境管控单元以及与生态保护红线位置关系如下。</w:t>
            </w:r>
          </w:p>
          <w:p w14:paraId="3C171584">
            <w:r>
              <w:rPr>
                <w:rFonts w:hint="eastAsia"/>
                <w:sz w:val="24"/>
              </w:rPr>
              <mc:AlternateContent>
                <mc:Choice Requires="wpg">
                  <w:drawing>
                    <wp:anchor distT="0" distB="0" distL="114300" distR="114300" simplePos="0" relativeHeight="251665408" behindDoc="0" locked="0" layoutInCell="1" allowOverlap="1">
                      <wp:simplePos x="0" y="0"/>
                      <wp:positionH relativeFrom="column">
                        <wp:posOffset>1678305</wp:posOffset>
                      </wp:positionH>
                      <wp:positionV relativeFrom="paragraph">
                        <wp:posOffset>90805</wp:posOffset>
                      </wp:positionV>
                      <wp:extent cx="2800350" cy="1995805"/>
                      <wp:effectExtent l="6985" t="1270" r="0" b="22225"/>
                      <wp:wrapNone/>
                      <wp:docPr id="68" name="组合 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00172" cy="1995538"/>
                                <a:chOff x="9258" y="124664"/>
                                <a:chExt cx="7603" cy="5419"/>
                              </a:xfrm>
                            </wpg:grpSpPr>
                            <wps:wsp>
                              <wps:cNvPr id="62" name="矩形标注 62"/>
                              <wps:cNvSpPr/>
                              <wps:spPr>
                                <a:xfrm>
                                  <a:off x="11583" y="126981"/>
                                  <a:ext cx="2772" cy="812"/>
                                </a:xfrm>
                                <a:prstGeom prst="wedgeRectCallout">
                                  <a:avLst>
                                    <a:gd name="adj1" fmla="val 22542"/>
                                    <a:gd name="adj2" fmla="val 193058"/>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3DFFFB4">
                                    <w:pPr>
                                      <w:jc w:val="center"/>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河道整治线段</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3" name="矩形标注 63"/>
                              <wps:cNvSpPr/>
                              <wps:spPr>
                                <a:xfrm>
                                  <a:off x="13963" y="124980"/>
                                  <a:ext cx="2045" cy="747"/>
                                </a:xfrm>
                                <a:prstGeom prst="wedgeRectCallout">
                                  <a:avLst>
                                    <a:gd name="adj1" fmla="val 74597"/>
                                    <a:gd name="adj2" fmla="val 132506"/>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B9D1724">
                                    <w:pPr>
                                      <w:jc w:val="center"/>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施工</w:t>
                                    </w:r>
                                    <w:r>
                                      <w:rPr>
                                        <w:rFonts w:hint="eastAsia"/>
                                        <w:color w:val="000000" w:themeColor="text1"/>
                                        <w:szCs w:val="18"/>
                                        <w:lang w:eastAsia="zh-CN"/>
                                        <w14:textFill>
                                          <w14:solidFill>
                                            <w14:schemeClr w14:val="tx1"/>
                                          </w14:solidFill>
                                        </w14:textFill>
                                      </w:rPr>
                                      <w:t>场</w:t>
                                    </w:r>
                                    <w:r>
                                      <w:rPr>
                                        <w:rFonts w:hint="eastAsia"/>
                                        <w:color w:val="000000" w:themeColor="text1"/>
                                        <w:szCs w:val="18"/>
                                        <w14:textFill>
                                          <w14:solidFill>
                                            <w14:schemeClr w14:val="tx1"/>
                                          </w14:solidFill>
                                        </w14:textFill>
                                      </w:rPr>
                                      <w:t>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4" name="任意多边形 64"/>
                              <wps:cNvSpPr/>
                              <wps:spPr>
                                <a:xfrm rot="3120000">
                                  <a:off x="16416" y="126036"/>
                                  <a:ext cx="490" cy="400"/>
                                </a:xfrm>
                                <a:custGeom>
                                  <a:avLst/>
                                  <a:gdLst>
                                    <a:gd name="connisteX0" fmla="*/ 0 w 309245"/>
                                    <a:gd name="connsiteY0" fmla="*/ 111125 h 254000"/>
                                    <a:gd name="connisteX1" fmla="*/ 222250 w 309245"/>
                                    <a:gd name="connsiteY1" fmla="*/ 254000 h 254000"/>
                                    <a:gd name="connisteX2" fmla="*/ 309245 w 309245"/>
                                    <a:gd name="connsiteY2" fmla="*/ 142875 h 254000"/>
                                    <a:gd name="connisteX3" fmla="*/ 95250 w 309245"/>
                                    <a:gd name="connsiteY3" fmla="*/ 0 h 254000"/>
                                    <a:gd name="connisteX4" fmla="*/ 0 w 309245"/>
                                    <a:gd name="connsiteY4" fmla="*/ 111125 h 25400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309245" h="254000">
                                      <a:moveTo>
                                        <a:pt x="0" y="111125"/>
                                      </a:moveTo>
                                      <a:lnTo>
                                        <a:pt x="222250" y="254000"/>
                                      </a:lnTo>
                                      <a:lnTo>
                                        <a:pt x="309245" y="142875"/>
                                      </a:lnTo>
                                      <a:lnTo>
                                        <a:pt x="95250" y="0"/>
                                      </a:lnTo>
                                      <a:lnTo>
                                        <a:pt x="0" y="111125"/>
                                      </a:lnTo>
                                      <a:close/>
                                    </a:path>
                                  </a:pathLst>
                                </a:custGeom>
                              </wps:spPr>
                              <wps:style>
                                <a:lnRef idx="2">
                                  <a:schemeClr val="accent1">
                                    <a:lumMod val="75000"/>
                                  </a:schemeClr>
                                </a:lnRef>
                                <a:fillRef idx="1">
                                  <a:schemeClr val="accent1"/>
                                </a:fillRef>
                                <a:effectRef idx="0">
                                  <a:srgbClr val="FFFFFF"/>
                                </a:effectRef>
                                <a:fontRef idx="minor">
                                  <a:schemeClr val="lt1"/>
                                </a:fontRef>
                              </wps:style>
                              <wps:bodyPr/>
                            </wps:wsp>
                            <wps:wsp>
                              <wps:cNvPr id="14" name="任意多边形 14"/>
                              <wps:cNvSpPr/>
                              <wps:spPr>
                                <a:xfrm>
                                  <a:off x="9258" y="124664"/>
                                  <a:ext cx="7108" cy="5419"/>
                                </a:xfrm>
                                <a:custGeom>
                                  <a:avLst/>
                                  <a:gdLst>
                                    <a:gd name="connsiteX0" fmla="*/ 0 w 7107"/>
                                    <a:gd name="connsiteY0" fmla="*/ 4894 h 5419"/>
                                    <a:gd name="connsiteX1" fmla="*/ 1050 w 7107"/>
                                    <a:gd name="connsiteY1" fmla="*/ 5419 h 5419"/>
                                    <a:gd name="connsiteX2" fmla="*/ 1990 w 7107"/>
                                    <a:gd name="connsiteY2" fmla="*/ 4969 h 5419"/>
                                    <a:gd name="connsiteX3" fmla="*/ 2727 w 7107"/>
                                    <a:gd name="connsiteY3" fmla="*/ 5144 h 5419"/>
                                    <a:gd name="connsiteX4" fmla="*/ 3465 w 7107"/>
                                    <a:gd name="connsiteY4" fmla="*/ 4794 h 5419"/>
                                    <a:gd name="connsiteX5" fmla="*/ 5077 w 7107"/>
                                    <a:gd name="connsiteY5" fmla="*/ 4107 h 5419"/>
                                    <a:gd name="connsiteX6" fmla="*/ 6527 w 7107"/>
                                    <a:gd name="connsiteY6" fmla="*/ 3419 h 5419"/>
                                    <a:gd name="connsiteX7" fmla="*/ 7077 w 7107"/>
                                    <a:gd name="connsiteY7" fmla="*/ 3057 h 5419"/>
                                    <a:gd name="connsiteX8" fmla="*/ 7102 w 7107"/>
                                    <a:gd name="connsiteY8" fmla="*/ 2969 h 5419"/>
                                    <a:gd name="connsiteX9" fmla="*/ 7102 w 7107"/>
                                    <a:gd name="connsiteY9" fmla="*/ 2532 h 5419"/>
                                    <a:gd name="connsiteX10" fmla="*/ 7089 w 7107"/>
                                    <a:gd name="connsiteY10" fmla="*/ 1769 h 5419"/>
                                    <a:gd name="connsiteX11" fmla="*/ 6975 w 7107"/>
                                    <a:gd name="connsiteY11" fmla="*/ 0 h 54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108" h="5419">
                                      <a:moveTo>
                                        <a:pt x="0" y="4894"/>
                                      </a:moveTo>
                                      <a:cubicBezTo>
                                        <a:pt x="188" y="5009"/>
                                        <a:pt x="619" y="5412"/>
                                        <a:pt x="1050" y="5419"/>
                                      </a:cubicBezTo>
                                      <a:cubicBezTo>
                                        <a:pt x="1481" y="5426"/>
                                        <a:pt x="1641" y="5014"/>
                                        <a:pt x="1990" y="4969"/>
                                      </a:cubicBezTo>
                                      <a:cubicBezTo>
                                        <a:pt x="2339" y="4924"/>
                                        <a:pt x="2480" y="5174"/>
                                        <a:pt x="2727" y="5144"/>
                                      </a:cubicBezTo>
                                      <a:cubicBezTo>
                                        <a:pt x="2974" y="5114"/>
                                        <a:pt x="2617" y="5192"/>
                                        <a:pt x="3465" y="4794"/>
                                      </a:cubicBezTo>
                                      <a:cubicBezTo>
                                        <a:pt x="3867" y="4623"/>
                                        <a:pt x="4456" y="4386"/>
                                        <a:pt x="5077" y="4107"/>
                                      </a:cubicBezTo>
                                      <a:cubicBezTo>
                                        <a:pt x="5623" y="3880"/>
                                        <a:pt x="6471" y="3482"/>
                                        <a:pt x="6527" y="3419"/>
                                      </a:cubicBezTo>
                                      <a:cubicBezTo>
                                        <a:pt x="6850" y="3242"/>
                                        <a:pt x="7067" y="3097"/>
                                        <a:pt x="7077" y="3057"/>
                                      </a:cubicBezTo>
                                      <a:cubicBezTo>
                                        <a:pt x="7087" y="3018"/>
                                        <a:pt x="7098" y="3057"/>
                                        <a:pt x="7102" y="2969"/>
                                      </a:cubicBezTo>
                                      <a:cubicBezTo>
                                        <a:pt x="7112" y="2857"/>
                                        <a:pt x="7104" y="2732"/>
                                        <a:pt x="7102" y="2532"/>
                                      </a:cubicBezTo>
                                      <a:cubicBezTo>
                                        <a:pt x="7100" y="2357"/>
                                        <a:pt x="7123" y="2239"/>
                                        <a:pt x="7089" y="1769"/>
                                      </a:cubicBezTo>
                                      <a:cubicBezTo>
                                        <a:pt x="7053" y="1249"/>
                                        <a:pt x="7009" y="345"/>
                                        <a:pt x="6975" y="0"/>
                                      </a:cubicBezTo>
                                    </a:path>
                                  </a:pathLst>
                                </a:custGeom>
                                <a:noFill/>
                                <a:ln w="25400">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bodyPr/>
                            </wps:wsp>
                          </wpg:wgp>
                        </a:graphicData>
                      </a:graphic>
                    </wp:anchor>
                  </w:drawing>
                </mc:Choice>
                <mc:Fallback>
                  <w:pict>
                    <v:group id="_x0000_s1026" o:spid="_x0000_s1026" o:spt="203" style="position:absolute;left:0pt;margin-left:132.15pt;margin-top:7.15pt;height:157.15pt;width:220.5pt;z-index:251665408;mso-width-relative:page;mso-height-relative:page;" coordorigin="9258,124664" coordsize="7603,5419" o:gfxdata="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">
                      <o:lock v:ext="edit" aspectratio="t"/>
                      <v:shape id="_x0000_s1026" o:spid="_x0000_s1026" o:spt="61" type="#_x0000_t61" style="position:absolute;left:11583;top:126981;height:812;width:2772;v-text-anchor:middle;" fillcolor="#FFFFFF [3212]" filled="t" stroked="t" coordsize="21600,21600" o:gfxdata="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LMzm7sAAADb&#10;AAAADwAAAAAAAAABACAAAAAiAAAAZHJzL2Rvd25yZXYueG1sUEsBAhQAFAAAAAgAh07iQDMvBZ47&#10;AAAAOQAAABAAAAAAAAAAAQAgAAAACgEAAGRycy9zaGFwZXhtbC54bWxQSwUGAAAAAAYABgBbAQAA&#10;tAMAAAAA&#10;" adj="15669,52501">
                        <v:fill on="t" focussize="0,0"/>
                        <v:stroke weight="1pt" color="#000000 [3213]" miterlimit="8" joinstyle="miter"/>
                        <v:imagedata o:title=""/>
                        <o:lock v:ext="edit" aspectratio="f"/>
                        <v:textbox>
                          <w:txbxContent>
                            <w:p w14:paraId="33DFFFB4">
                              <w:pPr>
                                <w:jc w:val="center"/>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河道整治线段</w:t>
                              </w:r>
                            </w:p>
                          </w:txbxContent>
                        </v:textbox>
                      </v:shape>
                      <v:shape id="_x0000_s1026" o:spid="_x0000_s1026" o:spt="61" type="#_x0000_t61" style="position:absolute;left:13963;top:124980;height:747;width:2045;v-text-anchor:middle;" fillcolor="#FFFFFF [3212]" filled="t" stroked="t" coordsize="21600,21600" o:gfxdata="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Y7KzvQAA&#10;ANsAAAAPAAAAAAAAAAEAIAAAACIAAABkcnMvZG93bnJldi54bWxQSwECFAAUAAAACACHTuJAMy8F&#10;njsAAAA5AAAAEAAAAAAAAAABACAAAAAMAQAAZHJzL3NoYXBleG1sLnhtbFBLBQYAAAAABgAGAFsB&#10;AAC2AwAAAAA=&#10;" adj="26913,39421">
                        <v:fill on="t" focussize="0,0"/>
                        <v:stroke weight="1pt" color="#000000 [3213]" miterlimit="8" joinstyle="miter"/>
                        <v:imagedata o:title=""/>
                        <o:lock v:ext="edit" aspectratio="f"/>
                        <v:textbox>
                          <w:txbxContent>
                            <w:p w14:paraId="3B9D1724">
                              <w:pPr>
                                <w:jc w:val="center"/>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施工</w:t>
                              </w:r>
                              <w:r>
                                <w:rPr>
                                  <w:rFonts w:hint="eastAsia"/>
                                  <w:color w:val="000000" w:themeColor="text1"/>
                                  <w:szCs w:val="18"/>
                                  <w:lang w:eastAsia="zh-CN"/>
                                  <w14:textFill>
                                    <w14:solidFill>
                                      <w14:schemeClr w14:val="tx1"/>
                                    </w14:solidFill>
                                  </w14:textFill>
                                </w:rPr>
                                <w:t>场</w:t>
                              </w:r>
                              <w:r>
                                <w:rPr>
                                  <w:rFonts w:hint="eastAsia"/>
                                  <w:color w:val="000000" w:themeColor="text1"/>
                                  <w:szCs w:val="18"/>
                                  <w14:textFill>
                                    <w14:solidFill>
                                      <w14:schemeClr w14:val="tx1"/>
                                    </w14:solidFill>
                                  </w14:textFill>
                                </w:rPr>
                                <w:t>地</w:t>
                              </w:r>
                            </w:p>
                          </w:txbxContent>
                        </v:textbox>
                      </v:shape>
                      <v:shape id="_x0000_s1026" o:spid="_x0000_s1026" o:spt="100" style="position:absolute;left:16416;top:126036;height:400;width:490;rotation:3407872f;" fillcolor="#4874CB [3204]" filled="t" stroked="t" coordsize="309245,254000" o:gfxdata="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8nOb4A&#10;AADbAAAADwAAAAAAAAABACAAAAAiAAAAZHJzL2Rvd25yZXYueG1sUEsBAhQAFAAAAAgAh07iQDMv&#10;BZ47AAAAOQAAABAAAAAAAAAAAQAgAAAADQEAAGRycy9zaGFwZXhtbC54bWxQSwUGAAAAAAYABgBb&#10;AQAAtwMAAAAA&#10;" path="m0,111125l222250,254000,309245,142875,95250,0,0,111125xe">
                        <v:path o:connectlocs="0,175;352,400;490,225;150,0;0,175" o:connectangles="0,0,0,0,0"/>
                        <v:fill on="t" focussize="0,0"/>
                        <v:stroke weight="1pt" color="#2E54A1 [2404]" miterlimit="8" joinstyle="miter"/>
                        <v:imagedata o:title=""/>
                        <o:lock v:ext="edit" aspectratio="f"/>
                      </v:shape>
                      <v:shape id="_x0000_s1026" o:spid="_x0000_s1026" o:spt="100" style="position:absolute;left:9258;top:124664;height:5419;width:7108;" filled="f" stroked="t" coordsize="7108,5419" o:gfxdata="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LKPhrsAAADb&#10;AAAADwAAAAAAAAABACAAAAAiAAAAZHJzL2Rvd25yZXYueG1sUEsBAhQAFAAAAAgAh07iQDMvBZ47&#10;AAAAOQAAABAAAAAAAAAAAQAgAAAACgEAAGRycy9zaGFwZXhtbC54bWxQSwUGAAAAAAYABgBbAQAA&#10;tAMAAAAA&#10;" path="m0,4894c188,5009,619,5412,1050,5419c1481,5426,1641,5014,1990,4969c2339,4924,2480,5174,2727,5144c2974,5114,2617,5192,3465,4794c3867,4623,4456,4386,5077,4107c5623,3880,6471,3482,6527,3419c6850,3242,7067,3097,7077,3057c7087,3018,7098,3057,7102,2969c7112,2857,7104,2732,7102,2532c7100,2357,7123,2239,7089,1769c7053,1249,7009,345,6975,0e">
                        <v:path o:connectlocs="0,4894;1050,5419;1990,4969;2727,5144;3465,4794;5077,4107;6527,3419;7077,3057;7102,2969;7102,2532;7089,1769;6975,0" o:connectangles="0,0,0,0,0,0,0,0,0,0,0,0"/>
                        <v:fill on="f" focussize="0,0"/>
                        <v:stroke weight="2pt" color="#00B0F0 [2404]" miterlimit="8" joinstyle="miter"/>
                        <v:imagedata o:title=""/>
                        <o:lock v:ext="edit" aspectratio="f"/>
                      </v:shape>
                    </v:group>
                  </w:pict>
                </mc:Fallback>
              </mc:AlternateContent>
            </w:r>
            <w:r>
              <w:rPr>
                <w:rFonts w:hint="eastAsia"/>
              </w:rPr>
              <w:drawing>
                <wp:inline distT="0" distB="0" distL="114300" distR="114300">
                  <wp:extent cx="5134610" cy="2553970"/>
                  <wp:effectExtent l="0" t="0" r="8890" b="17780"/>
                  <wp:docPr id="65" name="图片 65" descr="项目分区管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项目分区管控"/>
                          <pic:cNvPicPr>
                            <a:picLocks noChangeAspect="1"/>
                          </pic:cNvPicPr>
                        </pic:nvPicPr>
                        <pic:blipFill>
                          <a:blip r:embed="rId9"/>
                          <a:stretch>
                            <a:fillRect/>
                          </a:stretch>
                        </pic:blipFill>
                        <pic:spPr>
                          <a:xfrm>
                            <a:off x="0" y="0"/>
                            <a:ext cx="5134610" cy="2553970"/>
                          </a:xfrm>
                          <a:prstGeom prst="rect">
                            <a:avLst/>
                          </a:prstGeom>
                        </pic:spPr>
                      </pic:pic>
                    </a:graphicData>
                  </a:graphic>
                </wp:inline>
              </w:drawing>
            </w:r>
          </w:p>
          <w:p w14:paraId="5CA13E4C">
            <w:pPr>
              <w:pStyle w:val="39"/>
              <w:spacing w:after="156"/>
              <w:rPr>
                <w:rFonts w:hint="default"/>
              </w:rPr>
            </w:pPr>
            <w:r>
              <w:rPr>
                <w:rFonts w:hint="default"/>
              </w:rPr>
              <w:t>环境管控单元</w:t>
            </w:r>
            <w:r>
              <w:t>位置关系</w:t>
            </w:r>
            <w:r>
              <w:rPr>
                <w:rFonts w:hint="default"/>
              </w:rPr>
              <w:t>图</w:t>
            </w:r>
          </w:p>
          <w:p w14:paraId="30DFBF2E">
            <w:pPr>
              <w:pStyle w:val="39"/>
              <w:numPr>
                <w:ilvl w:val="1"/>
                <w:numId w:val="0"/>
              </w:numPr>
              <w:spacing w:after="156"/>
              <w:jc w:val="both"/>
              <w:rPr>
                <w:rFonts w:hint="default"/>
              </w:rPr>
            </w:pPr>
            <w:r>
              <w:rPr>
                <w:sz w:val="24"/>
              </w:rPr>
              <mc:AlternateContent>
                <mc:Choice Requires="wps">
                  <w:drawing>
                    <wp:anchor distT="0" distB="0" distL="114300" distR="114300" simplePos="0" relativeHeight="251664384" behindDoc="0" locked="0" layoutInCell="1" allowOverlap="1">
                      <wp:simplePos x="0" y="0"/>
                      <wp:positionH relativeFrom="column">
                        <wp:posOffset>2800350</wp:posOffset>
                      </wp:positionH>
                      <wp:positionV relativeFrom="paragraph">
                        <wp:posOffset>448945</wp:posOffset>
                      </wp:positionV>
                      <wp:extent cx="730250" cy="247650"/>
                      <wp:effectExtent l="4445" t="5080" r="8255" b="375920"/>
                      <wp:wrapNone/>
                      <wp:docPr id="61" name="矩形标注 61"/>
                      <wp:cNvGraphicFramePr/>
                      <a:graphic xmlns:a="http://schemas.openxmlformats.org/drawingml/2006/main">
                        <a:graphicData uri="http://schemas.microsoft.com/office/word/2010/wordprocessingShape">
                          <wps:wsp>
                            <wps:cNvSpPr/>
                            <wps:spPr>
                              <a:xfrm>
                                <a:off x="0" y="0"/>
                                <a:ext cx="730250" cy="247650"/>
                              </a:xfrm>
                              <a:prstGeom prst="wedgeRectCallout">
                                <a:avLst>
                                  <a:gd name="adj1" fmla="val -14434"/>
                                  <a:gd name="adj2" fmla="val 187948"/>
                                </a:avLst>
                              </a:prstGeom>
                              <a:solidFill>
                                <a:schemeClr val="bg1"/>
                              </a:solidFill>
                              <a:ln w="3175">
                                <a:solidFill>
                                  <a:srgbClr val="00206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91CC99D">
                                  <w:pPr>
                                    <w:jc w:val="center"/>
                                    <w:rPr>
                                      <w:color w:val="C00000"/>
                                      <w:szCs w:val="21"/>
                                    </w:rPr>
                                  </w:pPr>
                                  <w:r>
                                    <w:rPr>
                                      <w:rFonts w:hint="eastAsia"/>
                                      <w:color w:val="0000FF"/>
                                      <w:szCs w:val="21"/>
                                    </w:rPr>
                                    <w:t>项目位置</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61" type="#_x0000_t61" style="position:absolute;left:0pt;margin-left:220.5pt;margin-top:35.35pt;height:19.5pt;width:57.5pt;z-index:251664384;v-text-anchor:middle;mso-width-relative:page;mso-height-relative:page;" fillcolor="#FFFFFF [3212]" filled="t" stroked="t" coordsize="21600,21600" o:gfxdata="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Gpfkx1gAAAAoBAAAPAAAAAAAAAAEAIAAAACIAAABkcnMvZG93bnJl&#10;di54bWxQSwECFAAUAAAACACHTuJA0m1xt6oCAABUBQAADgAAAAAAAAABACAAAAAlAQAAZHJzL2Uy&#10;b0RvYy54bWxQSwUGAAAAAAYABgBZAQAAQQYAAAAA&#10;" adj="7682,51397">
                      <v:fill on="t" focussize="0,0"/>
                      <v:stroke weight="0.25pt" color="#002060 [2404]" miterlimit="8" joinstyle="miter"/>
                      <v:imagedata o:title=""/>
                      <o:lock v:ext="edit" aspectratio="f"/>
                      <v:textbox inset="0mm,0mm,0mm,0mm">
                        <w:txbxContent>
                          <w:p w14:paraId="191CC99D">
                            <w:pPr>
                              <w:jc w:val="center"/>
                              <w:rPr>
                                <w:color w:val="C00000"/>
                                <w:szCs w:val="21"/>
                              </w:rPr>
                            </w:pPr>
                            <w:r>
                              <w:rPr>
                                <w:rFonts w:hint="eastAsia"/>
                                <w:color w:val="0000FF"/>
                                <w:szCs w:val="21"/>
                              </w:rPr>
                              <w:t>项目位置</w:t>
                            </w:r>
                          </w:p>
                        </w:txbxContent>
                      </v:textbox>
                    </v:shap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2376170</wp:posOffset>
                      </wp:positionH>
                      <wp:positionV relativeFrom="paragraph">
                        <wp:posOffset>1419225</wp:posOffset>
                      </wp:positionV>
                      <wp:extent cx="599440" cy="320675"/>
                      <wp:effectExtent l="0" t="0" r="0" b="0"/>
                      <wp:wrapNone/>
                      <wp:docPr id="60" name="文本框 60"/>
                      <wp:cNvGraphicFramePr/>
                      <a:graphic xmlns:a="http://schemas.openxmlformats.org/drawingml/2006/main">
                        <a:graphicData uri="http://schemas.microsoft.com/office/word/2010/wordprocessingShape">
                          <wps:wsp>
                            <wps:cNvSpPr txBox="1"/>
                            <wps:spPr>
                              <a:xfrm>
                                <a:off x="3606165" y="6738620"/>
                                <a:ext cx="599440" cy="3206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FB553A">
                                  <w:r>
                                    <w:rPr>
                                      <w:rFonts w:hint="eastAsia"/>
                                    </w:rPr>
                                    <w:t>7000m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7.1pt;margin-top:111.75pt;height:25.25pt;width:47.2pt;z-index:251663360;mso-width-relative:page;mso-height-relative:page;" filled="f" stroked="f" coordsize="21600,21600" o:gfxdata="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RrinncAAAACwEAAA8AAAAAAAAA&#10;AQAgAAAAIgAAAGRycy9kb3ducmV2LnhtbFBLAQIUABQAAAAIAIdO4kAIc+PgRgIAAHMEAAAOAAAA&#10;AAAAAAEAIAAAACsBAABkcnMvZTJvRG9jLnhtbFBLBQYAAAAABgAGAFkBAADjBQAAAAA=&#10;">
                      <v:fill on="f" focussize="0,0"/>
                      <v:stroke on="f" weight="0.5pt"/>
                      <v:imagedata o:title=""/>
                      <o:lock v:ext="edit" aspectratio="f"/>
                      <v:textbox>
                        <w:txbxContent>
                          <w:p w14:paraId="46FB553A">
                            <w:r>
                              <w:rPr>
                                <w:rFonts w:hint="eastAsia"/>
                              </w:rPr>
                              <w:t>7000m</w:t>
                            </w:r>
                          </w:p>
                        </w:txbxContent>
                      </v:textbox>
                    </v:shap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654050</wp:posOffset>
                      </wp:positionH>
                      <wp:positionV relativeFrom="paragraph">
                        <wp:posOffset>1152525</wp:posOffset>
                      </wp:positionV>
                      <wp:extent cx="730250" cy="247650"/>
                      <wp:effectExtent l="4445" t="5080" r="255905" b="356870"/>
                      <wp:wrapNone/>
                      <wp:docPr id="49" name="矩形标注 49"/>
                      <wp:cNvGraphicFramePr/>
                      <a:graphic xmlns:a="http://schemas.openxmlformats.org/drawingml/2006/main">
                        <a:graphicData uri="http://schemas.microsoft.com/office/word/2010/wordprocessingShape">
                          <wps:wsp>
                            <wps:cNvSpPr/>
                            <wps:spPr>
                              <a:xfrm>
                                <a:off x="0" y="0"/>
                                <a:ext cx="730250" cy="247650"/>
                              </a:xfrm>
                              <a:prstGeom prst="wedgeRectCallout">
                                <a:avLst>
                                  <a:gd name="adj1" fmla="val 78869"/>
                                  <a:gd name="adj2" fmla="val 182307"/>
                                </a:avLst>
                              </a:prstGeom>
                              <a:solidFill>
                                <a:schemeClr val="bg1"/>
                              </a:solidFill>
                              <a:ln w="3175">
                                <a:solidFill>
                                  <a:srgbClr val="00206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9535E3E">
                                  <w:pPr>
                                    <w:jc w:val="center"/>
                                    <w:rPr>
                                      <w:color w:val="C00000"/>
                                      <w:szCs w:val="21"/>
                                    </w:rPr>
                                  </w:pPr>
                                  <w:r>
                                    <w:rPr>
                                      <w:rFonts w:hint="eastAsia"/>
                                      <w:color w:val="0000FF"/>
                                      <w:szCs w:val="21"/>
                                    </w:rPr>
                                    <w:t>五五水库</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61" type="#_x0000_t61" style="position:absolute;left:0pt;margin-left:51.5pt;margin-top:90.75pt;height:19.5pt;width:57.5pt;z-index:251662336;v-text-anchor:middle;mso-width-relative:page;mso-height-relative:page;" fillcolor="#FFFFFF [3212]" filled="t" stroked="t" coordsize="21600,21600" o:gfxdata="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Dqh8Zk2AAAAAsBAAAPAAAAAAAAAAEAIAAAACIAAABkcnMvZG93&#10;bnJldi54bWxQSwECFAAUAAAACACHTuJAM+MBpKsCAABTBQAADgAAAAAAAAABACAAAAAnAQAAZHJz&#10;L2Uyb0RvYy54bWxQSwUGAAAAAAYABgBZAQAARAYAAAAA&#10;" adj="27836,50178">
                      <v:fill on="t" focussize="0,0"/>
                      <v:stroke weight="0.25pt" color="#002060 [2404]" miterlimit="8" joinstyle="miter"/>
                      <v:imagedata o:title=""/>
                      <o:lock v:ext="edit" aspectratio="f"/>
                      <v:textbox inset="0mm,0mm,0mm,0mm">
                        <w:txbxContent>
                          <w:p w14:paraId="59535E3E">
                            <w:pPr>
                              <w:jc w:val="center"/>
                              <w:rPr>
                                <w:color w:val="C00000"/>
                                <w:szCs w:val="21"/>
                              </w:rPr>
                            </w:pPr>
                            <w:r>
                              <w:rPr>
                                <w:rFonts w:hint="eastAsia"/>
                                <w:color w:val="0000FF"/>
                                <w:szCs w:val="21"/>
                              </w:rPr>
                              <w:t>五五水库</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1885315</wp:posOffset>
                      </wp:positionH>
                      <wp:positionV relativeFrom="paragraph">
                        <wp:posOffset>1096645</wp:posOffset>
                      </wp:positionV>
                      <wp:extent cx="1186815" cy="637540"/>
                      <wp:effectExtent l="0" t="5715" r="13335" b="4445"/>
                      <wp:wrapNone/>
                      <wp:docPr id="38" name="直接箭头连接符 38"/>
                      <wp:cNvGraphicFramePr/>
                      <a:graphic xmlns:a="http://schemas.openxmlformats.org/drawingml/2006/main">
                        <a:graphicData uri="http://schemas.microsoft.com/office/word/2010/wordprocessingShape">
                          <wps:wsp>
                            <wps:cNvCnPr/>
                            <wps:spPr>
                              <a:xfrm flipH="1">
                                <a:off x="3349625" y="6562725"/>
                                <a:ext cx="1186815" cy="63754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48.45pt;margin-top:86.35pt;height:50.2pt;width:93.45pt;z-index:251661312;mso-width-relative:page;mso-height-relative:page;" filled="f" stroked="t" coordsize="21600,21600" o:gfxdata="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wGBwE&#10;2AAAAAsBAAAPAAAAAAAAAAEAIAAAACIAAABkcnMvZG93bnJldi54bWxQSwECFAAUAAAACACHTuJA&#10;SED8VSECAAD8AwAADgAAAAAAAAABACAAAAAnAQAAZHJzL2Uyb0RvYy54bWxQSwUGAAAAAAYABgBZ&#10;AQAAugUAAAAA&#10;">
                      <v:fill on="f" focussize="0,0"/>
                      <v:stroke weight="1pt" color="#4874CB [3204]" miterlimit="8" joinstyle="miter" endarrow="open"/>
                      <v:imagedata o:title=""/>
                      <o:lock v:ext="edit" aspectratio="f"/>
                    </v:shape>
                  </w:pict>
                </mc:Fallback>
              </mc:AlternateContent>
            </w:r>
            <w:r>
              <w:rPr>
                <w:rFonts w:hint="default"/>
              </w:rPr>
              <w:drawing>
                <wp:inline distT="0" distB="0" distL="114300" distR="114300">
                  <wp:extent cx="5052060" cy="2522855"/>
                  <wp:effectExtent l="0" t="0" r="15240" b="10795"/>
                  <wp:docPr id="33" name="图片 33" descr="项目与最近的优先保护单元距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项目与最近的优先保护单元距离"/>
                          <pic:cNvPicPr>
                            <a:picLocks noChangeAspect="1"/>
                          </pic:cNvPicPr>
                        </pic:nvPicPr>
                        <pic:blipFill>
                          <a:blip r:embed="rId10"/>
                          <a:stretch>
                            <a:fillRect/>
                          </a:stretch>
                        </pic:blipFill>
                        <pic:spPr>
                          <a:xfrm>
                            <a:off x="0" y="0"/>
                            <a:ext cx="5052060" cy="2522855"/>
                          </a:xfrm>
                          <a:prstGeom prst="rect">
                            <a:avLst/>
                          </a:prstGeom>
                        </pic:spPr>
                      </pic:pic>
                    </a:graphicData>
                  </a:graphic>
                </wp:inline>
              </w:drawing>
            </w:r>
          </w:p>
          <w:p w14:paraId="12B60BD3">
            <w:pPr>
              <w:pStyle w:val="39"/>
              <w:spacing w:after="156"/>
              <w:rPr>
                <w:rFonts w:hint="default"/>
              </w:rPr>
            </w:pPr>
            <w:r>
              <w:t>项目与最近优先保护单元位置关系</w:t>
            </w:r>
          </w:p>
          <w:p w14:paraId="6CF05566">
            <w:pPr>
              <w:pStyle w:val="36"/>
              <w:ind w:firstLine="480"/>
              <w:rPr>
                <w:rFonts w:hint="default"/>
              </w:rPr>
            </w:pPr>
            <w:r>
              <w:t>由上图可知，本项目位于城镇重点管控单元和要素重点管控单元。最近一处优先保护单元为西南侧7000m的“五五水库”。</w:t>
            </w:r>
          </w:p>
          <w:p w14:paraId="5B09094A">
            <w:pPr>
              <w:pStyle w:val="36"/>
              <w:ind w:firstLine="480"/>
              <w:rPr>
                <w:rFonts w:hint="default"/>
              </w:rPr>
            </w:pPr>
            <w:r>
              <w:t>由上图可知，本项目不在生态保护红线范围内。</w:t>
            </w:r>
          </w:p>
          <w:p w14:paraId="04B630A1">
            <w:pPr>
              <w:pStyle w:val="36"/>
              <w:ind w:firstLine="480"/>
              <w:rPr>
                <w:rFonts w:hint="default"/>
              </w:rPr>
            </w:pPr>
            <w:r>
              <w:t>根据四川政务服务网查询结果，本项目涉及管控单元如下图。</w:t>
            </w:r>
          </w:p>
          <w:p w14:paraId="5C7454AC">
            <w:pPr>
              <w:pStyle w:val="40"/>
              <w:spacing w:before="156"/>
              <w:rPr>
                <w:rFonts w:hint="default"/>
              </w:rPr>
            </w:pPr>
            <w:r>
              <w:rPr>
                <w:rFonts w:hint="default"/>
              </w:rPr>
              <w:drawing>
                <wp:inline distT="0" distB="0" distL="114300" distR="114300">
                  <wp:extent cx="5059680" cy="2423160"/>
                  <wp:effectExtent l="0" t="0" r="7620" b="15240"/>
                  <wp:docPr id="69" name="图片 69" descr="生态环境分区管控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生态环境分区管控截图"/>
                          <pic:cNvPicPr>
                            <a:picLocks noChangeAspect="1"/>
                          </pic:cNvPicPr>
                        </pic:nvPicPr>
                        <pic:blipFill>
                          <a:blip r:embed="rId11"/>
                          <a:stretch>
                            <a:fillRect/>
                          </a:stretch>
                        </pic:blipFill>
                        <pic:spPr>
                          <a:xfrm>
                            <a:off x="0" y="0"/>
                            <a:ext cx="5059680" cy="2423160"/>
                          </a:xfrm>
                          <a:prstGeom prst="rect">
                            <a:avLst/>
                          </a:prstGeom>
                        </pic:spPr>
                      </pic:pic>
                    </a:graphicData>
                  </a:graphic>
                </wp:inline>
              </w:drawing>
            </w:r>
          </w:p>
          <w:p w14:paraId="75E12F8F">
            <w:pPr>
              <w:pStyle w:val="39"/>
              <w:spacing w:after="156"/>
              <w:rPr>
                <w:rFonts w:hint="default"/>
              </w:rPr>
            </w:pPr>
            <w:r>
              <w:t>生态环境分区管控</w:t>
            </w:r>
            <w:r>
              <w:rPr>
                <w:rFonts w:hint="default"/>
              </w:rPr>
              <w:t>符合性分析系统查询截图</w:t>
            </w:r>
          </w:p>
        </w:tc>
      </w:tr>
    </w:tbl>
    <w:p w14:paraId="719A64A3">
      <w:pPr>
        <w:sectPr>
          <w:footerReference r:id="rId7" w:type="default"/>
          <w:pgSz w:w="11906" w:h="16838"/>
          <w:pgMar w:top="1474" w:right="1474" w:bottom="1474" w:left="1474" w:header="851" w:footer="992" w:gutter="0"/>
          <w:pgNumType w:fmt="numberInDash" w:start="1"/>
          <w:cols w:space="425" w:num="1"/>
          <w:docGrid w:type="lines" w:linePitch="312" w:charSpace="0"/>
        </w:sectPr>
      </w:pPr>
    </w:p>
    <w:p w14:paraId="4B13C7A3">
      <w:pPr>
        <w:pStyle w:val="36"/>
        <w:ind w:firstLine="480"/>
        <w:rPr>
          <w:rFonts w:hint="default"/>
        </w:rPr>
      </w:pPr>
      <w:r>
        <w:rPr>
          <w:rFonts w:hint="default"/>
        </w:rPr>
        <w:t>由上图可知，本项目位于</w:t>
      </w:r>
      <w:r>
        <w:t>遂宁市大英县</w:t>
      </w:r>
      <w:r>
        <w:rPr>
          <w:rFonts w:hint="default"/>
        </w:rPr>
        <w:t>环境综合管控单元</w:t>
      </w:r>
      <w:r>
        <w:rPr>
          <w:b/>
          <w:bCs/>
        </w:rPr>
        <w:t>要素重点管控单元和城镇重点管控单元</w:t>
      </w:r>
      <w:r>
        <w:rPr>
          <w:rFonts w:hint="default"/>
        </w:rPr>
        <w:t>（管控单元名称：管控单元名称：</w:t>
      </w:r>
      <w:r>
        <w:t>大英县要素重点管控单元</w:t>
      </w:r>
      <w:r>
        <w:rPr>
          <w:rFonts w:hint="default"/>
        </w:rPr>
        <w:t>，管控单元编号：ZH51092320005</w:t>
      </w:r>
      <w:r>
        <w:t>；大英县城镇空间，</w:t>
      </w:r>
      <w:r>
        <w:rPr>
          <w:rFonts w:hint="default"/>
        </w:rPr>
        <w:t>管控单元编号：ZH51092320001），共涉及管控单元</w:t>
      </w:r>
      <w:r>
        <w:t>3</w:t>
      </w:r>
      <w:r>
        <w:rPr>
          <w:rFonts w:hint="default"/>
        </w:rPr>
        <w:t>个。具体管控单元及其分析见下表。</w:t>
      </w:r>
    </w:p>
    <w:p w14:paraId="50DE8CF5">
      <w:pPr>
        <w:pStyle w:val="37"/>
        <w:spacing w:before="156"/>
        <w:outlineLvl w:val="9"/>
        <w:rPr>
          <w:rFonts w:hint="default"/>
        </w:rPr>
      </w:pPr>
      <w:r>
        <w:rPr>
          <w:rFonts w:hint="default"/>
        </w:rPr>
        <w:t>建设项目涉及管控单元一览表</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2"/>
        <w:gridCol w:w="4686"/>
        <w:gridCol w:w="3529"/>
        <w:gridCol w:w="1966"/>
        <w:gridCol w:w="2737"/>
      </w:tblGrid>
      <w:tr w14:paraId="40008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419" w:type="pct"/>
            <w:vAlign w:val="center"/>
          </w:tcPr>
          <w:p w14:paraId="04D27D8E">
            <w:pPr>
              <w:widowControl/>
              <w:spacing w:line="320" w:lineRule="exact"/>
              <w:jc w:val="center"/>
              <w:rPr>
                <w:b/>
                <w:bCs/>
                <w:color w:val="000000"/>
                <w:kern w:val="0"/>
                <w:szCs w:val="21"/>
              </w:rPr>
            </w:pPr>
            <w:r>
              <w:rPr>
                <w:rFonts w:hint="eastAsia"/>
                <w:b/>
                <w:bCs/>
                <w:color w:val="000000"/>
                <w:kern w:val="0"/>
                <w:szCs w:val="21"/>
              </w:rPr>
              <w:t>序号</w:t>
            </w:r>
          </w:p>
        </w:tc>
        <w:tc>
          <w:tcPr>
            <w:tcW w:w="1661" w:type="pct"/>
            <w:vAlign w:val="center"/>
          </w:tcPr>
          <w:p w14:paraId="1A276F4E">
            <w:pPr>
              <w:widowControl/>
              <w:spacing w:line="320" w:lineRule="exact"/>
              <w:jc w:val="center"/>
              <w:rPr>
                <w:b/>
                <w:bCs/>
                <w:color w:val="000000"/>
                <w:kern w:val="0"/>
                <w:szCs w:val="21"/>
              </w:rPr>
            </w:pPr>
            <w:r>
              <w:rPr>
                <w:rFonts w:hint="eastAsia"/>
                <w:b/>
                <w:bCs/>
                <w:color w:val="000000"/>
                <w:kern w:val="0"/>
                <w:szCs w:val="21"/>
              </w:rPr>
              <w:t>涉及环境管控单元名称</w:t>
            </w:r>
          </w:p>
        </w:tc>
        <w:tc>
          <w:tcPr>
            <w:tcW w:w="1251" w:type="pct"/>
            <w:vAlign w:val="center"/>
          </w:tcPr>
          <w:p w14:paraId="75E5B815">
            <w:pPr>
              <w:widowControl/>
              <w:spacing w:line="320" w:lineRule="exact"/>
              <w:jc w:val="center"/>
              <w:rPr>
                <w:b/>
                <w:bCs/>
                <w:color w:val="000000"/>
                <w:kern w:val="0"/>
                <w:szCs w:val="21"/>
              </w:rPr>
            </w:pPr>
            <w:r>
              <w:rPr>
                <w:rFonts w:hint="eastAsia"/>
                <w:b/>
                <w:bCs/>
                <w:color w:val="000000"/>
                <w:kern w:val="0"/>
                <w:szCs w:val="21"/>
              </w:rPr>
              <w:t>涉及环境管控单元编码</w:t>
            </w:r>
          </w:p>
        </w:tc>
        <w:tc>
          <w:tcPr>
            <w:tcW w:w="697" w:type="pct"/>
            <w:vAlign w:val="center"/>
          </w:tcPr>
          <w:p w14:paraId="08D3F90A">
            <w:pPr>
              <w:widowControl/>
              <w:spacing w:line="320" w:lineRule="exact"/>
              <w:jc w:val="center"/>
              <w:rPr>
                <w:b/>
                <w:bCs/>
                <w:color w:val="000000"/>
                <w:kern w:val="0"/>
                <w:szCs w:val="21"/>
              </w:rPr>
            </w:pPr>
            <w:r>
              <w:rPr>
                <w:rFonts w:hint="eastAsia"/>
                <w:b/>
                <w:bCs/>
                <w:color w:val="000000"/>
                <w:kern w:val="0"/>
                <w:szCs w:val="21"/>
              </w:rPr>
              <w:t>行政区划</w:t>
            </w:r>
          </w:p>
        </w:tc>
        <w:tc>
          <w:tcPr>
            <w:tcW w:w="970" w:type="pct"/>
            <w:vAlign w:val="center"/>
          </w:tcPr>
          <w:p w14:paraId="4705AE67">
            <w:pPr>
              <w:widowControl/>
              <w:spacing w:line="320" w:lineRule="exact"/>
              <w:jc w:val="center"/>
              <w:rPr>
                <w:b/>
                <w:bCs/>
                <w:color w:val="000000"/>
                <w:kern w:val="0"/>
                <w:szCs w:val="21"/>
              </w:rPr>
            </w:pPr>
            <w:r>
              <w:rPr>
                <w:rFonts w:hint="eastAsia"/>
                <w:b/>
                <w:bCs/>
                <w:color w:val="000000"/>
                <w:kern w:val="0"/>
                <w:szCs w:val="21"/>
              </w:rPr>
              <w:t>管控类型</w:t>
            </w:r>
          </w:p>
        </w:tc>
      </w:tr>
      <w:tr w14:paraId="176C5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419" w:type="pct"/>
            <w:vAlign w:val="center"/>
          </w:tcPr>
          <w:p w14:paraId="6E60F5AC">
            <w:pPr>
              <w:pStyle w:val="57"/>
              <w:widowControl/>
              <w:spacing w:line="320" w:lineRule="exact"/>
              <w:ind w:firstLine="0" w:firstLineChars="0"/>
              <w:jc w:val="center"/>
              <w:rPr>
                <w:rFonts w:eastAsia="宋体"/>
                <w:sz w:val="21"/>
              </w:rPr>
            </w:pPr>
            <w:r>
              <w:rPr>
                <w:rFonts w:hint="eastAsia" w:eastAsia="宋体"/>
                <w:sz w:val="21"/>
              </w:rPr>
              <w:t>1</w:t>
            </w:r>
          </w:p>
        </w:tc>
        <w:tc>
          <w:tcPr>
            <w:tcW w:w="1661" w:type="pct"/>
            <w:vAlign w:val="center"/>
          </w:tcPr>
          <w:p w14:paraId="18BDB52F">
            <w:pPr>
              <w:pStyle w:val="57"/>
              <w:widowControl/>
              <w:spacing w:line="320" w:lineRule="exact"/>
              <w:ind w:firstLine="0" w:firstLineChars="0"/>
              <w:jc w:val="center"/>
              <w:rPr>
                <w:rFonts w:eastAsia="宋体"/>
                <w:sz w:val="21"/>
              </w:rPr>
            </w:pPr>
            <w:r>
              <w:rPr>
                <w:rFonts w:hint="eastAsia" w:eastAsia="宋体"/>
                <w:sz w:val="21"/>
              </w:rPr>
              <w:t>大英县要素重点管控单元</w:t>
            </w:r>
          </w:p>
        </w:tc>
        <w:tc>
          <w:tcPr>
            <w:tcW w:w="1251" w:type="pct"/>
            <w:vAlign w:val="center"/>
          </w:tcPr>
          <w:p w14:paraId="40DC7C8E">
            <w:pPr>
              <w:pStyle w:val="57"/>
              <w:widowControl/>
              <w:spacing w:line="320" w:lineRule="exact"/>
              <w:ind w:firstLine="0" w:firstLineChars="0"/>
              <w:jc w:val="center"/>
              <w:rPr>
                <w:rFonts w:eastAsia="宋体"/>
                <w:sz w:val="21"/>
              </w:rPr>
            </w:pPr>
            <w:r>
              <w:rPr>
                <w:rFonts w:hint="eastAsia" w:eastAsia="宋体"/>
                <w:sz w:val="21"/>
              </w:rPr>
              <w:t>ZH51092320005</w:t>
            </w:r>
          </w:p>
        </w:tc>
        <w:tc>
          <w:tcPr>
            <w:tcW w:w="697" w:type="pct"/>
            <w:vAlign w:val="center"/>
          </w:tcPr>
          <w:p w14:paraId="65A31B11">
            <w:pPr>
              <w:pStyle w:val="57"/>
              <w:widowControl/>
              <w:spacing w:line="320" w:lineRule="exact"/>
              <w:ind w:firstLine="0" w:firstLineChars="0"/>
              <w:jc w:val="center"/>
              <w:rPr>
                <w:rFonts w:eastAsia="宋体"/>
                <w:sz w:val="21"/>
              </w:rPr>
            </w:pPr>
            <w:r>
              <w:rPr>
                <w:rFonts w:hint="eastAsia" w:eastAsia="宋体"/>
                <w:sz w:val="21"/>
              </w:rPr>
              <w:t>遂宁市</w:t>
            </w:r>
          </w:p>
        </w:tc>
        <w:tc>
          <w:tcPr>
            <w:tcW w:w="970" w:type="pct"/>
            <w:vAlign w:val="center"/>
          </w:tcPr>
          <w:p w14:paraId="3D523FF4">
            <w:pPr>
              <w:pStyle w:val="57"/>
              <w:widowControl/>
              <w:spacing w:line="320" w:lineRule="exact"/>
              <w:ind w:firstLine="0" w:firstLineChars="0"/>
              <w:jc w:val="center"/>
              <w:rPr>
                <w:rFonts w:eastAsia="宋体"/>
                <w:sz w:val="21"/>
              </w:rPr>
            </w:pPr>
            <w:r>
              <w:rPr>
                <w:rFonts w:hint="eastAsia" w:eastAsia="宋体"/>
                <w:sz w:val="21"/>
              </w:rPr>
              <w:t>重点管控单元</w:t>
            </w:r>
          </w:p>
        </w:tc>
      </w:tr>
      <w:tr w14:paraId="34FB6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419" w:type="pct"/>
            <w:vAlign w:val="center"/>
          </w:tcPr>
          <w:p w14:paraId="32A8850D">
            <w:pPr>
              <w:pStyle w:val="57"/>
              <w:widowControl/>
              <w:spacing w:line="320" w:lineRule="exact"/>
              <w:ind w:firstLine="0" w:firstLineChars="0"/>
              <w:jc w:val="center"/>
              <w:rPr>
                <w:rFonts w:eastAsia="宋体"/>
                <w:sz w:val="21"/>
              </w:rPr>
            </w:pPr>
            <w:r>
              <w:rPr>
                <w:rFonts w:hint="eastAsia" w:eastAsia="宋体"/>
                <w:sz w:val="21"/>
              </w:rPr>
              <w:t>2</w:t>
            </w:r>
          </w:p>
        </w:tc>
        <w:tc>
          <w:tcPr>
            <w:tcW w:w="1661" w:type="pct"/>
            <w:vAlign w:val="center"/>
          </w:tcPr>
          <w:p w14:paraId="06052249">
            <w:pPr>
              <w:pStyle w:val="57"/>
              <w:widowControl/>
              <w:spacing w:line="320" w:lineRule="exact"/>
              <w:ind w:firstLine="0" w:firstLineChars="0"/>
              <w:jc w:val="center"/>
              <w:rPr>
                <w:rFonts w:eastAsia="宋体"/>
                <w:sz w:val="21"/>
              </w:rPr>
            </w:pPr>
            <w:r>
              <w:rPr>
                <w:rFonts w:hint="eastAsia" w:eastAsia="宋体"/>
                <w:sz w:val="21"/>
              </w:rPr>
              <w:t>大英县城镇空间</w:t>
            </w:r>
          </w:p>
        </w:tc>
        <w:tc>
          <w:tcPr>
            <w:tcW w:w="1251" w:type="pct"/>
            <w:vAlign w:val="center"/>
          </w:tcPr>
          <w:p w14:paraId="0E0106D7">
            <w:pPr>
              <w:pStyle w:val="57"/>
              <w:widowControl/>
              <w:spacing w:line="320" w:lineRule="exact"/>
              <w:ind w:firstLine="0" w:firstLineChars="0"/>
              <w:jc w:val="center"/>
              <w:rPr>
                <w:rFonts w:eastAsia="宋体"/>
                <w:sz w:val="21"/>
              </w:rPr>
            </w:pPr>
            <w:r>
              <w:rPr>
                <w:rFonts w:hint="eastAsia" w:eastAsia="宋体"/>
                <w:sz w:val="21"/>
              </w:rPr>
              <w:t>ZH51092320001</w:t>
            </w:r>
          </w:p>
        </w:tc>
        <w:tc>
          <w:tcPr>
            <w:tcW w:w="697" w:type="pct"/>
            <w:vAlign w:val="center"/>
          </w:tcPr>
          <w:p w14:paraId="5870220C">
            <w:pPr>
              <w:pStyle w:val="57"/>
              <w:widowControl/>
              <w:spacing w:line="320" w:lineRule="exact"/>
              <w:ind w:firstLine="0" w:firstLineChars="0"/>
              <w:jc w:val="center"/>
              <w:rPr>
                <w:rFonts w:eastAsia="宋体"/>
                <w:sz w:val="21"/>
              </w:rPr>
            </w:pPr>
            <w:r>
              <w:rPr>
                <w:rFonts w:hint="eastAsia" w:eastAsia="宋体"/>
                <w:sz w:val="21"/>
              </w:rPr>
              <w:t>遂宁市</w:t>
            </w:r>
          </w:p>
        </w:tc>
        <w:tc>
          <w:tcPr>
            <w:tcW w:w="970" w:type="pct"/>
            <w:vAlign w:val="center"/>
          </w:tcPr>
          <w:p w14:paraId="60D70C2F">
            <w:pPr>
              <w:pStyle w:val="57"/>
              <w:widowControl/>
              <w:spacing w:line="320" w:lineRule="exact"/>
              <w:ind w:firstLine="0" w:firstLineChars="0"/>
              <w:jc w:val="center"/>
              <w:rPr>
                <w:rFonts w:eastAsia="宋体"/>
                <w:sz w:val="21"/>
              </w:rPr>
            </w:pPr>
            <w:r>
              <w:rPr>
                <w:rFonts w:hint="eastAsia" w:eastAsia="宋体"/>
                <w:sz w:val="21"/>
              </w:rPr>
              <w:t>重点管控单元</w:t>
            </w:r>
          </w:p>
        </w:tc>
      </w:tr>
    </w:tbl>
    <w:p w14:paraId="2AD88A6D">
      <w:pPr>
        <w:pStyle w:val="37"/>
        <w:spacing w:before="156"/>
        <w:outlineLvl w:val="9"/>
        <w:rPr>
          <w:rFonts w:hint="default"/>
        </w:rPr>
      </w:pPr>
      <w:r>
        <w:rPr>
          <w:rFonts w:hint="default"/>
        </w:rPr>
        <w:t>建设项目涉及</w:t>
      </w:r>
      <w:r>
        <w:t>环境要素</w:t>
      </w:r>
      <w:r>
        <w:rPr>
          <w:rFonts w:hint="default"/>
        </w:rPr>
        <w:t>管控</w:t>
      </w:r>
      <w:r>
        <w:t>分区</w:t>
      </w:r>
      <w:r>
        <w:rPr>
          <w:rFonts w:hint="default"/>
        </w:rPr>
        <w:t>一览表</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6"/>
        <w:gridCol w:w="3930"/>
        <w:gridCol w:w="2957"/>
        <w:gridCol w:w="1645"/>
        <w:gridCol w:w="2291"/>
        <w:gridCol w:w="2291"/>
      </w:tblGrid>
      <w:tr w14:paraId="0C088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350" w:type="pct"/>
            <w:vAlign w:val="center"/>
          </w:tcPr>
          <w:p w14:paraId="5043350A">
            <w:pPr>
              <w:widowControl/>
              <w:spacing w:line="320" w:lineRule="exact"/>
              <w:jc w:val="center"/>
              <w:rPr>
                <w:b/>
                <w:bCs/>
                <w:color w:val="000000"/>
                <w:kern w:val="0"/>
                <w:szCs w:val="21"/>
              </w:rPr>
            </w:pPr>
            <w:r>
              <w:rPr>
                <w:rFonts w:hint="eastAsia"/>
                <w:b/>
                <w:bCs/>
                <w:color w:val="000000"/>
                <w:kern w:val="0"/>
                <w:szCs w:val="21"/>
              </w:rPr>
              <w:t>序号</w:t>
            </w:r>
          </w:p>
        </w:tc>
        <w:tc>
          <w:tcPr>
            <w:tcW w:w="1393" w:type="pct"/>
            <w:vAlign w:val="center"/>
          </w:tcPr>
          <w:p w14:paraId="3D569860">
            <w:pPr>
              <w:widowControl/>
              <w:spacing w:line="320" w:lineRule="exact"/>
              <w:jc w:val="center"/>
              <w:rPr>
                <w:b/>
                <w:bCs/>
                <w:color w:val="000000"/>
                <w:kern w:val="0"/>
                <w:szCs w:val="21"/>
              </w:rPr>
            </w:pPr>
            <w:r>
              <w:rPr>
                <w:rFonts w:hint="eastAsia"/>
                <w:b/>
                <w:bCs/>
                <w:color w:val="000000"/>
                <w:kern w:val="0"/>
                <w:szCs w:val="21"/>
              </w:rPr>
              <w:t>涉及环境要素管控分区名称</w:t>
            </w:r>
          </w:p>
        </w:tc>
        <w:tc>
          <w:tcPr>
            <w:tcW w:w="1048" w:type="pct"/>
            <w:vAlign w:val="center"/>
          </w:tcPr>
          <w:p w14:paraId="3E206940">
            <w:pPr>
              <w:widowControl/>
              <w:spacing w:line="320" w:lineRule="exact"/>
              <w:jc w:val="center"/>
              <w:rPr>
                <w:b/>
                <w:bCs/>
                <w:color w:val="000000"/>
                <w:kern w:val="0"/>
                <w:szCs w:val="21"/>
              </w:rPr>
            </w:pPr>
            <w:r>
              <w:rPr>
                <w:rFonts w:hint="eastAsia"/>
                <w:b/>
                <w:bCs/>
                <w:color w:val="000000"/>
                <w:kern w:val="0"/>
                <w:szCs w:val="21"/>
              </w:rPr>
              <w:t>涉及环境要素管控分区编码</w:t>
            </w:r>
          </w:p>
        </w:tc>
        <w:tc>
          <w:tcPr>
            <w:tcW w:w="583" w:type="pct"/>
            <w:vAlign w:val="center"/>
          </w:tcPr>
          <w:p w14:paraId="7C7295F0">
            <w:pPr>
              <w:widowControl/>
              <w:spacing w:line="320" w:lineRule="exact"/>
              <w:jc w:val="center"/>
              <w:rPr>
                <w:b/>
                <w:bCs/>
                <w:color w:val="000000"/>
                <w:kern w:val="0"/>
                <w:szCs w:val="21"/>
              </w:rPr>
            </w:pPr>
            <w:r>
              <w:rPr>
                <w:rFonts w:hint="eastAsia"/>
                <w:b/>
                <w:bCs/>
                <w:color w:val="000000"/>
                <w:kern w:val="0"/>
                <w:szCs w:val="21"/>
              </w:rPr>
              <w:t>行政区划</w:t>
            </w:r>
          </w:p>
        </w:tc>
        <w:tc>
          <w:tcPr>
            <w:tcW w:w="812" w:type="pct"/>
            <w:vAlign w:val="center"/>
          </w:tcPr>
          <w:p w14:paraId="52EF0249">
            <w:pPr>
              <w:widowControl/>
              <w:spacing w:line="320" w:lineRule="exact"/>
              <w:jc w:val="center"/>
              <w:rPr>
                <w:b/>
                <w:bCs/>
                <w:color w:val="000000"/>
                <w:kern w:val="0"/>
                <w:szCs w:val="21"/>
              </w:rPr>
            </w:pPr>
            <w:r>
              <w:rPr>
                <w:rFonts w:hint="eastAsia"/>
                <w:b/>
                <w:bCs/>
                <w:color w:val="000000"/>
                <w:kern w:val="0"/>
                <w:szCs w:val="21"/>
              </w:rPr>
              <w:t>环境要素类型</w:t>
            </w:r>
          </w:p>
        </w:tc>
        <w:tc>
          <w:tcPr>
            <w:tcW w:w="812" w:type="pct"/>
            <w:vAlign w:val="center"/>
          </w:tcPr>
          <w:p w14:paraId="36378C27">
            <w:pPr>
              <w:widowControl/>
              <w:spacing w:line="320" w:lineRule="exact"/>
              <w:jc w:val="center"/>
              <w:rPr>
                <w:b/>
                <w:bCs/>
                <w:color w:val="000000"/>
                <w:kern w:val="0"/>
                <w:szCs w:val="21"/>
              </w:rPr>
            </w:pPr>
            <w:r>
              <w:rPr>
                <w:rFonts w:hint="eastAsia"/>
                <w:b/>
                <w:bCs/>
                <w:color w:val="000000"/>
                <w:kern w:val="0"/>
                <w:szCs w:val="21"/>
              </w:rPr>
              <w:t>环境要素细类</w:t>
            </w:r>
          </w:p>
        </w:tc>
      </w:tr>
      <w:tr w14:paraId="6C5BF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350" w:type="pct"/>
            <w:vAlign w:val="center"/>
          </w:tcPr>
          <w:p w14:paraId="3D6269BD">
            <w:pPr>
              <w:pStyle w:val="57"/>
              <w:widowControl/>
              <w:spacing w:line="320" w:lineRule="exact"/>
              <w:ind w:firstLine="0" w:firstLineChars="0"/>
              <w:jc w:val="center"/>
              <w:rPr>
                <w:rFonts w:eastAsia="宋体"/>
                <w:sz w:val="21"/>
              </w:rPr>
            </w:pPr>
            <w:r>
              <w:rPr>
                <w:rFonts w:hint="eastAsia" w:eastAsia="宋体"/>
                <w:sz w:val="21"/>
              </w:rPr>
              <w:t>1</w:t>
            </w:r>
          </w:p>
        </w:tc>
        <w:tc>
          <w:tcPr>
            <w:tcW w:w="1393" w:type="pct"/>
            <w:vAlign w:val="center"/>
          </w:tcPr>
          <w:p w14:paraId="037F467D">
            <w:pPr>
              <w:pStyle w:val="57"/>
              <w:widowControl/>
              <w:spacing w:line="320" w:lineRule="exact"/>
              <w:ind w:firstLine="0" w:firstLineChars="0"/>
              <w:jc w:val="center"/>
              <w:rPr>
                <w:rFonts w:eastAsia="宋体"/>
                <w:sz w:val="21"/>
              </w:rPr>
            </w:pPr>
            <w:r>
              <w:rPr>
                <w:rFonts w:hint="eastAsia" w:eastAsia="宋体"/>
                <w:sz w:val="21"/>
              </w:rPr>
              <w:t>大英县其他区域</w:t>
            </w:r>
          </w:p>
        </w:tc>
        <w:tc>
          <w:tcPr>
            <w:tcW w:w="1048" w:type="pct"/>
            <w:vAlign w:val="center"/>
          </w:tcPr>
          <w:p w14:paraId="44BFE02F">
            <w:pPr>
              <w:pStyle w:val="57"/>
              <w:widowControl/>
              <w:spacing w:line="320" w:lineRule="exact"/>
              <w:ind w:firstLine="0" w:firstLineChars="0"/>
              <w:jc w:val="center"/>
              <w:rPr>
                <w:rFonts w:eastAsia="宋体"/>
                <w:sz w:val="21"/>
              </w:rPr>
            </w:pPr>
            <w:r>
              <w:rPr>
                <w:rFonts w:hint="eastAsia" w:eastAsia="宋体"/>
                <w:sz w:val="21"/>
              </w:rPr>
              <w:t>ZH51092320001</w:t>
            </w:r>
          </w:p>
        </w:tc>
        <w:tc>
          <w:tcPr>
            <w:tcW w:w="583" w:type="pct"/>
            <w:vAlign w:val="center"/>
          </w:tcPr>
          <w:p w14:paraId="10083C73">
            <w:pPr>
              <w:pStyle w:val="57"/>
              <w:widowControl/>
              <w:spacing w:line="320" w:lineRule="exact"/>
              <w:ind w:firstLine="0" w:firstLineChars="0"/>
              <w:jc w:val="center"/>
              <w:rPr>
                <w:rFonts w:eastAsia="宋体"/>
                <w:sz w:val="21"/>
              </w:rPr>
            </w:pPr>
            <w:r>
              <w:rPr>
                <w:rFonts w:hint="eastAsia" w:eastAsia="宋体"/>
                <w:sz w:val="21"/>
              </w:rPr>
              <w:t>遂宁市</w:t>
            </w:r>
          </w:p>
        </w:tc>
        <w:tc>
          <w:tcPr>
            <w:tcW w:w="812" w:type="pct"/>
            <w:vAlign w:val="center"/>
          </w:tcPr>
          <w:p w14:paraId="2703C54C">
            <w:pPr>
              <w:pStyle w:val="57"/>
              <w:widowControl/>
              <w:spacing w:line="320" w:lineRule="exact"/>
              <w:ind w:firstLine="0" w:firstLineChars="0"/>
              <w:jc w:val="center"/>
              <w:rPr>
                <w:rFonts w:eastAsia="宋体"/>
                <w:sz w:val="21"/>
              </w:rPr>
            </w:pPr>
            <w:r>
              <w:rPr>
                <w:rFonts w:hint="eastAsia" w:eastAsia="宋体"/>
                <w:sz w:val="21"/>
              </w:rPr>
              <w:t>生态</w:t>
            </w:r>
          </w:p>
        </w:tc>
        <w:tc>
          <w:tcPr>
            <w:tcW w:w="812" w:type="pct"/>
            <w:vAlign w:val="center"/>
          </w:tcPr>
          <w:p w14:paraId="56B4ACF4">
            <w:pPr>
              <w:pStyle w:val="57"/>
              <w:widowControl/>
              <w:spacing w:line="320" w:lineRule="exact"/>
              <w:ind w:firstLine="0" w:firstLineChars="0"/>
              <w:jc w:val="center"/>
              <w:rPr>
                <w:rFonts w:eastAsia="宋体"/>
                <w:sz w:val="21"/>
              </w:rPr>
            </w:pPr>
            <w:r>
              <w:rPr>
                <w:rFonts w:hint="eastAsia" w:eastAsia="宋体"/>
                <w:sz w:val="21"/>
              </w:rPr>
              <w:t>一般管控区</w:t>
            </w:r>
          </w:p>
        </w:tc>
      </w:tr>
    </w:tbl>
    <w:p w14:paraId="200FA70B">
      <w:pPr>
        <w:pStyle w:val="37"/>
        <w:spacing w:before="156"/>
        <w:outlineLvl w:val="9"/>
        <w:rPr>
          <w:rFonts w:hint="default"/>
        </w:rPr>
      </w:pPr>
      <w:r>
        <w:t>建设项目与涉及管控单元的管控要求的符合性分析表</w:t>
      </w:r>
    </w:p>
    <w:tbl>
      <w:tblPr>
        <w:tblStyle w:val="41"/>
        <w:tblW w:w="5000"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912"/>
        <w:gridCol w:w="53"/>
        <w:gridCol w:w="638"/>
        <w:gridCol w:w="54"/>
        <w:gridCol w:w="2102"/>
        <w:gridCol w:w="6263"/>
        <w:gridCol w:w="2446"/>
        <w:gridCol w:w="638"/>
      </w:tblGrid>
      <w:tr w14:paraId="0E54BCD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7" w:type="pct"/>
            <w:gridSpan w:val="6"/>
            <w:tcBorders>
              <w:tl2br w:val="nil"/>
              <w:tr2bl w:val="nil"/>
            </w:tcBorders>
            <w:vAlign w:val="center"/>
          </w:tcPr>
          <w:p w14:paraId="1388115D">
            <w:pPr>
              <w:pStyle w:val="38"/>
              <w:rPr>
                <w:rFonts w:hint="default"/>
                <w:b/>
                <w:bCs/>
              </w:rPr>
            </w:pPr>
            <w:r>
              <w:rPr>
                <w:rFonts w:hint="default"/>
                <w:b/>
                <w:bCs/>
              </w:rPr>
              <w:t>管控单元</w:t>
            </w:r>
            <w:r>
              <w:rPr>
                <w:b/>
                <w:bCs/>
              </w:rPr>
              <w:t>的具体要求</w:t>
            </w:r>
          </w:p>
        </w:tc>
        <w:tc>
          <w:tcPr>
            <w:tcW w:w="867" w:type="pct"/>
            <w:vMerge w:val="restart"/>
            <w:tcBorders>
              <w:tl2br w:val="nil"/>
              <w:tr2bl w:val="nil"/>
            </w:tcBorders>
            <w:vAlign w:val="center"/>
          </w:tcPr>
          <w:p w14:paraId="660ED162">
            <w:pPr>
              <w:pStyle w:val="38"/>
              <w:rPr>
                <w:rFonts w:hint="default"/>
                <w:b/>
                <w:bCs/>
              </w:rPr>
            </w:pPr>
            <w:r>
              <w:rPr>
                <w:b/>
                <w:bCs/>
              </w:rPr>
              <w:t>本项目情况</w:t>
            </w:r>
          </w:p>
        </w:tc>
        <w:tc>
          <w:tcPr>
            <w:tcW w:w="225" w:type="pct"/>
            <w:vMerge w:val="restart"/>
            <w:tcBorders>
              <w:tl2br w:val="nil"/>
              <w:tr2bl w:val="nil"/>
            </w:tcBorders>
            <w:vAlign w:val="center"/>
          </w:tcPr>
          <w:p w14:paraId="61838A12">
            <w:pPr>
              <w:pStyle w:val="38"/>
              <w:rPr>
                <w:rFonts w:hint="default"/>
                <w:b/>
                <w:bCs/>
              </w:rPr>
            </w:pPr>
            <w:r>
              <w:rPr>
                <w:b/>
                <w:bCs/>
              </w:rPr>
              <w:t>符合性</w:t>
            </w:r>
          </w:p>
        </w:tc>
      </w:tr>
      <w:tr w14:paraId="0DD711C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2" w:type="pct"/>
            <w:gridSpan w:val="4"/>
            <w:vMerge w:val="restart"/>
            <w:tcBorders>
              <w:tl2br w:val="nil"/>
              <w:tr2bl w:val="nil"/>
            </w:tcBorders>
            <w:vAlign w:val="center"/>
          </w:tcPr>
          <w:p w14:paraId="63DD57F3">
            <w:pPr>
              <w:pStyle w:val="38"/>
              <w:rPr>
                <w:rFonts w:hint="default"/>
                <w:b/>
                <w:bCs/>
              </w:rPr>
            </w:pPr>
            <w:r>
              <w:rPr>
                <w:b/>
                <w:bCs/>
              </w:rPr>
              <w:t>类别</w:t>
            </w:r>
          </w:p>
        </w:tc>
        <w:tc>
          <w:tcPr>
            <w:tcW w:w="2965" w:type="pct"/>
            <w:gridSpan w:val="2"/>
            <w:tcBorders>
              <w:tl2br w:val="nil"/>
              <w:tr2bl w:val="nil"/>
            </w:tcBorders>
            <w:vAlign w:val="center"/>
          </w:tcPr>
          <w:p w14:paraId="3D83E8EF">
            <w:pPr>
              <w:pStyle w:val="38"/>
              <w:rPr>
                <w:rFonts w:hint="default"/>
                <w:b/>
                <w:bCs/>
              </w:rPr>
            </w:pPr>
            <w:r>
              <w:rPr>
                <w:b/>
                <w:bCs/>
              </w:rPr>
              <w:t>对应管控要求</w:t>
            </w:r>
          </w:p>
        </w:tc>
        <w:tc>
          <w:tcPr>
            <w:tcW w:w="867" w:type="pct"/>
            <w:vMerge w:val="continue"/>
            <w:tcBorders>
              <w:tl2br w:val="nil"/>
              <w:tr2bl w:val="nil"/>
            </w:tcBorders>
            <w:vAlign w:val="center"/>
          </w:tcPr>
          <w:p w14:paraId="088BE2A2">
            <w:pPr>
              <w:pStyle w:val="38"/>
              <w:rPr>
                <w:rFonts w:hint="default"/>
              </w:rPr>
            </w:pPr>
          </w:p>
        </w:tc>
        <w:tc>
          <w:tcPr>
            <w:tcW w:w="225" w:type="pct"/>
            <w:vMerge w:val="continue"/>
            <w:tcBorders>
              <w:tl2br w:val="nil"/>
              <w:tr2bl w:val="nil"/>
            </w:tcBorders>
            <w:vAlign w:val="center"/>
          </w:tcPr>
          <w:p w14:paraId="7982111A">
            <w:pPr>
              <w:pStyle w:val="38"/>
              <w:rPr>
                <w:rFonts w:hint="default"/>
              </w:rPr>
            </w:pPr>
          </w:p>
        </w:tc>
      </w:tr>
      <w:tr w14:paraId="2EEC656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2" w:type="pct"/>
            <w:gridSpan w:val="4"/>
            <w:vMerge w:val="continue"/>
            <w:tcBorders>
              <w:tl2br w:val="nil"/>
              <w:tr2bl w:val="nil"/>
            </w:tcBorders>
            <w:vAlign w:val="center"/>
          </w:tcPr>
          <w:p w14:paraId="0ED0BD9B">
            <w:pPr>
              <w:pStyle w:val="38"/>
              <w:rPr>
                <w:rFonts w:hint="default"/>
                <w:b/>
                <w:bCs/>
              </w:rPr>
            </w:pPr>
          </w:p>
        </w:tc>
        <w:tc>
          <w:tcPr>
            <w:tcW w:w="745" w:type="pct"/>
            <w:tcBorders>
              <w:tl2br w:val="nil"/>
              <w:tr2bl w:val="nil"/>
            </w:tcBorders>
            <w:vAlign w:val="center"/>
          </w:tcPr>
          <w:p w14:paraId="7906A864">
            <w:pPr>
              <w:pStyle w:val="38"/>
              <w:rPr>
                <w:rFonts w:hint="default"/>
                <w:b/>
                <w:bCs/>
              </w:rPr>
            </w:pPr>
            <w:r>
              <w:rPr>
                <w:b/>
                <w:bCs/>
              </w:rPr>
              <w:t>县区普适性清单</w:t>
            </w:r>
          </w:p>
        </w:tc>
        <w:tc>
          <w:tcPr>
            <w:tcW w:w="2219" w:type="pct"/>
            <w:tcBorders>
              <w:tl2br w:val="nil"/>
              <w:tr2bl w:val="nil"/>
            </w:tcBorders>
            <w:vAlign w:val="center"/>
          </w:tcPr>
          <w:p w14:paraId="0F76F04E">
            <w:pPr>
              <w:pStyle w:val="38"/>
              <w:rPr>
                <w:rFonts w:hint="default"/>
                <w:b/>
                <w:bCs/>
              </w:rPr>
            </w:pPr>
            <w:r>
              <w:rPr>
                <w:b/>
                <w:bCs/>
              </w:rPr>
              <w:t>单元特性管控要求</w:t>
            </w:r>
          </w:p>
        </w:tc>
        <w:tc>
          <w:tcPr>
            <w:tcW w:w="867" w:type="pct"/>
            <w:vMerge w:val="continue"/>
            <w:tcBorders>
              <w:tl2br w:val="nil"/>
              <w:tr2bl w:val="nil"/>
            </w:tcBorders>
            <w:vAlign w:val="center"/>
          </w:tcPr>
          <w:p w14:paraId="60ED8A12">
            <w:pPr>
              <w:pStyle w:val="38"/>
              <w:rPr>
                <w:rFonts w:hint="default"/>
              </w:rPr>
            </w:pPr>
          </w:p>
        </w:tc>
        <w:tc>
          <w:tcPr>
            <w:tcW w:w="225" w:type="pct"/>
            <w:vMerge w:val="continue"/>
            <w:tcBorders>
              <w:tl2br w:val="nil"/>
              <w:tr2bl w:val="nil"/>
            </w:tcBorders>
            <w:vAlign w:val="center"/>
          </w:tcPr>
          <w:p w14:paraId="13D6B50D">
            <w:pPr>
              <w:pStyle w:val="38"/>
              <w:rPr>
                <w:rFonts w:hint="default"/>
              </w:rPr>
            </w:pPr>
          </w:p>
        </w:tc>
      </w:tr>
      <w:tr w14:paraId="2A6AC12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0" w:hRule="atLeast"/>
          <w:jc w:val="center"/>
        </w:trPr>
        <w:tc>
          <w:tcPr>
            <w:tcW w:w="697" w:type="pct"/>
            <w:gridSpan w:val="2"/>
            <w:vMerge w:val="restart"/>
            <w:tcBorders>
              <w:tl2br w:val="nil"/>
              <w:tr2bl w:val="nil"/>
            </w:tcBorders>
            <w:vAlign w:val="center"/>
          </w:tcPr>
          <w:p w14:paraId="3DFAE44E">
            <w:pPr>
              <w:pStyle w:val="38"/>
              <w:jc w:val="left"/>
              <w:rPr>
                <w:rFonts w:hint="default"/>
              </w:rPr>
            </w:pPr>
            <w:r>
              <w:rPr>
                <w:b/>
                <w:bCs/>
              </w:rPr>
              <w:t>环境管控单元名称：</w:t>
            </w:r>
            <w:r>
              <w:t>大英县要素重点管控单元</w:t>
            </w:r>
          </w:p>
          <w:p w14:paraId="5D154D8A">
            <w:pPr>
              <w:pStyle w:val="38"/>
              <w:jc w:val="left"/>
              <w:rPr>
                <w:rFonts w:hint="default"/>
                <w:b/>
                <w:bCs/>
              </w:rPr>
            </w:pPr>
            <w:r>
              <w:rPr>
                <w:b/>
                <w:bCs/>
              </w:rPr>
              <w:t>编码：</w:t>
            </w:r>
            <w:r>
              <w:t>ZH51092320005</w:t>
            </w:r>
          </w:p>
        </w:tc>
        <w:tc>
          <w:tcPr>
            <w:tcW w:w="245" w:type="pct"/>
            <w:gridSpan w:val="2"/>
            <w:vMerge w:val="restart"/>
            <w:tcBorders>
              <w:tl2br w:val="nil"/>
              <w:tr2bl w:val="nil"/>
            </w:tcBorders>
            <w:vAlign w:val="center"/>
          </w:tcPr>
          <w:p w14:paraId="154C92BC">
            <w:pPr>
              <w:pStyle w:val="38"/>
              <w:rPr>
                <w:rFonts w:hint="default"/>
              </w:rPr>
            </w:pPr>
            <w:r>
              <w:t>空间布局约束</w:t>
            </w:r>
          </w:p>
        </w:tc>
        <w:tc>
          <w:tcPr>
            <w:tcW w:w="745" w:type="pct"/>
            <w:tcBorders>
              <w:tl2br w:val="nil"/>
              <w:tr2bl w:val="nil"/>
            </w:tcBorders>
            <w:vAlign w:val="center"/>
          </w:tcPr>
          <w:p w14:paraId="35A5E37B">
            <w:pPr>
              <w:pStyle w:val="38"/>
              <w:jc w:val="left"/>
              <w:rPr>
                <w:rFonts w:hint="default"/>
                <w:b/>
                <w:bCs/>
              </w:rPr>
            </w:pPr>
            <w:r>
              <w:rPr>
                <w:b/>
                <w:bCs/>
              </w:rPr>
              <w:t>禁止开发建设活动的要求：</w:t>
            </w:r>
          </w:p>
          <w:p w14:paraId="3814AD77">
            <w:pPr>
              <w:pStyle w:val="38"/>
              <w:jc w:val="left"/>
              <w:rPr>
                <w:rFonts w:hint="default"/>
              </w:rPr>
            </w:pPr>
            <w:r>
              <w:t>暂无</w:t>
            </w:r>
          </w:p>
          <w:p w14:paraId="0C4F8886">
            <w:pPr>
              <w:pStyle w:val="38"/>
              <w:jc w:val="left"/>
              <w:rPr>
                <w:rFonts w:hint="default"/>
                <w:b/>
                <w:bCs/>
              </w:rPr>
            </w:pPr>
            <w:r>
              <w:rPr>
                <w:b/>
                <w:bCs/>
              </w:rPr>
              <w:t>限制开发建设活动的要求：</w:t>
            </w:r>
          </w:p>
          <w:p w14:paraId="62352B6F">
            <w:pPr>
              <w:pStyle w:val="38"/>
              <w:jc w:val="left"/>
              <w:rPr>
                <w:rFonts w:hint="default"/>
              </w:rPr>
            </w:pPr>
            <w:r>
              <w:t>暂无</w:t>
            </w:r>
          </w:p>
          <w:p w14:paraId="2CD0285A">
            <w:pPr>
              <w:pStyle w:val="38"/>
              <w:jc w:val="left"/>
              <w:rPr>
                <w:rFonts w:hint="default"/>
                <w:b/>
                <w:bCs/>
              </w:rPr>
            </w:pPr>
            <w:r>
              <w:rPr>
                <w:b/>
                <w:bCs/>
              </w:rPr>
              <w:t>允许开发建设活动的要求：</w:t>
            </w:r>
          </w:p>
          <w:p w14:paraId="48A8D52B">
            <w:pPr>
              <w:pStyle w:val="38"/>
              <w:jc w:val="left"/>
              <w:rPr>
                <w:rFonts w:hint="default"/>
              </w:rPr>
            </w:pPr>
            <w:r>
              <w:t>暂无</w:t>
            </w:r>
          </w:p>
        </w:tc>
        <w:tc>
          <w:tcPr>
            <w:tcW w:w="2219" w:type="pct"/>
            <w:tcBorders>
              <w:tl2br w:val="nil"/>
              <w:tr2bl w:val="nil"/>
            </w:tcBorders>
            <w:vAlign w:val="center"/>
          </w:tcPr>
          <w:p w14:paraId="1006AF9C">
            <w:pPr>
              <w:pStyle w:val="38"/>
              <w:jc w:val="left"/>
              <w:rPr>
                <w:rFonts w:hint="default"/>
                <w:b/>
                <w:bCs/>
              </w:rPr>
            </w:pPr>
            <w:r>
              <w:rPr>
                <w:b/>
                <w:bCs/>
              </w:rPr>
              <w:t>禁止开发建设活动的要求：</w:t>
            </w:r>
          </w:p>
          <w:p w14:paraId="6B8BB71B">
            <w:pPr>
              <w:pStyle w:val="38"/>
              <w:jc w:val="left"/>
              <w:rPr>
                <w:rFonts w:hint="default"/>
              </w:rPr>
            </w:pPr>
            <w:r>
              <w:t>参照遂宁市总体准入要求-要素重点管控单元</w:t>
            </w:r>
          </w:p>
          <w:p w14:paraId="69FC72EE">
            <w:pPr>
              <w:pStyle w:val="38"/>
              <w:jc w:val="left"/>
              <w:rPr>
                <w:rFonts w:hint="default"/>
                <w:b/>
                <w:bCs/>
              </w:rPr>
            </w:pPr>
            <w:r>
              <w:rPr>
                <w:b/>
                <w:bCs/>
              </w:rPr>
              <w:t>限制开发建设活动的要求：</w:t>
            </w:r>
          </w:p>
          <w:p w14:paraId="14D1F280">
            <w:pPr>
              <w:pStyle w:val="38"/>
              <w:jc w:val="left"/>
              <w:rPr>
                <w:rFonts w:hint="default"/>
              </w:rPr>
            </w:pPr>
            <w:r>
              <w:t>参照遂宁市总体准入要求-要素重点管控单元</w:t>
            </w:r>
          </w:p>
          <w:p w14:paraId="5550CA67">
            <w:pPr>
              <w:pStyle w:val="38"/>
              <w:jc w:val="left"/>
              <w:rPr>
                <w:rFonts w:hint="default"/>
                <w:b/>
                <w:bCs/>
              </w:rPr>
            </w:pPr>
            <w:r>
              <w:rPr>
                <w:b/>
                <w:bCs/>
              </w:rPr>
              <w:t>允许开发建设活动的要求：</w:t>
            </w:r>
          </w:p>
          <w:p w14:paraId="1771AA36">
            <w:pPr>
              <w:pStyle w:val="38"/>
              <w:jc w:val="left"/>
              <w:rPr>
                <w:rFonts w:hint="default"/>
              </w:rPr>
            </w:pPr>
            <w:r>
              <w:t>△</w:t>
            </w:r>
          </w:p>
        </w:tc>
        <w:tc>
          <w:tcPr>
            <w:tcW w:w="867" w:type="pct"/>
            <w:tcBorders>
              <w:tl2br w:val="nil"/>
              <w:tr2bl w:val="nil"/>
            </w:tcBorders>
            <w:vAlign w:val="center"/>
          </w:tcPr>
          <w:p w14:paraId="7E9B9675">
            <w:pPr>
              <w:pStyle w:val="38"/>
              <w:jc w:val="left"/>
              <w:rPr>
                <w:rFonts w:hint="default"/>
              </w:rPr>
            </w:pPr>
            <w:r>
              <w:t>本工程位于大英县金元镇场镇内，永久用地和临时用地均不涉及文物保护区、自然保护区、风景名胜区、森林公园、饮用水源保护区、生态保护红线等环境敏感区。不涉及占用基本农田、水源涵养地、湿地公园等。</w:t>
            </w:r>
          </w:p>
        </w:tc>
        <w:tc>
          <w:tcPr>
            <w:tcW w:w="225" w:type="pct"/>
            <w:tcBorders>
              <w:tl2br w:val="nil"/>
              <w:tr2bl w:val="nil"/>
            </w:tcBorders>
            <w:vAlign w:val="center"/>
          </w:tcPr>
          <w:p w14:paraId="31E7F33A">
            <w:pPr>
              <w:jc w:val="center"/>
            </w:pPr>
            <w:r>
              <w:rPr>
                <w:rFonts w:hint="eastAsia"/>
              </w:rPr>
              <w:t>符合</w:t>
            </w:r>
          </w:p>
        </w:tc>
      </w:tr>
      <w:tr w14:paraId="195F5BC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697" w:type="pct"/>
            <w:gridSpan w:val="2"/>
            <w:vMerge w:val="continue"/>
            <w:tcBorders>
              <w:tl2br w:val="nil"/>
              <w:tr2bl w:val="nil"/>
            </w:tcBorders>
            <w:vAlign w:val="center"/>
          </w:tcPr>
          <w:p w14:paraId="5C7FC649">
            <w:pPr>
              <w:jc w:val="center"/>
            </w:pPr>
          </w:p>
        </w:tc>
        <w:tc>
          <w:tcPr>
            <w:tcW w:w="245" w:type="pct"/>
            <w:gridSpan w:val="2"/>
            <w:vMerge w:val="continue"/>
            <w:tcBorders>
              <w:tl2br w:val="nil"/>
              <w:tr2bl w:val="nil"/>
            </w:tcBorders>
            <w:vAlign w:val="center"/>
          </w:tcPr>
          <w:p w14:paraId="2CE6BA4F">
            <w:pPr>
              <w:jc w:val="center"/>
            </w:pPr>
          </w:p>
        </w:tc>
        <w:tc>
          <w:tcPr>
            <w:tcW w:w="745" w:type="pct"/>
            <w:tcBorders>
              <w:tl2br w:val="nil"/>
              <w:tr2bl w:val="nil"/>
            </w:tcBorders>
            <w:vAlign w:val="center"/>
          </w:tcPr>
          <w:p w14:paraId="2A862FBC">
            <w:pPr>
              <w:pStyle w:val="38"/>
              <w:jc w:val="left"/>
              <w:rPr>
                <w:rFonts w:hint="default"/>
                <w:b/>
                <w:bCs/>
              </w:rPr>
            </w:pPr>
            <w:r>
              <w:rPr>
                <w:b/>
                <w:bCs/>
              </w:rPr>
              <w:t>不符合空间布局要求活动的退出要求：</w:t>
            </w:r>
          </w:p>
          <w:p w14:paraId="78E1FA43">
            <w:pPr>
              <w:pStyle w:val="38"/>
              <w:jc w:val="left"/>
              <w:rPr>
                <w:rFonts w:hint="default"/>
              </w:rPr>
            </w:pPr>
            <w:r>
              <w:t>暂无</w:t>
            </w:r>
          </w:p>
        </w:tc>
        <w:tc>
          <w:tcPr>
            <w:tcW w:w="2219" w:type="pct"/>
            <w:tcBorders>
              <w:tl2br w:val="nil"/>
              <w:tr2bl w:val="nil"/>
            </w:tcBorders>
            <w:vAlign w:val="center"/>
          </w:tcPr>
          <w:p w14:paraId="104ADAAC">
            <w:pPr>
              <w:pStyle w:val="38"/>
              <w:jc w:val="left"/>
              <w:rPr>
                <w:rFonts w:hint="default"/>
                <w:b/>
                <w:bCs/>
              </w:rPr>
            </w:pPr>
            <w:r>
              <w:rPr>
                <w:b/>
                <w:bCs/>
              </w:rPr>
              <w:t>不符合空间布局要求活动的退出要求：</w:t>
            </w:r>
          </w:p>
          <w:p w14:paraId="22B3B58E">
            <w:pPr>
              <w:pStyle w:val="38"/>
              <w:jc w:val="left"/>
              <w:rPr>
                <w:rFonts w:hint="default"/>
              </w:rPr>
            </w:pPr>
            <w:r>
              <w:t>1.位于城镇空间外的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w:t>
            </w:r>
          </w:p>
          <w:p w14:paraId="6348BD7C">
            <w:pPr>
              <w:pStyle w:val="38"/>
              <w:jc w:val="left"/>
              <w:rPr>
                <w:rFonts w:hint="default"/>
              </w:rPr>
            </w:pPr>
            <w:r>
              <w:t>2.其他参照遂宁市总体准入要求-要素重点管控单元</w:t>
            </w:r>
          </w:p>
        </w:tc>
        <w:tc>
          <w:tcPr>
            <w:tcW w:w="867" w:type="pct"/>
            <w:tcBorders>
              <w:tl2br w:val="nil"/>
              <w:tr2bl w:val="nil"/>
            </w:tcBorders>
            <w:vAlign w:val="center"/>
          </w:tcPr>
          <w:p w14:paraId="789A2106">
            <w:pPr>
              <w:jc w:val="left"/>
            </w:pPr>
            <w:r>
              <w:rPr>
                <w:rFonts w:hint="eastAsia"/>
              </w:rPr>
              <w:t>项目属于河道整治工程，不属于工业企业。项目施工前用地手续齐全。</w:t>
            </w:r>
          </w:p>
        </w:tc>
        <w:tc>
          <w:tcPr>
            <w:tcW w:w="225" w:type="pct"/>
            <w:tcBorders>
              <w:tl2br w:val="nil"/>
              <w:tr2bl w:val="nil"/>
            </w:tcBorders>
            <w:vAlign w:val="center"/>
          </w:tcPr>
          <w:p w14:paraId="4BF1E15C">
            <w:pPr>
              <w:jc w:val="center"/>
            </w:pPr>
            <w:r>
              <w:rPr>
                <w:rFonts w:hint="eastAsia"/>
              </w:rPr>
              <w:t>符合</w:t>
            </w:r>
          </w:p>
        </w:tc>
      </w:tr>
      <w:tr w14:paraId="4EF033E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697" w:type="pct"/>
            <w:gridSpan w:val="2"/>
            <w:vMerge w:val="continue"/>
            <w:tcBorders>
              <w:tl2br w:val="nil"/>
              <w:tr2bl w:val="nil"/>
            </w:tcBorders>
            <w:vAlign w:val="center"/>
          </w:tcPr>
          <w:p w14:paraId="7A5043C5">
            <w:pPr>
              <w:jc w:val="center"/>
            </w:pPr>
          </w:p>
        </w:tc>
        <w:tc>
          <w:tcPr>
            <w:tcW w:w="245" w:type="pct"/>
            <w:gridSpan w:val="2"/>
            <w:vMerge w:val="continue"/>
            <w:tcBorders>
              <w:tl2br w:val="nil"/>
              <w:tr2bl w:val="nil"/>
            </w:tcBorders>
            <w:vAlign w:val="center"/>
          </w:tcPr>
          <w:p w14:paraId="7444C709">
            <w:pPr>
              <w:jc w:val="center"/>
            </w:pPr>
          </w:p>
        </w:tc>
        <w:tc>
          <w:tcPr>
            <w:tcW w:w="745" w:type="pct"/>
            <w:tcBorders>
              <w:tl2br w:val="nil"/>
              <w:tr2bl w:val="nil"/>
            </w:tcBorders>
            <w:vAlign w:val="center"/>
          </w:tcPr>
          <w:p w14:paraId="0D94A8D2">
            <w:pPr>
              <w:pStyle w:val="38"/>
              <w:jc w:val="left"/>
              <w:rPr>
                <w:rFonts w:hint="default"/>
                <w:b/>
                <w:bCs/>
              </w:rPr>
            </w:pPr>
            <w:r>
              <w:rPr>
                <w:b/>
                <w:bCs/>
              </w:rPr>
              <w:t>其他空间布局约束要求</w:t>
            </w:r>
          </w:p>
          <w:p w14:paraId="1B1D4035">
            <w:pPr>
              <w:jc w:val="left"/>
            </w:pPr>
            <w:r>
              <w:rPr>
                <w:rFonts w:hint="eastAsia"/>
              </w:rPr>
              <w:t>暂无</w:t>
            </w:r>
          </w:p>
        </w:tc>
        <w:tc>
          <w:tcPr>
            <w:tcW w:w="2219" w:type="pct"/>
            <w:tcBorders>
              <w:tl2br w:val="nil"/>
              <w:tr2bl w:val="nil"/>
            </w:tcBorders>
            <w:vAlign w:val="center"/>
          </w:tcPr>
          <w:p w14:paraId="4C34E268">
            <w:pPr>
              <w:pStyle w:val="38"/>
              <w:jc w:val="left"/>
              <w:rPr>
                <w:rFonts w:hint="default"/>
                <w:b/>
                <w:bCs/>
              </w:rPr>
            </w:pPr>
            <w:r>
              <w:rPr>
                <w:b/>
                <w:bCs/>
              </w:rPr>
              <w:t>其他空间布局约束要求：</w:t>
            </w:r>
          </w:p>
          <w:p w14:paraId="23DE8F9E">
            <w:pPr>
              <w:jc w:val="left"/>
            </w:pPr>
            <w:r>
              <w:rPr>
                <w:rFonts w:hint="eastAsia"/>
              </w:rPr>
              <w:t>△</w:t>
            </w:r>
          </w:p>
        </w:tc>
        <w:tc>
          <w:tcPr>
            <w:tcW w:w="867" w:type="pct"/>
            <w:tcBorders>
              <w:tl2br w:val="nil"/>
              <w:tr2bl w:val="nil"/>
            </w:tcBorders>
            <w:vAlign w:val="center"/>
          </w:tcPr>
          <w:p w14:paraId="2C386017">
            <w:pPr>
              <w:widowControl/>
            </w:pPr>
            <w:r>
              <w:rPr>
                <w:rFonts w:hint="eastAsia" w:ascii="宋体" w:hAnsi="宋体" w:cs="宋体"/>
                <w:szCs w:val="21"/>
                <w:lang w:bidi="ar"/>
              </w:rPr>
              <w:t>/</w:t>
            </w:r>
          </w:p>
        </w:tc>
        <w:tc>
          <w:tcPr>
            <w:tcW w:w="225" w:type="pct"/>
            <w:tcBorders>
              <w:tl2br w:val="nil"/>
              <w:tr2bl w:val="nil"/>
            </w:tcBorders>
            <w:vAlign w:val="center"/>
          </w:tcPr>
          <w:p w14:paraId="09CB14F8">
            <w:pPr>
              <w:jc w:val="center"/>
            </w:pPr>
            <w:r>
              <w:rPr>
                <w:rFonts w:hint="eastAsia"/>
              </w:rPr>
              <w:t>/</w:t>
            </w:r>
          </w:p>
        </w:tc>
      </w:tr>
      <w:tr w14:paraId="296DF56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22" w:hRule="atLeast"/>
          <w:jc w:val="center"/>
        </w:trPr>
        <w:tc>
          <w:tcPr>
            <w:tcW w:w="697" w:type="pct"/>
            <w:gridSpan w:val="2"/>
            <w:vMerge w:val="continue"/>
            <w:tcBorders>
              <w:tl2br w:val="nil"/>
              <w:tr2bl w:val="nil"/>
            </w:tcBorders>
            <w:vAlign w:val="center"/>
          </w:tcPr>
          <w:p w14:paraId="7004F006">
            <w:pPr>
              <w:pStyle w:val="38"/>
              <w:jc w:val="left"/>
              <w:rPr>
                <w:rFonts w:hint="default"/>
              </w:rPr>
            </w:pPr>
          </w:p>
        </w:tc>
        <w:tc>
          <w:tcPr>
            <w:tcW w:w="245" w:type="pct"/>
            <w:gridSpan w:val="2"/>
            <w:vMerge w:val="restart"/>
            <w:tcBorders>
              <w:tl2br w:val="nil"/>
              <w:tr2bl w:val="nil"/>
            </w:tcBorders>
            <w:vAlign w:val="center"/>
          </w:tcPr>
          <w:p w14:paraId="087909B9">
            <w:pPr>
              <w:pStyle w:val="38"/>
              <w:rPr>
                <w:rFonts w:hint="default"/>
              </w:rPr>
            </w:pPr>
            <w:r>
              <w:t>污染物排放管控</w:t>
            </w:r>
          </w:p>
        </w:tc>
        <w:tc>
          <w:tcPr>
            <w:tcW w:w="745" w:type="pct"/>
            <w:tcBorders>
              <w:tl2br w:val="nil"/>
              <w:tr2bl w:val="nil"/>
            </w:tcBorders>
            <w:vAlign w:val="center"/>
          </w:tcPr>
          <w:p w14:paraId="2676B548">
            <w:pPr>
              <w:pStyle w:val="38"/>
              <w:jc w:val="left"/>
              <w:rPr>
                <w:rFonts w:hint="default"/>
                <w:b/>
                <w:bCs/>
              </w:rPr>
            </w:pPr>
            <w:r>
              <w:rPr>
                <w:b/>
                <w:bCs/>
              </w:rPr>
              <w:t>现有源提标升级改造：</w:t>
            </w:r>
          </w:p>
          <w:p w14:paraId="3315520A">
            <w:pPr>
              <w:pStyle w:val="38"/>
              <w:jc w:val="left"/>
              <w:rPr>
                <w:rFonts w:hint="default"/>
              </w:rPr>
            </w:pPr>
            <w:r>
              <w:t>暂无</w:t>
            </w:r>
          </w:p>
        </w:tc>
        <w:tc>
          <w:tcPr>
            <w:tcW w:w="2219" w:type="pct"/>
            <w:tcBorders>
              <w:tl2br w:val="nil"/>
              <w:tr2bl w:val="nil"/>
            </w:tcBorders>
            <w:vAlign w:val="center"/>
          </w:tcPr>
          <w:p w14:paraId="53F91D07">
            <w:pPr>
              <w:pStyle w:val="38"/>
              <w:jc w:val="left"/>
              <w:rPr>
                <w:rFonts w:hint="default"/>
                <w:b/>
                <w:bCs/>
              </w:rPr>
            </w:pPr>
            <w:r>
              <w:rPr>
                <w:b/>
                <w:bCs/>
              </w:rPr>
              <w:t>现有源提标升级改造：</w:t>
            </w:r>
          </w:p>
          <w:p w14:paraId="16DB75C1">
            <w:pPr>
              <w:pStyle w:val="38"/>
              <w:jc w:val="left"/>
              <w:rPr>
                <w:rFonts w:hint="default"/>
              </w:rPr>
            </w:pPr>
            <w:r>
              <w:t>1.加快补齐建制镇污水处理短板，不断完善污水收集管网，确保建制镇污水处理厂稳定运行。</w:t>
            </w:r>
          </w:p>
          <w:p w14:paraId="7C412947">
            <w:pPr>
              <w:pStyle w:val="38"/>
              <w:jc w:val="left"/>
              <w:rPr>
                <w:rFonts w:hint="default"/>
              </w:rPr>
            </w:pPr>
            <w:r>
              <w:t>2.水环境农业污染重点管控区全面开展黑臭水体排查，科学推进黑臭水体治理。</w:t>
            </w:r>
          </w:p>
          <w:p w14:paraId="6AD98386">
            <w:pPr>
              <w:pStyle w:val="38"/>
              <w:jc w:val="left"/>
              <w:rPr>
                <w:rFonts w:hint="default"/>
              </w:rPr>
            </w:pPr>
            <w:r>
              <w:t>3.其他参照遂宁市总体准入要求-要素重点管控单元。</w:t>
            </w:r>
          </w:p>
        </w:tc>
        <w:tc>
          <w:tcPr>
            <w:tcW w:w="867" w:type="pct"/>
            <w:tcBorders>
              <w:tl2br w:val="nil"/>
              <w:tr2bl w:val="nil"/>
            </w:tcBorders>
            <w:vAlign w:val="center"/>
          </w:tcPr>
          <w:p w14:paraId="359799E6">
            <w:pPr>
              <w:pStyle w:val="38"/>
              <w:jc w:val="left"/>
              <w:rPr>
                <w:rFonts w:hint="default"/>
                <w:b/>
                <w:bCs/>
              </w:rPr>
            </w:pPr>
            <w:r>
              <w:t>项目属于河道整治工程，有助于黑臭水体治理</w:t>
            </w:r>
          </w:p>
        </w:tc>
        <w:tc>
          <w:tcPr>
            <w:tcW w:w="225" w:type="pct"/>
            <w:tcBorders>
              <w:tl2br w:val="nil"/>
              <w:tr2bl w:val="nil"/>
            </w:tcBorders>
            <w:vAlign w:val="center"/>
          </w:tcPr>
          <w:p w14:paraId="13F7EDE4">
            <w:pPr>
              <w:jc w:val="center"/>
            </w:pPr>
            <w:r>
              <w:rPr>
                <w:rFonts w:hint="eastAsia"/>
              </w:rPr>
              <w:t>符合</w:t>
            </w:r>
          </w:p>
        </w:tc>
      </w:tr>
      <w:tr w14:paraId="076CC9E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97" w:type="pct"/>
            <w:gridSpan w:val="2"/>
            <w:vMerge w:val="continue"/>
            <w:tcBorders>
              <w:tl2br w:val="nil"/>
              <w:tr2bl w:val="nil"/>
            </w:tcBorders>
            <w:vAlign w:val="center"/>
          </w:tcPr>
          <w:p w14:paraId="7A6D603D">
            <w:pPr>
              <w:jc w:val="center"/>
            </w:pPr>
          </w:p>
        </w:tc>
        <w:tc>
          <w:tcPr>
            <w:tcW w:w="245" w:type="pct"/>
            <w:gridSpan w:val="2"/>
            <w:vMerge w:val="continue"/>
            <w:tcBorders>
              <w:tl2br w:val="nil"/>
              <w:tr2bl w:val="nil"/>
            </w:tcBorders>
            <w:vAlign w:val="center"/>
          </w:tcPr>
          <w:p w14:paraId="5111F7D9">
            <w:pPr>
              <w:jc w:val="center"/>
            </w:pPr>
          </w:p>
        </w:tc>
        <w:tc>
          <w:tcPr>
            <w:tcW w:w="745" w:type="pct"/>
            <w:tcBorders>
              <w:tl2br w:val="nil"/>
              <w:tr2bl w:val="nil"/>
            </w:tcBorders>
            <w:vAlign w:val="center"/>
          </w:tcPr>
          <w:p w14:paraId="395E2B0E">
            <w:pPr>
              <w:pStyle w:val="38"/>
              <w:jc w:val="left"/>
              <w:rPr>
                <w:rFonts w:hint="default"/>
                <w:b/>
                <w:bCs/>
              </w:rPr>
            </w:pPr>
            <w:r>
              <w:rPr>
                <w:b/>
                <w:bCs/>
              </w:rPr>
              <w:t>新增源等量或倍量替代：</w:t>
            </w:r>
          </w:p>
          <w:p w14:paraId="6CA68F26">
            <w:pPr>
              <w:pStyle w:val="38"/>
              <w:jc w:val="left"/>
              <w:rPr>
                <w:rFonts w:hint="default"/>
              </w:rPr>
            </w:pPr>
            <w:r>
              <w:t>暂无</w:t>
            </w:r>
          </w:p>
        </w:tc>
        <w:tc>
          <w:tcPr>
            <w:tcW w:w="2219" w:type="pct"/>
            <w:tcBorders>
              <w:tl2br w:val="nil"/>
              <w:tr2bl w:val="nil"/>
            </w:tcBorders>
            <w:vAlign w:val="center"/>
          </w:tcPr>
          <w:p w14:paraId="4CCEA78E">
            <w:pPr>
              <w:pStyle w:val="38"/>
              <w:jc w:val="left"/>
              <w:rPr>
                <w:rFonts w:hint="default"/>
                <w:b/>
                <w:bCs/>
              </w:rPr>
            </w:pPr>
            <w:r>
              <w:rPr>
                <w:b/>
                <w:bCs/>
              </w:rPr>
              <w:t>新增源等量或倍量替代：</w:t>
            </w:r>
          </w:p>
          <w:p w14:paraId="2EFECB14">
            <w:pPr>
              <w:pStyle w:val="38"/>
              <w:jc w:val="left"/>
              <w:rPr>
                <w:rFonts w:hint="default"/>
              </w:rPr>
            </w:pPr>
            <w:r>
              <w:rPr>
                <w:rFonts w:hint="default"/>
              </w:rPr>
              <w:t>1.上一年度水环境质量未完成目标的，新建排放水污染的建设项目按照总量管控要求进行倍量削减替代。</w:t>
            </w:r>
          </w:p>
          <w:p w14:paraId="7FC18598">
            <w:pPr>
              <w:pStyle w:val="38"/>
              <w:jc w:val="left"/>
              <w:rPr>
                <w:rFonts w:hint="default"/>
              </w:rPr>
            </w:pPr>
            <w:r>
              <w:rPr>
                <w:rFonts w:hint="default"/>
              </w:rPr>
              <w:t>2、其他参照遂宁市总体准入要求-要素重点管控单元。</w:t>
            </w:r>
          </w:p>
        </w:tc>
        <w:tc>
          <w:tcPr>
            <w:tcW w:w="867" w:type="pct"/>
            <w:tcBorders>
              <w:tl2br w:val="nil"/>
              <w:tr2bl w:val="nil"/>
            </w:tcBorders>
            <w:vAlign w:val="center"/>
          </w:tcPr>
          <w:p w14:paraId="3E2F156D">
            <w:pPr>
              <w:pStyle w:val="38"/>
              <w:jc w:val="left"/>
              <w:rPr>
                <w:rFonts w:hint="default"/>
              </w:rPr>
            </w:pPr>
            <w:r>
              <w:t>项目位于水环境质量达标区</w:t>
            </w:r>
          </w:p>
        </w:tc>
        <w:tc>
          <w:tcPr>
            <w:tcW w:w="225" w:type="pct"/>
            <w:tcBorders>
              <w:tl2br w:val="nil"/>
              <w:tr2bl w:val="nil"/>
            </w:tcBorders>
            <w:vAlign w:val="center"/>
          </w:tcPr>
          <w:p w14:paraId="2F55BE28">
            <w:pPr>
              <w:jc w:val="center"/>
            </w:pPr>
            <w:r>
              <w:rPr>
                <w:rFonts w:hint="eastAsia"/>
              </w:rPr>
              <w:t>符合</w:t>
            </w:r>
          </w:p>
        </w:tc>
      </w:tr>
      <w:tr w14:paraId="6304C21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97" w:type="pct"/>
            <w:gridSpan w:val="2"/>
            <w:vMerge w:val="continue"/>
            <w:tcBorders>
              <w:tl2br w:val="nil"/>
              <w:tr2bl w:val="nil"/>
            </w:tcBorders>
            <w:vAlign w:val="center"/>
          </w:tcPr>
          <w:p w14:paraId="738AF77D">
            <w:pPr>
              <w:jc w:val="center"/>
            </w:pPr>
          </w:p>
        </w:tc>
        <w:tc>
          <w:tcPr>
            <w:tcW w:w="245" w:type="pct"/>
            <w:gridSpan w:val="2"/>
            <w:vMerge w:val="continue"/>
            <w:tcBorders>
              <w:tl2br w:val="nil"/>
              <w:tr2bl w:val="nil"/>
            </w:tcBorders>
            <w:vAlign w:val="center"/>
          </w:tcPr>
          <w:p w14:paraId="35455C50">
            <w:pPr>
              <w:jc w:val="center"/>
            </w:pPr>
          </w:p>
        </w:tc>
        <w:tc>
          <w:tcPr>
            <w:tcW w:w="745" w:type="pct"/>
            <w:tcBorders>
              <w:tl2br w:val="nil"/>
              <w:tr2bl w:val="nil"/>
            </w:tcBorders>
            <w:vAlign w:val="center"/>
          </w:tcPr>
          <w:p w14:paraId="40F3441A">
            <w:pPr>
              <w:pStyle w:val="38"/>
              <w:jc w:val="left"/>
              <w:rPr>
                <w:rFonts w:hint="default"/>
                <w:b/>
                <w:bCs/>
              </w:rPr>
            </w:pPr>
            <w:r>
              <w:rPr>
                <w:b/>
                <w:bCs/>
              </w:rPr>
              <w:t>新增源排放标准限值：</w:t>
            </w:r>
          </w:p>
          <w:p w14:paraId="4F886785">
            <w:pPr>
              <w:pStyle w:val="38"/>
              <w:jc w:val="left"/>
              <w:rPr>
                <w:rFonts w:hint="default"/>
              </w:rPr>
            </w:pPr>
            <w:r>
              <w:t>暂无</w:t>
            </w:r>
          </w:p>
        </w:tc>
        <w:tc>
          <w:tcPr>
            <w:tcW w:w="2219" w:type="pct"/>
            <w:tcBorders>
              <w:tl2br w:val="nil"/>
              <w:tr2bl w:val="nil"/>
            </w:tcBorders>
            <w:vAlign w:val="center"/>
          </w:tcPr>
          <w:p w14:paraId="3EF83D7F">
            <w:pPr>
              <w:pStyle w:val="38"/>
              <w:jc w:val="left"/>
              <w:rPr>
                <w:rFonts w:hint="default"/>
                <w:b/>
                <w:bCs/>
              </w:rPr>
            </w:pPr>
            <w:r>
              <w:rPr>
                <w:b/>
                <w:bCs/>
              </w:rPr>
              <w:t>新增源排放标准限值：</w:t>
            </w:r>
          </w:p>
          <w:p w14:paraId="545C055B">
            <w:pPr>
              <w:pStyle w:val="38"/>
              <w:jc w:val="left"/>
              <w:rPr>
                <w:rFonts w:hint="default"/>
              </w:rPr>
            </w:pPr>
            <w:r>
              <w:t>1.水环境农业污染重点农村生活污水处理设施排水执行《农村生活污水处理设施水污染物排放标准》（DB512626-2019）要求。</w:t>
            </w:r>
          </w:p>
          <w:p w14:paraId="69465430">
            <w:pPr>
              <w:pStyle w:val="38"/>
              <w:jc w:val="left"/>
              <w:rPr>
                <w:rFonts w:hint="default"/>
              </w:rPr>
            </w:pPr>
            <w:r>
              <w:t>2.其他参照遂宁市总体准入要求-要素重点管控单元。</w:t>
            </w:r>
          </w:p>
        </w:tc>
        <w:tc>
          <w:tcPr>
            <w:tcW w:w="867" w:type="pct"/>
            <w:tcBorders>
              <w:tl2br w:val="nil"/>
              <w:tr2bl w:val="nil"/>
            </w:tcBorders>
            <w:vAlign w:val="center"/>
          </w:tcPr>
          <w:p w14:paraId="4A18B75D">
            <w:pPr>
              <w:pStyle w:val="38"/>
              <w:jc w:val="left"/>
              <w:rPr>
                <w:rFonts w:hint="default"/>
              </w:rPr>
            </w:pPr>
            <w:r>
              <w:t>施工期无施工废水产生、生活废水采取不外排等防治措施，对水环境影响较小。</w:t>
            </w:r>
          </w:p>
        </w:tc>
        <w:tc>
          <w:tcPr>
            <w:tcW w:w="225" w:type="pct"/>
            <w:tcBorders>
              <w:tl2br w:val="nil"/>
              <w:tr2bl w:val="nil"/>
            </w:tcBorders>
            <w:vAlign w:val="center"/>
          </w:tcPr>
          <w:p w14:paraId="313F4347">
            <w:pPr>
              <w:jc w:val="center"/>
            </w:pPr>
            <w:r>
              <w:rPr>
                <w:rFonts w:hint="eastAsia"/>
              </w:rPr>
              <w:t>符合</w:t>
            </w:r>
          </w:p>
        </w:tc>
      </w:tr>
      <w:tr w14:paraId="7B1E0E5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97" w:type="pct"/>
            <w:gridSpan w:val="2"/>
            <w:vMerge w:val="continue"/>
            <w:tcBorders>
              <w:tl2br w:val="nil"/>
              <w:tr2bl w:val="nil"/>
            </w:tcBorders>
            <w:vAlign w:val="center"/>
          </w:tcPr>
          <w:p w14:paraId="48981C77">
            <w:pPr>
              <w:jc w:val="center"/>
            </w:pPr>
          </w:p>
        </w:tc>
        <w:tc>
          <w:tcPr>
            <w:tcW w:w="245" w:type="pct"/>
            <w:gridSpan w:val="2"/>
            <w:vMerge w:val="continue"/>
            <w:tcBorders>
              <w:tl2br w:val="nil"/>
              <w:tr2bl w:val="nil"/>
            </w:tcBorders>
            <w:vAlign w:val="center"/>
          </w:tcPr>
          <w:p w14:paraId="0E88EF14">
            <w:pPr>
              <w:jc w:val="center"/>
            </w:pPr>
          </w:p>
        </w:tc>
        <w:tc>
          <w:tcPr>
            <w:tcW w:w="745" w:type="pct"/>
            <w:tcBorders>
              <w:tl2br w:val="nil"/>
              <w:tr2bl w:val="nil"/>
            </w:tcBorders>
            <w:vAlign w:val="center"/>
          </w:tcPr>
          <w:p w14:paraId="364890AF">
            <w:pPr>
              <w:pStyle w:val="38"/>
              <w:jc w:val="left"/>
              <w:rPr>
                <w:rFonts w:hint="default"/>
                <w:b/>
                <w:bCs/>
              </w:rPr>
            </w:pPr>
            <w:r>
              <w:rPr>
                <w:b/>
                <w:bCs/>
              </w:rPr>
              <w:t>污染物排放绩效水平准入要求：</w:t>
            </w:r>
          </w:p>
          <w:p w14:paraId="18E348D1">
            <w:pPr>
              <w:pStyle w:val="38"/>
              <w:jc w:val="left"/>
              <w:rPr>
                <w:rFonts w:hint="default"/>
              </w:rPr>
            </w:pPr>
            <w:r>
              <w:t>暂无</w:t>
            </w:r>
          </w:p>
        </w:tc>
        <w:tc>
          <w:tcPr>
            <w:tcW w:w="2219" w:type="pct"/>
            <w:tcBorders>
              <w:tl2br w:val="nil"/>
              <w:tr2bl w:val="nil"/>
            </w:tcBorders>
            <w:vAlign w:val="center"/>
          </w:tcPr>
          <w:p w14:paraId="626D3917">
            <w:pPr>
              <w:pStyle w:val="38"/>
              <w:jc w:val="left"/>
              <w:rPr>
                <w:rFonts w:hint="default"/>
                <w:b/>
                <w:bCs/>
              </w:rPr>
            </w:pPr>
            <w:r>
              <w:rPr>
                <w:b/>
                <w:bCs/>
              </w:rPr>
              <w:t>污染物排放绩效水平准入要求：</w:t>
            </w:r>
          </w:p>
          <w:p w14:paraId="133405EB">
            <w:pPr>
              <w:pStyle w:val="38"/>
              <w:jc w:val="left"/>
              <w:rPr>
                <w:rFonts w:hint="default"/>
              </w:rPr>
            </w:pPr>
            <w:r>
              <w:t>参照遂宁市总体准入要求-要素重点管控单元</w:t>
            </w:r>
          </w:p>
        </w:tc>
        <w:tc>
          <w:tcPr>
            <w:tcW w:w="867" w:type="pct"/>
            <w:tcBorders>
              <w:tl2br w:val="nil"/>
              <w:tr2bl w:val="nil"/>
            </w:tcBorders>
            <w:vAlign w:val="center"/>
          </w:tcPr>
          <w:p w14:paraId="4DD3C4B0">
            <w:pPr>
              <w:pStyle w:val="38"/>
              <w:jc w:val="left"/>
              <w:rPr>
                <w:rFonts w:hint="default"/>
              </w:rPr>
            </w:pPr>
            <w:r>
              <w:t>项目废气主要为施工期产生的爆破废气、土石方开挖和运输扬尘及施工机械废气，施工期间采取降尘措施，影响可控，项目运营期不产生污染，施工结束后影响消失。</w:t>
            </w:r>
          </w:p>
        </w:tc>
        <w:tc>
          <w:tcPr>
            <w:tcW w:w="225" w:type="pct"/>
            <w:tcBorders>
              <w:tl2br w:val="nil"/>
              <w:tr2bl w:val="nil"/>
            </w:tcBorders>
            <w:vAlign w:val="center"/>
          </w:tcPr>
          <w:p w14:paraId="502D763E">
            <w:pPr>
              <w:jc w:val="center"/>
            </w:pPr>
            <w:r>
              <w:rPr>
                <w:rFonts w:hint="eastAsia"/>
              </w:rPr>
              <w:t>符合</w:t>
            </w:r>
          </w:p>
        </w:tc>
      </w:tr>
      <w:tr w14:paraId="316ADA0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392" w:hRule="atLeast"/>
          <w:jc w:val="center"/>
        </w:trPr>
        <w:tc>
          <w:tcPr>
            <w:tcW w:w="697" w:type="pct"/>
            <w:gridSpan w:val="2"/>
            <w:vMerge w:val="continue"/>
            <w:tcBorders>
              <w:tl2br w:val="nil"/>
              <w:tr2bl w:val="nil"/>
            </w:tcBorders>
            <w:vAlign w:val="center"/>
          </w:tcPr>
          <w:p w14:paraId="4B1966C4">
            <w:pPr>
              <w:jc w:val="center"/>
            </w:pPr>
          </w:p>
        </w:tc>
        <w:tc>
          <w:tcPr>
            <w:tcW w:w="245" w:type="pct"/>
            <w:gridSpan w:val="2"/>
            <w:vMerge w:val="continue"/>
            <w:tcBorders>
              <w:tl2br w:val="nil"/>
              <w:tr2bl w:val="nil"/>
            </w:tcBorders>
            <w:vAlign w:val="center"/>
          </w:tcPr>
          <w:p w14:paraId="28883F8D">
            <w:pPr>
              <w:jc w:val="center"/>
            </w:pPr>
          </w:p>
        </w:tc>
        <w:tc>
          <w:tcPr>
            <w:tcW w:w="745" w:type="pct"/>
            <w:tcBorders>
              <w:tl2br w:val="nil"/>
              <w:tr2bl w:val="nil"/>
            </w:tcBorders>
            <w:vAlign w:val="center"/>
          </w:tcPr>
          <w:p w14:paraId="0DFACF9B">
            <w:pPr>
              <w:pStyle w:val="38"/>
              <w:jc w:val="left"/>
              <w:rPr>
                <w:rFonts w:hint="default"/>
              </w:rPr>
            </w:pPr>
            <w:r>
              <w:rPr>
                <w:b/>
                <w:bCs/>
              </w:rPr>
              <w:t>其他污染物排放管控要求</w:t>
            </w:r>
          </w:p>
          <w:p w14:paraId="69FB1671">
            <w:pPr>
              <w:pStyle w:val="38"/>
              <w:jc w:val="left"/>
              <w:rPr>
                <w:rFonts w:hint="default"/>
              </w:rPr>
            </w:pPr>
            <w:r>
              <w:t>暂无</w:t>
            </w:r>
          </w:p>
        </w:tc>
        <w:tc>
          <w:tcPr>
            <w:tcW w:w="2219" w:type="pct"/>
            <w:tcBorders>
              <w:tl2br w:val="nil"/>
              <w:tr2bl w:val="nil"/>
            </w:tcBorders>
            <w:vAlign w:val="center"/>
          </w:tcPr>
          <w:p w14:paraId="6098E289">
            <w:pPr>
              <w:pStyle w:val="38"/>
              <w:jc w:val="left"/>
              <w:rPr>
                <w:rFonts w:hint="default"/>
                <w:b/>
                <w:bCs/>
              </w:rPr>
            </w:pPr>
            <w:r>
              <w:rPr>
                <w:b/>
                <w:bCs/>
              </w:rPr>
              <w:t>其他污染物排放管控要求：</w:t>
            </w:r>
          </w:p>
          <w:p w14:paraId="64379AC7">
            <w:r>
              <w:rPr>
                <w:rFonts w:hint="eastAsia"/>
              </w:rPr>
              <w:t>△</w:t>
            </w:r>
          </w:p>
        </w:tc>
        <w:tc>
          <w:tcPr>
            <w:tcW w:w="867" w:type="pct"/>
            <w:tcBorders>
              <w:tl2br w:val="nil"/>
              <w:tr2bl w:val="nil"/>
            </w:tcBorders>
            <w:vAlign w:val="center"/>
          </w:tcPr>
          <w:p w14:paraId="4439AB8B">
            <w:pPr>
              <w:pStyle w:val="38"/>
              <w:jc w:val="left"/>
              <w:rPr>
                <w:rFonts w:hint="default"/>
              </w:rPr>
            </w:pPr>
            <w:r>
              <w:t>/</w:t>
            </w:r>
          </w:p>
        </w:tc>
        <w:tc>
          <w:tcPr>
            <w:tcW w:w="225" w:type="pct"/>
            <w:tcBorders>
              <w:tl2br w:val="nil"/>
              <w:tr2bl w:val="nil"/>
            </w:tcBorders>
            <w:vAlign w:val="center"/>
          </w:tcPr>
          <w:p w14:paraId="7376D8DF">
            <w:pPr>
              <w:jc w:val="center"/>
            </w:pPr>
            <w:r>
              <w:rPr>
                <w:rFonts w:hint="eastAsia"/>
              </w:rPr>
              <w:t>/</w:t>
            </w:r>
          </w:p>
        </w:tc>
      </w:tr>
      <w:tr w14:paraId="590CDD6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050" w:hRule="atLeast"/>
          <w:jc w:val="center"/>
        </w:trPr>
        <w:tc>
          <w:tcPr>
            <w:tcW w:w="697" w:type="pct"/>
            <w:gridSpan w:val="2"/>
            <w:vMerge w:val="continue"/>
            <w:tcBorders>
              <w:tl2br w:val="nil"/>
              <w:tr2bl w:val="nil"/>
            </w:tcBorders>
            <w:vAlign w:val="center"/>
          </w:tcPr>
          <w:p w14:paraId="6B39F68F">
            <w:pPr>
              <w:pStyle w:val="38"/>
              <w:jc w:val="left"/>
              <w:rPr>
                <w:rFonts w:hint="default"/>
              </w:rPr>
            </w:pPr>
          </w:p>
        </w:tc>
        <w:tc>
          <w:tcPr>
            <w:tcW w:w="245" w:type="pct"/>
            <w:gridSpan w:val="2"/>
            <w:tcBorders>
              <w:tl2br w:val="nil"/>
              <w:tr2bl w:val="nil"/>
            </w:tcBorders>
            <w:vAlign w:val="center"/>
          </w:tcPr>
          <w:p w14:paraId="29B4AD82">
            <w:pPr>
              <w:pStyle w:val="38"/>
              <w:rPr>
                <w:rFonts w:hint="default"/>
              </w:rPr>
            </w:pPr>
            <w:r>
              <w:t>环境风险防控</w:t>
            </w:r>
          </w:p>
        </w:tc>
        <w:tc>
          <w:tcPr>
            <w:tcW w:w="745" w:type="pct"/>
            <w:tcBorders>
              <w:tl2br w:val="nil"/>
              <w:tr2bl w:val="nil"/>
            </w:tcBorders>
            <w:vAlign w:val="center"/>
          </w:tcPr>
          <w:p w14:paraId="13711AE3">
            <w:pPr>
              <w:pStyle w:val="38"/>
              <w:jc w:val="left"/>
              <w:rPr>
                <w:rFonts w:hint="default"/>
                <w:b/>
                <w:bCs/>
              </w:rPr>
            </w:pPr>
            <w:r>
              <w:rPr>
                <w:b/>
                <w:bCs/>
              </w:rPr>
              <w:t>严格管控类农用地管控要求：</w:t>
            </w:r>
          </w:p>
          <w:p w14:paraId="752134F4">
            <w:pPr>
              <w:pStyle w:val="38"/>
              <w:jc w:val="left"/>
              <w:rPr>
                <w:rFonts w:hint="default"/>
              </w:rPr>
            </w:pPr>
            <w:r>
              <w:t>暂无</w:t>
            </w:r>
          </w:p>
          <w:p w14:paraId="15F96137">
            <w:pPr>
              <w:pStyle w:val="38"/>
              <w:jc w:val="left"/>
              <w:rPr>
                <w:rFonts w:hint="default"/>
                <w:b/>
                <w:bCs/>
              </w:rPr>
            </w:pPr>
            <w:r>
              <w:rPr>
                <w:b/>
                <w:bCs/>
              </w:rPr>
              <w:t>安全利用类农用地管控要求：</w:t>
            </w:r>
          </w:p>
          <w:p w14:paraId="1B13361A">
            <w:pPr>
              <w:pStyle w:val="38"/>
              <w:jc w:val="left"/>
              <w:rPr>
                <w:rFonts w:hint="default"/>
              </w:rPr>
            </w:pPr>
            <w:r>
              <w:t>暂无</w:t>
            </w:r>
          </w:p>
          <w:p w14:paraId="4B0F42FC">
            <w:pPr>
              <w:pStyle w:val="38"/>
              <w:jc w:val="left"/>
              <w:rPr>
                <w:rFonts w:hint="default"/>
                <w:b/>
                <w:bCs/>
              </w:rPr>
            </w:pPr>
            <w:r>
              <w:rPr>
                <w:b/>
                <w:bCs/>
              </w:rPr>
              <w:t>污染地块管控要求：</w:t>
            </w:r>
          </w:p>
          <w:p w14:paraId="23899896">
            <w:pPr>
              <w:pStyle w:val="38"/>
              <w:jc w:val="left"/>
              <w:rPr>
                <w:rFonts w:hint="default"/>
              </w:rPr>
            </w:pPr>
            <w:r>
              <w:t>暂无</w:t>
            </w:r>
          </w:p>
          <w:p w14:paraId="70AF8091">
            <w:pPr>
              <w:pStyle w:val="38"/>
              <w:jc w:val="left"/>
              <w:rPr>
                <w:rFonts w:hint="default"/>
              </w:rPr>
            </w:pPr>
            <w:r>
              <w:rPr>
                <w:b/>
                <w:bCs/>
              </w:rPr>
              <w:t>园区环境风险防控要求：</w:t>
            </w:r>
          </w:p>
          <w:p w14:paraId="17E41EDC">
            <w:pPr>
              <w:pStyle w:val="38"/>
              <w:jc w:val="left"/>
              <w:rPr>
                <w:rFonts w:hint="default"/>
              </w:rPr>
            </w:pPr>
            <w:r>
              <w:t>暂无</w:t>
            </w:r>
          </w:p>
          <w:p w14:paraId="25808BDB">
            <w:pPr>
              <w:pStyle w:val="96"/>
              <w:widowControl/>
              <w:spacing w:line="240" w:lineRule="auto"/>
              <w:ind w:firstLine="0" w:firstLineChars="0"/>
              <w:jc w:val="left"/>
              <w:rPr>
                <w:rFonts w:hint="eastAsia" w:ascii="宋体" w:hAnsi="宋体" w:eastAsia="宋体"/>
                <w:b/>
                <w:bCs/>
                <w:sz w:val="21"/>
              </w:rPr>
            </w:pPr>
            <w:r>
              <w:rPr>
                <w:rFonts w:hint="eastAsia" w:ascii="宋体" w:hAnsi="宋体" w:eastAsia="宋体"/>
                <w:b/>
                <w:bCs/>
                <w:sz w:val="21"/>
              </w:rPr>
              <w:t>企业环境风险防控要求：</w:t>
            </w:r>
          </w:p>
          <w:p w14:paraId="4F82114C">
            <w:pPr>
              <w:pStyle w:val="38"/>
              <w:jc w:val="left"/>
              <w:rPr>
                <w:rFonts w:ascii="宋体" w:hAnsi="宋体"/>
                <w:kern w:val="2"/>
              </w:rPr>
            </w:pPr>
            <w:r>
              <w:t>暂无</w:t>
            </w:r>
          </w:p>
          <w:p w14:paraId="4BDE680D">
            <w:pPr>
              <w:rPr>
                <w:b/>
                <w:bCs/>
              </w:rPr>
            </w:pPr>
            <w:r>
              <w:rPr>
                <w:rFonts w:hint="eastAsia"/>
                <w:b/>
                <w:bCs/>
              </w:rPr>
              <w:t>其他环境风险防控要求：</w:t>
            </w:r>
          </w:p>
          <w:p w14:paraId="2E4A9397">
            <w:pPr>
              <w:pStyle w:val="38"/>
              <w:jc w:val="left"/>
              <w:rPr>
                <w:rFonts w:hint="default"/>
              </w:rPr>
            </w:pPr>
            <w:r>
              <w:t>暂无</w:t>
            </w:r>
          </w:p>
        </w:tc>
        <w:tc>
          <w:tcPr>
            <w:tcW w:w="2219" w:type="pct"/>
            <w:tcBorders>
              <w:tl2br w:val="nil"/>
              <w:tr2bl w:val="nil"/>
            </w:tcBorders>
            <w:vAlign w:val="center"/>
          </w:tcPr>
          <w:p w14:paraId="7E0CCBAA">
            <w:pPr>
              <w:pStyle w:val="38"/>
              <w:jc w:val="left"/>
              <w:rPr>
                <w:rFonts w:hint="default"/>
                <w:b/>
                <w:bCs/>
              </w:rPr>
            </w:pPr>
            <w:r>
              <w:rPr>
                <w:b/>
                <w:bCs/>
              </w:rPr>
              <w:t>严格管控类农用地管控要求：</w:t>
            </w:r>
          </w:p>
          <w:p w14:paraId="4BEE215B">
            <w:pPr>
              <w:pStyle w:val="38"/>
              <w:jc w:val="left"/>
              <w:rPr>
                <w:rFonts w:hint="default"/>
              </w:rPr>
            </w:pPr>
            <w:r>
              <w:t>参照遂宁市总体准入要求-要素重点管控单元</w:t>
            </w:r>
          </w:p>
          <w:p w14:paraId="09828FC8">
            <w:pPr>
              <w:pStyle w:val="38"/>
              <w:jc w:val="left"/>
              <w:rPr>
                <w:rFonts w:hint="default"/>
                <w:b/>
                <w:bCs/>
              </w:rPr>
            </w:pPr>
            <w:r>
              <w:rPr>
                <w:b/>
                <w:bCs/>
              </w:rPr>
              <w:t>安全利用类农用地管控要求：</w:t>
            </w:r>
          </w:p>
          <w:p w14:paraId="70D29876">
            <w:pPr>
              <w:pStyle w:val="38"/>
              <w:jc w:val="left"/>
              <w:rPr>
                <w:rFonts w:hint="default"/>
              </w:rPr>
            </w:pPr>
            <w:r>
              <w:t>参照遂宁市总体准入要求-要素重点管控单元</w:t>
            </w:r>
          </w:p>
          <w:p w14:paraId="5A2FD888">
            <w:pPr>
              <w:pStyle w:val="38"/>
              <w:jc w:val="left"/>
              <w:rPr>
                <w:rFonts w:hint="default"/>
                <w:b/>
                <w:bCs/>
              </w:rPr>
            </w:pPr>
            <w:r>
              <w:rPr>
                <w:b/>
                <w:bCs/>
              </w:rPr>
              <w:t>污染地块管控要求：</w:t>
            </w:r>
          </w:p>
          <w:p w14:paraId="7892C85F">
            <w:pPr>
              <w:pStyle w:val="38"/>
              <w:jc w:val="left"/>
              <w:rPr>
                <w:rFonts w:hint="default"/>
              </w:rPr>
            </w:pPr>
            <w:r>
              <w:t>参照遂宁市总体准入要求-要素重点管控单元</w:t>
            </w:r>
          </w:p>
          <w:p w14:paraId="321DE517">
            <w:pPr>
              <w:pStyle w:val="38"/>
              <w:jc w:val="left"/>
              <w:rPr>
                <w:rFonts w:hint="default"/>
                <w:b/>
                <w:bCs/>
              </w:rPr>
            </w:pPr>
            <w:r>
              <w:rPr>
                <w:b/>
                <w:bCs/>
              </w:rPr>
              <w:t>园区环境风险防控要求：</w:t>
            </w:r>
          </w:p>
          <w:p w14:paraId="3FEA7182">
            <w:pPr>
              <w:pStyle w:val="96"/>
              <w:widowControl/>
              <w:spacing w:line="240" w:lineRule="auto"/>
              <w:ind w:firstLine="0" w:firstLineChars="0"/>
              <w:jc w:val="left"/>
            </w:pPr>
            <w:r>
              <w:rPr>
                <w:rFonts w:hint="eastAsia"/>
              </w:rPr>
              <w:t>/</w:t>
            </w:r>
          </w:p>
          <w:p w14:paraId="20114D03">
            <w:pPr>
              <w:pStyle w:val="96"/>
              <w:widowControl/>
              <w:spacing w:line="240" w:lineRule="auto"/>
              <w:ind w:firstLine="0" w:firstLineChars="0"/>
              <w:jc w:val="left"/>
              <w:rPr>
                <w:rFonts w:hint="eastAsia" w:ascii="宋体" w:hAnsi="宋体" w:eastAsia="宋体"/>
                <w:b/>
                <w:bCs/>
                <w:sz w:val="21"/>
              </w:rPr>
            </w:pPr>
            <w:r>
              <w:rPr>
                <w:rFonts w:hint="eastAsia" w:ascii="宋体" w:hAnsi="宋体" w:eastAsia="宋体"/>
                <w:b/>
                <w:bCs/>
                <w:sz w:val="21"/>
              </w:rPr>
              <w:t>企业环境风险防控要求：</w:t>
            </w:r>
          </w:p>
          <w:p w14:paraId="52C43C30">
            <w:pPr>
              <w:pStyle w:val="96"/>
              <w:widowControl/>
              <w:spacing w:line="240" w:lineRule="auto"/>
              <w:ind w:firstLine="0" w:firstLineChars="0"/>
              <w:jc w:val="left"/>
              <w:rPr>
                <w:rFonts w:hint="eastAsia" w:ascii="宋体" w:hAnsi="宋体" w:eastAsia="宋体"/>
                <w:sz w:val="21"/>
              </w:rPr>
            </w:pPr>
            <w:r>
              <w:rPr>
                <w:rFonts w:hint="eastAsia" w:ascii="宋体" w:hAnsi="宋体" w:eastAsia="宋体"/>
                <w:sz w:val="21"/>
              </w:rPr>
              <w:t>参照遂宁市总体准入要求-要素重点管控单元</w:t>
            </w:r>
          </w:p>
          <w:p w14:paraId="4D45DDF2">
            <w:pPr>
              <w:rPr>
                <w:b/>
                <w:bCs/>
              </w:rPr>
            </w:pPr>
            <w:r>
              <w:rPr>
                <w:rFonts w:hint="eastAsia"/>
                <w:b/>
                <w:bCs/>
              </w:rPr>
              <w:t>其他环境风险防控要求：</w:t>
            </w:r>
          </w:p>
          <w:p w14:paraId="0C6064F5">
            <w:pPr>
              <w:widowControl/>
              <w:jc w:val="left"/>
            </w:pPr>
            <w:r>
              <w:rPr>
                <w:rFonts w:hint="eastAsia" w:ascii="仿宋" w:hAnsi="仿宋" w:eastAsia="仿宋" w:cs="仿宋"/>
                <w:color w:val="000000"/>
                <w:kern w:val="0"/>
                <w:sz w:val="18"/>
                <w:szCs w:val="18"/>
                <w:lang w:bidi="ar"/>
              </w:rPr>
              <w:t>△</w:t>
            </w:r>
          </w:p>
        </w:tc>
        <w:tc>
          <w:tcPr>
            <w:tcW w:w="867" w:type="pct"/>
            <w:tcBorders>
              <w:tl2br w:val="nil"/>
              <w:tr2bl w:val="nil"/>
            </w:tcBorders>
            <w:vAlign w:val="center"/>
          </w:tcPr>
          <w:p w14:paraId="690DCEE3">
            <w:pPr>
              <w:pStyle w:val="38"/>
              <w:numPr>
                <w:ilvl w:val="0"/>
                <w:numId w:val="18"/>
              </w:numPr>
              <w:jc w:val="left"/>
              <w:rPr>
                <w:rFonts w:hint="default"/>
              </w:rPr>
            </w:pPr>
            <w:r>
              <w:t>项目施工设备采用柴油为燃料，不属于高污染燃料；</w:t>
            </w:r>
          </w:p>
          <w:p w14:paraId="51C6CA08">
            <w:pPr>
              <w:pStyle w:val="38"/>
              <w:numPr>
                <w:ilvl w:val="0"/>
                <w:numId w:val="18"/>
              </w:numPr>
              <w:jc w:val="left"/>
              <w:rPr>
                <w:rFonts w:hint="default"/>
              </w:rPr>
            </w:pPr>
            <w:r>
              <w:t>项目属于河道整治工程，不涉及锅炉等燃烧设施使用；</w:t>
            </w:r>
          </w:p>
          <w:p w14:paraId="52418081">
            <w:pPr>
              <w:pStyle w:val="38"/>
              <w:numPr>
                <w:ilvl w:val="0"/>
                <w:numId w:val="18"/>
              </w:numPr>
              <w:jc w:val="left"/>
              <w:rPr>
                <w:rFonts w:hint="default"/>
              </w:rPr>
            </w:pPr>
            <w:r>
              <w:t>不涉及销售高污染燃料；</w:t>
            </w:r>
          </w:p>
          <w:p w14:paraId="35EBA869">
            <w:pPr>
              <w:pStyle w:val="38"/>
              <w:numPr>
                <w:ilvl w:val="0"/>
                <w:numId w:val="18"/>
              </w:numPr>
              <w:jc w:val="left"/>
              <w:rPr>
                <w:rFonts w:hint="default"/>
              </w:rPr>
            </w:pPr>
            <w:r>
              <w:t>项目不涉及集中供热等燃烧设施的使用。</w:t>
            </w:r>
          </w:p>
        </w:tc>
        <w:tc>
          <w:tcPr>
            <w:tcW w:w="225" w:type="pct"/>
            <w:tcBorders>
              <w:tl2br w:val="nil"/>
              <w:tr2bl w:val="nil"/>
            </w:tcBorders>
            <w:vAlign w:val="center"/>
          </w:tcPr>
          <w:p w14:paraId="2CA88BED">
            <w:pPr>
              <w:jc w:val="center"/>
            </w:pPr>
            <w:r>
              <w:rPr>
                <w:rFonts w:hint="eastAsia"/>
              </w:rPr>
              <w:t>符合</w:t>
            </w:r>
          </w:p>
        </w:tc>
      </w:tr>
      <w:tr w14:paraId="62DCFB7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pct"/>
            <w:gridSpan w:val="2"/>
            <w:vMerge w:val="continue"/>
            <w:tcBorders>
              <w:tl2br w:val="nil"/>
              <w:tr2bl w:val="nil"/>
            </w:tcBorders>
            <w:vAlign w:val="center"/>
          </w:tcPr>
          <w:p w14:paraId="5D95F415">
            <w:pPr>
              <w:pStyle w:val="38"/>
              <w:jc w:val="left"/>
              <w:rPr>
                <w:rFonts w:hint="default"/>
              </w:rPr>
            </w:pPr>
          </w:p>
        </w:tc>
        <w:tc>
          <w:tcPr>
            <w:tcW w:w="245" w:type="pct"/>
            <w:gridSpan w:val="2"/>
            <w:tcBorders>
              <w:tl2br w:val="nil"/>
              <w:tr2bl w:val="nil"/>
            </w:tcBorders>
            <w:vAlign w:val="center"/>
          </w:tcPr>
          <w:p w14:paraId="5CC1B0A7">
            <w:pPr>
              <w:pStyle w:val="38"/>
              <w:rPr>
                <w:rFonts w:hint="default"/>
              </w:rPr>
            </w:pPr>
            <w:r>
              <w:t>资源开发利用效率</w:t>
            </w:r>
          </w:p>
        </w:tc>
        <w:tc>
          <w:tcPr>
            <w:tcW w:w="745" w:type="pct"/>
            <w:tcBorders>
              <w:tl2br w:val="nil"/>
              <w:tr2bl w:val="nil"/>
            </w:tcBorders>
            <w:vAlign w:val="center"/>
          </w:tcPr>
          <w:p w14:paraId="0DA2ED82">
            <w:pPr>
              <w:pStyle w:val="38"/>
              <w:jc w:val="left"/>
              <w:rPr>
                <w:rFonts w:hint="default"/>
              </w:rPr>
            </w:pPr>
          </w:p>
          <w:p w14:paraId="3E7E4ADA">
            <w:pPr>
              <w:pStyle w:val="38"/>
              <w:jc w:val="left"/>
              <w:rPr>
                <w:rFonts w:hint="default"/>
                <w:b/>
                <w:bCs/>
              </w:rPr>
            </w:pPr>
            <w:r>
              <w:rPr>
                <w:b/>
                <w:bCs/>
              </w:rPr>
              <w:t>水资源利用效率要求：</w:t>
            </w:r>
          </w:p>
          <w:p w14:paraId="0E0A50A2">
            <w:pPr>
              <w:pStyle w:val="38"/>
              <w:jc w:val="left"/>
              <w:rPr>
                <w:rFonts w:hint="default"/>
              </w:rPr>
            </w:pPr>
            <w:r>
              <w:t>暂无</w:t>
            </w:r>
          </w:p>
          <w:p w14:paraId="3CC41C9C">
            <w:pPr>
              <w:pStyle w:val="38"/>
              <w:jc w:val="left"/>
              <w:rPr>
                <w:rFonts w:hint="default"/>
                <w:b/>
                <w:bCs/>
              </w:rPr>
            </w:pPr>
            <w:r>
              <w:rPr>
                <w:b/>
                <w:bCs/>
              </w:rPr>
              <w:t>地下水开采要求</w:t>
            </w:r>
          </w:p>
          <w:p w14:paraId="4A8A6AA2">
            <w:pPr>
              <w:pStyle w:val="38"/>
              <w:jc w:val="left"/>
              <w:rPr>
                <w:rFonts w:hint="default"/>
              </w:rPr>
            </w:pPr>
            <w:r>
              <w:t>暂无</w:t>
            </w:r>
          </w:p>
          <w:p w14:paraId="3B299A26">
            <w:pPr>
              <w:pStyle w:val="38"/>
              <w:jc w:val="left"/>
              <w:rPr>
                <w:rFonts w:hint="default"/>
              </w:rPr>
            </w:pPr>
            <w:r>
              <w:rPr>
                <w:b/>
                <w:bCs/>
              </w:rPr>
              <w:t>能源利用效率要求</w:t>
            </w:r>
          </w:p>
          <w:p w14:paraId="460B80B7">
            <w:pPr>
              <w:pStyle w:val="38"/>
              <w:jc w:val="left"/>
              <w:rPr>
                <w:rFonts w:hint="default"/>
              </w:rPr>
            </w:pPr>
            <w:r>
              <w:t>暂无</w:t>
            </w:r>
          </w:p>
          <w:p w14:paraId="4255CF50">
            <w:pPr>
              <w:pStyle w:val="38"/>
              <w:jc w:val="left"/>
              <w:rPr>
                <w:rFonts w:hint="default"/>
              </w:rPr>
            </w:pPr>
            <w:r>
              <w:rPr>
                <w:b/>
                <w:bCs/>
              </w:rPr>
              <w:t>其他资源利用效率要求</w:t>
            </w:r>
          </w:p>
          <w:p w14:paraId="70FEF9F0">
            <w:pPr>
              <w:pStyle w:val="38"/>
              <w:jc w:val="left"/>
              <w:rPr>
                <w:rFonts w:hint="default"/>
              </w:rPr>
            </w:pPr>
            <w:r>
              <w:t>暂无</w:t>
            </w:r>
          </w:p>
        </w:tc>
        <w:tc>
          <w:tcPr>
            <w:tcW w:w="2219" w:type="pct"/>
            <w:tcBorders>
              <w:tl2br w:val="nil"/>
              <w:tr2bl w:val="nil"/>
            </w:tcBorders>
            <w:vAlign w:val="center"/>
          </w:tcPr>
          <w:p w14:paraId="00C77024">
            <w:pPr>
              <w:pStyle w:val="38"/>
              <w:jc w:val="left"/>
              <w:rPr>
                <w:rFonts w:hint="default"/>
                <w:b/>
                <w:bCs/>
              </w:rPr>
            </w:pPr>
            <w:r>
              <w:rPr>
                <w:b/>
                <w:bCs/>
              </w:rPr>
              <w:t>水资源利用效率要求：</w:t>
            </w:r>
          </w:p>
          <w:p w14:paraId="7E25C39B">
            <w:pPr>
              <w:pStyle w:val="38"/>
              <w:jc w:val="left"/>
              <w:rPr>
                <w:rFonts w:hint="default"/>
              </w:rPr>
            </w:pPr>
            <w:r>
              <w:t>参照遂宁市总体准入要求-要素重点管控单元</w:t>
            </w:r>
          </w:p>
          <w:p w14:paraId="09CE09CC">
            <w:pPr>
              <w:pStyle w:val="38"/>
              <w:jc w:val="left"/>
              <w:rPr>
                <w:rFonts w:hint="default"/>
                <w:b/>
                <w:bCs/>
              </w:rPr>
            </w:pPr>
            <w:r>
              <w:rPr>
                <w:b/>
                <w:bCs/>
              </w:rPr>
              <w:t>地下水开采要求</w:t>
            </w:r>
          </w:p>
          <w:p w14:paraId="405A991F">
            <w:pPr>
              <w:pStyle w:val="38"/>
              <w:jc w:val="left"/>
              <w:rPr>
                <w:rFonts w:hint="default"/>
              </w:rPr>
            </w:pPr>
            <w:r>
              <w:t>（1）大英县2030年地下水开采控制控制量保持在0.06亿m</w:t>
            </w:r>
            <w:r>
              <w:rPr>
                <w:vertAlign w:val="superscript"/>
              </w:rPr>
              <w:t>3</w:t>
            </w:r>
            <w:r>
              <w:t>以内。</w:t>
            </w:r>
          </w:p>
          <w:p w14:paraId="6EB11513">
            <w:pPr>
              <w:pStyle w:val="38"/>
              <w:jc w:val="left"/>
              <w:rPr>
                <w:rFonts w:hint="default"/>
              </w:rPr>
            </w:pPr>
            <w:r>
              <w:t>（2）全面建设节水型社会，达到合理高效用水。</w:t>
            </w:r>
          </w:p>
          <w:p w14:paraId="1A825970">
            <w:pPr>
              <w:pStyle w:val="38"/>
              <w:jc w:val="left"/>
              <w:rPr>
                <w:rFonts w:hint="default"/>
              </w:rPr>
            </w:pPr>
            <w:r>
              <w:rPr>
                <w:b/>
                <w:bCs/>
              </w:rPr>
              <w:t>能源利用效率要求</w:t>
            </w:r>
          </w:p>
          <w:p w14:paraId="15ADE7F2">
            <w:pPr>
              <w:widowControl/>
            </w:pPr>
            <w:r>
              <w:rPr>
                <w:rFonts w:hint="eastAsia" w:ascii="宋体" w:hAnsi="宋体" w:cs="宋体"/>
                <w:szCs w:val="21"/>
                <w:lang w:bidi="ar"/>
              </w:rPr>
              <w:t>参照遂宁市总体准入要求</w:t>
            </w:r>
            <w:r>
              <w:rPr>
                <w:szCs w:val="21"/>
                <w:lang w:bidi="ar"/>
              </w:rPr>
              <w:t>-</w:t>
            </w:r>
            <w:r>
              <w:rPr>
                <w:rFonts w:hint="eastAsia" w:ascii="宋体" w:hAnsi="宋体" w:cs="宋体"/>
                <w:szCs w:val="21"/>
                <w:lang w:bidi="ar"/>
              </w:rPr>
              <w:t>要素重点管控单元</w:t>
            </w:r>
          </w:p>
          <w:p w14:paraId="4BA7E29D">
            <w:pPr>
              <w:pStyle w:val="38"/>
              <w:jc w:val="left"/>
              <w:rPr>
                <w:rFonts w:hint="default"/>
              </w:rPr>
            </w:pPr>
            <w:r>
              <w:rPr>
                <w:b/>
                <w:bCs/>
              </w:rPr>
              <w:t>其他资源利用效率要求</w:t>
            </w:r>
          </w:p>
          <w:p w14:paraId="02AD879E">
            <w:pPr>
              <w:widowControl/>
              <w:jc w:val="left"/>
              <w:rPr>
                <w:b/>
                <w:bCs/>
              </w:rPr>
            </w:pPr>
            <w:r>
              <w:rPr>
                <w:rFonts w:hint="eastAsia" w:ascii="仿宋" w:hAnsi="仿宋" w:eastAsia="仿宋" w:cs="仿宋"/>
                <w:color w:val="000000"/>
                <w:kern w:val="0"/>
                <w:sz w:val="18"/>
                <w:szCs w:val="18"/>
                <w:lang w:bidi="ar"/>
              </w:rPr>
              <w:t>△</w:t>
            </w:r>
          </w:p>
        </w:tc>
        <w:tc>
          <w:tcPr>
            <w:tcW w:w="867" w:type="pct"/>
            <w:tcBorders>
              <w:tl2br w:val="nil"/>
              <w:tr2bl w:val="nil"/>
            </w:tcBorders>
            <w:vAlign w:val="center"/>
          </w:tcPr>
          <w:p w14:paraId="56385F0F">
            <w:pPr>
              <w:pStyle w:val="38"/>
              <w:jc w:val="left"/>
              <w:rPr>
                <w:rFonts w:hint="default"/>
              </w:rPr>
            </w:pPr>
            <w:r>
              <w:t>项目施工期无施工废水产生、生活废水采取不外排等防治措施，运营期无污染产生，对水环境影响较小。</w:t>
            </w:r>
          </w:p>
        </w:tc>
        <w:tc>
          <w:tcPr>
            <w:tcW w:w="225" w:type="pct"/>
            <w:tcBorders>
              <w:tl2br w:val="nil"/>
              <w:tr2bl w:val="nil"/>
            </w:tcBorders>
            <w:vAlign w:val="center"/>
          </w:tcPr>
          <w:p w14:paraId="4BA3B82A">
            <w:pPr>
              <w:jc w:val="center"/>
            </w:pPr>
            <w:r>
              <w:rPr>
                <w:rFonts w:hint="eastAsia"/>
              </w:rPr>
              <w:t>符合</w:t>
            </w:r>
          </w:p>
        </w:tc>
      </w:tr>
      <w:tr w14:paraId="6B1DAF4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97" w:type="pct"/>
            <w:gridSpan w:val="2"/>
            <w:vMerge w:val="restart"/>
            <w:tcBorders>
              <w:tl2br w:val="nil"/>
              <w:tr2bl w:val="nil"/>
            </w:tcBorders>
            <w:vAlign w:val="center"/>
          </w:tcPr>
          <w:p w14:paraId="52A73C99">
            <w:pPr>
              <w:pStyle w:val="38"/>
              <w:jc w:val="left"/>
              <w:rPr>
                <w:rFonts w:hint="default"/>
              </w:rPr>
            </w:pPr>
            <w:r>
              <w:rPr>
                <w:b/>
                <w:bCs/>
              </w:rPr>
              <w:t>环境管控单元名称：</w:t>
            </w:r>
            <w:r>
              <w:t>大英县城镇空间</w:t>
            </w:r>
          </w:p>
          <w:p w14:paraId="74CCA0E8">
            <w:pPr>
              <w:pStyle w:val="38"/>
              <w:jc w:val="left"/>
              <w:rPr>
                <w:rFonts w:hint="default"/>
                <w:b/>
                <w:bCs/>
              </w:rPr>
            </w:pPr>
            <w:r>
              <w:rPr>
                <w:b/>
                <w:bCs/>
              </w:rPr>
              <w:t>编码：</w:t>
            </w:r>
            <w:r>
              <w:t>ZH51092320001</w:t>
            </w:r>
          </w:p>
        </w:tc>
        <w:tc>
          <w:tcPr>
            <w:tcW w:w="245" w:type="pct"/>
            <w:gridSpan w:val="2"/>
            <w:vMerge w:val="restart"/>
            <w:tcBorders>
              <w:tl2br w:val="nil"/>
              <w:tr2bl w:val="nil"/>
            </w:tcBorders>
            <w:vAlign w:val="center"/>
          </w:tcPr>
          <w:p w14:paraId="6945D0A0">
            <w:pPr>
              <w:pStyle w:val="38"/>
              <w:rPr>
                <w:rFonts w:hint="default"/>
              </w:rPr>
            </w:pPr>
            <w:r>
              <w:t>空间布局约束</w:t>
            </w:r>
          </w:p>
        </w:tc>
        <w:tc>
          <w:tcPr>
            <w:tcW w:w="745" w:type="pct"/>
            <w:tcBorders>
              <w:tl2br w:val="nil"/>
              <w:tr2bl w:val="nil"/>
            </w:tcBorders>
            <w:vAlign w:val="center"/>
          </w:tcPr>
          <w:p w14:paraId="36617D24">
            <w:pPr>
              <w:pStyle w:val="38"/>
              <w:jc w:val="left"/>
              <w:rPr>
                <w:rFonts w:hint="default"/>
                <w:b/>
                <w:bCs/>
              </w:rPr>
            </w:pPr>
            <w:r>
              <w:rPr>
                <w:b/>
                <w:bCs/>
              </w:rPr>
              <w:t>禁止开发建设活动的要求：</w:t>
            </w:r>
          </w:p>
          <w:p w14:paraId="550AA0F3">
            <w:pPr>
              <w:pStyle w:val="38"/>
              <w:jc w:val="left"/>
              <w:rPr>
                <w:rFonts w:hint="default"/>
              </w:rPr>
            </w:pPr>
            <w:r>
              <w:t>暂无</w:t>
            </w:r>
          </w:p>
        </w:tc>
        <w:tc>
          <w:tcPr>
            <w:tcW w:w="2219" w:type="pct"/>
            <w:tcBorders>
              <w:tl2br w:val="nil"/>
              <w:tr2bl w:val="nil"/>
            </w:tcBorders>
            <w:vAlign w:val="center"/>
          </w:tcPr>
          <w:p w14:paraId="13CD6013">
            <w:pPr>
              <w:pStyle w:val="38"/>
              <w:jc w:val="left"/>
              <w:rPr>
                <w:rFonts w:hint="default"/>
                <w:b/>
                <w:bCs/>
              </w:rPr>
            </w:pPr>
            <w:r>
              <w:rPr>
                <w:b/>
                <w:bCs/>
              </w:rPr>
              <w:t>禁止开发建设活动的要求：</w:t>
            </w:r>
          </w:p>
          <w:p w14:paraId="48EB6B8E">
            <w:pPr>
              <w:pStyle w:val="38"/>
              <w:jc w:val="left"/>
              <w:rPr>
                <w:rFonts w:hint="default"/>
                <w:b/>
                <w:bCs/>
              </w:rPr>
            </w:pPr>
            <w:r>
              <w:t>参照遂宁市总体准入要求-要素重点管控单元</w:t>
            </w:r>
          </w:p>
        </w:tc>
        <w:tc>
          <w:tcPr>
            <w:tcW w:w="867" w:type="pct"/>
            <w:tcBorders>
              <w:tl2br w:val="nil"/>
              <w:tr2bl w:val="nil"/>
            </w:tcBorders>
            <w:vAlign w:val="center"/>
          </w:tcPr>
          <w:p w14:paraId="0A89F856">
            <w:pPr>
              <w:pStyle w:val="38"/>
              <w:jc w:val="left"/>
              <w:rPr>
                <w:rFonts w:hint="default"/>
              </w:rPr>
            </w:pPr>
            <w:r>
              <w:t>/</w:t>
            </w:r>
          </w:p>
        </w:tc>
        <w:tc>
          <w:tcPr>
            <w:tcW w:w="225" w:type="pct"/>
            <w:tcBorders>
              <w:tl2br w:val="nil"/>
              <w:tr2bl w:val="nil"/>
            </w:tcBorders>
            <w:vAlign w:val="center"/>
          </w:tcPr>
          <w:p w14:paraId="6A08B53C">
            <w:pPr>
              <w:jc w:val="center"/>
            </w:pPr>
            <w:r>
              <w:rPr>
                <w:rFonts w:hint="eastAsia"/>
              </w:rPr>
              <w:t>/</w:t>
            </w:r>
          </w:p>
        </w:tc>
      </w:tr>
      <w:tr w14:paraId="1EDD32B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97" w:type="pct"/>
            <w:gridSpan w:val="2"/>
            <w:vMerge w:val="continue"/>
            <w:vAlign w:val="center"/>
          </w:tcPr>
          <w:p w14:paraId="6CD98FD4">
            <w:pPr>
              <w:pStyle w:val="38"/>
              <w:jc w:val="left"/>
              <w:rPr>
                <w:rFonts w:hint="default"/>
              </w:rPr>
            </w:pPr>
          </w:p>
        </w:tc>
        <w:tc>
          <w:tcPr>
            <w:tcW w:w="245" w:type="pct"/>
            <w:gridSpan w:val="2"/>
            <w:vMerge w:val="continue"/>
            <w:vAlign w:val="center"/>
          </w:tcPr>
          <w:p w14:paraId="716FA6D5">
            <w:pPr>
              <w:pStyle w:val="38"/>
              <w:rPr>
                <w:rFonts w:hint="default"/>
              </w:rPr>
            </w:pPr>
          </w:p>
        </w:tc>
        <w:tc>
          <w:tcPr>
            <w:tcW w:w="745" w:type="pct"/>
            <w:vAlign w:val="center"/>
          </w:tcPr>
          <w:p w14:paraId="63602C18">
            <w:pPr>
              <w:pStyle w:val="38"/>
              <w:jc w:val="left"/>
              <w:rPr>
                <w:rFonts w:hint="default"/>
                <w:b/>
                <w:bCs/>
              </w:rPr>
            </w:pPr>
            <w:r>
              <w:rPr>
                <w:b/>
                <w:bCs/>
              </w:rPr>
              <w:t>限制开发建设活动的要求：</w:t>
            </w:r>
          </w:p>
          <w:p w14:paraId="7B887227">
            <w:pPr>
              <w:pStyle w:val="38"/>
              <w:jc w:val="left"/>
              <w:rPr>
                <w:rFonts w:hint="default"/>
              </w:rPr>
            </w:pPr>
            <w:r>
              <w:t>暂无</w:t>
            </w:r>
          </w:p>
        </w:tc>
        <w:tc>
          <w:tcPr>
            <w:tcW w:w="2219" w:type="pct"/>
            <w:vAlign w:val="center"/>
          </w:tcPr>
          <w:p w14:paraId="3C902F6A">
            <w:pPr>
              <w:pStyle w:val="38"/>
              <w:jc w:val="left"/>
              <w:rPr>
                <w:rFonts w:hint="default"/>
                <w:b/>
                <w:bCs/>
              </w:rPr>
            </w:pPr>
            <w:r>
              <w:rPr>
                <w:b/>
                <w:bCs/>
              </w:rPr>
              <w:t>限制开发建设活动的要求：</w:t>
            </w:r>
          </w:p>
          <w:p w14:paraId="0277C90F">
            <w:pPr>
              <w:pStyle w:val="38"/>
              <w:jc w:val="left"/>
              <w:rPr>
                <w:rFonts w:hint="default"/>
              </w:rPr>
            </w:pPr>
            <w:r>
              <w:t>1.工业用地布局在新城综合发展区的南部、“北城新区”功能片区的北部、东南部的工业组团。</w:t>
            </w:r>
          </w:p>
          <w:p w14:paraId="4868E5DE">
            <w:pPr>
              <w:pStyle w:val="38"/>
              <w:jc w:val="left"/>
              <w:rPr>
                <w:rFonts w:hint="default"/>
              </w:rPr>
            </w:pPr>
            <w:r>
              <w:t>2.其他参照遂宁市总体准入要求-城镇重点管控单元。</w:t>
            </w:r>
          </w:p>
        </w:tc>
        <w:tc>
          <w:tcPr>
            <w:tcW w:w="2446" w:type="dxa"/>
            <w:vAlign w:val="center"/>
          </w:tcPr>
          <w:p w14:paraId="7B474FF0">
            <w:pPr>
              <w:rPr>
                <w:kern w:val="0"/>
                <w:szCs w:val="21"/>
              </w:rPr>
            </w:pPr>
            <w:r>
              <w:rPr>
                <w:rFonts w:hint="eastAsia" w:ascii="宋体" w:hAnsi="宋体" w:cs="宋体"/>
                <w:szCs w:val="21"/>
                <w:lang w:bidi="ar"/>
              </w:rPr>
              <w:t>项目属于河道整治工程，</w:t>
            </w:r>
            <w:r>
              <w:rPr>
                <w:rFonts w:hint="eastAsia"/>
                <w:kern w:val="0"/>
                <w:szCs w:val="21"/>
              </w:rPr>
              <w:t>不属于工业项目。</w:t>
            </w:r>
          </w:p>
        </w:tc>
        <w:tc>
          <w:tcPr>
            <w:tcW w:w="635" w:type="dxa"/>
            <w:vAlign w:val="center"/>
          </w:tcPr>
          <w:p w14:paraId="79D2964E">
            <w:pPr>
              <w:jc w:val="center"/>
            </w:pPr>
            <w:r>
              <w:rPr>
                <w:rFonts w:hint="eastAsia"/>
              </w:rPr>
              <w:t>符合</w:t>
            </w:r>
          </w:p>
        </w:tc>
      </w:tr>
      <w:tr w14:paraId="259F9E7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97" w:type="pct"/>
            <w:gridSpan w:val="2"/>
            <w:vMerge w:val="continue"/>
            <w:vAlign w:val="center"/>
          </w:tcPr>
          <w:p w14:paraId="26F02EA4">
            <w:pPr>
              <w:pStyle w:val="38"/>
              <w:jc w:val="left"/>
              <w:rPr>
                <w:rFonts w:hint="default"/>
              </w:rPr>
            </w:pPr>
          </w:p>
        </w:tc>
        <w:tc>
          <w:tcPr>
            <w:tcW w:w="245" w:type="pct"/>
            <w:gridSpan w:val="2"/>
            <w:vMerge w:val="continue"/>
            <w:vAlign w:val="center"/>
          </w:tcPr>
          <w:p w14:paraId="673A02F9">
            <w:pPr>
              <w:pStyle w:val="38"/>
              <w:rPr>
                <w:rFonts w:hint="default"/>
              </w:rPr>
            </w:pPr>
          </w:p>
        </w:tc>
        <w:tc>
          <w:tcPr>
            <w:tcW w:w="745" w:type="pct"/>
            <w:vAlign w:val="center"/>
          </w:tcPr>
          <w:p w14:paraId="3790E98B">
            <w:pPr>
              <w:pStyle w:val="38"/>
              <w:jc w:val="left"/>
              <w:rPr>
                <w:rFonts w:hint="default"/>
                <w:b/>
                <w:bCs/>
              </w:rPr>
            </w:pPr>
            <w:r>
              <w:rPr>
                <w:b/>
                <w:bCs/>
              </w:rPr>
              <w:t>允许开发建设活动的要求：</w:t>
            </w:r>
          </w:p>
          <w:p w14:paraId="4D5C403A">
            <w:pPr>
              <w:pStyle w:val="38"/>
              <w:jc w:val="left"/>
              <w:rPr>
                <w:rFonts w:hint="default"/>
              </w:rPr>
            </w:pPr>
            <w:r>
              <w:t>暂无</w:t>
            </w:r>
          </w:p>
        </w:tc>
        <w:tc>
          <w:tcPr>
            <w:tcW w:w="2219" w:type="pct"/>
            <w:vAlign w:val="center"/>
          </w:tcPr>
          <w:p w14:paraId="6718DCE4">
            <w:pPr>
              <w:pStyle w:val="38"/>
              <w:jc w:val="left"/>
              <w:rPr>
                <w:rFonts w:hint="default"/>
                <w:b/>
                <w:bCs/>
              </w:rPr>
            </w:pPr>
            <w:r>
              <w:rPr>
                <w:b/>
                <w:bCs/>
              </w:rPr>
              <w:t>允许开发建设活动的要求：</w:t>
            </w:r>
          </w:p>
          <w:p w14:paraId="3FDEFF47">
            <w:pPr>
              <w:pStyle w:val="38"/>
              <w:jc w:val="left"/>
              <w:rPr>
                <w:rFonts w:hint="default"/>
              </w:rPr>
            </w:pPr>
            <w:r>
              <w:t>△</w:t>
            </w:r>
          </w:p>
        </w:tc>
        <w:tc>
          <w:tcPr>
            <w:tcW w:w="2446" w:type="dxa"/>
            <w:vAlign w:val="center"/>
          </w:tcPr>
          <w:p w14:paraId="68F42892">
            <w:pPr>
              <w:pStyle w:val="38"/>
              <w:jc w:val="left"/>
              <w:rPr>
                <w:rFonts w:hint="default"/>
              </w:rPr>
            </w:pPr>
            <w:r>
              <w:t>/</w:t>
            </w:r>
          </w:p>
        </w:tc>
        <w:tc>
          <w:tcPr>
            <w:tcW w:w="635" w:type="dxa"/>
            <w:vAlign w:val="center"/>
          </w:tcPr>
          <w:p w14:paraId="79C56AD0">
            <w:pPr>
              <w:jc w:val="center"/>
            </w:pPr>
            <w:r>
              <w:rPr>
                <w:rFonts w:hint="eastAsia"/>
              </w:rPr>
              <w:t>/</w:t>
            </w:r>
          </w:p>
        </w:tc>
      </w:tr>
      <w:tr w14:paraId="460E028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97" w:type="pct"/>
            <w:gridSpan w:val="2"/>
            <w:vMerge w:val="continue"/>
            <w:vAlign w:val="center"/>
          </w:tcPr>
          <w:p w14:paraId="778FA454">
            <w:pPr>
              <w:pStyle w:val="38"/>
              <w:jc w:val="left"/>
              <w:rPr>
                <w:rFonts w:hint="default"/>
              </w:rPr>
            </w:pPr>
          </w:p>
        </w:tc>
        <w:tc>
          <w:tcPr>
            <w:tcW w:w="245" w:type="pct"/>
            <w:gridSpan w:val="2"/>
            <w:vMerge w:val="continue"/>
            <w:vAlign w:val="center"/>
          </w:tcPr>
          <w:p w14:paraId="5CA02DF0">
            <w:pPr>
              <w:pStyle w:val="38"/>
              <w:rPr>
                <w:rFonts w:hint="default"/>
              </w:rPr>
            </w:pPr>
          </w:p>
        </w:tc>
        <w:tc>
          <w:tcPr>
            <w:tcW w:w="745" w:type="pct"/>
            <w:vAlign w:val="center"/>
          </w:tcPr>
          <w:p w14:paraId="080F411C">
            <w:pPr>
              <w:pStyle w:val="38"/>
              <w:jc w:val="left"/>
              <w:rPr>
                <w:rFonts w:hint="default"/>
                <w:b/>
                <w:bCs/>
              </w:rPr>
            </w:pPr>
            <w:r>
              <w:rPr>
                <w:b/>
                <w:bCs/>
              </w:rPr>
              <w:t>不符合空间布局要求活动的退出要求：</w:t>
            </w:r>
          </w:p>
          <w:p w14:paraId="4C417862">
            <w:pPr>
              <w:pStyle w:val="38"/>
              <w:jc w:val="left"/>
              <w:rPr>
                <w:rFonts w:hint="default"/>
              </w:rPr>
            </w:pPr>
            <w:r>
              <w:t>暂无</w:t>
            </w:r>
          </w:p>
        </w:tc>
        <w:tc>
          <w:tcPr>
            <w:tcW w:w="2219" w:type="pct"/>
            <w:vAlign w:val="center"/>
          </w:tcPr>
          <w:p w14:paraId="06B41DB3">
            <w:pPr>
              <w:pStyle w:val="38"/>
              <w:jc w:val="left"/>
              <w:rPr>
                <w:rFonts w:hint="default"/>
                <w:b/>
                <w:bCs/>
              </w:rPr>
            </w:pPr>
            <w:r>
              <w:rPr>
                <w:b/>
                <w:bCs/>
              </w:rPr>
              <w:t>不符合空间布局要求活动的退出要求：</w:t>
            </w:r>
          </w:p>
          <w:p w14:paraId="46E40430">
            <w:pPr>
              <w:pStyle w:val="38"/>
              <w:jc w:val="left"/>
              <w:rPr>
                <w:rFonts w:hint="default"/>
              </w:rPr>
            </w:pPr>
            <w:r>
              <w:t>参照遂宁市总体准入要求-城镇重点管控单元</w:t>
            </w:r>
          </w:p>
        </w:tc>
        <w:tc>
          <w:tcPr>
            <w:tcW w:w="2446" w:type="dxa"/>
            <w:vAlign w:val="center"/>
          </w:tcPr>
          <w:p w14:paraId="34818D10">
            <w:pPr>
              <w:jc w:val="left"/>
            </w:pPr>
            <w:r>
              <w:rPr>
                <w:rFonts w:hint="eastAsia"/>
              </w:rPr>
              <w:t>/</w:t>
            </w:r>
          </w:p>
        </w:tc>
        <w:tc>
          <w:tcPr>
            <w:tcW w:w="635" w:type="dxa"/>
            <w:vAlign w:val="center"/>
          </w:tcPr>
          <w:p w14:paraId="690D80AB">
            <w:pPr>
              <w:jc w:val="center"/>
            </w:pPr>
            <w:r>
              <w:rPr>
                <w:rFonts w:hint="eastAsia"/>
              </w:rPr>
              <w:t>/</w:t>
            </w:r>
          </w:p>
        </w:tc>
      </w:tr>
      <w:tr w14:paraId="234E7FF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97" w:type="pct"/>
            <w:gridSpan w:val="2"/>
            <w:vMerge w:val="continue"/>
            <w:vAlign w:val="center"/>
          </w:tcPr>
          <w:p w14:paraId="2282D54C">
            <w:pPr>
              <w:pStyle w:val="38"/>
              <w:jc w:val="left"/>
              <w:rPr>
                <w:rFonts w:hint="default"/>
              </w:rPr>
            </w:pPr>
          </w:p>
        </w:tc>
        <w:tc>
          <w:tcPr>
            <w:tcW w:w="245" w:type="pct"/>
            <w:gridSpan w:val="2"/>
            <w:vMerge w:val="continue"/>
            <w:vAlign w:val="center"/>
          </w:tcPr>
          <w:p w14:paraId="103D9490">
            <w:pPr>
              <w:pStyle w:val="38"/>
              <w:rPr>
                <w:rFonts w:hint="default"/>
              </w:rPr>
            </w:pPr>
          </w:p>
        </w:tc>
        <w:tc>
          <w:tcPr>
            <w:tcW w:w="745" w:type="pct"/>
            <w:vAlign w:val="center"/>
          </w:tcPr>
          <w:p w14:paraId="25790486">
            <w:pPr>
              <w:pStyle w:val="38"/>
              <w:jc w:val="left"/>
              <w:rPr>
                <w:rFonts w:hint="default"/>
                <w:b/>
                <w:bCs/>
              </w:rPr>
            </w:pPr>
            <w:r>
              <w:rPr>
                <w:b/>
                <w:bCs/>
              </w:rPr>
              <w:t>其他空间布局约束要求</w:t>
            </w:r>
          </w:p>
          <w:p w14:paraId="2EAF429A">
            <w:pPr>
              <w:jc w:val="left"/>
            </w:pPr>
            <w:r>
              <w:rPr>
                <w:rFonts w:hint="eastAsia"/>
              </w:rPr>
              <w:t>暂无</w:t>
            </w:r>
          </w:p>
        </w:tc>
        <w:tc>
          <w:tcPr>
            <w:tcW w:w="2219" w:type="pct"/>
            <w:vAlign w:val="center"/>
          </w:tcPr>
          <w:p w14:paraId="149AD116">
            <w:pPr>
              <w:pStyle w:val="38"/>
              <w:jc w:val="left"/>
              <w:rPr>
                <w:rFonts w:hint="default"/>
                <w:b/>
                <w:bCs/>
              </w:rPr>
            </w:pPr>
            <w:r>
              <w:rPr>
                <w:b/>
                <w:bCs/>
              </w:rPr>
              <w:t>其他空间布局约束要求：</w:t>
            </w:r>
          </w:p>
          <w:p w14:paraId="1253E2E1">
            <w:pPr>
              <w:jc w:val="left"/>
            </w:pPr>
            <w:r>
              <w:rPr>
                <w:rFonts w:hint="eastAsia"/>
              </w:rPr>
              <w:t>△</w:t>
            </w:r>
          </w:p>
        </w:tc>
        <w:tc>
          <w:tcPr>
            <w:tcW w:w="2446" w:type="dxa"/>
            <w:vAlign w:val="center"/>
          </w:tcPr>
          <w:p w14:paraId="373399D2">
            <w:pPr>
              <w:widowControl/>
            </w:pPr>
            <w:r>
              <w:rPr>
                <w:rFonts w:hint="eastAsia" w:ascii="宋体" w:hAnsi="宋体" w:cs="宋体"/>
                <w:szCs w:val="21"/>
                <w:lang w:bidi="ar"/>
              </w:rPr>
              <w:t>/</w:t>
            </w:r>
          </w:p>
        </w:tc>
        <w:tc>
          <w:tcPr>
            <w:tcW w:w="635" w:type="dxa"/>
            <w:vAlign w:val="center"/>
          </w:tcPr>
          <w:p w14:paraId="51A0DD16">
            <w:pPr>
              <w:jc w:val="center"/>
            </w:pPr>
            <w:r>
              <w:rPr>
                <w:rFonts w:hint="eastAsia"/>
              </w:rPr>
              <w:t>/</w:t>
            </w:r>
          </w:p>
        </w:tc>
      </w:tr>
      <w:tr w14:paraId="2924167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97" w:type="pct"/>
            <w:gridSpan w:val="2"/>
            <w:vMerge w:val="continue"/>
            <w:vAlign w:val="center"/>
          </w:tcPr>
          <w:p w14:paraId="1590F570">
            <w:pPr>
              <w:pStyle w:val="38"/>
              <w:jc w:val="left"/>
              <w:rPr>
                <w:rFonts w:hint="default"/>
              </w:rPr>
            </w:pPr>
          </w:p>
        </w:tc>
        <w:tc>
          <w:tcPr>
            <w:tcW w:w="245" w:type="pct"/>
            <w:gridSpan w:val="2"/>
            <w:vMerge w:val="restart"/>
            <w:vAlign w:val="center"/>
          </w:tcPr>
          <w:p w14:paraId="75248C12">
            <w:pPr>
              <w:pStyle w:val="38"/>
              <w:rPr>
                <w:rFonts w:hint="default"/>
              </w:rPr>
            </w:pPr>
            <w:r>
              <w:t>污染物排放管控</w:t>
            </w:r>
          </w:p>
        </w:tc>
        <w:tc>
          <w:tcPr>
            <w:tcW w:w="745" w:type="pct"/>
            <w:vAlign w:val="center"/>
          </w:tcPr>
          <w:p w14:paraId="161E8C32">
            <w:pPr>
              <w:pStyle w:val="38"/>
              <w:jc w:val="left"/>
              <w:rPr>
                <w:rFonts w:hint="default"/>
                <w:b/>
                <w:bCs/>
              </w:rPr>
            </w:pPr>
            <w:r>
              <w:rPr>
                <w:b/>
                <w:bCs/>
              </w:rPr>
              <w:t>现有源提标升级改造：</w:t>
            </w:r>
          </w:p>
          <w:p w14:paraId="2CF5252B">
            <w:pPr>
              <w:pStyle w:val="38"/>
              <w:jc w:val="left"/>
              <w:rPr>
                <w:rFonts w:hint="default"/>
              </w:rPr>
            </w:pPr>
            <w:r>
              <w:t>暂无</w:t>
            </w:r>
          </w:p>
        </w:tc>
        <w:tc>
          <w:tcPr>
            <w:tcW w:w="2219" w:type="pct"/>
            <w:vAlign w:val="center"/>
          </w:tcPr>
          <w:p w14:paraId="539FB5A4">
            <w:pPr>
              <w:pStyle w:val="38"/>
              <w:jc w:val="left"/>
              <w:rPr>
                <w:rFonts w:hint="default"/>
                <w:b/>
                <w:bCs/>
              </w:rPr>
            </w:pPr>
            <w:r>
              <w:rPr>
                <w:b/>
                <w:bCs/>
              </w:rPr>
              <w:t>现有源提标升级改造：</w:t>
            </w:r>
          </w:p>
          <w:p w14:paraId="3108384F">
            <w:pPr>
              <w:pStyle w:val="38"/>
              <w:jc w:val="left"/>
              <w:rPr>
                <w:rFonts w:hint="default"/>
              </w:rPr>
            </w:pPr>
            <w:r>
              <w:t>参照遂宁市总体准入要求-要素重点管控单元。</w:t>
            </w:r>
          </w:p>
        </w:tc>
        <w:tc>
          <w:tcPr>
            <w:tcW w:w="2446" w:type="dxa"/>
            <w:vAlign w:val="center"/>
          </w:tcPr>
          <w:p w14:paraId="2364FF79">
            <w:pPr>
              <w:pStyle w:val="38"/>
              <w:jc w:val="left"/>
              <w:rPr>
                <w:rFonts w:hint="default"/>
                <w:b/>
                <w:bCs/>
              </w:rPr>
            </w:pPr>
            <w:r>
              <w:rPr>
                <w:b/>
                <w:bCs/>
              </w:rPr>
              <w:t>/</w:t>
            </w:r>
          </w:p>
        </w:tc>
        <w:tc>
          <w:tcPr>
            <w:tcW w:w="635" w:type="dxa"/>
            <w:vAlign w:val="center"/>
          </w:tcPr>
          <w:p w14:paraId="74A99773">
            <w:pPr>
              <w:jc w:val="center"/>
            </w:pPr>
            <w:r>
              <w:rPr>
                <w:rFonts w:hint="eastAsia"/>
              </w:rPr>
              <w:t>/</w:t>
            </w:r>
          </w:p>
        </w:tc>
      </w:tr>
      <w:tr w14:paraId="56B54E1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97" w:type="pct"/>
            <w:gridSpan w:val="2"/>
            <w:vMerge w:val="continue"/>
            <w:vAlign w:val="center"/>
          </w:tcPr>
          <w:p w14:paraId="687E4DC2">
            <w:pPr>
              <w:pStyle w:val="38"/>
              <w:jc w:val="left"/>
              <w:rPr>
                <w:rFonts w:hint="default"/>
              </w:rPr>
            </w:pPr>
          </w:p>
        </w:tc>
        <w:tc>
          <w:tcPr>
            <w:tcW w:w="245" w:type="pct"/>
            <w:gridSpan w:val="2"/>
            <w:vMerge w:val="continue"/>
            <w:vAlign w:val="center"/>
          </w:tcPr>
          <w:p w14:paraId="507A01B6">
            <w:pPr>
              <w:pStyle w:val="38"/>
              <w:rPr>
                <w:rFonts w:hint="default"/>
              </w:rPr>
            </w:pPr>
          </w:p>
        </w:tc>
        <w:tc>
          <w:tcPr>
            <w:tcW w:w="745" w:type="pct"/>
            <w:vAlign w:val="center"/>
          </w:tcPr>
          <w:p w14:paraId="73A09515">
            <w:pPr>
              <w:pStyle w:val="38"/>
              <w:jc w:val="left"/>
              <w:rPr>
                <w:rFonts w:hint="default"/>
                <w:b/>
                <w:bCs/>
              </w:rPr>
            </w:pPr>
            <w:r>
              <w:rPr>
                <w:b/>
                <w:bCs/>
              </w:rPr>
              <w:t>新增源等量或倍量替代：</w:t>
            </w:r>
          </w:p>
          <w:p w14:paraId="72842B08">
            <w:pPr>
              <w:pStyle w:val="38"/>
              <w:jc w:val="left"/>
              <w:rPr>
                <w:rFonts w:hint="default"/>
              </w:rPr>
            </w:pPr>
            <w:r>
              <w:t>暂无</w:t>
            </w:r>
          </w:p>
        </w:tc>
        <w:tc>
          <w:tcPr>
            <w:tcW w:w="2219" w:type="pct"/>
            <w:vAlign w:val="center"/>
          </w:tcPr>
          <w:p w14:paraId="5373BB08">
            <w:pPr>
              <w:pStyle w:val="38"/>
              <w:jc w:val="left"/>
              <w:rPr>
                <w:rFonts w:hint="default"/>
                <w:b/>
                <w:bCs/>
              </w:rPr>
            </w:pPr>
            <w:r>
              <w:rPr>
                <w:b/>
                <w:bCs/>
              </w:rPr>
              <w:t>新增源等量或倍量替代：</w:t>
            </w:r>
          </w:p>
          <w:p w14:paraId="19DAF5C1">
            <w:pPr>
              <w:pStyle w:val="38"/>
              <w:jc w:val="left"/>
              <w:rPr>
                <w:rFonts w:hint="default"/>
              </w:rPr>
            </w:pPr>
            <w:r>
              <w:rPr>
                <w:rFonts w:hint="default"/>
              </w:rPr>
              <w:t>参照遂宁市总体准入要求-要素重点管控单元。</w:t>
            </w:r>
          </w:p>
        </w:tc>
        <w:tc>
          <w:tcPr>
            <w:tcW w:w="2446" w:type="dxa"/>
            <w:vAlign w:val="center"/>
          </w:tcPr>
          <w:p w14:paraId="0012AA69">
            <w:pPr>
              <w:pStyle w:val="38"/>
              <w:jc w:val="left"/>
              <w:rPr>
                <w:rFonts w:hint="default"/>
              </w:rPr>
            </w:pPr>
            <w:r>
              <w:t>/</w:t>
            </w:r>
          </w:p>
        </w:tc>
        <w:tc>
          <w:tcPr>
            <w:tcW w:w="635" w:type="dxa"/>
            <w:vAlign w:val="center"/>
          </w:tcPr>
          <w:p w14:paraId="67202195">
            <w:pPr>
              <w:jc w:val="center"/>
            </w:pPr>
            <w:r>
              <w:rPr>
                <w:rFonts w:hint="eastAsia"/>
              </w:rPr>
              <w:t>/</w:t>
            </w:r>
          </w:p>
        </w:tc>
      </w:tr>
      <w:tr w14:paraId="647889F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97" w:type="pct"/>
            <w:gridSpan w:val="2"/>
            <w:vMerge w:val="continue"/>
            <w:vAlign w:val="center"/>
          </w:tcPr>
          <w:p w14:paraId="04826EC1">
            <w:pPr>
              <w:pStyle w:val="38"/>
              <w:jc w:val="left"/>
              <w:rPr>
                <w:rFonts w:hint="default"/>
              </w:rPr>
            </w:pPr>
          </w:p>
        </w:tc>
        <w:tc>
          <w:tcPr>
            <w:tcW w:w="245" w:type="pct"/>
            <w:gridSpan w:val="2"/>
            <w:vMerge w:val="continue"/>
            <w:vAlign w:val="center"/>
          </w:tcPr>
          <w:p w14:paraId="1ADF88C7">
            <w:pPr>
              <w:pStyle w:val="38"/>
              <w:rPr>
                <w:rFonts w:hint="default"/>
              </w:rPr>
            </w:pPr>
          </w:p>
        </w:tc>
        <w:tc>
          <w:tcPr>
            <w:tcW w:w="745" w:type="pct"/>
            <w:vAlign w:val="center"/>
          </w:tcPr>
          <w:p w14:paraId="0C8F09A5">
            <w:pPr>
              <w:pStyle w:val="38"/>
              <w:jc w:val="left"/>
              <w:rPr>
                <w:rFonts w:hint="default"/>
                <w:b/>
                <w:bCs/>
              </w:rPr>
            </w:pPr>
            <w:r>
              <w:rPr>
                <w:b/>
                <w:bCs/>
              </w:rPr>
              <w:t>新增源排放标准限值：</w:t>
            </w:r>
          </w:p>
          <w:p w14:paraId="6671C021">
            <w:pPr>
              <w:pStyle w:val="38"/>
              <w:jc w:val="left"/>
              <w:rPr>
                <w:rFonts w:hint="default"/>
              </w:rPr>
            </w:pPr>
            <w:r>
              <w:t>暂无</w:t>
            </w:r>
          </w:p>
        </w:tc>
        <w:tc>
          <w:tcPr>
            <w:tcW w:w="2219" w:type="pct"/>
            <w:vAlign w:val="center"/>
          </w:tcPr>
          <w:p w14:paraId="34E48CE1">
            <w:pPr>
              <w:pStyle w:val="38"/>
              <w:jc w:val="left"/>
              <w:rPr>
                <w:rFonts w:hint="default"/>
                <w:b/>
                <w:bCs/>
              </w:rPr>
            </w:pPr>
            <w:r>
              <w:rPr>
                <w:b/>
                <w:bCs/>
              </w:rPr>
              <w:t>新增源排放标准限值：</w:t>
            </w:r>
          </w:p>
          <w:p w14:paraId="3EFD53E1">
            <w:pPr>
              <w:pStyle w:val="38"/>
              <w:jc w:val="left"/>
              <w:rPr>
                <w:rFonts w:hint="default"/>
              </w:rPr>
            </w:pPr>
            <w:r>
              <w:t>/</w:t>
            </w:r>
          </w:p>
        </w:tc>
        <w:tc>
          <w:tcPr>
            <w:tcW w:w="2446" w:type="dxa"/>
            <w:vAlign w:val="center"/>
          </w:tcPr>
          <w:p w14:paraId="1787A4CD">
            <w:pPr>
              <w:pStyle w:val="38"/>
              <w:jc w:val="left"/>
              <w:rPr>
                <w:rFonts w:hint="default"/>
              </w:rPr>
            </w:pPr>
            <w:r>
              <w:t>/</w:t>
            </w:r>
          </w:p>
        </w:tc>
        <w:tc>
          <w:tcPr>
            <w:tcW w:w="635" w:type="dxa"/>
            <w:vAlign w:val="center"/>
          </w:tcPr>
          <w:p w14:paraId="49C9F994">
            <w:pPr>
              <w:jc w:val="center"/>
            </w:pPr>
            <w:r>
              <w:rPr>
                <w:rFonts w:hint="eastAsia"/>
              </w:rPr>
              <w:t>/</w:t>
            </w:r>
          </w:p>
        </w:tc>
      </w:tr>
      <w:tr w14:paraId="02C1212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97" w:type="pct"/>
            <w:gridSpan w:val="2"/>
            <w:vMerge w:val="continue"/>
            <w:vAlign w:val="center"/>
          </w:tcPr>
          <w:p w14:paraId="7F50C0F5">
            <w:pPr>
              <w:pStyle w:val="38"/>
              <w:jc w:val="left"/>
              <w:rPr>
                <w:rFonts w:hint="default"/>
              </w:rPr>
            </w:pPr>
          </w:p>
        </w:tc>
        <w:tc>
          <w:tcPr>
            <w:tcW w:w="245" w:type="pct"/>
            <w:gridSpan w:val="2"/>
            <w:vMerge w:val="continue"/>
            <w:vAlign w:val="center"/>
          </w:tcPr>
          <w:p w14:paraId="5807721C">
            <w:pPr>
              <w:pStyle w:val="38"/>
              <w:rPr>
                <w:rFonts w:hint="default"/>
              </w:rPr>
            </w:pPr>
          </w:p>
        </w:tc>
        <w:tc>
          <w:tcPr>
            <w:tcW w:w="745" w:type="pct"/>
            <w:vAlign w:val="center"/>
          </w:tcPr>
          <w:p w14:paraId="30B186CC">
            <w:pPr>
              <w:pStyle w:val="38"/>
              <w:jc w:val="left"/>
              <w:rPr>
                <w:rFonts w:hint="default"/>
                <w:b/>
                <w:bCs/>
              </w:rPr>
            </w:pPr>
            <w:r>
              <w:rPr>
                <w:b/>
                <w:bCs/>
              </w:rPr>
              <w:t>污染物排放绩效水平准入要求：</w:t>
            </w:r>
          </w:p>
          <w:p w14:paraId="258D05CB">
            <w:pPr>
              <w:pStyle w:val="38"/>
              <w:jc w:val="left"/>
              <w:rPr>
                <w:rFonts w:hint="default"/>
              </w:rPr>
            </w:pPr>
            <w:r>
              <w:t>暂无</w:t>
            </w:r>
          </w:p>
        </w:tc>
        <w:tc>
          <w:tcPr>
            <w:tcW w:w="2219" w:type="pct"/>
            <w:vAlign w:val="center"/>
          </w:tcPr>
          <w:p w14:paraId="2E2413BD">
            <w:pPr>
              <w:pStyle w:val="38"/>
              <w:jc w:val="left"/>
              <w:rPr>
                <w:rFonts w:hint="default"/>
                <w:b/>
                <w:bCs/>
              </w:rPr>
            </w:pPr>
            <w:r>
              <w:rPr>
                <w:b/>
                <w:bCs/>
              </w:rPr>
              <w:t>污染物排放绩效水平准入要求：</w:t>
            </w:r>
          </w:p>
          <w:p w14:paraId="39160F14">
            <w:pPr>
              <w:pStyle w:val="38"/>
              <w:jc w:val="left"/>
              <w:rPr>
                <w:rFonts w:hint="default"/>
              </w:rPr>
            </w:pPr>
            <w:r>
              <w:t>参照遂宁市总体准入要求-要素重点管控单元</w:t>
            </w:r>
          </w:p>
        </w:tc>
        <w:tc>
          <w:tcPr>
            <w:tcW w:w="2446" w:type="dxa"/>
            <w:vAlign w:val="center"/>
          </w:tcPr>
          <w:p w14:paraId="1E4D4ECE">
            <w:pPr>
              <w:pStyle w:val="38"/>
              <w:jc w:val="left"/>
              <w:rPr>
                <w:rFonts w:hint="default"/>
              </w:rPr>
            </w:pPr>
            <w:r>
              <w:t>/</w:t>
            </w:r>
          </w:p>
        </w:tc>
        <w:tc>
          <w:tcPr>
            <w:tcW w:w="635" w:type="dxa"/>
            <w:vAlign w:val="center"/>
          </w:tcPr>
          <w:p w14:paraId="16D4F4D4">
            <w:pPr>
              <w:jc w:val="center"/>
            </w:pPr>
            <w:r>
              <w:rPr>
                <w:rFonts w:hint="eastAsia"/>
              </w:rPr>
              <w:t>/</w:t>
            </w:r>
          </w:p>
        </w:tc>
      </w:tr>
      <w:tr w14:paraId="6D631D5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97" w:type="pct"/>
            <w:gridSpan w:val="2"/>
            <w:vMerge w:val="continue"/>
            <w:vAlign w:val="center"/>
          </w:tcPr>
          <w:p w14:paraId="4621176D">
            <w:pPr>
              <w:pStyle w:val="38"/>
              <w:jc w:val="left"/>
              <w:rPr>
                <w:rFonts w:hint="default"/>
              </w:rPr>
            </w:pPr>
          </w:p>
        </w:tc>
        <w:tc>
          <w:tcPr>
            <w:tcW w:w="245" w:type="pct"/>
            <w:gridSpan w:val="2"/>
            <w:vMerge w:val="continue"/>
            <w:vAlign w:val="center"/>
          </w:tcPr>
          <w:p w14:paraId="7E8C9706">
            <w:pPr>
              <w:pStyle w:val="38"/>
              <w:rPr>
                <w:rFonts w:hint="default"/>
              </w:rPr>
            </w:pPr>
          </w:p>
        </w:tc>
        <w:tc>
          <w:tcPr>
            <w:tcW w:w="745" w:type="pct"/>
            <w:vAlign w:val="center"/>
          </w:tcPr>
          <w:p w14:paraId="728ABDA2">
            <w:pPr>
              <w:pStyle w:val="38"/>
              <w:jc w:val="left"/>
              <w:rPr>
                <w:rFonts w:hint="default"/>
              </w:rPr>
            </w:pPr>
            <w:r>
              <w:rPr>
                <w:b/>
                <w:bCs/>
              </w:rPr>
              <w:t>其他污染物排放管控要求</w:t>
            </w:r>
          </w:p>
          <w:p w14:paraId="4F99E4D0">
            <w:pPr>
              <w:pStyle w:val="38"/>
              <w:jc w:val="left"/>
              <w:rPr>
                <w:rFonts w:hint="default"/>
              </w:rPr>
            </w:pPr>
            <w:r>
              <w:t>暂无</w:t>
            </w:r>
          </w:p>
        </w:tc>
        <w:tc>
          <w:tcPr>
            <w:tcW w:w="2219" w:type="pct"/>
            <w:vAlign w:val="center"/>
          </w:tcPr>
          <w:p w14:paraId="5DEBEE3B">
            <w:pPr>
              <w:pStyle w:val="38"/>
              <w:jc w:val="left"/>
              <w:rPr>
                <w:rFonts w:hint="default"/>
                <w:b/>
                <w:bCs/>
              </w:rPr>
            </w:pPr>
            <w:r>
              <w:rPr>
                <w:b/>
                <w:bCs/>
              </w:rPr>
              <w:t>其他污染物排放管控要求：</w:t>
            </w:r>
          </w:p>
          <w:p w14:paraId="3F1F3223">
            <w:r>
              <w:rPr>
                <w:rFonts w:hint="eastAsia"/>
              </w:rPr>
              <w:t>△</w:t>
            </w:r>
          </w:p>
        </w:tc>
        <w:tc>
          <w:tcPr>
            <w:tcW w:w="2446" w:type="dxa"/>
            <w:vAlign w:val="center"/>
          </w:tcPr>
          <w:p w14:paraId="2AD3475A">
            <w:pPr>
              <w:pStyle w:val="38"/>
              <w:jc w:val="left"/>
              <w:rPr>
                <w:rFonts w:hint="default"/>
              </w:rPr>
            </w:pPr>
            <w:r>
              <w:t>/</w:t>
            </w:r>
          </w:p>
        </w:tc>
        <w:tc>
          <w:tcPr>
            <w:tcW w:w="635" w:type="dxa"/>
            <w:vAlign w:val="center"/>
          </w:tcPr>
          <w:p w14:paraId="06650AFC">
            <w:pPr>
              <w:jc w:val="center"/>
            </w:pPr>
            <w:r>
              <w:rPr>
                <w:rFonts w:hint="eastAsia"/>
              </w:rPr>
              <w:t>/</w:t>
            </w:r>
          </w:p>
        </w:tc>
      </w:tr>
      <w:tr w14:paraId="455729F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97" w:type="pct"/>
            <w:gridSpan w:val="2"/>
            <w:vMerge w:val="continue"/>
            <w:vAlign w:val="center"/>
          </w:tcPr>
          <w:p w14:paraId="0E6A855B">
            <w:pPr>
              <w:pStyle w:val="38"/>
              <w:jc w:val="left"/>
              <w:rPr>
                <w:rFonts w:hint="default"/>
              </w:rPr>
            </w:pPr>
          </w:p>
        </w:tc>
        <w:tc>
          <w:tcPr>
            <w:tcW w:w="692" w:type="dxa"/>
            <w:gridSpan w:val="2"/>
            <w:vAlign w:val="center"/>
          </w:tcPr>
          <w:p w14:paraId="278A9E3F">
            <w:pPr>
              <w:pStyle w:val="38"/>
              <w:rPr>
                <w:rFonts w:hint="default"/>
              </w:rPr>
            </w:pPr>
            <w:r>
              <w:t>环境风险防控</w:t>
            </w:r>
          </w:p>
        </w:tc>
        <w:tc>
          <w:tcPr>
            <w:tcW w:w="745" w:type="pct"/>
            <w:vAlign w:val="center"/>
          </w:tcPr>
          <w:p w14:paraId="0BE5947B">
            <w:pPr>
              <w:pStyle w:val="38"/>
              <w:jc w:val="left"/>
              <w:rPr>
                <w:rFonts w:hint="default"/>
                <w:b/>
                <w:bCs/>
              </w:rPr>
            </w:pPr>
            <w:r>
              <w:rPr>
                <w:b/>
                <w:bCs/>
              </w:rPr>
              <w:t>严格管控类农用地管控要求：</w:t>
            </w:r>
          </w:p>
          <w:p w14:paraId="017DF201">
            <w:pPr>
              <w:pStyle w:val="38"/>
              <w:jc w:val="left"/>
              <w:rPr>
                <w:rFonts w:hint="default"/>
              </w:rPr>
            </w:pPr>
            <w:r>
              <w:t>暂无</w:t>
            </w:r>
          </w:p>
          <w:p w14:paraId="57B9B022">
            <w:pPr>
              <w:pStyle w:val="38"/>
              <w:jc w:val="left"/>
              <w:rPr>
                <w:rFonts w:hint="default"/>
                <w:b/>
                <w:bCs/>
              </w:rPr>
            </w:pPr>
            <w:r>
              <w:rPr>
                <w:b/>
                <w:bCs/>
              </w:rPr>
              <w:t>安全利用类农用地管控要求：</w:t>
            </w:r>
          </w:p>
          <w:p w14:paraId="09A6E2CB">
            <w:pPr>
              <w:pStyle w:val="38"/>
              <w:jc w:val="left"/>
              <w:rPr>
                <w:rFonts w:hint="default"/>
              </w:rPr>
            </w:pPr>
            <w:r>
              <w:t>暂无</w:t>
            </w:r>
          </w:p>
          <w:p w14:paraId="62574DE6">
            <w:pPr>
              <w:pStyle w:val="38"/>
              <w:jc w:val="left"/>
              <w:rPr>
                <w:rFonts w:hint="default"/>
                <w:b/>
                <w:bCs/>
              </w:rPr>
            </w:pPr>
            <w:r>
              <w:rPr>
                <w:b/>
                <w:bCs/>
              </w:rPr>
              <w:t>污染地块管控要求：</w:t>
            </w:r>
          </w:p>
          <w:p w14:paraId="4A546DAF">
            <w:pPr>
              <w:pStyle w:val="38"/>
              <w:jc w:val="left"/>
              <w:rPr>
                <w:rFonts w:hint="default"/>
              </w:rPr>
            </w:pPr>
            <w:r>
              <w:t>暂无</w:t>
            </w:r>
          </w:p>
          <w:p w14:paraId="2400B974">
            <w:pPr>
              <w:pStyle w:val="38"/>
              <w:jc w:val="left"/>
              <w:rPr>
                <w:rFonts w:hint="default"/>
              </w:rPr>
            </w:pPr>
            <w:r>
              <w:rPr>
                <w:b/>
                <w:bCs/>
              </w:rPr>
              <w:t>园区环境风险防控要求：</w:t>
            </w:r>
          </w:p>
          <w:p w14:paraId="4AD759AD">
            <w:pPr>
              <w:pStyle w:val="38"/>
              <w:jc w:val="left"/>
              <w:rPr>
                <w:rFonts w:hint="default"/>
              </w:rPr>
            </w:pPr>
            <w:r>
              <w:t>暂无</w:t>
            </w:r>
          </w:p>
          <w:p w14:paraId="42982713">
            <w:pPr>
              <w:pStyle w:val="96"/>
              <w:widowControl/>
              <w:spacing w:line="240" w:lineRule="auto"/>
              <w:ind w:firstLine="0" w:firstLineChars="0"/>
              <w:jc w:val="left"/>
              <w:rPr>
                <w:rFonts w:hint="eastAsia" w:ascii="宋体" w:hAnsi="宋体" w:eastAsia="宋体"/>
                <w:b/>
                <w:bCs/>
                <w:sz w:val="21"/>
              </w:rPr>
            </w:pPr>
            <w:r>
              <w:rPr>
                <w:rFonts w:hint="eastAsia" w:ascii="宋体" w:hAnsi="宋体" w:eastAsia="宋体"/>
                <w:b/>
                <w:bCs/>
                <w:sz w:val="21"/>
              </w:rPr>
              <w:t>企业环境风险防控要求：</w:t>
            </w:r>
          </w:p>
          <w:p w14:paraId="621FECF3">
            <w:pPr>
              <w:pStyle w:val="38"/>
              <w:jc w:val="left"/>
              <w:rPr>
                <w:rFonts w:ascii="宋体" w:hAnsi="宋体"/>
                <w:kern w:val="2"/>
              </w:rPr>
            </w:pPr>
            <w:r>
              <w:t>暂无</w:t>
            </w:r>
          </w:p>
          <w:p w14:paraId="7DD21970">
            <w:pPr>
              <w:rPr>
                <w:b/>
                <w:bCs/>
              </w:rPr>
            </w:pPr>
            <w:r>
              <w:rPr>
                <w:rFonts w:hint="eastAsia"/>
                <w:b/>
                <w:bCs/>
              </w:rPr>
              <w:t>其他环境风险防控要求：</w:t>
            </w:r>
          </w:p>
          <w:p w14:paraId="0026E4DD">
            <w:pPr>
              <w:pStyle w:val="38"/>
              <w:jc w:val="left"/>
              <w:rPr>
                <w:rFonts w:hint="default"/>
              </w:rPr>
            </w:pPr>
            <w:r>
              <w:t>暂无</w:t>
            </w:r>
          </w:p>
        </w:tc>
        <w:tc>
          <w:tcPr>
            <w:tcW w:w="2219" w:type="pct"/>
            <w:vAlign w:val="center"/>
          </w:tcPr>
          <w:p w14:paraId="6F269978">
            <w:pPr>
              <w:pStyle w:val="38"/>
              <w:jc w:val="left"/>
              <w:rPr>
                <w:rFonts w:hint="default"/>
                <w:b/>
                <w:bCs/>
              </w:rPr>
            </w:pPr>
            <w:r>
              <w:rPr>
                <w:b/>
                <w:bCs/>
              </w:rPr>
              <w:t>严格管控类农用地管控要求：</w:t>
            </w:r>
          </w:p>
          <w:p w14:paraId="36DA90B9">
            <w:pPr>
              <w:pStyle w:val="38"/>
              <w:jc w:val="left"/>
              <w:rPr>
                <w:rFonts w:hint="default"/>
              </w:rPr>
            </w:pPr>
            <w:r>
              <w:t>1.有一定危险性仓库用地远离市区，按有关规范选址和建设，留够防护距离。</w:t>
            </w:r>
          </w:p>
          <w:p w14:paraId="79EEE24B">
            <w:pPr>
              <w:pStyle w:val="38"/>
              <w:jc w:val="left"/>
              <w:rPr>
                <w:rFonts w:hint="default"/>
              </w:rPr>
            </w:pPr>
            <w:r>
              <w:t>2.城镇开发边界的划定避让永久基本农田红线和生态保护红线，避开蓄滞洪区、地质灾害易发区等。</w:t>
            </w:r>
          </w:p>
          <w:p w14:paraId="5C6C5653">
            <w:pPr>
              <w:pStyle w:val="38"/>
              <w:jc w:val="left"/>
              <w:rPr>
                <w:rFonts w:hint="default"/>
              </w:rPr>
            </w:pPr>
            <w:r>
              <w:t>3.其他参照遂宁市总体准入要求-城镇重点管控单元</w:t>
            </w:r>
          </w:p>
          <w:p w14:paraId="43388A64">
            <w:pPr>
              <w:pStyle w:val="38"/>
              <w:jc w:val="left"/>
              <w:rPr>
                <w:rFonts w:hint="default"/>
                <w:b/>
                <w:bCs/>
              </w:rPr>
            </w:pPr>
            <w:r>
              <w:rPr>
                <w:b/>
                <w:bCs/>
              </w:rPr>
              <w:t>安全利用类农用地管控要求：</w:t>
            </w:r>
          </w:p>
          <w:p w14:paraId="6B21E8CE">
            <w:pPr>
              <w:pStyle w:val="38"/>
              <w:jc w:val="left"/>
              <w:rPr>
                <w:rFonts w:hint="default"/>
              </w:rPr>
            </w:pPr>
            <w:r>
              <w:t>1.有一定危险性仓库用地远离市区，按有关规范选址和建设，留够防护距离。</w:t>
            </w:r>
          </w:p>
          <w:p w14:paraId="0EED15CF">
            <w:pPr>
              <w:pStyle w:val="38"/>
              <w:jc w:val="left"/>
              <w:rPr>
                <w:rFonts w:hint="default"/>
              </w:rPr>
            </w:pPr>
            <w:r>
              <w:t>2.城镇开发边界的划定避让永久基本农田红线和生态保护红线，避开蓄滞洪区、地质灾害易发区等。</w:t>
            </w:r>
          </w:p>
          <w:p w14:paraId="386A5A20">
            <w:pPr>
              <w:pStyle w:val="38"/>
              <w:jc w:val="left"/>
              <w:rPr>
                <w:rFonts w:hint="default"/>
              </w:rPr>
            </w:pPr>
            <w:r>
              <w:t>3.其他参照遂宁市总体准入要求-城镇重点管控单元</w:t>
            </w:r>
          </w:p>
          <w:p w14:paraId="631052BE">
            <w:pPr>
              <w:pStyle w:val="38"/>
              <w:jc w:val="left"/>
              <w:rPr>
                <w:rFonts w:hint="default"/>
                <w:b/>
                <w:bCs/>
              </w:rPr>
            </w:pPr>
            <w:r>
              <w:rPr>
                <w:b/>
                <w:bCs/>
              </w:rPr>
              <w:t>污染地块管控要求：</w:t>
            </w:r>
          </w:p>
          <w:p w14:paraId="04432A0E">
            <w:pPr>
              <w:pStyle w:val="38"/>
              <w:jc w:val="left"/>
              <w:rPr>
                <w:rFonts w:hint="default"/>
              </w:rPr>
            </w:pPr>
            <w:r>
              <w:t>1.有一定危险性仓库用地远离市区，按有关规范选址和建设，留够防护距离。</w:t>
            </w:r>
          </w:p>
          <w:p w14:paraId="1FB10533">
            <w:pPr>
              <w:pStyle w:val="38"/>
              <w:jc w:val="left"/>
              <w:rPr>
                <w:rFonts w:hint="default"/>
              </w:rPr>
            </w:pPr>
            <w:r>
              <w:t>2.城镇开发边界的划定避让永久基本农田红线和生态保护红线，避开蓄滞洪区、地质灾害易发区等。</w:t>
            </w:r>
          </w:p>
          <w:p w14:paraId="65212C26">
            <w:pPr>
              <w:pStyle w:val="38"/>
              <w:jc w:val="left"/>
              <w:rPr>
                <w:rFonts w:hint="default"/>
              </w:rPr>
            </w:pPr>
            <w:r>
              <w:t>3.其他参照遂宁市总体准入要求-城镇重点管控单元</w:t>
            </w:r>
          </w:p>
          <w:p w14:paraId="44A7979A">
            <w:pPr>
              <w:pStyle w:val="38"/>
              <w:jc w:val="left"/>
              <w:rPr>
                <w:rFonts w:hint="default"/>
                <w:b/>
                <w:bCs/>
              </w:rPr>
            </w:pPr>
            <w:r>
              <w:rPr>
                <w:b/>
                <w:bCs/>
              </w:rPr>
              <w:t>园区环境风险防控要求：</w:t>
            </w:r>
          </w:p>
          <w:p w14:paraId="6C6FDB10">
            <w:pPr>
              <w:pStyle w:val="96"/>
              <w:widowControl/>
              <w:spacing w:line="240" w:lineRule="auto"/>
              <w:ind w:firstLine="0" w:firstLineChars="0"/>
              <w:jc w:val="left"/>
            </w:pPr>
            <w:r>
              <w:rPr>
                <w:rFonts w:hint="eastAsia"/>
              </w:rPr>
              <w:t>/</w:t>
            </w:r>
          </w:p>
          <w:p w14:paraId="1A33F923">
            <w:pPr>
              <w:pStyle w:val="96"/>
              <w:widowControl/>
              <w:spacing w:line="240" w:lineRule="auto"/>
              <w:ind w:firstLine="0" w:firstLineChars="0"/>
              <w:jc w:val="left"/>
              <w:rPr>
                <w:rFonts w:hint="eastAsia" w:ascii="宋体" w:hAnsi="宋体" w:eastAsia="宋体"/>
                <w:b/>
                <w:bCs/>
                <w:sz w:val="21"/>
              </w:rPr>
            </w:pPr>
            <w:r>
              <w:rPr>
                <w:rFonts w:hint="eastAsia" w:ascii="宋体" w:hAnsi="宋体" w:eastAsia="宋体"/>
                <w:b/>
                <w:bCs/>
                <w:sz w:val="21"/>
              </w:rPr>
              <w:t>企业环境风险防控要求：</w:t>
            </w:r>
          </w:p>
          <w:p w14:paraId="56E98529">
            <w:pPr>
              <w:pStyle w:val="96"/>
              <w:widowControl/>
              <w:spacing w:line="240" w:lineRule="auto"/>
              <w:ind w:firstLine="0" w:firstLineChars="0"/>
              <w:jc w:val="left"/>
              <w:rPr>
                <w:rFonts w:hint="eastAsia" w:ascii="宋体" w:hAnsi="宋体" w:eastAsia="宋体"/>
                <w:sz w:val="21"/>
              </w:rPr>
            </w:pPr>
            <w:r>
              <w:rPr>
                <w:rFonts w:hint="eastAsia" w:ascii="宋体" w:hAnsi="宋体" w:eastAsia="宋体"/>
                <w:sz w:val="21"/>
              </w:rPr>
              <w:t>参照遂宁市总体准入要求-要素重点管控单元</w:t>
            </w:r>
          </w:p>
          <w:p w14:paraId="57A660BE">
            <w:pPr>
              <w:rPr>
                <w:b/>
                <w:bCs/>
              </w:rPr>
            </w:pPr>
            <w:r>
              <w:rPr>
                <w:rFonts w:hint="eastAsia"/>
                <w:b/>
                <w:bCs/>
              </w:rPr>
              <w:t>其他环境风险防控要求：</w:t>
            </w:r>
          </w:p>
          <w:p w14:paraId="24DA339D">
            <w:pPr>
              <w:widowControl/>
              <w:jc w:val="left"/>
            </w:pPr>
            <w:r>
              <w:rPr>
                <w:rFonts w:hint="eastAsia" w:ascii="仿宋" w:hAnsi="仿宋" w:eastAsia="仿宋" w:cs="仿宋"/>
                <w:color w:val="000000"/>
                <w:kern w:val="0"/>
                <w:sz w:val="18"/>
                <w:szCs w:val="18"/>
                <w:lang w:bidi="ar"/>
              </w:rPr>
              <w:t>△</w:t>
            </w:r>
          </w:p>
        </w:tc>
        <w:tc>
          <w:tcPr>
            <w:tcW w:w="2446" w:type="dxa"/>
            <w:vAlign w:val="center"/>
          </w:tcPr>
          <w:p w14:paraId="61FAD8A9">
            <w:pPr>
              <w:numPr>
                <w:ilvl w:val="0"/>
                <w:numId w:val="19"/>
              </w:numPr>
            </w:pPr>
            <w:r>
              <w:rPr>
                <w:rFonts w:hint="eastAsia" w:ascii="宋体" w:hAnsi="宋体" w:cs="宋体"/>
                <w:szCs w:val="21"/>
                <w:lang w:bidi="ar"/>
              </w:rPr>
              <w:t>项目属于河道整治工程，不涉及使用危险性仓库；</w:t>
            </w:r>
          </w:p>
          <w:p w14:paraId="6F56C84C">
            <w:pPr>
              <w:numPr>
                <w:ilvl w:val="0"/>
                <w:numId w:val="19"/>
              </w:numPr>
            </w:pPr>
            <w:r>
              <w:rPr>
                <w:rFonts w:hint="eastAsia"/>
              </w:rPr>
              <w:t>本工程位于大英县金元镇场镇内，永久用地和临时用地均不涉及文物保护区、自然保护区、风景名胜区、森林公园、饮用水源保护区、生态保护红线等环境敏感区。不涉及占用基本农田、水源涵养地、湿地公园等；</w:t>
            </w:r>
          </w:p>
        </w:tc>
        <w:tc>
          <w:tcPr>
            <w:tcW w:w="635" w:type="dxa"/>
            <w:vAlign w:val="center"/>
          </w:tcPr>
          <w:p w14:paraId="6F4F03F1">
            <w:pPr>
              <w:jc w:val="center"/>
            </w:pPr>
            <w:r>
              <w:rPr>
                <w:rFonts w:hint="eastAsia"/>
              </w:rPr>
              <w:t>符合</w:t>
            </w:r>
          </w:p>
        </w:tc>
      </w:tr>
      <w:tr w14:paraId="7499DB4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97" w:type="pct"/>
            <w:gridSpan w:val="2"/>
            <w:vMerge w:val="continue"/>
            <w:vAlign w:val="center"/>
          </w:tcPr>
          <w:p w14:paraId="3BF1B47C">
            <w:pPr>
              <w:pStyle w:val="38"/>
              <w:jc w:val="left"/>
              <w:rPr>
                <w:rFonts w:hint="default"/>
              </w:rPr>
            </w:pPr>
          </w:p>
        </w:tc>
        <w:tc>
          <w:tcPr>
            <w:tcW w:w="692" w:type="dxa"/>
            <w:gridSpan w:val="2"/>
            <w:vAlign w:val="center"/>
          </w:tcPr>
          <w:p w14:paraId="42A5C506">
            <w:pPr>
              <w:pStyle w:val="38"/>
              <w:rPr>
                <w:rFonts w:hint="default"/>
              </w:rPr>
            </w:pPr>
            <w:r>
              <w:t>资源开发利用效率</w:t>
            </w:r>
          </w:p>
        </w:tc>
        <w:tc>
          <w:tcPr>
            <w:tcW w:w="745" w:type="pct"/>
            <w:vAlign w:val="center"/>
          </w:tcPr>
          <w:p w14:paraId="6C84580F">
            <w:pPr>
              <w:pStyle w:val="38"/>
              <w:jc w:val="left"/>
              <w:rPr>
                <w:rFonts w:hint="default"/>
                <w:b/>
                <w:bCs/>
              </w:rPr>
            </w:pPr>
            <w:r>
              <w:rPr>
                <w:b/>
                <w:bCs/>
              </w:rPr>
              <w:t>水资源利用效率要求：</w:t>
            </w:r>
          </w:p>
          <w:p w14:paraId="2C333255">
            <w:pPr>
              <w:pStyle w:val="38"/>
              <w:jc w:val="left"/>
              <w:rPr>
                <w:rFonts w:hint="default"/>
              </w:rPr>
            </w:pPr>
            <w:r>
              <w:t>暂无</w:t>
            </w:r>
          </w:p>
          <w:p w14:paraId="431EBC86">
            <w:pPr>
              <w:pStyle w:val="38"/>
              <w:jc w:val="left"/>
              <w:rPr>
                <w:rFonts w:hint="default"/>
                <w:b/>
                <w:bCs/>
              </w:rPr>
            </w:pPr>
            <w:r>
              <w:rPr>
                <w:b/>
                <w:bCs/>
              </w:rPr>
              <w:t>地下水开采要求</w:t>
            </w:r>
          </w:p>
          <w:p w14:paraId="0D332BC3">
            <w:pPr>
              <w:pStyle w:val="38"/>
              <w:jc w:val="left"/>
              <w:rPr>
                <w:rFonts w:hint="default"/>
              </w:rPr>
            </w:pPr>
            <w:r>
              <w:t>暂无</w:t>
            </w:r>
          </w:p>
          <w:p w14:paraId="7F228B76">
            <w:pPr>
              <w:pStyle w:val="38"/>
              <w:jc w:val="left"/>
              <w:rPr>
                <w:rFonts w:hint="default"/>
              </w:rPr>
            </w:pPr>
            <w:r>
              <w:rPr>
                <w:b/>
                <w:bCs/>
              </w:rPr>
              <w:t>能源利用效率要求</w:t>
            </w:r>
          </w:p>
          <w:p w14:paraId="6B4D33D6">
            <w:pPr>
              <w:pStyle w:val="38"/>
              <w:jc w:val="left"/>
              <w:rPr>
                <w:rFonts w:hint="default"/>
              </w:rPr>
            </w:pPr>
            <w:r>
              <w:t>暂无</w:t>
            </w:r>
          </w:p>
          <w:p w14:paraId="0BCA9042">
            <w:pPr>
              <w:pStyle w:val="38"/>
              <w:jc w:val="left"/>
              <w:rPr>
                <w:rFonts w:hint="default"/>
              </w:rPr>
            </w:pPr>
            <w:r>
              <w:rPr>
                <w:b/>
                <w:bCs/>
              </w:rPr>
              <w:t>其他资源利用效率要求</w:t>
            </w:r>
          </w:p>
          <w:p w14:paraId="750CDCA9">
            <w:pPr>
              <w:pStyle w:val="38"/>
              <w:jc w:val="left"/>
              <w:rPr>
                <w:rFonts w:hint="default"/>
              </w:rPr>
            </w:pPr>
            <w:r>
              <w:t>暂无</w:t>
            </w:r>
          </w:p>
        </w:tc>
        <w:tc>
          <w:tcPr>
            <w:tcW w:w="2219" w:type="pct"/>
            <w:vAlign w:val="center"/>
          </w:tcPr>
          <w:p w14:paraId="097A3170">
            <w:pPr>
              <w:pStyle w:val="38"/>
              <w:jc w:val="left"/>
              <w:rPr>
                <w:rFonts w:hint="default"/>
                <w:b/>
                <w:bCs/>
              </w:rPr>
            </w:pPr>
            <w:r>
              <w:rPr>
                <w:b/>
                <w:bCs/>
              </w:rPr>
              <w:t>水资源利用效率要求：</w:t>
            </w:r>
          </w:p>
          <w:p w14:paraId="2FC75AD9">
            <w:pPr>
              <w:pStyle w:val="38"/>
              <w:jc w:val="left"/>
              <w:rPr>
                <w:rFonts w:hint="default"/>
              </w:rPr>
            </w:pPr>
            <w:r>
              <w:t>参照遂宁市总体准入要求-要素重点管控单元</w:t>
            </w:r>
          </w:p>
          <w:p w14:paraId="0DF5036A">
            <w:pPr>
              <w:pStyle w:val="38"/>
              <w:jc w:val="left"/>
              <w:rPr>
                <w:rFonts w:hint="default"/>
                <w:b/>
                <w:bCs/>
              </w:rPr>
            </w:pPr>
            <w:r>
              <w:rPr>
                <w:b/>
                <w:bCs/>
              </w:rPr>
              <w:t>地下水开采要求</w:t>
            </w:r>
          </w:p>
          <w:p w14:paraId="0B909F0D">
            <w:pPr>
              <w:pStyle w:val="38"/>
              <w:jc w:val="left"/>
              <w:rPr>
                <w:rFonts w:hint="default"/>
              </w:rPr>
            </w:pPr>
            <w:r>
              <w:t>（1）大英县2030年地下水开采控制控制量保持在0.06亿m</w:t>
            </w:r>
            <w:r>
              <w:rPr>
                <w:vertAlign w:val="superscript"/>
              </w:rPr>
              <w:t>3</w:t>
            </w:r>
            <w:r>
              <w:t>以内。</w:t>
            </w:r>
          </w:p>
          <w:p w14:paraId="46326946">
            <w:pPr>
              <w:pStyle w:val="38"/>
              <w:jc w:val="left"/>
              <w:rPr>
                <w:rFonts w:hint="default"/>
              </w:rPr>
            </w:pPr>
            <w:r>
              <w:t>（2）全面建设节水型社会，达到合理高效用水。</w:t>
            </w:r>
          </w:p>
          <w:p w14:paraId="16FD7B13">
            <w:pPr>
              <w:pStyle w:val="38"/>
              <w:jc w:val="left"/>
              <w:rPr>
                <w:rFonts w:hint="default"/>
              </w:rPr>
            </w:pPr>
            <w:r>
              <w:rPr>
                <w:b/>
                <w:bCs/>
              </w:rPr>
              <w:t>能源利用效率要求</w:t>
            </w:r>
          </w:p>
          <w:p w14:paraId="156736CF">
            <w:pPr>
              <w:widowControl/>
            </w:pPr>
            <w:r>
              <w:rPr>
                <w:rFonts w:hint="eastAsia" w:ascii="宋体" w:hAnsi="宋体" w:cs="宋体"/>
                <w:szCs w:val="21"/>
                <w:lang w:bidi="ar"/>
              </w:rPr>
              <w:t>参照遂宁市总体准入要求</w:t>
            </w:r>
            <w:r>
              <w:rPr>
                <w:szCs w:val="21"/>
                <w:lang w:bidi="ar"/>
              </w:rPr>
              <w:t>-</w:t>
            </w:r>
            <w:r>
              <w:rPr>
                <w:rFonts w:hint="eastAsia" w:ascii="宋体" w:hAnsi="宋体" w:cs="宋体"/>
                <w:szCs w:val="21"/>
                <w:lang w:bidi="ar"/>
              </w:rPr>
              <w:t>要素重点管控单元</w:t>
            </w:r>
          </w:p>
          <w:p w14:paraId="33AE71CD">
            <w:pPr>
              <w:pStyle w:val="38"/>
              <w:jc w:val="left"/>
              <w:rPr>
                <w:rFonts w:hint="default"/>
              </w:rPr>
            </w:pPr>
            <w:r>
              <w:rPr>
                <w:b/>
                <w:bCs/>
              </w:rPr>
              <w:t>其他资源利用效率要求</w:t>
            </w:r>
          </w:p>
          <w:p w14:paraId="46508DB4">
            <w:pPr>
              <w:widowControl/>
              <w:jc w:val="left"/>
              <w:rPr>
                <w:b/>
                <w:bCs/>
              </w:rPr>
            </w:pPr>
            <w:r>
              <w:rPr>
                <w:rFonts w:hint="eastAsia"/>
                <w:b/>
                <w:bCs/>
              </w:rPr>
              <w:t>禁</w:t>
            </w:r>
          </w:p>
          <w:p w14:paraId="1B591021">
            <w:pPr>
              <w:widowControl/>
              <w:jc w:val="left"/>
              <w:rPr>
                <w:b/>
                <w:bCs/>
              </w:rPr>
            </w:pPr>
            <w:r>
              <w:rPr>
                <w:rFonts w:hint="eastAsia"/>
                <w:b/>
                <w:bCs/>
              </w:rPr>
              <w:t>燃区管控要求：</w:t>
            </w:r>
            <w:r>
              <w:rPr>
                <w:rFonts w:hint="eastAsia"/>
              </w:rPr>
              <w:t>参照遂宁市总体准入要求-城镇重点管控单元</w:t>
            </w:r>
          </w:p>
        </w:tc>
        <w:tc>
          <w:tcPr>
            <w:tcW w:w="2446" w:type="dxa"/>
            <w:vAlign w:val="center"/>
          </w:tcPr>
          <w:p w14:paraId="42CC7E61">
            <w:pPr>
              <w:pStyle w:val="38"/>
              <w:jc w:val="left"/>
              <w:rPr>
                <w:rFonts w:hint="default"/>
              </w:rPr>
            </w:pPr>
            <w:r>
              <w:t>项目施工期无施工废水产生、生活废水采取不外排等防治措施，运营期无污染产生，对水环境影响较小。</w:t>
            </w:r>
          </w:p>
        </w:tc>
        <w:tc>
          <w:tcPr>
            <w:tcW w:w="635" w:type="dxa"/>
            <w:vAlign w:val="center"/>
          </w:tcPr>
          <w:p w14:paraId="3A193883">
            <w:pPr>
              <w:jc w:val="center"/>
            </w:pPr>
            <w:r>
              <w:rPr>
                <w:rFonts w:hint="eastAsia"/>
              </w:rPr>
              <w:t>符合</w:t>
            </w:r>
          </w:p>
        </w:tc>
      </w:tr>
      <w:tr w14:paraId="775DE05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579" w:hRule="atLeast"/>
          <w:jc w:val="center"/>
        </w:trPr>
        <w:tc>
          <w:tcPr>
            <w:tcW w:w="942" w:type="pct"/>
            <w:gridSpan w:val="4"/>
            <w:vAlign w:val="center"/>
          </w:tcPr>
          <w:p w14:paraId="4D7EC70E">
            <w:pPr>
              <w:pStyle w:val="38"/>
              <w:rPr>
                <w:rFonts w:hint="default"/>
              </w:rPr>
            </w:pPr>
            <w:r>
              <w:t>区域特点</w:t>
            </w:r>
          </w:p>
        </w:tc>
        <w:tc>
          <w:tcPr>
            <w:tcW w:w="2965" w:type="pct"/>
            <w:gridSpan w:val="2"/>
            <w:vAlign w:val="center"/>
          </w:tcPr>
          <w:p w14:paraId="13A732D7">
            <w:pPr>
              <w:pStyle w:val="38"/>
              <w:jc w:val="left"/>
              <w:rPr>
                <w:rFonts w:hint="default"/>
              </w:rPr>
            </w:pPr>
            <w:r>
              <w:rPr>
                <w:b/>
                <w:bCs/>
              </w:rPr>
              <w:t>发展目标：</w:t>
            </w:r>
            <w:r>
              <w:t>坚持“农业稳县、工业强县，文旅兴县”。抢抓国家县城新型城镇化建设示范县机遇，以全面融入成渝地区双城经济圈和遂潼川渝毗邻地区一体化发展先行区，建成西部绿色油气融合发展样板区和全国知名旅游度假目的地为愿景，重点发展能源化工、装备制造产业集群，大力发展现代旅游业，率先融入巴蜀文化旅游走廊,成渝发展主轴高质量发展县，遂潼川渝毗邻地区一体化发展先行区中重要节点。</w:t>
            </w:r>
          </w:p>
          <w:p w14:paraId="105611EA">
            <w:pPr>
              <w:pStyle w:val="38"/>
              <w:jc w:val="left"/>
              <w:rPr>
                <w:rFonts w:hint="default"/>
                <w:b/>
                <w:bCs/>
              </w:rPr>
            </w:pPr>
            <w:r>
              <w:rPr>
                <w:b/>
                <w:bCs/>
              </w:rPr>
              <w:t>主要产业：</w:t>
            </w:r>
            <w:r>
              <w:t>坚持“稳粮增豆扩油”，形成“2+4”的现代农业产业体系，形成西部精品粮油复合产业示范区、中部现代农业巩固提升区、东部现代农业发展区三大农业片区；大力发展“油头化尾”产业链，延伸发展化学新材料产业，积极对接成渝地区先进制造业，主动承接成渝汽车零配件生产等配套产业转移，推进能源化工和装备制造产业筑圈建链、集群集聚，实现产业园区与城镇融合，产城相互促进一体发展；依托中国死海、丝路奇幻城、浪漫地中海、卓筒井遗址公园等核心景区建设，纵深推进全域旅游发展，以为干屏村、土门垭村等精品村打造为示范引领建设乡村旅游重点村，以三产融合为重点，持续改善乡村人居环境，建设宜居宜业和美乡村。</w:t>
            </w:r>
          </w:p>
          <w:p w14:paraId="50F9ED23">
            <w:pPr>
              <w:pStyle w:val="38"/>
              <w:jc w:val="left"/>
              <w:rPr>
                <w:rFonts w:hint="default"/>
                <w:b/>
                <w:bCs/>
              </w:rPr>
            </w:pPr>
            <w:r>
              <w:rPr>
                <w:b/>
                <w:bCs/>
              </w:rPr>
              <w:t>区域突出生态环境问题:</w:t>
            </w:r>
          </w:p>
          <w:p w14:paraId="1F0B3B39">
            <w:pPr>
              <w:pStyle w:val="38"/>
              <w:jc w:val="left"/>
              <w:rPr>
                <w:rFonts w:hint="default"/>
              </w:rPr>
            </w:pPr>
            <w:r>
              <w:t>1、郪江输入性污染依然存在，超标风险仍然存在。</w:t>
            </w:r>
          </w:p>
          <w:p w14:paraId="0CEBB594">
            <w:pPr>
              <w:pStyle w:val="38"/>
              <w:jc w:val="left"/>
              <w:rPr>
                <w:rFonts w:hint="default"/>
              </w:rPr>
            </w:pPr>
            <w:r>
              <w:t>2、农业污染控制较困难。</w:t>
            </w:r>
          </w:p>
          <w:p w14:paraId="49A1A743">
            <w:pPr>
              <w:jc w:val="left"/>
            </w:pPr>
            <w:r>
              <w:rPr>
                <w:rFonts w:hint="eastAsia"/>
              </w:rPr>
              <w:t>3、部分污水处理厂存在运行水平差、达标率低等问题，部分管网不配套或老化破损、污水收集率不高，雨污合流、前端混接现象较为严重。</w:t>
            </w:r>
          </w:p>
          <w:p w14:paraId="599A8D87">
            <w:pPr>
              <w:pStyle w:val="38"/>
              <w:jc w:val="left"/>
              <w:rPr>
                <w:rFonts w:hint="default"/>
                <w:b/>
                <w:bCs/>
              </w:rPr>
            </w:pPr>
            <w:r>
              <w:rPr>
                <w:b/>
                <w:bCs/>
              </w:rPr>
              <w:t>总体管控要求：</w:t>
            </w:r>
          </w:p>
          <w:p w14:paraId="19346C3B">
            <w:pPr>
              <w:pStyle w:val="38"/>
              <w:jc w:val="left"/>
              <w:rPr>
                <w:rFonts w:hint="default"/>
              </w:rPr>
            </w:pPr>
            <w:r>
              <w:t>1、加强郪江流域污染治理、农业面源污染治理，严格控制化肥农药使用量，科学划定禁养区，积极推广畜禽清洁养殖和畜禽粪污无害化、资源化处理技术；</w:t>
            </w:r>
          </w:p>
          <w:p w14:paraId="0B28D466">
            <w:pPr>
              <w:pStyle w:val="38"/>
              <w:jc w:val="both"/>
              <w:rPr>
                <w:rFonts w:hint="default"/>
              </w:rPr>
            </w:pPr>
            <w:r>
              <w:t>2、现有涉及五类重金属排放的企业，严控污染物排放。</w:t>
            </w:r>
          </w:p>
          <w:p w14:paraId="3869130A">
            <w:pPr>
              <w:jc w:val="left"/>
            </w:pPr>
            <w:r>
              <w:rPr>
                <w:rFonts w:hint="eastAsia"/>
              </w:rPr>
              <w:t>3、加强污染地块环境风险防控管理。</w:t>
            </w:r>
          </w:p>
        </w:tc>
        <w:tc>
          <w:tcPr>
            <w:tcW w:w="867" w:type="pct"/>
            <w:vAlign w:val="center"/>
          </w:tcPr>
          <w:p w14:paraId="320C3323">
            <w:pPr>
              <w:rPr>
                <w:kern w:val="0"/>
                <w:szCs w:val="21"/>
              </w:rPr>
            </w:pPr>
            <w:r>
              <w:rPr>
                <w:rFonts w:hint="eastAsia" w:ascii="宋体" w:hAnsi="宋体" w:cs="宋体"/>
                <w:szCs w:val="21"/>
                <w:lang w:bidi="ar"/>
              </w:rPr>
              <w:t>项目属于河道整治工程，不涉及农药使用和畜禽养殖；不涉及重金属污染物排放。</w:t>
            </w:r>
          </w:p>
        </w:tc>
        <w:tc>
          <w:tcPr>
            <w:tcW w:w="225" w:type="pct"/>
            <w:vAlign w:val="center"/>
          </w:tcPr>
          <w:p w14:paraId="19128AA7">
            <w:pPr>
              <w:jc w:val="center"/>
            </w:pPr>
            <w:r>
              <w:rPr>
                <w:rFonts w:hint="eastAsia"/>
              </w:rPr>
              <w:t>符合</w:t>
            </w:r>
          </w:p>
        </w:tc>
      </w:tr>
      <w:tr w14:paraId="720FE0F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5000" w:type="pct"/>
            <w:gridSpan w:val="8"/>
            <w:vAlign w:val="center"/>
          </w:tcPr>
          <w:p w14:paraId="677441DE">
            <w:pPr>
              <w:jc w:val="center"/>
            </w:pPr>
            <w:r>
              <w:rPr>
                <w:rFonts w:hint="eastAsia"/>
              </w:rPr>
              <w:t>遂宁市普适性要求</w:t>
            </w:r>
          </w:p>
        </w:tc>
      </w:tr>
      <w:tr w14:paraId="7F00650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678" w:type="pct"/>
            <w:vMerge w:val="restart"/>
            <w:vAlign w:val="center"/>
          </w:tcPr>
          <w:p w14:paraId="6635BB6B">
            <w:pPr>
              <w:jc w:val="center"/>
            </w:pPr>
            <w:r>
              <w:rPr>
                <w:rFonts w:hint="eastAsia"/>
              </w:rPr>
              <w:t>遂宁市普适性要求</w:t>
            </w:r>
          </w:p>
        </w:tc>
        <w:tc>
          <w:tcPr>
            <w:tcW w:w="245" w:type="pct"/>
            <w:gridSpan w:val="2"/>
            <w:vMerge w:val="restart"/>
            <w:vAlign w:val="center"/>
          </w:tcPr>
          <w:p w14:paraId="3663DC80">
            <w:pPr>
              <w:jc w:val="center"/>
            </w:pPr>
            <w:r>
              <w:rPr>
                <w:rFonts w:hint="eastAsia"/>
              </w:rPr>
              <w:t>区域特点</w:t>
            </w:r>
          </w:p>
        </w:tc>
        <w:tc>
          <w:tcPr>
            <w:tcW w:w="2983" w:type="pct"/>
            <w:gridSpan w:val="3"/>
            <w:vAlign w:val="center"/>
          </w:tcPr>
          <w:p w14:paraId="300EF22B">
            <w:pPr>
              <w:pStyle w:val="38"/>
              <w:jc w:val="left"/>
              <w:rPr>
                <w:rFonts w:hint="default"/>
              </w:rPr>
            </w:pPr>
            <w:r>
              <w:rPr>
                <w:rFonts w:hint="default"/>
                <w:b/>
                <w:bCs/>
              </w:rPr>
              <w:t>遂宁市发展定位与目标为：</w:t>
            </w:r>
            <w:r>
              <w:rPr>
                <w:rFonts w:hint="default"/>
              </w:rPr>
              <w:t>围绕成渝地区双城经济圈建设“一极两中心两地”总体定位，加快建设联动成渝的重要门户枢纽和成渝发展主轴绿色经济强市，与潼南共建川渝毗邻地区一体化发展先行区，在成渝地区加快实现中部崛起。</w:t>
            </w:r>
          </w:p>
          <w:p w14:paraId="486D2307">
            <w:pPr>
              <w:jc w:val="center"/>
            </w:pPr>
            <w:r>
              <w:rPr>
                <w:b/>
                <w:bCs/>
                <w:kern w:val="0"/>
                <w:szCs w:val="21"/>
              </w:rPr>
              <w:t>重点发展的产业：</w:t>
            </w:r>
            <w:r>
              <w:rPr>
                <w:kern w:val="0"/>
                <w:szCs w:val="21"/>
              </w:rPr>
              <w:t>围绕建设优势特色产业集群发展区，以锂电、能源化工、电子信息等作为率先发展优势产业，大力发展绿色食品、装备制造和智能家居三大特色产业，加快发展生物医药、节能环保、先进材料等新兴产业，改造提升传统产业，推动相关产业功能聚集发展。</w:t>
            </w:r>
          </w:p>
        </w:tc>
        <w:tc>
          <w:tcPr>
            <w:tcW w:w="2446" w:type="dxa"/>
            <w:vAlign w:val="center"/>
          </w:tcPr>
          <w:p w14:paraId="1DE5A15B">
            <w:r>
              <w:rPr>
                <w:rFonts w:hint="eastAsia" w:ascii="宋体" w:hAnsi="宋体" w:cs="宋体"/>
                <w:szCs w:val="21"/>
                <w:lang w:bidi="ar"/>
              </w:rPr>
              <w:t>项目属于河道整治工程。</w:t>
            </w:r>
          </w:p>
        </w:tc>
        <w:tc>
          <w:tcPr>
            <w:tcW w:w="635" w:type="dxa"/>
            <w:vAlign w:val="center"/>
          </w:tcPr>
          <w:p w14:paraId="0D6BE36C">
            <w:pPr>
              <w:jc w:val="center"/>
            </w:pPr>
            <w:r>
              <w:rPr>
                <w:rFonts w:hint="eastAsia"/>
              </w:rPr>
              <w:t>符合</w:t>
            </w:r>
          </w:p>
        </w:tc>
      </w:tr>
      <w:tr w14:paraId="46FAFF6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678" w:type="pct"/>
            <w:vMerge w:val="continue"/>
            <w:vAlign w:val="center"/>
          </w:tcPr>
          <w:p w14:paraId="4D307943">
            <w:pPr>
              <w:jc w:val="center"/>
            </w:pPr>
          </w:p>
        </w:tc>
        <w:tc>
          <w:tcPr>
            <w:tcW w:w="245" w:type="pct"/>
            <w:gridSpan w:val="2"/>
            <w:vMerge w:val="continue"/>
            <w:vAlign w:val="center"/>
          </w:tcPr>
          <w:p w14:paraId="57A8D056">
            <w:pPr>
              <w:jc w:val="center"/>
            </w:pPr>
          </w:p>
        </w:tc>
        <w:tc>
          <w:tcPr>
            <w:tcW w:w="2983" w:type="pct"/>
            <w:gridSpan w:val="3"/>
            <w:vAlign w:val="center"/>
          </w:tcPr>
          <w:p w14:paraId="024D5AA6">
            <w:pPr>
              <w:jc w:val="left"/>
              <w:rPr>
                <w:b/>
                <w:bCs/>
              </w:rPr>
            </w:pPr>
            <w:r>
              <w:rPr>
                <w:rFonts w:hint="eastAsia"/>
                <w:b/>
                <w:bCs/>
              </w:rPr>
              <w:t>区域突出生态环境问题:</w:t>
            </w:r>
          </w:p>
          <w:p w14:paraId="6C9B38E4">
            <w:pPr>
              <w:jc w:val="left"/>
            </w:pPr>
            <w:r>
              <w:rPr>
                <w:rFonts w:hint="eastAsia"/>
              </w:rPr>
              <w:t>1、小流域污染问题突出。</w:t>
            </w:r>
          </w:p>
          <w:p w14:paraId="19E27194">
            <w:pPr>
              <w:jc w:val="left"/>
            </w:pPr>
            <w:r>
              <w:rPr>
                <w:rFonts w:hint="eastAsia"/>
              </w:rPr>
              <w:t>2、污染物排放总量较大。</w:t>
            </w:r>
          </w:p>
          <w:p w14:paraId="1F2BF0CB">
            <w:pPr>
              <w:jc w:val="left"/>
            </w:pPr>
            <w:r>
              <w:rPr>
                <w:rFonts w:hint="eastAsia"/>
              </w:rPr>
              <w:t>3、PM2.5和臭氧污染严重。</w:t>
            </w:r>
          </w:p>
          <w:p w14:paraId="73C14DCC">
            <w:pPr>
              <w:jc w:val="left"/>
            </w:pPr>
            <w:r>
              <w:rPr>
                <w:rFonts w:hint="eastAsia"/>
              </w:rPr>
              <w:t>4.非工业源的VOCs污染排放源点多面广、成分复杂，监管和治理难度较大。</w:t>
            </w:r>
          </w:p>
          <w:p w14:paraId="59D271D6">
            <w:pPr>
              <w:jc w:val="left"/>
            </w:pPr>
            <w:r>
              <w:rPr>
                <w:rFonts w:hint="eastAsia"/>
              </w:rPr>
              <w:t>5、遂宁市规模化畜禽养殖场数量较多，农村面源污染较为严重。</w:t>
            </w:r>
          </w:p>
          <w:p w14:paraId="7965F9C7">
            <w:pPr>
              <w:rPr>
                <w:b/>
                <w:bCs/>
                <w:kern w:val="0"/>
                <w:szCs w:val="21"/>
              </w:rPr>
            </w:pPr>
            <w:r>
              <w:rPr>
                <w:rFonts w:hint="eastAsia"/>
              </w:rPr>
              <w:t>6.森林覆盖率较低，局部水土流失严重。</w:t>
            </w:r>
          </w:p>
        </w:tc>
        <w:tc>
          <w:tcPr>
            <w:tcW w:w="2446" w:type="dxa"/>
            <w:vAlign w:val="center"/>
          </w:tcPr>
          <w:p w14:paraId="582C3BBB">
            <w:pPr>
              <w:rPr>
                <w:rFonts w:cs="宋体"/>
                <w:szCs w:val="21"/>
                <w:lang w:bidi="ar"/>
              </w:rPr>
            </w:pPr>
            <w:r>
              <w:rPr>
                <w:rFonts w:hint="eastAsia" w:ascii="宋体" w:hAnsi="宋体" w:cs="宋体"/>
                <w:szCs w:val="21"/>
                <w:lang w:bidi="ar"/>
              </w:rPr>
              <w:t>1、</w:t>
            </w:r>
            <w:r>
              <w:rPr>
                <w:rFonts w:hint="eastAsia" w:cs="宋体"/>
                <w:szCs w:val="21"/>
                <w:lang w:bidi="ar"/>
              </w:rPr>
              <w:t>项目属于河道整治工程，有助于解决小流域生态问题；</w:t>
            </w:r>
          </w:p>
          <w:p w14:paraId="33FC5943">
            <w:pPr>
              <w:rPr>
                <w:rFonts w:cs="宋体"/>
                <w:szCs w:val="21"/>
                <w:lang w:bidi="ar"/>
              </w:rPr>
            </w:pPr>
            <w:r>
              <w:rPr>
                <w:rFonts w:hint="eastAsia" w:cs="宋体"/>
                <w:szCs w:val="21"/>
                <w:lang w:bidi="ar"/>
              </w:rPr>
              <w:t>2、项目不涉及污染物排放；</w:t>
            </w:r>
          </w:p>
          <w:p w14:paraId="72F9417E">
            <w:pPr>
              <w:rPr>
                <w:rFonts w:cs="宋体"/>
                <w:szCs w:val="21"/>
                <w:lang w:bidi="ar"/>
              </w:rPr>
            </w:pPr>
            <w:r>
              <w:rPr>
                <w:rFonts w:hint="eastAsia" w:cs="宋体"/>
                <w:szCs w:val="21"/>
                <w:lang w:bidi="ar"/>
              </w:rPr>
              <w:t>3、项目不涉及产生臭氧，施工期采取喷雾降尘措施后，产生的扬尘影响可控；</w:t>
            </w:r>
          </w:p>
          <w:p w14:paraId="5F527D07">
            <w:pPr>
              <w:rPr>
                <w:rFonts w:cs="宋体"/>
                <w:szCs w:val="21"/>
                <w:lang w:bidi="ar"/>
              </w:rPr>
            </w:pPr>
            <w:r>
              <w:rPr>
                <w:rFonts w:hint="eastAsia" w:cs="宋体"/>
                <w:szCs w:val="21"/>
                <w:lang w:bidi="ar"/>
              </w:rPr>
              <w:t>4、项目不涉及产生VOCs；</w:t>
            </w:r>
          </w:p>
          <w:p w14:paraId="7A9351ED">
            <w:pPr>
              <w:rPr>
                <w:rFonts w:cs="宋体"/>
                <w:szCs w:val="21"/>
                <w:lang w:bidi="ar"/>
              </w:rPr>
            </w:pPr>
            <w:r>
              <w:rPr>
                <w:rFonts w:hint="eastAsia" w:cs="宋体"/>
                <w:szCs w:val="21"/>
                <w:lang w:bidi="ar"/>
              </w:rPr>
              <w:t>5、项目不涉及畜禽养殖；</w:t>
            </w:r>
          </w:p>
          <w:p w14:paraId="00BAEFE1">
            <w:r>
              <w:rPr>
                <w:rFonts w:hint="eastAsia" w:cs="宋体"/>
                <w:szCs w:val="21"/>
                <w:lang w:bidi="ar"/>
              </w:rPr>
              <w:t>6、</w:t>
            </w:r>
            <w:r>
              <w:rPr>
                <w:rFonts w:hint="eastAsia" w:ascii="宋体" w:hAnsi="宋体" w:cs="宋体"/>
                <w:szCs w:val="21"/>
                <w:lang w:bidi="ar"/>
              </w:rPr>
              <w:t>项目属于河道整治工程，工程结束后及时拆除临时设施并进行复垦</w:t>
            </w:r>
            <w:r>
              <w:rPr>
                <w:rFonts w:hint="eastAsia" w:cs="宋体"/>
                <w:szCs w:val="21"/>
                <w:lang w:bidi="ar"/>
              </w:rPr>
              <w:t>；</w:t>
            </w:r>
          </w:p>
        </w:tc>
        <w:tc>
          <w:tcPr>
            <w:tcW w:w="635" w:type="dxa"/>
            <w:vAlign w:val="center"/>
          </w:tcPr>
          <w:p w14:paraId="1E914B1B">
            <w:pPr>
              <w:jc w:val="center"/>
            </w:pPr>
            <w:r>
              <w:rPr>
                <w:rFonts w:hint="eastAsia"/>
              </w:rPr>
              <w:t>符合</w:t>
            </w:r>
          </w:p>
        </w:tc>
      </w:tr>
      <w:tr w14:paraId="2C51E71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678" w:type="pct"/>
            <w:vMerge w:val="continue"/>
            <w:vAlign w:val="center"/>
          </w:tcPr>
          <w:p w14:paraId="262531C1">
            <w:pPr>
              <w:jc w:val="center"/>
            </w:pPr>
          </w:p>
        </w:tc>
        <w:tc>
          <w:tcPr>
            <w:tcW w:w="245" w:type="pct"/>
            <w:gridSpan w:val="2"/>
            <w:vMerge w:val="continue"/>
            <w:vAlign w:val="center"/>
          </w:tcPr>
          <w:p w14:paraId="7BF289BC">
            <w:pPr>
              <w:jc w:val="center"/>
            </w:pPr>
          </w:p>
        </w:tc>
        <w:tc>
          <w:tcPr>
            <w:tcW w:w="2983" w:type="pct"/>
            <w:gridSpan w:val="3"/>
            <w:vAlign w:val="center"/>
          </w:tcPr>
          <w:p w14:paraId="229ADC39">
            <w:pPr>
              <w:jc w:val="left"/>
              <w:rPr>
                <w:b/>
                <w:bCs/>
              </w:rPr>
            </w:pPr>
            <w:r>
              <w:rPr>
                <w:rFonts w:hint="eastAsia"/>
                <w:b/>
                <w:bCs/>
              </w:rPr>
              <w:t>总体管控要求:</w:t>
            </w:r>
          </w:p>
          <w:p w14:paraId="29FF31FA">
            <w:pPr>
              <w:jc w:val="left"/>
            </w:pPr>
            <w:r>
              <w:rPr>
                <w:rFonts w:hint="eastAsia"/>
              </w:rPr>
              <w:t>1、新建、改建、扩建增加重点重金属污染物排放的建设项目需满足区域重点重金属总量管控要求，对有色冶炼、电镀、采选、化工、铅蓄电池制造业、皮革等涉重企业含重点重金属（汞、镉、铅、砷、铬)执行严格的准入条件，严控环境风险。</w:t>
            </w:r>
          </w:p>
          <w:p w14:paraId="3E2D114C">
            <w:pPr>
              <w:jc w:val="left"/>
            </w:pPr>
            <w:r>
              <w:rPr>
                <w:rFonts w:hint="eastAsia"/>
              </w:rPr>
              <w:t>2.锂电产业中锂离子电池行业引入，参考执行其行业资源环境绩效指标准入要求。</w:t>
            </w:r>
          </w:p>
          <w:p w14:paraId="61FD6367">
            <w:pPr>
              <w:jc w:val="left"/>
            </w:pPr>
            <w:r>
              <w:rPr>
                <w:rFonts w:hint="eastAsia"/>
              </w:rPr>
              <w:t>3、全市大气污染物排放执行《四川省生态环境厅关于执行大气污染物特别排放限值的公告》相关要求。</w:t>
            </w:r>
          </w:p>
          <w:p w14:paraId="50DB5B9B">
            <w:pPr>
              <w:jc w:val="left"/>
            </w:pPr>
            <w:r>
              <w:rPr>
                <w:rFonts w:hint="eastAsia"/>
              </w:rPr>
              <w:t>4、强化沿江化工企业与园区的污染治理与风险管控，细化突发环境事件风险管控措施，严控流域型环境风险；严格落实《生态环境部水利部关于建立跨省流域上下游突发水污染事件联防联控机制的指导意见》。</w:t>
            </w:r>
          </w:p>
          <w:p w14:paraId="0A562673">
            <w:pPr>
              <w:jc w:val="left"/>
            </w:pPr>
            <w:r>
              <w:rPr>
                <w:rFonts w:hint="eastAsia"/>
              </w:rPr>
              <w:t>5、优化中心城区园区布局。</w:t>
            </w:r>
          </w:p>
          <w:p w14:paraId="260DB4CA">
            <w:r>
              <w:rPr>
                <w:rFonts w:hint="eastAsia"/>
              </w:rPr>
              <w:t>6、深化成都平原、川南、川东北地区大气污染联防联控工作机制，加强川渝地区联防联控。强化重污染天气区域应急联动机制，深化区域重污染天气联合应对。</w:t>
            </w:r>
          </w:p>
        </w:tc>
        <w:tc>
          <w:tcPr>
            <w:tcW w:w="2446" w:type="dxa"/>
            <w:vAlign w:val="center"/>
          </w:tcPr>
          <w:p w14:paraId="76DD66E5">
            <w:r>
              <w:rPr>
                <w:rFonts w:hint="eastAsia"/>
              </w:rPr>
              <w:t>1、</w:t>
            </w:r>
            <w:r>
              <w:rPr>
                <w:rFonts w:hint="eastAsia" w:ascii="宋体" w:hAnsi="宋体" w:cs="宋体"/>
                <w:szCs w:val="21"/>
                <w:lang w:bidi="ar"/>
              </w:rPr>
              <w:t>项目属于河道整治工程，</w:t>
            </w:r>
            <w:r>
              <w:rPr>
                <w:rFonts w:hint="eastAsia"/>
              </w:rPr>
              <w:t>不涉及重金属污染物排放，不属于有色冶炼、电镀、采选、化工、铅蓄电池制造业、皮革等企业；</w:t>
            </w:r>
          </w:p>
          <w:p w14:paraId="26C16444">
            <w:r>
              <w:rPr>
                <w:rFonts w:hint="eastAsia"/>
              </w:rPr>
              <w:t>2、不属于锂电池行业；</w:t>
            </w:r>
          </w:p>
        </w:tc>
        <w:tc>
          <w:tcPr>
            <w:tcW w:w="635" w:type="dxa"/>
            <w:vAlign w:val="center"/>
          </w:tcPr>
          <w:p w14:paraId="64304EF5">
            <w:pPr>
              <w:jc w:val="center"/>
            </w:pPr>
            <w:r>
              <w:rPr>
                <w:rFonts w:hint="eastAsia"/>
              </w:rPr>
              <w:t>符合</w:t>
            </w:r>
          </w:p>
        </w:tc>
      </w:tr>
      <w:tr w14:paraId="09262A4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678" w:type="pct"/>
            <w:vMerge w:val="continue"/>
            <w:vAlign w:val="center"/>
          </w:tcPr>
          <w:p w14:paraId="5D1A5DC0">
            <w:pPr>
              <w:jc w:val="center"/>
            </w:pPr>
          </w:p>
        </w:tc>
        <w:tc>
          <w:tcPr>
            <w:tcW w:w="245" w:type="pct"/>
            <w:gridSpan w:val="2"/>
            <w:vAlign w:val="center"/>
          </w:tcPr>
          <w:p w14:paraId="578B8223">
            <w:pPr>
              <w:jc w:val="center"/>
            </w:pPr>
            <w:r>
              <w:rPr>
                <w:rFonts w:hint="eastAsia"/>
              </w:rPr>
              <w:t>空间布局约束</w:t>
            </w:r>
          </w:p>
        </w:tc>
        <w:tc>
          <w:tcPr>
            <w:tcW w:w="2983" w:type="pct"/>
            <w:gridSpan w:val="3"/>
            <w:vAlign w:val="center"/>
          </w:tcPr>
          <w:p w14:paraId="1E0C6E6E">
            <w:pPr>
              <w:pStyle w:val="38"/>
              <w:jc w:val="left"/>
              <w:rPr>
                <w:rFonts w:hint="default"/>
              </w:rPr>
            </w:pPr>
            <w:r>
              <w:t>1.生态保护红线：</w:t>
            </w:r>
          </w:p>
          <w:p w14:paraId="5DF53326">
            <w:pPr>
              <w:pStyle w:val="38"/>
              <w:jc w:val="left"/>
              <w:rPr>
                <w:rFonts w:hint="default"/>
              </w:rPr>
            </w:pPr>
            <w:r>
              <w:t>生态保护红线内自然保护地核心保护区外，禁止开发性、生产性建设活动，在符合法律法规的前提下，仅允许《关于加强生态保护红线管理的通知（试行）》（自然资发[2022]142号）中规定的十类对生态功能不造成破坏的有限人为活动。生态保护红线内自然保护区、风景名胜区、饮用水水源保护区等区域，依照法律法规执行。</w:t>
            </w:r>
          </w:p>
          <w:p w14:paraId="22B813B2">
            <w:pPr>
              <w:pStyle w:val="38"/>
              <w:jc w:val="left"/>
              <w:rPr>
                <w:rFonts w:hint="default"/>
              </w:rPr>
            </w:pPr>
            <w:r>
              <w:t>2.自然保护区：</w:t>
            </w:r>
          </w:p>
          <w:p w14:paraId="0AD853CE">
            <w:pPr>
              <w:pStyle w:val="38"/>
              <w:jc w:val="left"/>
              <w:rPr>
                <w:rFonts w:hint="default"/>
              </w:rPr>
            </w:pPr>
            <w:r>
              <w:t>（1）禁止在自然保护区的缓冲区开展旅游和生产经营活动。</w:t>
            </w:r>
          </w:p>
          <w:p w14:paraId="2813CBE5">
            <w:pPr>
              <w:pStyle w:val="38"/>
              <w:jc w:val="left"/>
              <w:rPr>
                <w:rFonts w:hint="default"/>
              </w:rPr>
            </w:pPr>
            <w:r>
              <w:t>（2）严禁开设与自然保护区保护方向不一致的参观、旅游项目。</w:t>
            </w:r>
          </w:p>
          <w:p w14:paraId="1A81E3AA">
            <w:pPr>
              <w:pStyle w:val="38"/>
              <w:jc w:val="left"/>
              <w:rPr>
                <w:rFonts w:hint="default"/>
              </w:rPr>
            </w:pPr>
            <w:r>
              <w:t>（3）禁止在自然保护区内进行砍伐、放牧、狩猎、捕捞、采药、开垦、烧荒、开矿、采石、挖沙等活动（法律、行政法规另有规定除外）。</w:t>
            </w:r>
          </w:p>
          <w:p w14:paraId="0407B193">
            <w:pPr>
              <w:pStyle w:val="38"/>
              <w:jc w:val="left"/>
              <w:rPr>
                <w:rFonts w:hint="default"/>
              </w:rPr>
            </w:pPr>
            <w:r>
              <w:t>（4）在自然保护区的核心区和缓冲区内，禁止建设任何生产设施。在自然保护区的实验区内，不得建设污染环境、破坏资源或者景观的生产设施；建设其他项目，其污染物排放不得超过国家和地方规定的污染物排放标准。</w:t>
            </w:r>
          </w:p>
          <w:p w14:paraId="36340C73">
            <w:pPr>
              <w:pStyle w:val="38"/>
              <w:jc w:val="left"/>
              <w:rPr>
                <w:rFonts w:hint="default"/>
              </w:rPr>
            </w:pPr>
            <w:r>
              <w:t>（5）自然保护区的内部未分区的，依照条例有关核心区和缓冲区的规定管理。</w:t>
            </w:r>
          </w:p>
          <w:p w14:paraId="05CE6C86">
            <w:pPr>
              <w:pStyle w:val="38"/>
              <w:jc w:val="left"/>
              <w:rPr>
                <w:rFonts w:hint="default"/>
              </w:rPr>
            </w:pPr>
            <w:r>
              <w:t>3.风景名胜区：严格执行《风景名胜区条例（2016修订）</w:t>
            </w:r>
            <w:r>
              <w:rPr>
                <w:rFonts w:hint="eastAsia"/>
                <w:lang w:eastAsia="zh-CN"/>
              </w:rPr>
              <w:t>》《</w:t>
            </w:r>
            <w:r>
              <w:t>四川省风景名胜区建设管理办法（2011年修订）</w:t>
            </w:r>
            <w:r>
              <w:rPr>
                <w:rFonts w:hint="eastAsia"/>
                <w:lang w:eastAsia="zh-CN"/>
              </w:rPr>
              <w:t>》《</w:t>
            </w:r>
            <w:r>
              <w:t>四川省风景名胜区管理条例》等相关要求，主要要求如下：</w:t>
            </w:r>
          </w:p>
          <w:p w14:paraId="5B2614DD">
            <w:pPr>
              <w:pStyle w:val="38"/>
              <w:jc w:val="left"/>
              <w:rPr>
                <w:rFonts w:hint="default"/>
              </w:rPr>
            </w:pPr>
            <w:r>
              <w:t>（1）禁止开山、采石、开矿、开荒、修坟立碑等破坏景观、植被和地形地貌的活动。</w:t>
            </w:r>
          </w:p>
          <w:p w14:paraId="5EFB475D">
            <w:pPr>
              <w:pStyle w:val="38"/>
              <w:jc w:val="left"/>
              <w:rPr>
                <w:rFonts w:hint="default"/>
              </w:rPr>
            </w:pPr>
            <w:r>
              <w:t>(2)禁止修建储存爆炸性、易燃性、放射性、毒害性、腐蚀性物品的设施。</w:t>
            </w:r>
          </w:p>
          <w:p w14:paraId="68ED95E5">
            <w:pPr>
              <w:pStyle w:val="38"/>
              <w:jc w:val="left"/>
              <w:rPr>
                <w:rFonts w:hint="default"/>
              </w:rPr>
            </w:pPr>
            <w:r>
              <w:t>(3)禁止在景物或者设施上刻划、涂污。</w:t>
            </w:r>
          </w:p>
          <w:p w14:paraId="7D9C6D98">
            <w:pPr>
              <w:pStyle w:val="38"/>
              <w:jc w:val="left"/>
              <w:rPr>
                <w:rFonts w:hint="default"/>
              </w:rPr>
            </w:pPr>
            <w:r>
              <w:t>(4)禁止乱扔垃圾。</w:t>
            </w:r>
          </w:p>
          <w:p w14:paraId="752566A3">
            <w:pPr>
              <w:pStyle w:val="38"/>
              <w:jc w:val="left"/>
              <w:rPr>
                <w:rFonts w:hint="default"/>
              </w:rPr>
            </w:pPr>
            <w:r>
              <w:t>(5)禁止违反风景名胜区规划，在风景名胜区内设立各类开发区和在核心景区内建设宾馆、招待所、培训中心、疗养院以及与风景名胜资源保护无关的其他建筑物。</w:t>
            </w:r>
          </w:p>
          <w:p w14:paraId="36DF7653">
            <w:pPr>
              <w:pStyle w:val="38"/>
              <w:jc w:val="left"/>
              <w:rPr>
                <w:rFonts w:hint="default"/>
              </w:rPr>
            </w:pPr>
            <w:r>
              <w:t>（6）在风景名胜区及其外围保护地带内，不得设立开发区、度假区，不得建设破坏景观、污染环境的工矿企业和其他项目、设施。</w:t>
            </w:r>
          </w:p>
          <w:p w14:paraId="35CB126A">
            <w:pPr>
              <w:pStyle w:val="38"/>
              <w:jc w:val="left"/>
              <w:rPr>
                <w:rFonts w:hint="default"/>
              </w:rPr>
            </w:pPr>
            <w:r>
              <w:t>（7）在游人集中的游览区和自然环境保留地内，不得建设旅馆、招待所、休疗养机构、生活区以及其他影响观瞻或污染环境的工程设施；已经建设的，应当按照风景名胜区规划，逐步迁出。</w:t>
            </w:r>
          </w:p>
          <w:p w14:paraId="4A8E3231">
            <w:pPr>
              <w:pStyle w:val="38"/>
              <w:jc w:val="left"/>
              <w:rPr>
                <w:rFonts w:hint="default"/>
              </w:rPr>
            </w:pPr>
            <w:r>
              <w:t>（8）禁止任何单位和个人在风景名胜区内从事开山采石、围湖造田、开荒等改变地貌和破坏环境、景观的活动。</w:t>
            </w:r>
          </w:p>
          <w:p w14:paraId="4C2858CB">
            <w:pPr>
              <w:pStyle w:val="38"/>
              <w:jc w:val="left"/>
              <w:rPr>
                <w:rFonts w:hint="default"/>
              </w:rPr>
            </w:pPr>
            <w:r>
              <w:t>4.世界自然遗产地：禁止在世界遗产保护范围内实施以下行为：建设污染环境、破坏生态和造成水土流失的设施；在世界遗产核心保护区、保护区范围内进行开山、采石、垦荒、开矿、取土等破坏地表、地貌的活动；在世界遗产核心保护区、保护区范围内修建储存爆炸性、易燃性、放射性、毒害性、腐蚀性等物品设施；在世界遗产核心保护区、保护区设立各类开发区、度假区；在世界遗产核心保护区建设宾馆、招待所、疗养院及各类培训中心等建筑物、构筑物和其他设施；在世界遗产保护区、缓冲区未经省人民政府世界遗产行政主管部门审核进行建设；其他损害或者破坏世界遗产真实性和完整性的行为。</w:t>
            </w:r>
          </w:p>
          <w:p w14:paraId="42E3392A">
            <w:pPr>
              <w:pStyle w:val="38"/>
              <w:jc w:val="left"/>
              <w:rPr>
                <w:rFonts w:hint="default"/>
              </w:rPr>
            </w:pPr>
            <w:r>
              <w:t>5.饮用水水源保护区：</w:t>
            </w:r>
          </w:p>
          <w:p w14:paraId="2214DCCC">
            <w:pPr>
              <w:pStyle w:val="38"/>
              <w:jc w:val="left"/>
              <w:rPr>
                <w:rFonts w:hint="default"/>
              </w:rPr>
            </w:pPr>
            <w:r>
              <w:t>（1）在地下水饮用水水源保护区内，禁止设置排污口。（2）地下水饮用水水源一级保护区内：禁止新建、改建、扩建与供水设施和保护水源无关的建设项目；已建成的与供水设施和保护水源无关的建设项目，由县级以上人民政府责令拆除或者关闭。</w:t>
            </w:r>
          </w:p>
          <w:p w14:paraId="15673E1A">
            <w:pPr>
              <w:pStyle w:val="38"/>
              <w:jc w:val="left"/>
              <w:rPr>
                <w:rFonts w:hint="default"/>
              </w:rPr>
            </w:pPr>
            <w:r>
              <w:t>（3）地下水饮用水水源二级保护区内：禁止新建、改建、扩建排放污染物的建设项目；已建成的排放污染物的建设项目，由县级以上人民政府责令拆除或者关闭。</w:t>
            </w:r>
          </w:p>
          <w:p w14:paraId="34C62391">
            <w:pPr>
              <w:pStyle w:val="38"/>
              <w:jc w:val="left"/>
              <w:rPr>
                <w:rFonts w:hint="default"/>
              </w:rPr>
            </w:pPr>
            <w:r>
              <w:t>（4）地下水饮用水水源准保护区内：禁止新建、扩建对水体污染严重的建设项目；改建建设项目，不得增加排污量；</w:t>
            </w:r>
          </w:p>
          <w:p w14:paraId="304F4D64">
            <w:pPr>
              <w:pStyle w:val="38"/>
              <w:jc w:val="left"/>
              <w:rPr>
                <w:rFonts w:hint="default"/>
              </w:rPr>
            </w:pPr>
            <w:r>
              <w:t>6.水产种质资源保护区：禁止在水产种质资源保护区内从事围河（湖）造田、造地工程。禁止在水产种质资源保护区内新建排污口。在水产种质资源保护区附近新建、改建、扩建排污口，应当保证保护区水体不受污染。四川省境内水产种质资源保护区实行全年禁渔。禁止在水产种质资源保护区内从事捕捞、垂钓、挖砂采石以及其他可能对保护区内生物资源和生态环境造成损害的活动。</w:t>
            </w:r>
          </w:p>
          <w:p w14:paraId="6D58B564">
            <w:pPr>
              <w:pStyle w:val="38"/>
              <w:jc w:val="left"/>
              <w:rPr>
                <w:rFonts w:hint="default"/>
              </w:rPr>
            </w:pPr>
            <w:r>
              <w:t>7.永久基本农田：</w:t>
            </w:r>
          </w:p>
          <w:p w14:paraId="7F33A2C7">
            <w:pPr>
              <w:pStyle w:val="38"/>
              <w:jc w:val="left"/>
              <w:rPr>
                <w:rFonts w:hint="default"/>
              </w:rPr>
            </w:pPr>
            <w:r>
              <w:t>（1）永久基本农田，实行严格保护，除法律规定的重点建设项目选址确实无法避让外，其他任何建设不得占用。</w:t>
            </w:r>
          </w:p>
          <w:p w14:paraId="7AF8AA65">
            <w:pPr>
              <w:pStyle w:val="38"/>
              <w:jc w:val="left"/>
              <w:rPr>
                <w:rFonts w:hint="default"/>
              </w:rPr>
            </w:pPr>
            <w:r>
              <w:t>（2）禁止在基本农田保护区建窑、建房、建坟、挖砂、采石、采矿、取土、堆放固体废弃物或者进行其他破坏基本农田的活动。禁止占用基本农田发展林果业和挖塘养鱼。</w:t>
            </w:r>
          </w:p>
          <w:p w14:paraId="30ADD982">
            <w:pPr>
              <w:pStyle w:val="38"/>
              <w:jc w:val="left"/>
              <w:rPr>
                <w:rFonts w:hint="default"/>
              </w:rPr>
            </w:pPr>
            <w:r>
              <w:t>8.水源涵养重要区：</w:t>
            </w:r>
          </w:p>
          <w:p w14:paraId="187E0A99">
            <w:pPr>
              <w:pStyle w:val="38"/>
              <w:jc w:val="left"/>
              <w:rPr>
                <w:rFonts w:hint="default"/>
              </w:rPr>
            </w:pPr>
            <w:r>
              <w:t>（1）禁止导致水体污染的产业发展。</w:t>
            </w:r>
          </w:p>
          <w:p w14:paraId="3669562A">
            <w:pPr>
              <w:pStyle w:val="38"/>
              <w:jc w:val="left"/>
              <w:rPr>
                <w:rFonts w:hint="default"/>
              </w:rPr>
            </w:pPr>
            <w:r>
              <w:t>（2）禁止各种损害生态系统水源涵养功能的经济社会活动和生产方式，如无序采矿、毁林开荒、湿地和草地开垦、过度放牧等。</w:t>
            </w:r>
          </w:p>
          <w:p w14:paraId="021B6726">
            <w:pPr>
              <w:pStyle w:val="38"/>
              <w:jc w:val="left"/>
              <w:rPr>
                <w:rFonts w:hint="default"/>
              </w:rPr>
            </w:pPr>
            <w:r>
              <w:t>（3）禁止高水资源消耗产业在水源涵养生态功能区布局。</w:t>
            </w:r>
          </w:p>
          <w:p w14:paraId="7050C0C5">
            <w:pPr>
              <w:pStyle w:val="38"/>
              <w:jc w:val="left"/>
              <w:rPr>
                <w:rFonts w:hint="default"/>
              </w:rPr>
            </w:pPr>
            <w:r>
              <w:t>9.禁止在生态保护红线区域、永久基本农田集中区域和其他需要特别保护的区域内选址建设尾矿库、冶炼渣库</w:t>
            </w:r>
            <w:r>
              <w:rPr>
                <w:rFonts w:hint="eastAsia"/>
                <w:lang w:val="en-US" w:eastAsia="zh-CN"/>
              </w:rPr>
              <w:t>和</w:t>
            </w:r>
            <w:r>
              <w:t>磷石膏库。</w:t>
            </w:r>
          </w:p>
          <w:p w14:paraId="65002699">
            <w:pPr>
              <w:pStyle w:val="38"/>
              <w:jc w:val="left"/>
              <w:rPr>
                <w:rFonts w:hint="default"/>
              </w:rPr>
            </w:pPr>
            <w:r>
              <w:t>以上自然保护地为截至2023年6月的自然保护地整合优化预案数据，最终名称、范围等以国家正式批复为准。</w:t>
            </w:r>
          </w:p>
          <w:p w14:paraId="51D5B50A">
            <w:pPr>
              <w:pStyle w:val="38"/>
              <w:jc w:val="left"/>
              <w:rPr>
                <w:rFonts w:hint="default"/>
              </w:rPr>
            </w:pPr>
            <w:r>
              <w:t>1.自然保护区：</w:t>
            </w:r>
          </w:p>
          <w:p w14:paraId="0E8F2B56">
            <w:pPr>
              <w:pStyle w:val="38"/>
              <w:jc w:val="left"/>
              <w:rPr>
                <w:rFonts w:hint="default"/>
              </w:rPr>
            </w:pPr>
            <w:r>
              <w:t>（1）因科学研究的需要，必须进入核心区从事科学研究观测、调查活动的，应当事先向自然保护区管理机构提交申请和活动计划，并经省级以上人民政府有关自然保护区行政主管部门批准；其中，进入国家级自然保护区核心区的，必须经国务院有关自然保护区行政主管部门批准。</w:t>
            </w:r>
          </w:p>
          <w:p w14:paraId="257E2888">
            <w:pPr>
              <w:pStyle w:val="38"/>
              <w:jc w:val="left"/>
              <w:rPr>
                <w:rFonts w:hint="default"/>
              </w:rPr>
            </w:pPr>
            <w:r>
              <w:t>（2）因教学科研的目的，需要进入自然保护区的缓冲区从事非破坏性的科学研究、教学实习和标本采集活动的，应当事先向自然保护区管理机构提交申请和活动计划，经自然保护区管理机构批准。</w:t>
            </w:r>
          </w:p>
          <w:p w14:paraId="73E5BC46">
            <w:pPr>
              <w:pStyle w:val="38"/>
              <w:jc w:val="left"/>
              <w:rPr>
                <w:rFonts w:hint="default"/>
              </w:rPr>
            </w:pPr>
            <w:r>
              <w:t>（3）在自然保护区的实验区内开展参观、旅游活动的，由自然保护区管理机构编制方案，方案应当符合自然保护区管理目标。</w:t>
            </w:r>
          </w:p>
          <w:p w14:paraId="4F74C596">
            <w:pPr>
              <w:pStyle w:val="38"/>
              <w:jc w:val="left"/>
              <w:rPr>
                <w:rFonts w:hint="default"/>
              </w:rPr>
            </w:pPr>
            <w:r>
              <w:t>（4）在自然保护区的实验区内建设其他项目，其污染物排放不得超过国家和地方规定的污染物排放标准。</w:t>
            </w:r>
          </w:p>
          <w:p w14:paraId="4DCCE495">
            <w:pPr>
              <w:pStyle w:val="38"/>
              <w:jc w:val="left"/>
              <w:rPr>
                <w:rFonts w:hint="default"/>
              </w:rPr>
            </w:pPr>
            <w:r>
              <w:t>2.湿地公园：</w:t>
            </w:r>
          </w:p>
          <w:p w14:paraId="486A00D8">
            <w:pPr>
              <w:pStyle w:val="38"/>
              <w:jc w:val="left"/>
              <w:rPr>
                <w:rFonts w:hint="default"/>
              </w:rPr>
            </w:pPr>
            <w:r>
              <w:t>（1）在湿地范围内从事旅游、种植、畜牧、水产养殖、航运等利用活动，应当避免改变湿地的自然状况，并采取措施减轻对湿地生态功能的不利影响。</w:t>
            </w:r>
          </w:p>
          <w:p w14:paraId="25AF3AB5">
            <w:pPr>
              <w:pStyle w:val="38"/>
              <w:jc w:val="left"/>
              <w:rPr>
                <w:rFonts w:hint="default"/>
              </w:rPr>
            </w:pPr>
            <w:r>
              <w:t>（2）地方各级人民政府应当严格控制河流源头和蓄滞洪区、水土流失严重区等区域的湿地开发利用活动，减轻对湿地及其生物多样性的不利影响。</w:t>
            </w:r>
          </w:p>
          <w:p w14:paraId="4E6BFC3B">
            <w:pPr>
              <w:pStyle w:val="38"/>
              <w:jc w:val="left"/>
              <w:rPr>
                <w:rFonts w:hint="default"/>
              </w:rPr>
            </w:pPr>
            <w:r>
              <w:t>（3）地方各级人民政府对省级重要湿地和一般湿地利用活动进行分类指导，鼓励单位和个人开展符合湿地保护要求的生态旅游、生态农业、生态教育、自然体验等活动，适度控制种植养殖等湿地利用规模。</w:t>
            </w:r>
          </w:p>
          <w:p w14:paraId="1FB85268">
            <w:pPr>
              <w:pStyle w:val="38"/>
              <w:jc w:val="left"/>
              <w:rPr>
                <w:rFonts w:hint="default"/>
              </w:rPr>
            </w:pPr>
            <w:r>
              <w:t>（4）国家级湿地自然公园按照一般控制区管理。</w:t>
            </w:r>
          </w:p>
          <w:p w14:paraId="7D3E13A1">
            <w:pPr>
              <w:pStyle w:val="38"/>
              <w:jc w:val="left"/>
              <w:rPr>
                <w:rFonts w:hint="default"/>
              </w:rPr>
            </w:pPr>
            <w:r>
              <w:t>（5）国家级湿地自然公园范围内除国家重大项目外，仅允许对生态功能不造成破坏的有限人为活动：</w:t>
            </w:r>
          </w:p>
          <w:p w14:paraId="5183FC00">
            <w:pPr>
              <w:pStyle w:val="38"/>
              <w:jc w:val="left"/>
              <w:rPr>
                <w:rFonts w:hint="default"/>
              </w:rPr>
            </w:pPr>
            <w:r>
              <w:t>①自然公园内居民和其他合法权益主体依法依规开展的生产生活及设施建设。</w:t>
            </w:r>
          </w:p>
          <w:p w14:paraId="4F677739">
            <w:pPr>
              <w:pStyle w:val="38"/>
              <w:jc w:val="left"/>
              <w:rPr>
                <w:rFonts w:hint="default"/>
              </w:rPr>
            </w:pPr>
            <w:r>
              <w:t>②符合自然公园保护管理要求的文化、体育活动和必要的配套设施建设。</w:t>
            </w:r>
          </w:p>
          <w:p w14:paraId="4F559CC6">
            <w:pPr>
              <w:pStyle w:val="38"/>
              <w:jc w:val="left"/>
              <w:rPr>
                <w:rFonts w:hint="default"/>
              </w:rPr>
            </w:pPr>
            <w:r>
              <w:t>③符合生态保护红线管控要求的其他活动和设施建设。</w:t>
            </w:r>
          </w:p>
          <w:p w14:paraId="226C3452">
            <w:pPr>
              <w:pStyle w:val="38"/>
              <w:jc w:val="left"/>
              <w:rPr>
                <w:rFonts w:hint="default"/>
              </w:rPr>
            </w:pPr>
            <w:r>
              <w:t>④法律法规和国家政策允许在自然公园内开展的其他活动。</w:t>
            </w:r>
          </w:p>
          <w:p w14:paraId="2C1FDFD8">
            <w:pPr>
              <w:pStyle w:val="38"/>
              <w:jc w:val="left"/>
              <w:rPr>
                <w:rFonts w:hint="default"/>
              </w:rPr>
            </w:pPr>
            <w:r>
              <w:t>3.永久基本农田：</w:t>
            </w:r>
          </w:p>
          <w:p w14:paraId="5DDB21D5">
            <w:pPr>
              <w:pStyle w:val="38"/>
              <w:jc w:val="left"/>
              <w:rPr>
                <w:rFonts w:hint="default"/>
              </w:rPr>
            </w:pPr>
            <w:r>
              <w:t>（1）一般建设项目不得占用永久基本农田；重大建设项目选址确实难以避让永久基本农田的，在可行性研究阶段，省级自然资源主管部门负责组织对占用的必要性、合理性和补划方案的可行性进行严格论证，报自然资源部用地预审；农用地转用和土地征收依法报批。</w:t>
            </w:r>
          </w:p>
          <w:p w14:paraId="3AADC358">
            <w:pPr>
              <w:pStyle w:val="38"/>
              <w:jc w:val="left"/>
              <w:rPr>
                <w:rFonts w:hint="default"/>
              </w:rPr>
            </w:pPr>
            <w:r>
              <w:t>（2）单独选址的能源，交通、水利等基础设施项目，因选址特殊无法避让基本农田的，在用地预审和报批前，必须对选址方案、基本农田规划调整及补划方案等进行充分论证和听证，报国务院批准。经批准占用基本农田的，必须及时补划，征地补偿按法定的最高标准执行，耕地开垦费按当地最高标准缴纳。</w:t>
            </w:r>
          </w:p>
          <w:p w14:paraId="372BCE14">
            <w:pPr>
              <w:pStyle w:val="38"/>
              <w:jc w:val="left"/>
              <w:rPr>
                <w:rFonts w:hint="default"/>
              </w:rPr>
            </w:pPr>
            <w:r>
              <w:t>（3）已经划定的永久基本农田特别是城市周边永久基本农田不得随意占用和调整。重大建设项目、生态建设、灾毁等经国务院批准占用或依法认定减少永久基本农田的，按照中央4号文件要求，在原县域范围内补划永久基本农田。坚持“保护优先、布局优化、优进劣出、提升质量”的工作原则，坚持“制定方案、调查摸底、核实举证、论证审核、复核质检”的工作程序，按照永久基本农田划定有关要求，补划数量和质量相当的永久基本农田。</w:t>
            </w:r>
          </w:p>
          <w:p w14:paraId="268D9734">
            <w:pPr>
              <w:pStyle w:val="38"/>
              <w:jc w:val="left"/>
              <w:rPr>
                <w:rFonts w:hint="default"/>
              </w:rPr>
            </w:pPr>
            <w:r>
              <w:t>4.水源涵养重要区：</w:t>
            </w:r>
          </w:p>
          <w:p w14:paraId="20EE79BD">
            <w:pPr>
              <w:pStyle w:val="38"/>
              <w:jc w:val="left"/>
              <w:rPr>
                <w:rFonts w:hint="default"/>
              </w:rPr>
            </w:pPr>
            <w:r>
              <w:t>（1）坚持自然恢复为主，严格限制在水源涵养区大规模人工造林；</w:t>
            </w:r>
          </w:p>
          <w:p w14:paraId="77C104F3">
            <w:pPr>
              <w:pStyle w:val="38"/>
              <w:jc w:val="left"/>
              <w:rPr>
                <w:rFonts w:hint="default"/>
              </w:rPr>
            </w:pPr>
            <w:r>
              <w:t>（2）严格控制载畜量，实行以草定蓄。</w:t>
            </w:r>
          </w:p>
          <w:p w14:paraId="42E7CE72">
            <w:pPr>
              <w:pStyle w:val="38"/>
              <w:jc w:val="left"/>
              <w:rPr>
                <w:rFonts w:hint="default"/>
              </w:rPr>
            </w:pPr>
            <w:r>
              <w:t>5.严格限制在长江流域生态保护红线、自然保护地、水生生物重要栖息地水域实施航道整治工程；确需整治的，应当经科学论证，并依法办理相关手续。以上自然保护地为截至2023年6月的自然保护地整合优化预案数据，最终名称、范围等以国家正式批复为准。已有矿业权与生态保护红线、自然保护地等禁止或限制开发区域重叠的，要按相关要求主动退出或避让。对不符合要求和规划、造成污染或破坏的设施，应限期治理或退出。以上自然保护地为截至2023年6月的自然保护地整合优化预案数据，最终名称、范围等以国家正式批复为准。允许开发建设活动的要求：</w:t>
            </w:r>
          </w:p>
          <w:p w14:paraId="51E7C21B">
            <w:pPr>
              <w:pStyle w:val="38"/>
              <w:jc w:val="left"/>
              <w:rPr>
                <w:rFonts w:hint="default"/>
              </w:rPr>
            </w:pPr>
            <w:r>
              <w:t>1.自然保护区：自然保护区实验区可以进入从事科学试验、教学实习、参观考察、旅游以及驯化、繁殖珍稀、濒危野生动植物等活动。</w:t>
            </w:r>
          </w:p>
          <w:p w14:paraId="430E65B8">
            <w:pPr>
              <w:jc w:val="center"/>
            </w:pPr>
            <w:r>
              <w:rPr>
                <w:rFonts w:hint="eastAsia"/>
              </w:rPr>
              <w:t>2.水产种质资源保护区：在水产种质资源保护区内从事修建水利工程、疏浚航道、建闸筑坝、勘探和开采矿产资源、港口建设等工程建设的，或者在水产种质资源保护区外从事可能损害保护区功能的工程建设活动的，应当按照国家有关规定编制建设项目对水产种质资源保护区的影响专题论证报告，并将其纳入环境影响评价报告书。以上自然保护地为截至2023年6月的自然保护地整合优化预案数据，最终名称、范围等以国家正式批复为准。</w:t>
            </w:r>
          </w:p>
        </w:tc>
        <w:tc>
          <w:tcPr>
            <w:tcW w:w="2446" w:type="dxa"/>
            <w:vAlign w:val="center"/>
          </w:tcPr>
          <w:p w14:paraId="1A610A81">
            <w:pPr>
              <w:jc w:val="center"/>
            </w:pPr>
            <w:r>
              <w:rPr>
                <w:rFonts w:hint="eastAsia"/>
              </w:rPr>
              <w:t>本工程位于大英县金元镇场镇内，永久用地和临时用地均不涉及文物保护区、自然保护区、风景名胜区、森林公园、饮用水源保护区、生态保护红线等环境敏感区。不涉及占用基本农田、水源涵养地、湿地公园等。</w:t>
            </w:r>
          </w:p>
        </w:tc>
        <w:tc>
          <w:tcPr>
            <w:tcW w:w="635" w:type="dxa"/>
            <w:vAlign w:val="center"/>
          </w:tcPr>
          <w:p w14:paraId="17DCB55B">
            <w:pPr>
              <w:jc w:val="center"/>
            </w:pPr>
            <w:r>
              <w:rPr>
                <w:rFonts w:hint="eastAsia"/>
              </w:rPr>
              <w:t>符合</w:t>
            </w:r>
          </w:p>
        </w:tc>
      </w:tr>
      <w:tr w14:paraId="1C1B4B3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678" w:type="pct"/>
            <w:vMerge w:val="continue"/>
            <w:vAlign w:val="center"/>
          </w:tcPr>
          <w:p w14:paraId="1830541D">
            <w:pPr>
              <w:jc w:val="center"/>
            </w:pPr>
          </w:p>
        </w:tc>
        <w:tc>
          <w:tcPr>
            <w:tcW w:w="245" w:type="pct"/>
            <w:gridSpan w:val="2"/>
            <w:vAlign w:val="center"/>
          </w:tcPr>
          <w:p w14:paraId="1117951C">
            <w:pPr>
              <w:jc w:val="center"/>
            </w:pPr>
            <w:r>
              <w:rPr>
                <w:rFonts w:hint="eastAsia"/>
              </w:rPr>
              <w:t>污染物排放管控</w:t>
            </w:r>
          </w:p>
        </w:tc>
        <w:tc>
          <w:tcPr>
            <w:tcW w:w="2983" w:type="pct"/>
            <w:gridSpan w:val="3"/>
            <w:vAlign w:val="center"/>
          </w:tcPr>
          <w:p w14:paraId="50C00BF8">
            <w:pPr>
              <w:jc w:val="left"/>
            </w:pPr>
            <w:r>
              <w:rPr>
                <w:rFonts w:hint="eastAsia"/>
              </w:rPr>
              <w:t>加强成都平原经济区信息共享和联动合作，协力推进产业和能源结构优化调整，加强大气污染源头防控，加强潼遂合作。</w:t>
            </w:r>
          </w:p>
        </w:tc>
        <w:tc>
          <w:tcPr>
            <w:tcW w:w="2446" w:type="dxa"/>
            <w:vAlign w:val="center"/>
          </w:tcPr>
          <w:p w14:paraId="7297F6CB">
            <w:pPr>
              <w:jc w:val="center"/>
            </w:pPr>
            <w:r>
              <w:rPr>
                <w:rFonts w:hint="eastAsia"/>
              </w:rPr>
              <w:t>/</w:t>
            </w:r>
          </w:p>
        </w:tc>
        <w:tc>
          <w:tcPr>
            <w:tcW w:w="635" w:type="dxa"/>
            <w:vAlign w:val="center"/>
          </w:tcPr>
          <w:p w14:paraId="4AE3B172">
            <w:pPr>
              <w:jc w:val="center"/>
            </w:pPr>
            <w:r>
              <w:rPr>
                <w:rFonts w:hint="eastAsia"/>
              </w:rPr>
              <w:t>/</w:t>
            </w:r>
          </w:p>
        </w:tc>
      </w:tr>
      <w:tr w14:paraId="2E38D8B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678" w:type="pct"/>
            <w:vMerge w:val="continue"/>
            <w:vAlign w:val="center"/>
          </w:tcPr>
          <w:p w14:paraId="5E22416B">
            <w:pPr>
              <w:jc w:val="center"/>
            </w:pPr>
          </w:p>
        </w:tc>
        <w:tc>
          <w:tcPr>
            <w:tcW w:w="245" w:type="pct"/>
            <w:gridSpan w:val="2"/>
            <w:vAlign w:val="center"/>
          </w:tcPr>
          <w:p w14:paraId="6334930A">
            <w:pPr>
              <w:jc w:val="center"/>
            </w:pPr>
            <w:r>
              <w:rPr>
                <w:rFonts w:hint="eastAsia"/>
              </w:rPr>
              <w:t>环境风险防控</w:t>
            </w:r>
          </w:p>
        </w:tc>
        <w:tc>
          <w:tcPr>
            <w:tcW w:w="2983" w:type="pct"/>
            <w:gridSpan w:val="3"/>
            <w:vAlign w:val="center"/>
          </w:tcPr>
          <w:p w14:paraId="72F9D96C">
            <w:r>
              <w:rPr>
                <w:rFonts w:hint="eastAsia"/>
              </w:rPr>
              <w:t>全面建设节水型社会，达到合理高效用水。</w:t>
            </w:r>
          </w:p>
          <w:p w14:paraId="7616E88F">
            <w:r>
              <w:rPr>
                <w:rFonts w:hint="eastAsia"/>
              </w:rPr>
              <w:t>1.禁燃区内禁止燃烧以下高污染燃料：</w:t>
            </w:r>
          </w:p>
          <w:p w14:paraId="67E4BE8B">
            <w:r>
              <w:rPr>
                <w:rFonts w:hint="eastAsia"/>
              </w:rPr>
              <w:t>（1）煤炭及其制品（包括原煤、散煤、煤矸石、煤泥、煤 粉、水浆煤、型煤、焦炭、兰炭、油类等常规燃料）。</w:t>
            </w:r>
          </w:p>
          <w:p w14:paraId="4D6EB96E">
            <w:r>
              <w:rPr>
                <w:rFonts w:hint="eastAsia"/>
              </w:rPr>
              <w:t>（2）石油焦、油页岩、原油、重油、渣油、煤焦油。</w:t>
            </w:r>
          </w:p>
          <w:p w14:paraId="2BCC901F">
            <w:r>
              <w:rPr>
                <w:rFonts w:hint="eastAsia"/>
              </w:rPr>
              <w:t>（3）非专用锅炉或未配置高效除尘设施的专用锅炉燃用的 生物质成型燃料。</w:t>
            </w:r>
          </w:p>
          <w:p w14:paraId="61C1C2F6">
            <w:r>
              <w:rPr>
                <w:rFonts w:hint="eastAsia"/>
              </w:rPr>
              <w:t>2.禁燃区内禁止新建、扩建燃用高污染燃料的锅炉、炉窑、炉灶等燃烧设施（集中供热、电厂锅炉除外）。</w:t>
            </w:r>
          </w:p>
          <w:p w14:paraId="61613F11">
            <w:r>
              <w:rPr>
                <w:rFonts w:hint="eastAsia"/>
              </w:rPr>
              <w:t>3.自2020年1月1日起，禁燃区内禁止销售高污染燃料。</w:t>
            </w:r>
          </w:p>
          <w:p w14:paraId="6ABD5800">
            <w:pPr>
              <w:jc w:val="left"/>
            </w:pPr>
            <w:r>
              <w:rPr>
                <w:rFonts w:hint="eastAsia"/>
              </w:rPr>
              <w:t>4.加强对集中供热、电厂锅炉、10蒸吨时以上的在用燃煤锅炉以及改用清洁能源前的在用锅炉等燃烧设施的监管，确保达标排放。△</w:t>
            </w:r>
          </w:p>
        </w:tc>
        <w:tc>
          <w:tcPr>
            <w:tcW w:w="2446" w:type="dxa"/>
            <w:vAlign w:val="center"/>
          </w:tcPr>
          <w:p w14:paraId="7CE5D642">
            <w:pPr>
              <w:pStyle w:val="38"/>
              <w:numPr>
                <w:ilvl w:val="0"/>
                <w:numId w:val="20"/>
              </w:numPr>
              <w:jc w:val="left"/>
              <w:rPr>
                <w:rFonts w:hint="default"/>
              </w:rPr>
            </w:pPr>
            <w:r>
              <w:t>项目施工设备采用柴油为燃料，不属于高污染燃料；</w:t>
            </w:r>
          </w:p>
          <w:p w14:paraId="18598F26">
            <w:pPr>
              <w:pStyle w:val="38"/>
              <w:numPr>
                <w:ilvl w:val="0"/>
                <w:numId w:val="20"/>
              </w:numPr>
              <w:jc w:val="left"/>
              <w:rPr>
                <w:rFonts w:hint="default"/>
              </w:rPr>
            </w:pPr>
            <w:r>
              <w:t>项目属于河道整治工程，不涉及锅炉等燃烧设施使用；</w:t>
            </w:r>
          </w:p>
          <w:p w14:paraId="3ED5714F">
            <w:pPr>
              <w:pStyle w:val="38"/>
              <w:numPr>
                <w:ilvl w:val="0"/>
                <w:numId w:val="20"/>
              </w:numPr>
              <w:jc w:val="left"/>
              <w:rPr>
                <w:rFonts w:hint="default"/>
              </w:rPr>
            </w:pPr>
            <w:r>
              <w:t>不涉及销售高污染燃料；</w:t>
            </w:r>
          </w:p>
          <w:p w14:paraId="1D68A8A3">
            <w:pPr>
              <w:pStyle w:val="38"/>
              <w:numPr>
                <w:ilvl w:val="0"/>
                <w:numId w:val="20"/>
              </w:numPr>
              <w:jc w:val="left"/>
              <w:rPr>
                <w:rFonts w:hint="default"/>
              </w:rPr>
            </w:pPr>
            <w:r>
              <w:t>项目不涉及集中供热等燃烧设施的使用。</w:t>
            </w:r>
          </w:p>
        </w:tc>
        <w:tc>
          <w:tcPr>
            <w:tcW w:w="635" w:type="dxa"/>
            <w:vAlign w:val="center"/>
          </w:tcPr>
          <w:p w14:paraId="531A2CE3">
            <w:pPr>
              <w:jc w:val="center"/>
            </w:pPr>
            <w:r>
              <w:rPr>
                <w:rFonts w:hint="eastAsia"/>
              </w:rPr>
              <w:t>符合</w:t>
            </w:r>
          </w:p>
        </w:tc>
      </w:tr>
    </w:tbl>
    <w:p w14:paraId="55DF56B9">
      <w:pPr>
        <w:pStyle w:val="21"/>
        <w:widowControl w:val="0"/>
        <w:autoSpaceDE w:val="0"/>
        <w:autoSpaceDN w:val="0"/>
        <w:adjustRightInd w:val="0"/>
        <w:snapToGrid w:val="0"/>
        <w:spacing w:beforeAutospacing="0" w:afterAutospacing="0" w:line="440" w:lineRule="exact"/>
        <w:ind w:firstLine="480" w:firstLineChars="200"/>
        <w:jc w:val="both"/>
        <w:rPr>
          <w:rFonts w:hint="eastAsia"/>
        </w:rPr>
      </w:pPr>
      <w:r>
        <w:rPr>
          <w:rFonts w:hint="eastAsia" w:cs="宋体"/>
          <w:lang w:bidi="ar"/>
        </w:rPr>
        <w:t>综上所述，本项目符合大英县城镇空间和大英县要素重点管控单元相关要求。</w:t>
      </w:r>
    </w:p>
    <w:p w14:paraId="740EDA69">
      <w:pPr>
        <w:pStyle w:val="5"/>
        <w:numPr>
          <w:ilvl w:val="0"/>
          <w:numId w:val="0"/>
        </w:numPr>
        <w:rPr>
          <w:rFonts w:hint="default"/>
        </w:rPr>
        <w:sectPr>
          <w:pgSz w:w="16838" w:h="11906" w:orient="landscape"/>
          <w:pgMar w:top="1474" w:right="1474" w:bottom="1474" w:left="1474" w:header="851" w:footer="992" w:gutter="0"/>
          <w:pgNumType w:fmt="numberInDash"/>
          <w:cols w:space="425" w:num="1"/>
          <w:docGrid w:type="lines" w:linePitch="312" w:charSpace="0"/>
        </w:sectPr>
      </w:pP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8753"/>
      </w:tblGrid>
      <w:tr w14:paraId="268B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3" w:type="dxa"/>
            <w:vAlign w:val="center"/>
          </w:tcPr>
          <w:p w14:paraId="78DDDADD">
            <w:pPr>
              <w:tabs>
                <w:tab w:val="left" w:pos="1508"/>
              </w:tabs>
              <w:jc w:val="center"/>
              <w:rPr>
                <w:b/>
                <w:sz w:val="28"/>
                <w:szCs w:val="28"/>
              </w:rPr>
            </w:pPr>
            <w:r>
              <w:rPr>
                <w:rFonts w:hint="eastAsia"/>
                <w:kern w:val="0"/>
                <w:sz w:val="24"/>
              </w:rPr>
              <w:t>其他符合性分析</w:t>
            </w:r>
          </w:p>
        </w:tc>
        <w:tc>
          <w:tcPr>
            <w:tcW w:w="8753" w:type="dxa"/>
            <w:vAlign w:val="center"/>
          </w:tcPr>
          <w:p w14:paraId="02B5A91A">
            <w:pPr>
              <w:pStyle w:val="4"/>
            </w:pPr>
            <w:r>
              <w:rPr>
                <w:rFonts w:hint="eastAsia"/>
              </w:rPr>
              <w:t>与《遂宁市“十四五”生态环境保护规划》的符合性分析</w:t>
            </w:r>
          </w:p>
          <w:p w14:paraId="0E24F6F5">
            <w:pPr>
              <w:pStyle w:val="36"/>
              <w:ind w:firstLine="480"/>
              <w:rPr>
                <w:rFonts w:hint="default"/>
              </w:rPr>
            </w:pPr>
            <w:r>
              <w:t>根据《遂宁市“十四五”生态环境保护规划》中“（一）强化水生态环境系统治理”：深化地表水生态环境质量目标管理。落实“行政河长+河道警长+检察长+技术河长+民间河长”五长共治工作机制，常态化开展联合巡河，加大对垃圾倾倒入河湖的排查、打击力度。深化流域分区管理体系，按照各级控制断面水质保护要求，逐一排查达标状况，以芝溪河、坛罐窑河等水质较差的支流为重点，分析达标差距。加强区域河湖水质监控、考核和责任追究。鼓励各县（区、市）因地制宜采取有效措施，改善城市水质指数。依托排污许可证，探索建立“水体—入河湖排污口—排污管线—污染源”全链条管理的水污染物排放治理体系，建立流域精细化管理平台。</w:t>
            </w:r>
          </w:p>
          <w:p w14:paraId="3B22C470">
            <w:pPr>
              <w:pStyle w:val="36"/>
              <w:ind w:firstLine="480"/>
              <w:rPr>
                <w:rFonts w:hint="default"/>
              </w:rPr>
            </w:pPr>
            <w:r>
              <w:t>本项目属于河道整治项目，根据设计资料，工程设计整治加固护岸3段共计1087.46m；堰改闸1座，拆除阻水危桥1座，拆除低堰2座，整治排水涵管（洞）9处，新建下河梯步10处。本项目的建设是对</w:t>
            </w:r>
            <w:r>
              <w:rPr>
                <w:rFonts w:hint="default"/>
              </w:rPr>
              <w:t>大英县</w:t>
            </w:r>
            <w:r>
              <w:t>水污染防治和水环境治理的基础整治工程。</w:t>
            </w:r>
          </w:p>
          <w:p w14:paraId="3FD6C658">
            <w:pPr>
              <w:pStyle w:val="36"/>
              <w:ind w:firstLine="480"/>
              <w:rPr>
                <w:rFonts w:hint="default"/>
              </w:rPr>
            </w:pPr>
            <w:r>
              <w:t>因此，项目建设符合《遂宁市“十四五”生态环境保护规划》相关要求。</w:t>
            </w:r>
          </w:p>
          <w:p w14:paraId="2D83E6A7">
            <w:pPr>
              <w:pStyle w:val="4"/>
            </w:pPr>
            <w:r>
              <w:rPr>
                <w:rFonts w:hint="eastAsia"/>
              </w:rPr>
              <w:t>与《四川省、重庆市长江经济带发展负面清单实施细则》（试行，</w:t>
            </w:r>
            <w:r>
              <w:t>2022</w:t>
            </w:r>
            <w:r>
              <w:rPr>
                <w:rFonts w:hint="eastAsia"/>
              </w:rPr>
              <w:t>年版）的符合性分析</w:t>
            </w:r>
          </w:p>
          <w:p w14:paraId="38344F7D">
            <w:pPr>
              <w:pStyle w:val="21"/>
              <w:widowControl w:val="0"/>
              <w:autoSpaceDE w:val="0"/>
              <w:autoSpaceDN w:val="0"/>
              <w:adjustRightInd w:val="0"/>
              <w:snapToGrid w:val="0"/>
              <w:spacing w:beforeAutospacing="0" w:afterAutospacing="0" w:line="440" w:lineRule="exact"/>
              <w:ind w:firstLine="480" w:firstLineChars="200"/>
              <w:jc w:val="both"/>
              <w:rPr>
                <w:rFonts w:ascii="Times New Roman" w:hAnsi="Times New Roman" w:cs="Times New Roman"/>
              </w:rPr>
            </w:pPr>
            <w:r>
              <w:rPr>
                <w:rFonts w:hint="eastAsia"/>
              </w:rPr>
              <w:t>本项目与《四川省、重庆市长江经济带发展负面清单实施细则》（试行，</w:t>
            </w:r>
            <w:r>
              <w:rPr>
                <w:rFonts w:ascii="Times New Roman" w:hAnsi="Times New Roman" w:cs="Times New Roman"/>
              </w:rPr>
              <w:t>2022</w:t>
            </w:r>
            <w:r>
              <w:rPr>
                <w:rFonts w:hint="eastAsia"/>
              </w:rPr>
              <w:t>年版）符合性分析见下表。</w:t>
            </w:r>
          </w:p>
          <w:p w14:paraId="49DA3870">
            <w:pPr>
              <w:pStyle w:val="37"/>
              <w:spacing w:before="156"/>
              <w:rPr>
                <w:rFonts w:hint="default"/>
              </w:rPr>
            </w:pPr>
            <w:r>
              <w:rPr>
                <w:rFonts w:ascii="宋体" w:hAnsi="宋体" w:cs="宋体"/>
                <w:lang w:bidi="ar"/>
              </w:rPr>
              <w:t>与《四川省、重庆市长江经济带发展负面清单实施细则》符合性分析表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4876"/>
              <w:gridCol w:w="2027"/>
              <w:gridCol w:w="900"/>
            </w:tblGrid>
            <w:tr w14:paraId="38B6B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14:paraId="53B40C35">
                  <w:pPr>
                    <w:pStyle w:val="25"/>
                    <w:autoSpaceDE w:val="0"/>
                    <w:spacing w:after="0"/>
                    <w:ind w:left="0" w:leftChars="0" w:firstLine="0" w:firstLineChars="0"/>
                    <w:jc w:val="center"/>
                    <w:rPr>
                      <w:b/>
                      <w:bCs/>
                    </w:rPr>
                  </w:pPr>
                  <w:r>
                    <w:rPr>
                      <w:rFonts w:hint="eastAsia" w:ascii="宋体" w:hAnsi="宋体" w:cs="宋体"/>
                      <w:b/>
                      <w:bCs/>
                    </w:rPr>
                    <w:t>序号</w:t>
                  </w:r>
                </w:p>
              </w:tc>
              <w:tc>
                <w:tcPr>
                  <w:tcW w:w="4715" w:type="dxa"/>
                  <w:tcBorders>
                    <w:top w:val="single" w:color="auto" w:sz="4" w:space="0"/>
                    <w:left w:val="single" w:color="auto" w:sz="4" w:space="0"/>
                    <w:bottom w:val="single" w:color="auto" w:sz="4" w:space="0"/>
                    <w:right w:val="single" w:color="auto" w:sz="4" w:space="0"/>
                  </w:tcBorders>
                  <w:vAlign w:val="center"/>
                </w:tcPr>
                <w:p w14:paraId="3D454032">
                  <w:pPr>
                    <w:pStyle w:val="25"/>
                    <w:autoSpaceDE w:val="0"/>
                    <w:spacing w:after="0"/>
                    <w:ind w:left="0" w:leftChars="0" w:firstLine="0" w:firstLineChars="0"/>
                    <w:jc w:val="center"/>
                    <w:rPr>
                      <w:b/>
                      <w:bCs/>
                    </w:rPr>
                  </w:pPr>
                  <w:r>
                    <w:rPr>
                      <w:rFonts w:hint="eastAsia" w:ascii="宋体" w:hAnsi="宋体" w:cs="宋体"/>
                      <w:b/>
                      <w:bCs/>
                    </w:rPr>
                    <w:t>负面清单</w:t>
                  </w:r>
                </w:p>
              </w:tc>
              <w:tc>
                <w:tcPr>
                  <w:tcW w:w="1960" w:type="dxa"/>
                  <w:tcBorders>
                    <w:top w:val="single" w:color="auto" w:sz="4" w:space="0"/>
                    <w:left w:val="single" w:color="auto" w:sz="4" w:space="0"/>
                    <w:bottom w:val="single" w:color="auto" w:sz="4" w:space="0"/>
                    <w:right w:val="single" w:color="auto" w:sz="4" w:space="0"/>
                  </w:tcBorders>
                  <w:vAlign w:val="center"/>
                </w:tcPr>
                <w:p w14:paraId="24BC8A12">
                  <w:pPr>
                    <w:pStyle w:val="25"/>
                    <w:autoSpaceDE w:val="0"/>
                    <w:spacing w:after="0"/>
                    <w:ind w:left="0" w:leftChars="0" w:firstLine="0" w:firstLineChars="0"/>
                    <w:jc w:val="center"/>
                    <w:rPr>
                      <w:b/>
                      <w:bCs/>
                    </w:rPr>
                  </w:pPr>
                  <w:r>
                    <w:rPr>
                      <w:rFonts w:hint="eastAsia" w:ascii="宋体" w:hAnsi="宋体" w:cs="宋体"/>
                      <w:b/>
                      <w:bCs/>
                    </w:rPr>
                    <w:t>项目情况</w:t>
                  </w:r>
                </w:p>
              </w:tc>
              <w:tc>
                <w:tcPr>
                  <w:tcW w:w="870" w:type="dxa"/>
                  <w:tcBorders>
                    <w:top w:val="single" w:color="auto" w:sz="4" w:space="0"/>
                    <w:left w:val="single" w:color="auto" w:sz="4" w:space="0"/>
                    <w:bottom w:val="single" w:color="auto" w:sz="4" w:space="0"/>
                    <w:right w:val="single" w:color="auto" w:sz="4" w:space="0"/>
                  </w:tcBorders>
                  <w:vAlign w:val="center"/>
                </w:tcPr>
                <w:p w14:paraId="70098816">
                  <w:pPr>
                    <w:pStyle w:val="25"/>
                    <w:autoSpaceDE w:val="0"/>
                    <w:spacing w:after="0"/>
                    <w:ind w:left="0" w:leftChars="0" w:firstLine="0" w:firstLineChars="0"/>
                    <w:jc w:val="center"/>
                    <w:rPr>
                      <w:b/>
                      <w:bCs/>
                    </w:rPr>
                  </w:pPr>
                  <w:r>
                    <w:rPr>
                      <w:rFonts w:hint="eastAsia" w:ascii="宋体" w:hAnsi="宋体" w:cs="宋体"/>
                      <w:b/>
                      <w:bCs/>
                    </w:rPr>
                    <w:t>符合性</w:t>
                  </w:r>
                </w:p>
              </w:tc>
            </w:tr>
            <w:tr w14:paraId="370E2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14:paraId="53FDB5FB">
                  <w:pPr>
                    <w:pStyle w:val="25"/>
                    <w:autoSpaceDE w:val="0"/>
                    <w:spacing w:after="0"/>
                    <w:ind w:left="0" w:leftChars="0" w:firstLine="0" w:firstLineChars="0"/>
                    <w:jc w:val="center"/>
                  </w:pPr>
                  <w:r>
                    <w:t>1</w:t>
                  </w:r>
                </w:p>
              </w:tc>
              <w:tc>
                <w:tcPr>
                  <w:tcW w:w="4715" w:type="dxa"/>
                  <w:tcBorders>
                    <w:top w:val="single" w:color="auto" w:sz="4" w:space="0"/>
                    <w:left w:val="single" w:color="auto" w:sz="4" w:space="0"/>
                    <w:bottom w:val="single" w:color="auto" w:sz="4" w:space="0"/>
                    <w:right w:val="single" w:color="auto" w:sz="4" w:space="0"/>
                  </w:tcBorders>
                  <w:vAlign w:val="center"/>
                </w:tcPr>
                <w:p w14:paraId="473B33C0">
                  <w:pPr>
                    <w:pStyle w:val="25"/>
                    <w:autoSpaceDE w:val="0"/>
                    <w:spacing w:after="0"/>
                    <w:ind w:left="0" w:leftChars="0"/>
                  </w:pPr>
                  <w:r>
                    <w:rPr>
                      <w:rFonts w:hint="eastAsia" w:ascii="宋体" w:hAnsi="宋体" w:cs="宋体"/>
                    </w:rPr>
                    <w:t>禁止在自然保护区核心区、缓冲区的岸线和河段范围内投资建设旅游和生产经营项目。自然保护区的内部未分区的，依照本实施细则核心区和缓冲区的规定管控。</w:t>
                  </w:r>
                </w:p>
              </w:tc>
              <w:tc>
                <w:tcPr>
                  <w:tcW w:w="1960" w:type="dxa"/>
                  <w:tcBorders>
                    <w:top w:val="single" w:color="auto" w:sz="4" w:space="0"/>
                    <w:left w:val="single" w:color="auto" w:sz="4" w:space="0"/>
                    <w:bottom w:val="single" w:color="auto" w:sz="4" w:space="0"/>
                    <w:right w:val="single" w:color="auto" w:sz="4" w:space="0"/>
                  </w:tcBorders>
                  <w:vAlign w:val="center"/>
                </w:tcPr>
                <w:p w14:paraId="453D3739">
                  <w:pPr>
                    <w:pStyle w:val="25"/>
                    <w:autoSpaceDE w:val="0"/>
                    <w:spacing w:after="0"/>
                    <w:ind w:left="0" w:leftChars="0" w:firstLine="0" w:firstLineChars="0"/>
                  </w:pPr>
                  <w:r>
                    <w:rPr>
                      <w:rFonts w:hint="eastAsia" w:ascii="宋体" w:hAnsi="宋体" w:cs="宋体"/>
                    </w:rPr>
                    <w:t>本项目不在自然保护区范围内。</w:t>
                  </w:r>
                </w:p>
              </w:tc>
              <w:tc>
                <w:tcPr>
                  <w:tcW w:w="870" w:type="dxa"/>
                  <w:tcBorders>
                    <w:top w:val="single" w:color="auto" w:sz="4" w:space="0"/>
                    <w:left w:val="single" w:color="auto" w:sz="4" w:space="0"/>
                    <w:bottom w:val="single" w:color="auto" w:sz="4" w:space="0"/>
                    <w:right w:val="single" w:color="auto" w:sz="4" w:space="0"/>
                  </w:tcBorders>
                  <w:vAlign w:val="center"/>
                </w:tcPr>
                <w:p w14:paraId="587C63D1">
                  <w:pPr>
                    <w:pStyle w:val="25"/>
                    <w:autoSpaceDE w:val="0"/>
                    <w:spacing w:after="0"/>
                    <w:ind w:left="0" w:leftChars="0" w:firstLine="0" w:firstLineChars="0"/>
                    <w:jc w:val="center"/>
                  </w:pPr>
                  <w:r>
                    <w:rPr>
                      <w:rFonts w:hint="eastAsia" w:ascii="宋体" w:hAnsi="宋体" w:cs="宋体"/>
                    </w:rPr>
                    <w:t>符合</w:t>
                  </w:r>
                </w:p>
              </w:tc>
            </w:tr>
            <w:tr w14:paraId="78F4E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14:paraId="35278191">
                  <w:pPr>
                    <w:pStyle w:val="25"/>
                    <w:autoSpaceDE w:val="0"/>
                    <w:spacing w:after="0"/>
                    <w:ind w:left="0" w:leftChars="0" w:firstLine="0" w:firstLineChars="0"/>
                    <w:jc w:val="center"/>
                  </w:pPr>
                  <w:r>
                    <w:t>2</w:t>
                  </w:r>
                </w:p>
              </w:tc>
              <w:tc>
                <w:tcPr>
                  <w:tcW w:w="4715" w:type="dxa"/>
                  <w:tcBorders>
                    <w:top w:val="single" w:color="auto" w:sz="4" w:space="0"/>
                    <w:left w:val="single" w:color="auto" w:sz="4" w:space="0"/>
                    <w:bottom w:val="single" w:color="auto" w:sz="4" w:space="0"/>
                    <w:right w:val="single" w:color="auto" w:sz="4" w:space="0"/>
                  </w:tcBorders>
                  <w:vAlign w:val="center"/>
                </w:tcPr>
                <w:p w14:paraId="47A254E4">
                  <w:pPr>
                    <w:pStyle w:val="25"/>
                    <w:autoSpaceDE w:val="0"/>
                    <w:spacing w:after="0"/>
                    <w:ind w:left="0" w:leftChars="0"/>
                  </w:pPr>
                  <w:r>
                    <w:rPr>
                      <w:rFonts w:hint="eastAsia" w:ascii="宋体" w:hAnsi="宋体" w:cs="宋体"/>
                    </w:rPr>
                    <w:t>禁止违反风景名胜区规划，在风景名胜区内设立各类开发区。禁止在风景名胜区核心景区的岸线和河段范围内建设宾馆、招待所、培训中心、疗养院以及与风景名胜资源保护无关的项目。</w:t>
                  </w:r>
                </w:p>
              </w:tc>
              <w:tc>
                <w:tcPr>
                  <w:tcW w:w="1960" w:type="dxa"/>
                  <w:tcBorders>
                    <w:top w:val="single" w:color="auto" w:sz="4" w:space="0"/>
                    <w:left w:val="single" w:color="auto" w:sz="4" w:space="0"/>
                    <w:bottom w:val="single" w:color="auto" w:sz="4" w:space="0"/>
                    <w:right w:val="single" w:color="auto" w:sz="4" w:space="0"/>
                  </w:tcBorders>
                  <w:vAlign w:val="center"/>
                </w:tcPr>
                <w:p w14:paraId="399F9807">
                  <w:pPr>
                    <w:pStyle w:val="25"/>
                    <w:autoSpaceDE w:val="0"/>
                    <w:spacing w:after="0"/>
                    <w:ind w:left="0" w:leftChars="0" w:firstLine="0" w:firstLineChars="0"/>
                  </w:pPr>
                  <w:r>
                    <w:rPr>
                      <w:rFonts w:hint="eastAsia" w:ascii="宋体" w:hAnsi="宋体" w:cs="宋体"/>
                    </w:rPr>
                    <w:t>本项目不在风景名胜区范围内。</w:t>
                  </w:r>
                </w:p>
              </w:tc>
              <w:tc>
                <w:tcPr>
                  <w:tcW w:w="870" w:type="dxa"/>
                  <w:tcBorders>
                    <w:top w:val="single" w:color="auto" w:sz="4" w:space="0"/>
                    <w:left w:val="single" w:color="auto" w:sz="4" w:space="0"/>
                    <w:bottom w:val="single" w:color="auto" w:sz="4" w:space="0"/>
                    <w:right w:val="single" w:color="auto" w:sz="4" w:space="0"/>
                  </w:tcBorders>
                  <w:vAlign w:val="center"/>
                </w:tcPr>
                <w:p w14:paraId="3A981F48">
                  <w:pPr>
                    <w:pStyle w:val="25"/>
                    <w:autoSpaceDE w:val="0"/>
                    <w:spacing w:after="0"/>
                    <w:ind w:left="0" w:leftChars="0" w:firstLine="0" w:firstLineChars="0"/>
                    <w:jc w:val="center"/>
                  </w:pPr>
                  <w:r>
                    <w:rPr>
                      <w:rFonts w:hint="eastAsia" w:ascii="宋体" w:hAnsi="宋体" w:cs="宋体"/>
                    </w:rPr>
                    <w:t>符合</w:t>
                  </w:r>
                </w:p>
              </w:tc>
            </w:tr>
            <w:tr w14:paraId="268CF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14:paraId="661DB881">
                  <w:pPr>
                    <w:pStyle w:val="25"/>
                    <w:autoSpaceDE w:val="0"/>
                    <w:spacing w:after="0"/>
                    <w:ind w:left="0" w:leftChars="0" w:firstLine="0" w:firstLineChars="0"/>
                    <w:jc w:val="center"/>
                  </w:pPr>
                  <w:r>
                    <w:t>3</w:t>
                  </w:r>
                </w:p>
              </w:tc>
              <w:tc>
                <w:tcPr>
                  <w:tcW w:w="4715" w:type="dxa"/>
                  <w:tcBorders>
                    <w:top w:val="single" w:color="auto" w:sz="4" w:space="0"/>
                    <w:left w:val="single" w:color="auto" w:sz="4" w:space="0"/>
                    <w:bottom w:val="single" w:color="auto" w:sz="4" w:space="0"/>
                    <w:right w:val="single" w:color="auto" w:sz="4" w:space="0"/>
                  </w:tcBorders>
                  <w:vAlign w:val="center"/>
                </w:tcPr>
                <w:p w14:paraId="1D3C2606">
                  <w:pPr>
                    <w:pStyle w:val="25"/>
                    <w:autoSpaceDE w:val="0"/>
                    <w:spacing w:after="0"/>
                    <w:ind w:left="0" w:leftChars="0"/>
                    <w:rPr>
                      <w:kern w:val="0"/>
                    </w:rPr>
                  </w:pPr>
                  <w:r>
                    <w:rPr>
                      <w:rFonts w:hint="eastAsia" w:ascii="宋体" w:hAnsi="宋体" w:cs="宋体"/>
                      <w:kern w:val="0"/>
                    </w:rPr>
                    <w:t>禁止在饮用水水源准保护区的岸线和河段范围内新建、扩建对水体污染严重的建设项目，禁止改建增加排污量的建设项目。</w:t>
                  </w:r>
                </w:p>
              </w:tc>
              <w:tc>
                <w:tcPr>
                  <w:tcW w:w="1960" w:type="dxa"/>
                  <w:tcBorders>
                    <w:top w:val="single" w:color="auto" w:sz="4" w:space="0"/>
                    <w:left w:val="single" w:color="auto" w:sz="4" w:space="0"/>
                    <w:bottom w:val="single" w:color="auto" w:sz="4" w:space="0"/>
                    <w:right w:val="single" w:color="auto" w:sz="4" w:space="0"/>
                  </w:tcBorders>
                  <w:vAlign w:val="center"/>
                </w:tcPr>
                <w:p w14:paraId="278B8302">
                  <w:pPr>
                    <w:pStyle w:val="25"/>
                    <w:autoSpaceDE w:val="0"/>
                    <w:spacing w:after="0"/>
                    <w:ind w:left="0" w:leftChars="0" w:firstLine="0" w:firstLineChars="0"/>
                  </w:pPr>
                  <w:r>
                    <w:rPr>
                      <w:rFonts w:hint="eastAsia" w:ascii="宋体" w:hAnsi="宋体" w:cs="宋体"/>
                    </w:rPr>
                    <w:t>本项目不涉及饮用水水源保护区。</w:t>
                  </w:r>
                </w:p>
              </w:tc>
              <w:tc>
                <w:tcPr>
                  <w:tcW w:w="870" w:type="dxa"/>
                  <w:tcBorders>
                    <w:top w:val="single" w:color="auto" w:sz="4" w:space="0"/>
                    <w:left w:val="single" w:color="auto" w:sz="4" w:space="0"/>
                    <w:bottom w:val="single" w:color="auto" w:sz="4" w:space="0"/>
                    <w:right w:val="single" w:color="auto" w:sz="4" w:space="0"/>
                  </w:tcBorders>
                  <w:vAlign w:val="center"/>
                </w:tcPr>
                <w:p w14:paraId="2E2D9A80">
                  <w:pPr>
                    <w:pStyle w:val="25"/>
                    <w:autoSpaceDE w:val="0"/>
                    <w:spacing w:after="0"/>
                    <w:ind w:left="0" w:leftChars="0" w:firstLine="0" w:firstLineChars="0"/>
                    <w:jc w:val="center"/>
                  </w:pPr>
                  <w:r>
                    <w:rPr>
                      <w:rFonts w:hint="eastAsia" w:ascii="宋体" w:hAnsi="宋体" w:cs="宋体"/>
                    </w:rPr>
                    <w:t>符合</w:t>
                  </w:r>
                </w:p>
              </w:tc>
            </w:tr>
            <w:tr w14:paraId="5EB8F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14:paraId="0827DBE5">
                  <w:pPr>
                    <w:pStyle w:val="25"/>
                    <w:autoSpaceDE w:val="0"/>
                    <w:spacing w:after="0"/>
                    <w:ind w:left="0" w:leftChars="0" w:firstLine="0" w:firstLineChars="0"/>
                    <w:jc w:val="center"/>
                  </w:pPr>
                  <w:r>
                    <w:t>4</w:t>
                  </w:r>
                </w:p>
              </w:tc>
              <w:tc>
                <w:tcPr>
                  <w:tcW w:w="4715" w:type="dxa"/>
                  <w:tcBorders>
                    <w:top w:val="single" w:color="auto" w:sz="4" w:space="0"/>
                    <w:left w:val="single" w:color="auto" w:sz="4" w:space="0"/>
                    <w:bottom w:val="single" w:color="auto" w:sz="4" w:space="0"/>
                    <w:right w:val="single" w:color="auto" w:sz="4" w:space="0"/>
                  </w:tcBorders>
                  <w:vAlign w:val="center"/>
                </w:tcPr>
                <w:p w14:paraId="7C2B9889">
                  <w:pPr>
                    <w:pStyle w:val="25"/>
                    <w:autoSpaceDE w:val="0"/>
                    <w:spacing w:after="0"/>
                    <w:ind w:left="0" w:leftChars="0"/>
                    <w:rPr>
                      <w:kern w:val="0"/>
                    </w:rPr>
                  </w:pPr>
                  <w:r>
                    <w:rPr>
                      <w:rFonts w:hint="eastAsia" w:ascii="宋体" w:hAnsi="宋体" w:cs="宋体"/>
                      <w:kern w:val="0"/>
                    </w:rPr>
                    <w:t>饮用水水源二级保护区的岸线和河段范围内，除应遵守准保护区规定外，禁止新建、改建、扩建排放污染物的投资建设项目；禁止从事采石（砂）、对水体有污染的水产养殖等活动。</w:t>
                  </w:r>
                </w:p>
              </w:tc>
              <w:tc>
                <w:tcPr>
                  <w:tcW w:w="1960" w:type="dxa"/>
                  <w:tcBorders>
                    <w:top w:val="single" w:color="auto" w:sz="4" w:space="0"/>
                    <w:left w:val="single" w:color="auto" w:sz="4" w:space="0"/>
                    <w:bottom w:val="single" w:color="auto" w:sz="4" w:space="0"/>
                    <w:right w:val="single" w:color="auto" w:sz="4" w:space="0"/>
                  </w:tcBorders>
                  <w:vAlign w:val="center"/>
                </w:tcPr>
                <w:p w14:paraId="2F87B063">
                  <w:pPr>
                    <w:pStyle w:val="25"/>
                    <w:autoSpaceDE w:val="0"/>
                    <w:spacing w:after="0"/>
                    <w:ind w:left="0" w:leftChars="0" w:firstLine="0" w:firstLineChars="0"/>
                  </w:pPr>
                  <w:r>
                    <w:rPr>
                      <w:rFonts w:hint="eastAsia" w:ascii="宋体" w:hAnsi="宋体" w:cs="宋体"/>
                    </w:rPr>
                    <w:t>本项目不涉及饮用水水源保护区。</w:t>
                  </w:r>
                </w:p>
              </w:tc>
              <w:tc>
                <w:tcPr>
                  <w:tcW w:w="870" w:type="dxa"/>
                  <w:tcBorders>
                    <w:top w:val="single" w:color="auto" w:sz="4" w:space="0"/>
                    <w:left w:val="single" w:color="auto" w:sz="4" w:space="0"/>
                    <w:bottom w:val="single" w:color="auto" w:sz="4" w:space="0"/>
                    <w:right w:val="single" w:color="auto" w:sz="4" w:space="0"/>
                  </w:tcBorders>
                  <w:vAlign w:val="center"/>
                </w:tcPr>
                <w:p w14:paraId="0386A01C">
                  <w:pPr>
                    <w:pStyle w:val="25"/>
                    <w:autoSpaceDE w:val="0"/>
                    <w:spacing w:after="0"/>
                    <w:ind w:left="0" w:leftChars="0" w:firstLine="0" w:firstLineChars="0"/>
                    <w:jc w:val="center"/>
                  </w:pPr>
                  <w:r>
                    <w:rPr>
                      <w:rFonts w:hint="eastAsia" w:ascii="宋体" w:hAnsi="宋体" w:cs="宋体"/>
                    </w:rPr>
                    <w:t>符合</w:t>
                  </w:r>
                </w:p>
              </w:tc>
            </w:tr>
            <w:tr w14:paraId="00290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14:paraId="784EC32D">
                  <w:pPr>
                    <w:pStyle w:val="25"/>
                    <w:autoSpaceDE w:val="0"/>
                    <w:spacing w:after="0"/>
                    <w:ind w:left="0" w:leftChars="0" w:firstLine="0" w:firstLineChars="0"/>
                    <w:jc w:val="center"/>
                  </w:pPr>
                  <w:r>
                    <w:t>5</w:t>
                  </w:r>
                </w:p>
              </w:tc>
              <w:tc>
                <w:tcPr>
                  <w:tcW w:w="4715" w:type="dxa"/>
                  <w:tcBorders>
                    <w:top w:val="single" w:color="auto" w:sz="4" w:space="0"/>
                    <w:left w:val="single" w:color="auto" w:sz="4" w:space="0"/>
                    <w:bottom w:val="single" w:color="auto" w:sz="4" w:space="0"/>
                    <w:right w:val="single" w:color="auto" w:sz="4" w:space="0"/>
                  </w:tcBorders>
                  <w:vAlign w:val="center"/>
                </w:tcPr>
                <w:p w14:paraId="00A28B70">
                  <w:pPr>
                    <w:pStyle w:val="25"/>
                    <w:autoSpaceDE w:val="0"/>
                    <w:spacing w:after="0"/>
                    <w:ind w:left="0" w:leftChars="0"/>
                    <w:rPr>
                      <w:kern w:val="0"/>
                    </w:rPr>
                  </w:pPr>
                  <w:r>
                    <w:rPr>
                      <w:rFonts w:hint="eastAsia" w:ascii="宋体" w:hAnsi="宋体" w:cs="宋体"/>
                      <w:kern w:val="0"/>
                    </w:rPr>
                    <w:t>饮用水水源一级保护区的岸线和河段范围内，除应遵守二级保护区规定外，禁止新建、改建、扩建与供（取）水设施和保护水源无关的项目，以及网箱养殖、畜禽养殖、旅游等可能污染饮用水水体的投资建设项目</w:t>
                  </w:r>
                </w:p>
              </w:tc>
              <w:tc>
                <w:tcPr>
                  <w:tcW w:w="1960" w:type="dxa"/>
                  <w:tcBorders>
                    <w:top w:val="single" w:color="auto" w:sz="4" w:space="0"/>
                    <w:left w:val="single" w:color="auto" w:sz="4" w:space="0"/>
                    <w:bottom w:val="single" w:color="auto" w:sz="4" w:space="0"/>
                    <w:right w:val="single" w:color="auto" w:sz="4" w:space="0"/>
                  </w:tcBorders>
                  <w:vAlign w:val="center"/>
                </w:tcPr>
                <w:p w14:paraId="76CC055A">
                  <w:pPr>
                    <w:pStyle w:val="25"/>
                    <w:autoSpaceDE w:val="0"/>
                    <w:spacing w:after="0"/>
                    <w:ind w:left="0" w:leftChars="0" w:firstLine="0" w:firstLineChars="0"/>
                  </w:pPr>
                  <w:r>
                    <w:rPr>
                      <w:rFonts w:hint="eastAsia" w:ascii="宋体" w:hAnsi="宋体" w:cs="宋体"/>
                    </w:rPr>
                    <w:t>本项目不涉及饮用水水源保护区。</w:t>
                  </w:r>
                </w:p>
              </w:tc>
              <w:tc>
                <w:tcPr>
                  <w:tcW w:w="870" w:type="dxa"/>
                  <w:tcBorders>
                    <w:top w:val="single" w:color="auto" w:sz="4" w:space="0"/>
                    <w:left w:val="single" w:color="auto" w:sz="4" w:space="0"/>
                    <w:bottom w:val="single" w:color="auto" w:sz="4" w:space="0"/>
                    <w:right w:val="single" w:color="auto" w:sz="4" w:space="0"/>
                  </w:tcBorders>
                  <w:vAlign w:val="center"/>
                </w:tcPr>
                <w:p w14:paraId="0BF63A59">
                  <w:pPr>
                    <w:pStyle w:val="25"/>
                    <w:autoSpaceDE w:val="0"/>
                    <w:spacing w:after="0"/>
                    <w:ind w:left="0" w:leftChars="0" w:firstLine="0" w:firstLineChars="0"/>
                    <w:jc w:val="center"/>
                  </w:pPr>
                  <w:r>
                    <w:rPr>
                      <w:rFonts w:hint="eastAsia" w:ascii="宋体" w:hAnsi="宋体" w:cs="宋体"/>
                    </w:rPr>
                    <w:t>符合</w:t>
                  </w:r>
                </w:p>
              </w:tc>
            </w:tr>
            <w:tr w14:paraId="7CD54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14:paraId="42453B15">
                  <w:pPr>
                    <w:pStyle w:val="25"/>
                    <w:autoSpaceDE w:val="0"/>
                    <w:spacing w:after="0"/>
                    <w:ind w:left="0" w:leftChars="0" w:firstLine="0" w:firstLineChars="0"/>
                    <w:jc w:val="center"/>
                  </w:pPr>
                  <w:r>
                    <w:t>6</w:t>
                  </w:r>
                </w:p>
              </w:tc>
              <w:tc>
                <w:tcPr>
                  <w:tcW w:w="4715" w:type="dxa"/>
                  <w:tcBorders>
                    <w:top w:val="single" w:color="auto" w:sz="4" w:space="0"/>
                    <w:left w:val="single" w:color="auto" w:sz="4" w:space="0"/>
                    <w:bottom w:val="single" w:color="auto" w:sz="4" w:space="0"/>
                    <w:right w:val="single" w:color="auto" w:sz="4" w:space="0"/>
                  </w:tcBorders>
                  <w:vAlign w:val="center"/>
                </w:tcPr>
                <w:p w14:paraId="74F85F55">
                  <w:pPr>
                    <w:pStyle w:val="25"/>
                    <w:autoSpaceDE w:val="0"/>
                    <w:spacing w:after="0"/>
                    <w:ind w:left="0" w:leftChars="0"/>
                    <w:rPr>
                      <w:kern w:val="0"/>
                    </w:rPr>
                  </w:pPr>
                  <w:r>
                    <w:rPr>
                      <w:rFonts w:hint="eastAsia" w:ascii="宋体" w:hAnsi="宋体" w:cs="宋体"/>
                      <w:kern w:val="0"/>
                    </w:rPr>
                    <w:t>禁止在水产种质资源保护区岸线和河段范围内新建围湖造田、围湖造地或挖沙采石等投资建设项目。</w:t>
                  </w:r>
                </w:p>
              </w:tc>
              <w:tc>
                <w:tcPr>
                  <w:tcW w:w="1960" w:type="dxa"/>
                  <w:tcBorders>
                    <w:top w:val="single" w:color="auto" w:sz="4" w:space="0"/>
                    <w:left w:val="single" w:color="auto" w:sz="4" w:space="0"/>
                    <w:bottom w:val="single" w:color="auto" w:sz="4" w:space="0"/>
                    <w:right w:val="single" w:color="auto" w:sz="4" w:space="0"/>
                  </w:tcBorders>
                  <w:vAlign w:val="center"/>
                </w:tcPr>
                <w:p w14:paraId="776E2BC6">
                  <w:pPr>
                    <w:pStyle w:val="25"/>
                    <w:autoSpaceDE w:val="0"/>
                    <w:spacing w:after="0"/>
                    <w:ind w:left="0" w:leftChars="0" w:firstLine="0" w:firstLineChars="0"/>
                  </w:pPr>
                  <w:r>
                    <w:rPr>
                      <w:rFonts w:hint="eastAsia" w:ascii="宋体" w:hAnsi="宋体" w:cs="宋体"/>
                      <w:kern w:val="0"/>
                    </w:rPr>
                    <w:t>本项目不在水产种质资源保护区岸线和河段范围内。</w:t>
                  </w:r>
                </w:p>
              </w:tc>
              <w:tc>
                <w:tcPr>
                  <w:tcW w:w="870" w:type="dxa"/>
                  <w:tcBorders>
                    <w:top w:val="single" w:color="auto" w:sz="4" w:space="0"/>
                    <w:left w:val="single" w:color="auto" w:sz="4" w:space="0"/>
                    <w:bottom w:val="single" w:color="auto" w:sz="4" w:space="0"/>
                    <w:right w:val="single" w:color="auto" w:sz="4" w:space="0"/>
                  </w:tcBorders>
                  <w:vAlign w:val="center"/>
                </w:tcPr>
                <w:p w14:paraId="58923A59">
                  <w:pPr>
                    <w:pStyle w:val="25"/>
                    <w:autoSpaceDE w:val="0"/>
                    <w:spacing w:after="0"/>
                    <w:ind w:left="0" w:leftChars="0" w:firstLine="0" w:firstLineChars="0"/>
                    <w:jc w:val="center"/>
                    <w:rPr>
                      <w:kern w:val="0"/>
                    </w:rPr>
                  </w:pPr>
                  <w:r>
                    <w:rPr>
                      <w:rFonts w:hint="eastAsia" w:ascii="宋体" w:hAnsi="宋体" w:cs="宋体"/>
                      <w:kern w:val="0"/>
                    </w:rPr>
                    <w:t>符合</w:t>
                  </w:r>
                </w:p>
              </w:tc>
            </w:tr>
            <w:tr w14:paraId="6CAE7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14:paraId="1CEDDCEF">
                  <w:pPr>
                    <w:pStyle w:val="25"/>
                    <w:autoSpaceDE w:val="0"/>
                    <w:spacing w:after="0"/>
                    <w:ind w:left="0" w:leftChars="0" w:firstLine="0" w:firstLineChars="0"/>
                    <w:jc w:val="center"/>
                  </w:pPr>
                  <w:r>
                    <w:t>7</w:t>
                  </w:r>
                </w:p>
              </w:tc>
              <w:tc>
                <w:tcPr>
                  <w:tcW w:w="4715" w:type="dxa"/>
                  <w:tcBorders>
                    <w:top w:val="single" w:color="auto" w:sz="4" w:space="0"/>
                    <w:left w:val="single" w:color="auto" w:sz="4" w:space="0"/>
                    <w:bottom w:val="single" w:color="auto" w:sz="4" w:space="0"/>
                    <w:right w:val="single" w:color="auto" w:sz="4" w:space="0"/>
                  </w:tcBorders>
                  <w:vAlign w:val="center"/>
                </w:tcPr>
                <w:p w14:paraId="6C417FE2">
                  <w:pPr>
                    <w:pStyle w:val="25"/>
                    <w:autoSpaceDE w:val="0"/>
                    <w:spacing w:after="0"/>
                    <w:ind w:left="0" w:leftChars="0"/>
                    <w:rPr>
                      <w:kern w:val="0"/>
                    </w:rPr>
                  </w:pPr>
                  <w:r>
                    <w:rPr>
                      <w:rFonts w:hint="eastAsia" w:ascii="宋体" w:hAnsi="宋体" w:cs="宋体"/>
                      <w:kern w:val="0"/>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1960" w:type="dxa"/>
                  <w:tcBorders>
                    <w:top w:val="single" w:color="auto" w:sz="4" w:space="0"/>
                    <w:left w:val="single" w:color="auto" w:sz="4" w:space="0"/>
                    <w:bottom w:val="single" w:color="auto" w:sz="4" w:space="0"/>
                    <w:right w:val="single" w:color="auto" w:sz="4" w:space="0"/>
                  </w:tcBorders>
                  <w:vAlign w:val="center"/>
                </w:tcPr>
                <w:p w14:paraId="27D3F0BF">
                  <w:pPr>
                    <w:pStyle w:val="25"/>
                    <w:autoSpaceDE w:val="0"/>
                    <w:spacing w:after="0"/>
                    <w:ind w:left="0" w:leftChars="0" w:firstLine="0" w:firstLineChars="0"/>
                  </w:pPr>
                  <w:r>
                    <w:rPr>
                      <w:rFonts w:hint="eastAsia" w:ascii="宋体" w:hAnsi="宋体" w:cs="宋体"/>
                      <w:kern w:val="0"/>
                    </w:rPr>
                    <w:t>本项目不在国家湿地公园的岸线和河段范围内。</w:t>
                  </w:r>
                </w:p>
              </w:tc>
              <w:tc>
                <w:tcPr>
                  <w:tcW w:w="870" w:type="dxa"/>
                  <w:tcBorders>
                    <w:top w:val="single" w:color="auto" w:sz="4" w:space="0"/>
                    <w:left w:val="single" w:color="auto" w:sz="4" w:space="0"/>
                    <w:bottom w:val="single" w:color="auto" w:sz="4" w:space="0"/>
                    <w:right w:val="single" w:color="auto" w:sz="4" w:space="0"/>
                  </w:tcBorders>
                  <w:vAlign w:val="center"/>
                </w:tcPr>
                <w:p w14:paraId="08C79BBE">
                  <w:pPr>
                    <w:pStyle w:val="25"/>
                    <w:autoSpaceDE w:val="0"/>
                    <w:spacing w:after="0"/>
                    <w:ind w:left="0" w:leftChars="0" w:firstLine="0" w:firstLineChars="0"/>
                    <w:jc w:val="center"/>
                    <w:rPr>
                      <w:kern w:val="0"/>
                    </w:rPr>
                  </w:pPr>
                  <w:r>
                    <w:rPr>
                      <w:rFonts w:hint="eastAsia" w:ascii="宋体" w:hAnsi="宋体" w:cs="宋体"/>
                      <w:kern w:val="0"/>
                    </w:rPr>
                    <w:t>符合</w:t>
                  </w:r>
                </w:p>
              </w:tc>
            </w:tr>
            <w:tr w14:paraId="4AEF4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14:paraId="7D4BC917">
                  <w:pPr>
                    <w:pStyle w:val="25"/>
                    <w:autoSpaceDE w:val="0"/>
                    <w:spacing w:after="0"/>
                    <w:ind w:left="0" w:leftChars="0" w:firstLine="0" w:firstLineChars="0"/>
                    <w:jc w:val="center"/>
                  </w:pPr>
                  <w:r>
                    <w:t>8</w:t>
                  </w:r>
                </w:p>
              </w:tc>
              <w:tc>
                <w:tcPr>
                  <w:tcW w:w="4715" w:type="dxa"/>
                  <w:tcBorders>
                    <w:top w:val="single" w:color="auto" w:sz="4" w:space="0"/>
                    <w:left w:val="single" w:color="auto" w:sz="4" w:space="0"/>
                    <w:bottom w:val="single" w:color="auto" w:sz="4" w:space="0"/>
                    <w:right w:val="single" w:color="auto" w:sz="4" w:space="0"/>
                  </w:tcBorders>
                  <w:vAlign w:val="center"/>
                </w:tcPr>
                <w:p w14:paraId="5F6E754F">
                  <w:pPr>
                    <w:pStyle w:val="25"/>
                    <w:autoSpaceDE w:val="0"/>
                    <w:spacing w:after="0"/>
                    <w:ind w:left="0" w:leftChars="0"/>
                    <w:rPr>
                      <w:kern w:val="0"/>
                    </w:rPr>
                  </w:pPr>
                  <w:r>
                    <w:rPr>
                      <w:rFonts w:hint="eastAsia" w:ascii="宋体" w:hAnsi="宋体" w:cs="宋体"/>
                      <w:kern w:val="0"/>
                    </w:rPr>
                    <w:t>禁止在长江干支流、重要湖泊岸线一公里范围内新建、扩建化工园区和化工项目。</w:t>
                  </w:r>
                </w:p>
              </w:tc>
              <w:tc>
                <w:tcPr>
                  <w:tcW w:w="1960" w:type="dxa"/>
                  <w:vMerge w:val="restart"/>
                  <w:tcBorders>
                    <w:top w:val="nil"/>
                    <w:left w:val="single" w:color="auto" w:sz="4" w:space="0"/>
                    <w:bottom w:val="single" w:color="auto" w:sz="4" w:space="0"/>
                    <w:right w:val="single" w:color="auto" w:sz="4" w:space="0"/>
                  </w:tcBorders>
                  <w:vAlign w:val="center"/>
                </w:tcPr>
                <w:p w14:paraId="2B973E94">
                  <w:pPr>
                    <w:pStyle w:val="25"/>
                    <w:autoSpaceDE w:val="0"/>
                    <w:spacing w:after="0"/>
                    <w:ind w:left="0" w:leftChars="0" w:firstLine="0" w:firstLineChars="0"/>
                    <w:rPr>
                      <w:kern w:val="0"/>
                    </w:rPr>
                  </w:pPr>
                  <w:r>
                    <w:rPr>
                      <w:rFonts w:hint="eastAsia" w:ascii="宋体" w:hAnsi="宋体" w:cs="宋体"/>
                      <w:kern w:val="0"/>
                    </w:rPr>
                    <w:t>本项目不在长江干支流、重要湖泊岸线一公里范围内，且项目不属于尾矿库、冶炼渣库、磷石膏库等项目，不属于化工项目。</w:t>
                  </w:r>
                </w:p>
              </w:tc>
              <w:tc>
                <w:tcPr>
                  <w:tcW w:w="870" w:type="dxa"/>
                  <w:vMerge w:val="restart"/>
                  <w:tcBorders>
                    <w:top w:val="nil"/>
                    <w:left w:val="single" w:color="auto" w:sz="4" w:space="0"/>
                    <w:bottom w:val="single" w:color="auto" w:sz="4" w:space="0"/>
                    <w:right w:val="single" w:color="auto" w:sz="4" w:space="0"/>
                  </w:tcBorders>
                  <w:vAlign w:val="center"/>
                </w:tcPr>
                <w:p w14:paraId="6448764D">
                  <w:pPr>
                    <w:pStyle w:val="25"/>
                    <w:autoSpaceDE w:val="0"/>
                    <w:spacing w:after="0"/>
                    <w:ind w:left="0" w:leftChars="0" w:firstLine="0" w:firstLineChars="0"/>
                    <w:jc w:val="center"/>
                    <w:rPr>
                      <w:kern w:val="0"/>
                    </w:rPr>
                  </w:pPr>
                  <w:r>
                    <w:rPr>
                      <w:rFonts w:hint="eastAsia" w:ascii="宋体" w:hAnsi="宋体" w:cs="宋体"/>
                      <w:kern w:val="0"/>
                    </w:rPr>
                    <w:t>符合</w:t>
                  </w:r>
                </w:p>
              </w:tc>
            </w:tr>
            <w:tr w14:paraId="79485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14:paraId="59718693">
                  <w:pPr>
                    <w:pStyle w:val="25"/>
                    <w:autoSpaceDE w:val="0"/>
                    <w:spacing w:after="0"/>
                    <w:ind w:left="0" w:leftChars="0" w:firstLine="0" w:firstLineChars="0"/>
                    <w:jc w:val="center"/>
                  </w:pPr>
                  <w:r>
                    <w:t>9</w:t>
                  </w:r>
                </w:p>
              </w:tc>
              <w:tc>
                <w:tcPr>
                  <w:tcW w:w="4715" w:type="dxa"/>
                  <w:tcBorders>
                    <w:top w:val="single" w:color="auto" w:sz="4" w:space="0"/>
                    <w:left w:val="single" w:color="auto" w:sz="4" w:space="0"/>
                    <w:bottom w:val="single" w:color="auto" w:sz="4" w:space="0"/>
                    <w:right w:val="single" w:color="auto" w:sz="4" w:space="0"/>
                  </w:tcBorders>
                  <w:vAlign w:val="center"/>
                </w:tcPr>
                <w:p w14:paraId="7344A890">
                  <w:pPr>
                    <w:pStyle w:val="25"/>
                    <w:autoSpaceDE w:val="0"/>
                    <w:spacing w:after="0"/>
                    <w:ind w:left="0" w:leftChars="0"/>
                    <w:rPr>
                      <w:kern w:val="0"/>
                    </w:rPr>
                  </w:pPr>
                  <w:r>
                    <w:rPr>
                      <w:rFonts w:hint="eastAsia" w:ascii="宋体" w:hAnsi="宋体" w:cs="宋体"/>
                      <w:kern w:val="0"/>
                    </w:rPr>
                    <w:t>禁止在长江干流岸线三公里范围内和重要支流岸线一公里范围内新建、改建、扩建尾矿库、冶炼渣库、磷石膏库，以提升安全、生态环境保护水平为目的的改建除外。</w:t>
                  </w:r>
                </w:p>
              </w:tc>
              <w:tc>
                <w:tcPr>
                  <w:tcW w:w="1960" w:type="dxa"/>
                  <w:vMerge w:val="continue"/>
                  <w:tcBorders>
                    <w:top w:val="nil"/>
                    <w:left w:val="single" w:color="auto" w:sz="4" w:space="0"/>
                    <w:bottom w:val="single" w:color="auto" w:sz="4" w:space="0"/>
                    <w:right w:val="single" w:color="auto" w:sz="4" w:space="0"/>
                  </w:tcBorders>
                  <w:vAlign w:val="center"/>
                </w:tcPr>
                <w:p w14:paraId="2C03A37C">
                  <w:pPr>
                    <w:rPr>
                      <w:rFonts w:eastAsia="等线"/>
                      <w:sz w:val="20"/>
                      <w:szCs w:val="20"/>
                    </w:rPr>
                  </w:pPr>
                </w:p>
              </w:tc>
              <w:tc>
                <w:tcPr>
                  <w:tcW w:w="870" w:type="dxa"/>
                  <w:vMerge w:val="continue"/>
                  <w:tcBorders>
                    <w:top w:val="nil"/>
                    <w:left w:val="single" w:color="auto" w:sz="4" w:space="0"/>
                    <w:bottom w:val="single" w:color="auto" w:sz="4" w:space="0"/>
                    <w:right w:val="single" w:color="auto" w:sz="4" w:space="0"/>
                  </w:tcBorders>
                  <w:vAlign w:val="center"/>
                </w:tcPr>
                <w:p w14:paraId="22A3999A">
                  <w:pPr>
                    <w:rPr>
                      <w:rFonts w:eastAsia="等线"/>
                      <w:sz w:val="20"/>
                      <w:szCs w:val="20"/>
                    </w:rPr>
                  </w:pPr>
                </w:p>
              </w:tc>
            </w:tr>
            <w:tr w14:paraId="4186E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14:paraId="680B8D09">
                  <w:pPr>
                    <w:pStyle w:val="25"/>
                    <w:autoSpaceDE w:val="0"/>
                    <w:spacing w:after="0"/>
                    <w:ind w:left="0" w:leftChars="0" w:firstLine="0" w:firstLineChars="0"/>
                    <w:jc w:val="center"/>
                  </w:pPr>
                  <w:r>
                    <w:t>10</w:t>
                  </w:r>
                </w:p>
              </w:tc>
              <w:tc>
                <w:tcPr>
                  <w:tcW w:w="4715" w:type="dxa"/>
                  <w:tcBorders>
                    <w:top w:val="single" w:color="auto" w:sz="4" w:space="0"/>
                    <w:left w:val="single" w:color="auto" w:sz="4" w:space="0"/>
                    <w:bottom w:val="single" w:color="auto" w:sz="4" w:space="0"/>
                    <w:right w:val="single" w:color="auto" w:sz="4" w:space="0"/>
                  </w:tcBorders>
                  <w:vAlign w:val="center"/>
                </w:tcPr>
                <w:p w14:paraId="1E2E6FDB">
                  <w:pPr>
                    <w:pStyle w:val="25"/>
                    <w:autoSpaceDE w:val="0"/>
                    <w:spacing w:after="0"/>
                    <w:ind w:left="0" w:leftChars="0" w:firstLine="0" w:firstLineChars="0"/>
                    <w:rPr>
                      <w:kern w:val="0"/>
                    </w:rPr>
                  </w:pPr>
                  <w:r>
                    <w:rPr>
                      <w:rFonts w:hint="eastAsia" w:ascii="宋体" w:hAnsi="宋体" w:cs="宋体"/>
                      <w:kern w:val="0"/>
                    </w:rPr>
                    <w:t>禁止在生态保护红线区域、永久基本农田集中区域和其他需要特别保护的区域内选址建设尾矿库、冶炼渣库、磷石膏库。</w:t>
                  </w:r>
                </w:p>
              </w:tc>
              <w:tc>
                <w:tcPr>
                  <w:tcW w:w="1960" w:type="dxa"/>
                  <w:tcBorders>
                    <w:top w:val="single" w:color="auto" w:sz="4" w:space="0"/>
                    <w:left w:val="single" w:color="auto" w:sz="4" w:space="0"/>
                    <w:bottom w:val="single" w:color="auto" w:sz="4" w:space="0"/>
                    <w:right w:val="single" w:color="auto" w:sz="4" w:space="0"/>
                  </w:tcBorders>
                  <w:vAlign w:val="center"/>
                </w:tcPr>
                <w:p w14:paraId="7685F960">
                  <w:pPr>
                    <w:pStyle w:val="25"/>
                    <w:autoSpaceDE w:val="0"/>
                    <w:spacing w:after="0"/>
                    <w:ind w:left="0" w:leftChars="0" w:firstLine="0" w:firstLineChars="0"/>
                  </w:pPr>
                  <w:r>
                    <w:rPr>
                      <w:rFonts w:hint="eastAsia" w:ascii="宋体" w:hAnsi="宋体" w:cs="宋体"/>
                      <w:kern w:val="0"/>
                    </w:rPr>
                    <w:t>本项目不在生态保护红线区域内。</w:t>
                  </w:r>
                </w:p>
              </w:tc>
              <w:tc>
                <w:tcPr>
                  <w:tcW w:w="870" w:type="dxa"/>
                  <w:tcBorders>
                    <w:top w:val="single" w:color="auto" w:sz="4" w:space="0"/>
                    <w:left w:val="single" w:color="auto" w:sz="4" w:space="0"/>
                    <w:bottom w:val="single" w:color="auto" w:sz="4" w:space="0"/>
                    <w:right w:val="single" w:color="auto" w:sz="4" w:space="0"/>
                  </w:tcBorders>
                  <w:vAlign w:val="center"/>
                </w:tcPr>
                <w:p w14:paraId="0CBCC965">
                  <w:pPr>
                    <w:pStyle w:val="25"/>
                    <w:autoSpaceDE w:val="0"/>
                    <w:spacing w:after="0"/>
                    <w:ind w:left="0" w:leftChars="0" w:firstLine="0" w:firstLineChars="0"/>
                    <w:jc w:val="center"/>
                    <w:rPr>
                      <w:kern w:val="0"/>
                    </w:rPr>
                  </w:pPr>
                  <w:r>
                    <w:rPr>
                      <w:rFonts w:hint="eastAsia" w:ascii="宋体" w:hAnsi="宋体" w:cs="宋体"/>
                      <w:kern w:val="0"/>
                    </w:rPr>
                    <w:t>符合</w:t>
                  </w:r>
                </w:p>
              </w:tc>
            </w:tr>
            <w:tr w14:paraId="0701F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14:paraId="6EA6C5E0">
                  <w:pPr>
                    <w:pStyle w:val="25"/>
                    <w:autoSpaceDE w:val="0"/>
                    <w:spacing w:after="0"/>
                    <w:ind w:left="0" w:leftChars="0" w:firstLine="0" w:firstLineChars="0"/>
                    <w:jc w:val="center"/>
                  </w:pPr>
                  <w:r>
                    <w:t>11</w:t>
                  </w:r>
                </w:p>
              </w:tc>
              <w:tc>
                <w:tcPr>
                  <w:tcW w:w="4715" w:type="dxa"/>
                  <w:tcBorders>
                    <w:top w:val="single" w:color="auto" w:sz="4" w:space="0"/>
                    <w:left w:val="single" w:color="auto" w:sz="4" w:space="0"/>
                    <w:bottom w:val="single" w:color="auto" w:sz="4" w:space="0"/>
                    <w:right w:val="single" w:color="auto" w:sz="4" w:space="0"/>
                  </w:tcBorders>
                  <w:vAlign w:val="center"/>
                </w:tcPr>
                <w:p w14:paraId="0F021624">
                  <w:pPr>
                    <w:pStyle w:val="25"/>
                    <w:autoSpaceDE w:val="0"/>
                    <w:spacing w:after="0"/>
                    <w:ind w:left="0" w:leftChars="0" w:firstLine="0" w:firstLineChars="0"/>
                    <w:rPr>
                      <w:kern w:val="0"/>
                    </w:rPr>
                  </w:pPr>
                  <w:r>
                    <w:rPr>
                      <w:rFonts w:hint="eastAsia" w:ascii="宋体" w:hAnsi="宋体" w:cs="宋体"/>
                      <w:kern w:val="0"/>
                    </w:rPr>
                    <w:t>禁止在合规园区外新建、扩建钢铁、石化、化工、焦化、建材、有色、制浆造纸等高污染项目。</w:t>
                  </w:r>
                </w:p>
              </w:tc>
              <w:tc>
                <w:tcPr>
                  <w:tcW w:w="1960" w:type="dxa"/>
                  <w:tcBorders>
                    <w:top w:val="single" w:color="auto" w:sz="4" w:space="0"/>
                    <w:left w:val="single" w:color="auto" w:sz="4" w:space="0"/>
                    <w:bottom w:val="single" w:color="auto" w:sz="4" w:space="0"/>
                    <w:right w:val="single" w:color="auto" w:sz="4" w:space="0"/>
                  </w:tcBorders>
                  <w:vAlign w:val="center"/>
                </w:tcPr>
                <w:p w14:paraId="5E182EFB">
                  <w:pPr>
                    <w:pStyle w:val="25"/>
                    <w:autoSpaceDE w:val="0"/>
                    <w:spacing w:after="0"/>
                    <w:ind w:left="0" w:leftChars="0" w:firstLine="0" w:firstLineChars="0"/>
                  </w:pPr>
                  <w:r>
                    <w:rPr>
                      <w:rFonts w:hint="eastAsia" w:ascii="宋体" w:hAnsi="宋体" w:cs="宋体"/>
                    </w:rPr>
                    <w:t>本项目不属于</w:t>
                  </w:r>
                  <w:r>
                    <w:rPr>
                      <w:rFonts w:hint="eastAsia" w:ascii="宋体" w:hAnsi="宋体" w:cs="宋体"/>
                      <w:kern w:val="0"/>
                    </w:rPr>
                    <w:t>钢铁、石化、化工、焦化、建材、有色、制浆造纸等高污染项目。</w:t>
                  </w:r>
                </w:p>
              </w:tc>
              <w:tc>
                <w:tcPr>
                  <w:tcW w:w="870" w:type="dxa"/>
                  <w:tcBorders>
                    <w:top w:val="single" w:color="auto" w:sz="4" w:space="0"/>
                    <w:left w:val="single" w:color="auto" w:sz="4" w:space="0"/>
                    <w:bottom w:val="single" w:color="auto" w:sz="4" w:space="0"/>
                    <w:right w:val="single" w:color="auto" w:sz="4" w:space="0"/>
                  </w:tcBorders>
                  <w:vAlign w:val="center"/>
                </w:tcPr>
                <w:p w14:paraId="60CF2D19">
                  <w:pPr>
                    <w:pStyle w:val="25"/>
                    <w:autoSpaceDE w:val="0"/>
                    <w:spacing w:after="0"/>
                    <w:ind w:left="0" w:leftChars="0" w:firstLine="0" w:firstLineChars="0"/>
                    <w:jc w:val="center"/>
                  </w:pPr>
                  <w:r>
                    <w:rPr>
                      <w:rFonts w:hint="eastAsia" w:ascii="宋体" w:hAnsi="宋体" w:cs="宋体"/>
                    </w:rPr>
                    <w:t>符合</w:t>
                  </w:r>
                </w:p>
              </w:tc>
            </w:tr>
          </w:tbl>
          <w:p w14:paraId="707CBE79">
            <w:pPr>
              <w:pStyle w:val="36"/>
              <w:ind w:firstLine="480"/>
              <w:rPr>
                <w:rFonts w:hint="default"/>
              </w:rPr>
            </w:pPr>
            <w:r>
              <w:t>综上所述，本项目符合《四川省、重庆市长江经济带发展负面清单实施细则》（试行，</w:t>
            </w:r>
            <w:r>
              <w:rPr>
                <w:rFonts w:hint="default"/>
              </w:rPr>
              <w:t>2022</w:t>
            </w:r>
            <w:r>
              <w:t>年版）相关要求。</w:t>
            </w:r>
          </w:p>
          <w:p w14:paraId="7CA41CEB">
            <w:pPr>
              <w:pStyle w:val="4"/>
            </w:pPr>
            <w:r>
              <w:t>与</w:t>
            </w:r>
            <w:r>
              <w:rPr>
                <w:rFonts w:hint="eastAsia"/>
              </w:rPr>
              <w:t>《中华人民共和国河道管理条例》</w:t>
            </w:r>
            <w:r>
              <w:t>的符合性分析</w:t>
            </w:r>
          </w:p>
          <w:p w14:paraId="3EF6520A">
            <w:pPr>
              <w:pStyle w:val="4"/>
              <w:numPr>
                <w:ilvl w:val="0"/>
                <w:numId w:val="0"/>
              </w:numPr>
              <w:ind w:firstLine="480" w:firstLineChars="200"/>
              <w:rPr>
                <w:rFonts w:ascii="宋体"/>
                <w:b w:val="0"/>
              </w:rPr>
            </w:pPr>
            <w:r>
              <w:rPr>
                <w:rFonts w:hint="eastAsia"/>
                <w:b w:val="0"/>
              </w:rPr>
              <w:t>本项目与中华人民共和国河道管理条例符合性分析详见下表：</w:t>
            </w:r>
          </w:p>
          <w:p w14:paraId="0AB62E6A">
            <w:pPr>
              <w:pStyle w:val="37"/>
              <w:spacing w:before="156"/>
              <w:rPr>
                <w:rFonts w:hint="default" w:eastAsia="Times New Roman"/>
              </w:rPr>
            </w:pPr>
            <w:r>
              <w:rPr>
                <w:rFonts w:hint="default"/>
              </w:rPr>
              <w:t>与</w:t>
            </w:r>
            <w:r>
              <w:t>《中华人民共和国河道管理条例》</w:t>
            </w:r>
            <w:r>
              <w:rPr>
                <w:rFonts w:hint="default"/>
              </w:rPr>
              <w:t>符合性对比表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0"/>
              <w:gridCol w:w="4652"/>
              <w:gridCol w:w="2302"/>
              <w:gridCol w:w="933"/>
            </w:tblGrid>
            <w:tr w14:paraId="299D9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375" w:type="pct"/>
                  <w:tcBorders>
                    <w:top w:val="single" w:color="auto" w:sz="4" w:space="0"/>
                    <w:left w:val="single" w:color="auto" w:sz="4" w:space="0"/>
                    <w:bottom w:val="single" w:color="auto" w:sz="4" w:space="0"/>
                    <w:right w:val="single" w:color="auto" w:sz="4" w:space="0"/>
                    <w:tl2br w:val="nil"/>
                    <w:tr2bl w:val="nil"/>
                  </w:tcBorders>
                  <w:vAlign w:val="center"/>
                </w:tcPr>
                <w:p w14:paraId="0A1F57C0">
                  <w:pPr>
                    <w:pStyle w:val="55"/>
                    <w:rPr>
                      <w:rFonts w:hint="default" w:eastAsia="Times New Roman"/>
                      <w:b/>
                    </w:rPr>
                  </w:pPr>
                  <w:r>
                    <w:rPr>
                      <w:rFonts w:hint="default"/>
                      <w:b/>
                    </w:rPr>
                    <w:t>序号</w:t>
                  </w:r>
                </w:p>
              </w:tc>
              <w:tc>
                <w:tcPr>
                  <w:tcW w:w="2727" w:type="pct"/>
                  <w:tcBorders>
                    <w:top w:val="single" w:color="auto" w:sz="4" w:space="0"/>
                    <w:left w:val="single" w:color="auto" w:sz="4" w:space="0"/>
                    <w:bottom w:val="single" w:color="auto" w:sz="4" w:space="0"/>
                    <w:right w:val="single" w:color="auto" w:sz="4" w:space="0"/>
                    <w:tl2br w:val="nil"/>
                    <w:tr2bl w:val="nil"/>
                  </w:tcBorders>
                  <w:vAlign w:val="center"/>
                </w:tcPr>
                <w:p w14:paraId="6F761FE9">
                  <w:pPr>
                    <w:pStyle w:val="55"/>
                    <w:rPr>
                      <w:rFonts w:hint="default" w:eastAsia="Times New Roman"/>
                      <w:b/>
                    </w:rPr>
                  </w:pPr>
                  <w:r>
                    <w:rPr>
                      <w:rFonts w:hint="default"/>
                      <w:b/>
                    </w:rPr>
                    <w:t>相关要求</w:t>
                  </w:r>
                </w:p>
              </w:tc>
              <w:tc>
                <w:tcPr>
                  <w:tcW w:w="1349" w:type="pct"/>
                  <w:tcBorders>
                    <w:top w:val="single" w:color="auto" w:sz="4" w:space="0"/>
                    <w:left w:val="single" w:color="auto" w:sz="4" w:space="0"/>
                    <w:bottom w:val="single" w:color="auto" w:sz="4" w:space="0"/>
                    <w:right w:val="single" w:color="auto" w:sz="4" w:space="0"/>
                    <w:tl2br w:val="nil"/>
                    <w:tr2bl w:val="nil"/>
                  </w:tcBorders>
                  <w:vAlign w:val="center"/>
                </w:tcPr>
                <w:p w14:paraId="21B33292">
                  <w:pPr>
                    <w:pStyle w:val="55"/>
                    <w:rPr>
                      <w:rFonts w:hint="default" w:eastAsia="Times New Roman"/>
                      <w:b/>
                    </w:rPr>
                  </w:pPr>
                  <w:r>
                    <w:rPr>
                      <w:rFonts w:hint="default"/>
                      <w:b/>
                    </w:rPr>
                    <w:t>本项目情况</w:t>
                  </w:r>
                </w:p>
              </w:tc>
              <w:tc>
                <w:tcPr>
                  <w:tcW w:w="547" w:type="pct"/>
                  <w:tcBorders>
                    <w:top w:val="single" w:color="auto" w:sz="4" w:space="0"/>
                    <w:left w:val="single" w:color="auto" w:sz="4" w:space="0"/>
                    <w:bottom w:val="single" w:color="auto" w:sz="4" w:space="0"/>
                    <w:right w:val="single" w:color="auto" w:sz="4" w:space="0"/>
                    <w:tl2br w:val="nil"/>
                    <w:tr2bl w:val="nil"/>
                  </w:tcBorders>
                  <w:vAlign w:val="center"/>
                </w:tcPr>
                <w:p w14:paraId="72A7C781">
                  <w:pPr>
                    <w:pStyle w:val="55"/>
                    <w:rPr>
                      <w:rFonts w:hint="default"/>
                      <w:b/>
                    </w:rPr>
                  </w:pPr>
                  <w:r>
                    <w:rPr>
                      <w:rFonts w:hint="default"/>
                      <w:b/>
                    </w:rPr>
                    <w:t>符合性</w:t>
                  </w:r>
                </w:p>
              </w:tc>
            </w:tr>
            <w:tr w14:paraId="128FA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5" w:type="pct"/>
                  <w:tcBorders>
                    <w:top w:val="single" w:color="auto" w:sz="4" w:space="0"/>
                    <w:left w:val="single" w:color="auto" w:sz="4" w:space="0"/>
                    <w:bottom w:val="single" w:color="auto" w:sz="4" w:space="0"/>
                    <w:right w:val="single" w:color="auto" w:sz="4" w:space="0"/>
                    <w:tl2br w:val="nil"/>
                    <w:tr2bl w:val="nil"/>
                  </w:tcBorders>
                  <w:vAlign w:val="center"/>
                </w:tcPr>
                <w:p w14:paraId="1CAE398C">
                  <w:pPr>
                    <w:pStyle w:val="55"/>
                    <w:rPr>
                      <w:rFonts w:hint="default" w:eastAsia="Times New Roman"/>
                    </w:rPr>
                  </w:pPr>
                  <w:r>
                    <w:rPr>
                      <w:rFonts w:eastAsia="Times New Roman"/>
                    </w:rPr>
                    <w:t>1</w:t>
                  </w:r>
                </w:p>
              </w:tc>
              <w:tc>
                <w:tcPr>
                  <w:tcW w:w="2727" w:type="pct"/>
                  <w:tcBorders>
                    <w:top w:val="single" w:color="auto" w:sz="4" w:space="0"/>
                    <w:left w:val="single" w:color="auto" w:sz="4" w:space="0"/>
                    <w:bottom w:val="single" w:color="auto" w:sz="4" w:space="0"/>
                    <w:right w:val="single" w:color="auto" w:sz="4" w:space="0"/>
                    <w:tl2br w:val="nil"/>
                    <w:tr2bl w:val="nil"/>
                  </w:tcBorders>
                  <w:vAlign w:val="center"/>
                </w:tcPr>
                <w:p w14:paraId="62E26C40">
                  <w:pPr>
                    <w:pStyle w:val="55"/>
                    <w:jc w:val="left"/>
                    <w:rPr>
                      <w:rFonts w:hint="default" w:eastAsia="Times New Roman"/>
                    </w:rPr>
                  </w:pPr>
                  <w:r>
                    <w:rPr>
                      <w:rFonts w:eastAsia="Times New Roman"/>
                    </w:rPr>
                    <w:t>河道的整治与建设，应当服从流域综合规划，符合国家规定的防洪标准、通航标准和其他有关技术要求，维护堤防安全，保持河势稳定和行洪、航运通畅。</w:t>
                  </w:r>
                </w:p>
              </w:tc>
              <w:tc>
                <w:tcPr>
                  <w:tcW w:w="1349" w:type="pct"/>
                  <w:vMerge w:val="restart"/>
                  <w:tcBorders>
                    <w:top w:val="single" w:color="auto" w:sz="4" w:space="0"/>
                    <w:left w:val="single" w:color="auto" w:sz="4" w:space="0"/>
                    <w:right w:val="single" w:color="auto" w:sz="4" w:space="0"/>
                    <w:tl2br w:val="nil"/>
                    <w:tr2bl w:val="nil"/>
                  </w:tcBorders>
                  <w:vAlign w:val="center"/>
                </w:tcPr>
                <w:p w14:paraId="235FBC87">
                  <w:pPr>
                    <w:pStyle w:val="55"/>
                    <w:jc w:val="left"/>
                    <w:rPr>
                      <w:rFonts w:hint="default" w:eastAsia="Times New Roman"/>
                    </w:rPr>
                  </w:pPr>
                  <w:r>
                    <w:rPr>
                      <w:rFonts w:eastAsia="Times New Roman"/>
                    </w:rPr>
                    <w:t>本项目为大英县</w:t>
                  </w:r>
                  <w:r>
                    <w:t>金元镇</w:t>
                  </w:r>
                  <w:r>
                    <w:rPr>
                      <w:rFonts w:eastAsia="Times New Roman"/>
                    </w:rPr>
                    <w:t>河道整治工程，路线均沿原有河道的走向进行整治，</w:t>
                  </w:r>
                  <w:r>
                    <w:t>金元河为郪江右岸二级支流，</w:t>
                  </w:r>
                  <w:r>
                    <w:rPr>
                      <w:rFonts w:eastAsia="Times New Roman"/>
                    </w:rPr>
                    <w:t>属于涪江流域；根据《四川省涪江流域综合规划》</w:t>
                  </w:r>
                  <w:r>
                    <w:t>，</w:t>
                  </w:r>
                  <w:r>
                    <w:rPr>
                      <w:rFonts w:eastAsia="Times New Roman"/>
                    </w:rPr>
                    <w:t>项目建设有利于推动大英县水污染防治和水环境治理，有利于当地水资源得到更充分利用。符合《中华人民共和国河道管理条例》相关内容。</w:t>
                  </w:r>
                </w:p>
              </w:tc>
              <w:tc>
                <w:tcPr>
                  <w:tcW w:w="547" w:type="pct"/>
                  <w:vMerge w:val="restart"/>
                  <w:tcBorders>
                    <w:top w:val="single" w:color="auto" w:sz="4" w:space="0"/>
                    <w:left w:val="single" w:color="auto" w:sz="4" w:space="0"/>
                    <w:right w:val="single" w:color="auto" w:sz="4" w:space="0"/>
                    <w:tl2br w:val="nil"/>
                    <w:tr2bl w:val="nil"/>
                  </w:tcBorders>
                  <w:vAlign w:val="center"/>
                </w:tcPr>
                <w:p w14:paraId="2AD04263">
                  <w:pPr>
                    <w:pStyle w:val="55"/>
                    <w:rPr>
                      <w:rFonts w:hint="default" w:eastAsia="Times New Roman"/>
                    </w:rPr>
                  </w:pPr>
                  <w:r>
                    <w:rPr>
                      <w:rFonts w:hint="default"/>
                    </w:rPr>
                    <w:t>符合</w:t>
                  </w:r>
                </w:p>
              </w:tc>
            </w:tr>
            <w:tr w14:paraId="68509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5" w:type="pct"/>
                  <w:tcBorders>
                    <w:top w:val="single" w:color="auto" w:sz="4" w:space="0"/>
                    <w:left w:val="single" w:color="auto" w:sz="4" w:space="0"/>
                    <w:bottom w:val="single" w:color="auto" w:sz="4" w:space="0"/>
                    <w:right w:val="single" w:color="auto" w:sz="4" w:space="0"/>
                    <w:tl2br w:val="nil"/>
                    <w:tr2bl w:val="nil"/>
                  </w:tcBorders>
                  <w:vAlign w:val="center"/>
                </w:tcPr>
                <w:p w14:paraId="2BA31ED2">
                  <w:pPr>
                    <w:pStyle w:val="55"/>
                    <w:rPr>
                      <w:rFonts w:hint="default" w:eastAsia="Times New Roman"/>
                    </w:rPr>
                  </w:pPr>
                  <w:r>
                    <w:rPr>
                      <w:rFonts w:eastAsia="Times New Roman"/>
                    </w:rPr>
                    <w:t>2</w:t>
                  </w:r>
                </w:p>
              </w:tc>
              <w:tc>
                <w:tcPr>
                  <w:tcW w:w="2727" w:type="pct"/>
                  <w:tcBorders>
                    <w:top w:val="single" w:color="auto" w:sz="4" w:space="0"/>
                    <w:left w:val="single" w:color="auto" w:sz="4" w:space="0"/>
                    <w:bottom w:val="single" w:color="auto" w:sz="4" w:space="0"/>
                    <w:right w:val="single" w:color="auto" w:sz="4" w:space="0"/>
                    <w:tl2br w:val="nil"/>
                    <w:tr2bl w:val="nil"/>
                  </w:tcBorders>
                  <w:vAlign w:val="center"/>
                </w:tcPr>
                <w:p w14:paraId="2BE22D7D">
                  <w:pPr>
                    <w:pStyle w:val="55"/>
                    <w:jc w:val="left"/>
                    <w:rPr>
                      <w:rFonts w:hint="default" w:eastAsia="Times New Roman"/>
                    </w:rPr>
                  </w:pPr>
                  <w:r>
                    <w:rPr>
                      <w:rFonts w:eastAsia="Times New Roman"/>
                    </w:rPr>
                    <w:t>修建桥梁、码头和其他设施，必须按照国家规定的防洪标准所确定的河宽进行，不得缩窄行洪通道。</w:t>
                  </w:r>
                </w:p>
              </w:tc>
              <w:tc>
                <w:tcPr>
                  <w:tcW w:w="1349" w:type="pct"/>
                  <w:vMerge w:val="continue"/>
                  <w:tcBorders>
                    <w:left w:val="single" w:color="auto" w:sz="4" w:space="0"/>
                    <w:right w:val="single" w:color="auto" w:sz="4" w:space="0"/>
                    <w:tl2br w:val="nil"/>
                    <w:tr2bl w:val="nil"/>
                  </w:tcBorders>
                  <w:vAlign w:val="center"/>
                </w:tcPr>
                <w:p w14:paraId="1EF7EE07">
                  <w:pPr>
                    <w:pStyle w:val="55"/>
                    <w:jc w:val="left"/>
                    <w:rPr>
                      <w:rFonts w:hint="default" w:eastAsia="Times New Roman"/>
                    </w:rPr>
                  </w:pPr>
                </w:p>
              </w:tc>
              <w:tc>
                <w:tcPr>
                  <w:tcW w:w="547" w:type="pct"/>
                  <w:vMerge w:val="continue"/>
                  <w:tcBorders>
                    <w:left w:val="single" w:color="auto" w:sz="4" w:space="0"/>
                    <w:right w:val="single" w:color="auto" w:sz="4" w:space="0"/>
                    <w:tl2br w:val="nil"/>
                    <w:tr2bl w:val="nil"/>
                  </w:tcBorders>
                  <w:vAlign w:val="center"/>
                </w:tcPr>
                <w:p w14:paraId="28733F50">
                  <w:pPr>
                    <w:pStyle w:val="55"/>
                    <w:rPr>
                      <w:rFonts w:hint="default" w:eastAsia="Times New Roman"/>
                    </w:rPr>
                  </w:pPr>
                </w:p>
              </w:tc>
            </w:tr>
            <w:tr w14:paraId="65A05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5" w:type="pct"/>
                  <w:tcBorders>
                    <w:top w:val="single" w:color="auto" w:sz="4" w:space="0"/>
                    <w:left w:val="single" w:color="auto" w:sz="4" w:space="0"/>
                    <w:bottom w:val="single" w:color="auto" w:sz="4" w:space="0"/>
                    <w:right w:val="single" w:color="auto" w:sz="4" w:space="0"/>
                    <w:tl2br w:val="nil"/>
                    <w:tr2bl w:val="nil"/>
                  </w:tcBorders>
                  <w:vAlign w:val="center"/>
                </w:tcPr>
                <w:p w14:paraId="7801F23D">
                  <w:pPr>
                    <w:pStyle w:val="55"/>
                    <w:rPr>
                      <w:rFonts w:hint="default"/>
                    </w:rPr>
                  </w:pPr>
                  <w:r>
                    <w:rPr>
                      <w:rFonts w:hint="default"/>
                    </w:rPr>
                    <w:t>3</w:t>
                  </w:r>
                </w:p>
              </w:tc>
              <w:tc>
                <w:tcPr>
                  <w:tcW w:w="2727" w:type="pct"/>
                  <w:tcBorders>
                    <w:top w:val="single" w:color="auto" w:sz="4" w:space="0"/>
                    <w:left w:val="single" w:color="auto" w:sz="4" w:space="0"/>
                    <w:bottom w:val="single" w:color="auto" w:sz="4" w:space="0"/>
                    <w:right w:val="single" w:color="auto" w:sz="4" w:space="0"/>
                    <w:tl2br w:val="nil"/>
                    <w:tr2bl w:val="nil"/>
                  </w:tcBorders>
                  <w:vAlign w:val="center"/>
                </w:tcPr>
                <w:p w14:paraId="7DB70AD6">
                  <w:pPr>
                    <w:pStyle w:val="55"/>
                    <w:jc w:val="left"/>
                    <w:rPr>
                      <w:rFonts w:hint="default" w:eastAsia="Times New Roman"/>
                      <w:b/>
                    </w:rPr>
                  </w:pPr>
                  <w:r>
                    <w:rPr>
                      <w:rFonts w:eastAsia="Times New Roman"/>
                      <w:bCs/>
                    </w:rPr>
                    <w:t>水利部门进行河道整治，涉及航道的，应当兼顾航运的需要，并事先征求交通部门对有关设计和计划的意见。</w:t>
                  </w:r>
                </w:p>
              </w:tc>
              <w:tc>
                <w:tcPr>
                  <w:tcW w:w="1349" w:type="pct"/>
                  <w:vMerge w:val="continue"/>
                  <w:tcBorders>
                    <w:left w:val="single" w:color="auto" w:sz="4" w:space="0"/>
                    <w:right w:val="single" w:color="auto" w:sz="4" w:space="0"/>
                    <w:tl2br w:val="nil"/>
                    <w:tr2bl w:val="nil"/>
                  </w:tcBorders>
                  <w:vAlign w:val="center"/>
                </w:tcPr>
                <w:p w14:paraId="7227BD88">
                  <w:pPr>
                    <w:pStyle w:val="55"/>
                    <w:jc w:val="left"/>
                    <w:rPr>
                      <w:rFonts w:hint="default" w:eastAsia="Times New Roman"/>
                    </w:rPr>
                  </w:pPr>
                </w:p>
              </w:tc>
              <w:tc>
                <w:tcPr>
                  <w:tcW w:w="547" w:type="pct"/>
                  <w:vMerge w:val="continue"/>
                  <w:tcBorders>
                    <w:left w:val="single" w:color="auto" w:sz="4" w:space="0"/>
                    <w:right w:val="single" w:color="auto" w:sz="4" w:space="0"/>
                    <w:tl2br w:val="nil"/>
                    <w:tr2bl w:val="nil"/>
                  </w:tcBorders>
                  <w:vAlign w:val="center"/>
                </w:tcPr>
                <w:p w14:paraId="799F0C1B">
                  <w:pPr>
                    <w:pStyle w:val="55"/>
                    <w:rPr>
                      <w:rFonts w:hint="default" w:eastAsia="Times New Roman"/>
                    </w:rPr>
                  </w:pPr>
                </w:p>
              </w:tc>
            </w:tr>
            <w:tr w14:paraId="04ABE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5" w:type="pct"/>
                  <w:tcBorders>
                    <w:top w:val="single" w:color="auto" w:sz="4" w:space="0"/>
                    <w:left w:val="single" w:color="auto" w:sz="4" w:space="0"/>
                    <w:bottom w:val="single" w:color="auto" w:sz="4" w:space="0"/>
                    <w:right w:val="single" w:color="auto" w:sz="4" w:space="0"/>
                    <w:tl2br w:val="nil"/>
                    <w:tr2bl w:val="nil"/>
                  </w:tcBorders>
                  <w:vAlign w:val="center"/>
                </w:tcPr>
                <w:p w14:paraId="5270331E">
                  <w:pPr>
                    <w:pStyle w:val="55"/>
                    <w:rPr>
                      <w:rFonts w:hint="default"/>
                    </w:rPr>
                  </w:pPr>
                  <w:r>
                    <w:rPr>
                      <w:rFonts w:hint="default"/>
                    </w:rPr>
                    <w:t>4</w:t>
                  </w:r>
                </w:p>
              </w:tc>
              <w:tc>
                <w:tcPr>
                  <w:tcW w:w="2727" w:type="pct"/>
                  <w:tcBorders>
                    <w:top w:val="single" w:color="auto" w:sz="4" w:space="0"/>
                    <w:left w:val="single" w:color="auto" w:sz="4" w:space="0"/>
                    <w:bottom w:val="single" w:color="auto" w:sz="4" w:space="0"/>
                    <w:right w:val="single" w:color="auto" w:sz="4" w:space="0"/>
                    <w:tl2br w:val="nil"/>
                    <w:tr2bl w:val="nil"/>
                  </w:tcBorders>
                  <w:vAlign w:val="center"/>
                </w:tcPr>
                <w:p w14:paraId="3565DE77">
                  <w:pPr>
                    <w:pStyle w:val="55"/>
                    <w:jc w:val="left"/>
                    <w:rPr>
                      <w:rFonts w:hint="default" w:eastAsia="Times New Roman"/>
                      <w:b/>
                    </w:rPr>
                  </w:pPr>
                  <w:r>
                    <w:rPr>
                      <w:rFonts w:eastAsia="Times New Roman"/>
                      <w:bCs/>
                    </w:rPr>
                    <w:t>河道清淤和加固堤防取土以及按照防洪规划进行河道整治需要占用的土地，由当地人民政府调剂解决。</w:t>
                  </w:r>
                </w:p>
              </w:tc>
              <w:tc>
                <w:tcPr>
                  <w:tcW w:w="1349" w:type="pct"/>
                  <w:vMerge w:val="continue"/>
                  <w:tcBorders>
                    <w:left w:val="single" w:color="auto" w:sz="4" w:space="0"/>
                    <w:right w:val="single" w:color="auto" w:sz="4" w:space="0"/>
                    <w:tl2br w:val="nil"/>
                    <w:tr2bl w:val="nil"/>
                  </w:tcBorders>
                  <w:vAlign w:val="center"/>
                </w:tcPr>
                <w:p w14:paraId="20144988">
                  <w:pPr>
                    <w:pStyle w:val="55"/>
                    <w:jc w:val="left"/>
                    <w:rPr>
                      <w:rFonts w:hint="default" w:eastAsia="Times New Roman"/>
                    </w:rPr>
                  </w:pPr>
                </w:p>
              </w:tc>
              <w:tc>
                <w:tcPr>
                  <w:tcW w:w="547" w:type="pct"/>
                  <w:vMerge w:val="continue"/>
                  <w:tcBorders>
                    <w:left w:val="single" w:color="auto" w:sz="4" w:space="0"/>
                    <w:right w:val="single" w:color="auto" w:sz="4" w:space="0"/>
                    <w:tl2br w:val="nil"/>
                    <w:tr2bl w:val="nil"/>
                  </w:tcBorders>
                  <w:vAlign w:val="center"/>
                </w:tcPr>
                <w:p w14:paraId="4555B921">
                  <w:pPr>
                    <w:pStyle w:val="55"/>
                    <w:rPr>
                      <w:rFonts w:hint="default" w:eastAsia="Times New Roman"/>
                    </w:rPr>
                  </w:pPr>
                </w:p>
              </w:tc>
            </w:tr>
            <w:tr w14:paraId="056DA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5" w:type="pct"/>
                  <w:tcBorders>
                    <w:top w:val="single" w:color="auto" w:sz="4" w:space="0"/>
                    <w:left w:val="single" w:color="auto" w:sz="4" w:space="0"/>
                    <w:bottom w:val="single" w:color="auto" w:sz="4" w:space="0"/>
                    <w:right w:val="single" w:color="auto" w:sz="4" w:space="0"/>
                    <w:tl2br w:val="nil"/>
                    <w:tr2bl w:val="nil"/>
                  </w:tcBorders>
                  <w:vAlign w:val="center"/>
                </w:tcPr>
                <w:p w14:paraId="52F6B5BA">
                  <w:pPr>
                    <w:pStyle w:val="55"/>
                    <w:rPr>
                      <w:rFonts w:hint="default" w:eastAsia="Times New Roman"/>
                    </w:rPr>
                  </w:pPr>
                  <w:r>
                    <w:rPr>
                      <w:rFonts w:hint="default"/>
                    </w:rPr>
                    <w:t>5</w:t>
                  </w:r>
                </w:p>
              </w:tc>
              <w:tc>
                <w:tcPr>
                  <w:tcW w:w="2727" w:type="pct"/>
                  <w:tcBorders>
                    <w:top w:val="single" w:color="auto" w:sz="4" w:space="0"/>
                    <w:left w:val="single" w:color="auto" w:sz="4" w:space="0"/>
                    <w:bottom w:val="single" w:color="auto" w:sz="4" w:space="0"/>
                    <w:right w:val="single" w:color="auto" w:sz="4" w:space="0"/>
                    <w:tl2br w:val="nil"/>
                    <w:tr2bl w:val="nil"/>
                  </w:tcBorders>
                  <w:vAlign w:val="center"/>
                </w:tcPr>
                <w:p w14:paraId="5DA67191">
                  <w:pPr>
                    <w:pStyle w:val="55"/>
                    <w:jc w:val="left"/>
                    <w:rPr>
                      <w:rFonts w:hint="default" w:eastAsia="Times New Roman"/>
                      <w:bCs/>
                    </w:rPr>
                  </w:pPr>
                  <w:r>
                    <w:rPr>
                      <w:rFonts w:eastAsia="Times New Roman"/>
                      <w:bCs/>
                    </w:rPr>
                    <w:t>省、自治区、直辖市以河道为边界的，在河道两岸外侧各10公里之内，以及跨省、自治区、直辖市的河道，未经有关各方达成协议或者国务院水利行政主管部门批准，禁止单方面修建排水、阻水、引水、蓄水工程以及河道整治工程。</w:t>
                  </w:r>
                </w:p>
              </w:tc>
              <w:tc>
                <w:tcPr>
                  <w:tcW w:w="1349" w:type="pct"/>
                  <w:vMerge w:val="continue"/>
                  <w:tcBorders>
                    <w:left w:val="single" w:color="auto" w:sz="4" w:space="0"/>
                    <w:right w:val="single" w:color="auto" w:sz="4" w:space="0"/>
                    <w:tl2br w:val="nil"/>
                    <w:tr2bl w:val="nil"/>
                  </w:tcBorders>
                  <w:vAlign w:val="center"/>
                </w:tcPr>
                <w:p w14:paraId="555FAF13">
                  <w:pPr>
                    <w:pStyle w:val="55"/>
                    <w:jc w:val="left"/>
                    <w:rPr>
                      <w:rFonts w:hint="default" w:eastAsia="Times New Roman"/>
                      <w:bCs/>
                    </w:rPr>
                  </w:pPr>
                </w:p>
              </w:tc>
              <w:tc>
                <w:tcPr>
                  <w:tcW w:w="547" w:type="pct"/>
                  <w:vMerge w:val="continue"/>
                  <w:tcBorders>
                    <w:left w:val="single" w:color="auto" w:sz="4" w:space="0"/>
                    <w:right w:val="single" w:color="auto" w:sz="4" w:space="0"/>
                    <w:tl2br w:val="nil"/>
                    <w:tr2bl w:val="nil"/>
                  </w:tcBorders>
                  <w:vAlign w:val="center"/>
                </w:tcPr>
                <w:p w14:paraId="52CC5F37">
                  <w:pPr>
                    <w:pStyle w:val="55"/>
                    <w:rPr>
                      <w:rFonts w:hint="default" w:eastAsia="Times New Roman"/>
                    </w:rPr>
                  </w:pPr>
                </w:p>
              </w:tc>
            </w:tr>
            <w:tr w14:paraId="55B56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5" w:type="pct"/>
                  <w:tcBorders>
                    <w:top w:val="single" w:color="auto" w:sz="4" w:space="0"/>
                    <w:left w:val="single" w:color="auto" w:sz="4" w:space="0"/>
                    <w:bottom w:val="single" w:color="auto" w:sz="4" w:space="0"/>
                    <w:right w:val="single" w:color="auto" w:sz="4" w:space="0"/>
                    <w:tl2br w:val="nil"/>
                    <w:tr2bl w:val="nil"/>
                  </w:tcBorders>
                  <w:vAlign w:val="center"/>
                </w:tcPr>
                <w:p w14:paraId="5BFB37E1">
                  <w:pPr>
                    <w:pStyle w:val="55"/>
                    <w:rPr>
                      <w:rFonts w:hint="default"/>
                    </w:rPr>
                  </w:pPr>
                  <w:r>
                    <w:t>6</w:t>
                  </w:r>
                </w:p>
              </w:tc>
              <w:tc>
                <w:tcPr>
                  <w:tcW w:w="2727" w:type="pct"/>
                  <w:tcBorders>
                    <w:top w:val="single" w:color="auto" w:sz="4" w:space="0"/>
                    <w:left w:val="single" w:color="auto" w:sz="4" w:space="0"/>
                    <w:bottom w:val="single" w:color="auto" w:sz="4" w:space="0"/>
                    <w:right w:val="single" w:color="auto" w:sz="4" w:space="0"/>
                    <w:tl2br w:val="nil"/>
                    <w:tr2bl w:val="nil"/>
                  </w:tcBorders>
                  <w:vAlign w:val="center"/>
                </w:tcPr>
                <w:p w14:paraId="4F9B8D40">
                  <w:pPr>
                    <w:pStyle w:val="55"/>
                    <w:jc w:val="left"/>
                    <w:rPr>
                      <w:rFonts w:hint="default" w:eastAsia="Times New Roman"/>
                      <w:bCs/>
                    </w:rPr>
                  </w:pPr>
                  <w:r>
                    <w:rPr>
                      <w:rFonts w:eastAsia="Times New Roman"/>
                      <w:bCs/>
                    </w:rPr>
                    <w:t>在河道管理范围内，禁止修建围堤、阻水渠道、阻水道路；种植高杆农作物、芦苇、杞柳、荻柴和树木（堤防防护林除外）；设置拦河渔具；弃置矿渣、石渣、煤灰、泥土、垃圾等。</w:t>
                  </w:r>
                </w:p>
              </w:tc>
              <w:tc>
                <w:tcPr>
                  <w:tcW w:w="1349" w:type="pct"/>
                  <w:vMerge w:val="continue"/>
                  <w:tcBorders>
                    <w:left w:val="single" w:color="auto" w:sz="4" w:space="0"/>
                    <w:right w:val="single" w:color="auto" w:sz="4" w:space="0"/>
                    <w:tl2br w:val="nil"/>
                    <w:tr2bl w:val="nil"/>
                  </w:tcBorders>
                  <w:vAlign w:val="center"/>
                </w:tcPr>
                <w:p w14:paraId="1D86BA47">
                  <w:pPr>
                    <w:pStyle w:val="55"/>
                    <w:jc w:val="left"/>
                    <w:rPr>
                      <w:rFonts w:hint="default" w:eastAsia="Times New Roman"/>
                      <w:bCs/>
                    </w:rPr>
                  </w:pPr>
                </w:p>
              </w:tc>
              <w:tc>
                <w:tcPr>
                  <w:tcW w:w="547" w:type="pct"/>
                  <w:vMerge w:val="continue"/>
                  <w:tcBorders>
                    <w:left w:val="single" w:color="auto" w:sz="4" w:space="0"/>
                    <w:right w:val="single" w:color="auto" w:sz="4" w:space="0"/>
                    <w:tl2br w:val="nil"/>
                    <w:tr2bl w:val="nil"/>
                  </w:tcBorders>
                  <w:vAlign w:val="center"/>
                </w:tcPr>
                <w:p w14:paraId="54A4EA18">
                  <w:pPr>
                    <w:pStyle w:val="55"/>
                    <w:rPr>
                      <w:rFonts w:hint="default"/>
                    </w:rPr>
                  </w:pPr>
                </w:p>
              </w:tc>
            </w:tr>
            <w:tr w14:paraId="31ACD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5" w:type="pct"/>
                  <w:tcBorders>
                    <w:top w:val="single" w:color="auto" w:sz="4" w:space="0"/>
                    <w:left w:val="single" w:color="auto" w:sz="4" w:space="0"/>
                    <w:bottom w:val="single" w:color="auto" w:sz="4" w:space="0"/>
                    <w:right w:val="single" w:color="auto" w:sz="4" w:space="0"/>
                    <w:tl2br w:val="nil"/>
                    <w:tr2bl w:val="nil"/>
                  </w:tcBorders>
                  <w:vAlign w:val="center"/>
                </w:tcPr>
                <w:p w14:paraId="2C0931D9">
                  <w:pPr>
                    <w:pStyle w:val="55"/>
                    <w:rPr>
                      <w:rFonts w:hint="default"/>
                    </w:rPr>
                  </w:pPr>
                  <w:r>
                    <w:t>7</w:t>
                  </w:r>
                </w:p>
              </w:tc>
              <w:tc>
                <w:tcPr>
                  <w:tcW w:w="2727" w:type="pct"/>
                  <w:tcBorders>
                    <w:top w:val="single" w:color="auto" w:sz="4" w:space="0"/>
                    <w:left w:val="single" w:color="auto" w:sz="4" w:space="0"/>
                    <w:bottom w:val="single" w:color="auto" w:sz="4" w:space="0"/>
                    <w:right w:val="single" w:color="auto" w:sz="4" w:space="0"/>
                    <w:tl2br w:val="nil"/>
                    <w:tr2bl w:val="nil"/>
                  </w:tcBorders>
                  <w:vAlign w:val="center"/>
                </w:tcPr>
                <w:p w14:paraId="77CA242D">
                  <w:pPr>
                    <w:pStyle w:val="55"/>
                    <w:jc w:val="left"/>
                    <w:rPr>
                      <w:rFonts w:hint="default" w:eastAsia="Times New Roman"/>
                      <w:bCs/>
                    </w:rPr>
                  </w:pPr>
                  <w:r>
                    <w:rPr>
                      <w:rFonts w:eastAsia="Times New Roman"/>
                      <w:bCs/>
                    </w:rPr>
                    <w:t>在河道管理范围内进行下列活动，必须报经河道主管机关批准；涉及其他部门的，由河道主管机关会同有关部门批准：</w:t>
                  </w:r>
                </w:p>
                <w:p w14:paraId="20DAC417">
                  <w:pPr>
                    <w:pStyle w:val="55"/>
                    <w:jc w:val="left"/>
                    <w:rPr>
                      <w:rFonts w:hint="default" w:eastAsia="Times New Roman"/>
                      <w:bCs/>
                    </w:rPr>
                  </w:pPr>
                  <w:r>
                    <w:rPr>
                      <w:rFonts w:eastAsia="Times New Roman"/>
                      <w:bCs/>
                    </w:rPr>
                    <w:t>（一）采砂、取土、淘金、弃置砂石或者淤泥；</w:t>
                  </w:r>
                </w:p>
                <w:p w14:paraId="03A17602">
                  <w:pPr>
                    <w:pStyle w:val="55"/>
                    <w:jc w:val="left"/>
                    <w:rPr>
                      <w:rFonts w:hint="default" w:eastAsia="Times New Roman"/>
                      <w:bCs/>
                    </w:rPr>
                  </w:pPr>
                  <w:r>
                    <w:rPr>
                      <w:rFonts w:eastAsia="Times New Roman"/>
                      <w:bCs/>
                    </w:rPr>
                    <w:t>（二）爆破、钻探、挖筑鱼塘；</w:t>
                  </w:r>
                </w:p>
                <w:p w14:paraId="6438E16C">
                  <w:pPr>
                    <w:pStyle w:val="55"/>
                    <w:jc w:val="left"/>
                    <w:rPr>
                      <w:rFonts w:hint="default" w:eastAsia="Times New Roman"/>
                      <w:bCs/>
                    </w:rPr>
                  </w:pPr>
                  <w:r>
                    <w:rPr>
                      <w:rFonts w:eastAsia="Times New Roman"/>
                      <w:bCs/>
                    </w:rPr>
                    <w:t>（三）在河道滩地存放物料、修建厂房或者其他建筑设施；</w:t>
                  </w:r>
                </w:p>
                <w:p w14:paraId="752CDD00">
                  <w:pPr>
                    <w:pStyle w:val="55"/>
                    <w:jc w:val="left"/>
                    <w:rPr>
                      <w:rFonts w:hint="default" w:eastAsia="Times New Roman"/>
                      <w:bCs/>
                    </w:rPr>
                  </w:pPr>
                  <w:r>
                    <w:rPr>
                      <w:rFonts w:eastAsia="Times New Roman"/>
                      <w:bCs/>
                    </w:rPr>
                    <w:t>（四）在河道滩地开采地下资源及进行考古发掘。</w:t>
                  </w:r>
                </w:p>
              </w:tc>
              <w:tc>
                <w:tcPr>
                  <w:tcW w:w="1349" w:type="pct"/>
                  <w:vMerge w:val="continue"/>
                  <w:tcBorders>
                    <w:left w:val="single" w:color="auto" w:sz="4" w:space="0"/>
                    <w:right w:val="single" w:color="auto" w:sz="4" w:space="0"/>
                    <w:tl2br w:val="nil"/>
                    <w:tr2bl w:val="nil"/>
                  </w:tcBorders>
                  <w:vAlign w:val="center"/>
                </w:tcPr>
                <w:p w14:paraId="55273100">
                  <w:pPr>
                    <w:pStyle w:val="55"/>
                    <w:jc w:val="left"/>
                    <w:rPr>
                      <w:rFonts w:hint="default" w:eastAsia="Times New Roman"/>
                      <w:bCs/>
                    </w:rPr>
                  </w:pPr>
                </w:p>
              </w:tc>
              <w:tc>
                <w:tcPr>
                  <w:tcW w:w="547" w:type="pct"/>
                  <w:vMerge w:val="continue"/>
                  <w:tcBorders>
                    <w:left w:val="single" w:color="auto" w:sz="4" w:space="0"/>
                    <w:right w:val="single" w:color="auto" w:sz="4" w:space="0"/>
                    <w:tl2br w:val="nil"/>
                    <w:tr2bl w:val="nil"/>
                  </w:tcBorders>
                  <w:vAlign w:val="center"/>
                </w:tcPr>
                <w:p w14:paraId="5B8FAB55">
                  <w:pPr>
                    <w:pStyle w:val="55"/>
                    <w:rPr>
                      <w:rFonts w:hint="default"/>
                    </w:rPr>
                  </w:pPr>
                </w:p>
              </w:tc>
            </w:tr>
            <w:tr w14:paraId="2EF90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5" w:type="pct"/>
                  <w:tcBorders>
                    <w:top w:val="single" w:color="auto" w:sz="4" w:space="0"/>
                    <w:left w:val="single" w:color="auto" w:sz="4" w:space="0"/>
                    <w:bottom w:val="single" w:color="auto" w:sz="4" w:space="0"/>
                    <w:right w:val="single" w:color="auto" w:sz="4" w:space="0"/>
                    <w:tl2br w:val="nil"/>
                    <w:tr2bl w:val="nil"/>
                  </w:tcBorders>
                  <w:vAlign w:val="center"/>
                </w:tcPr>
                <w:p w14:paraId="4DB5181F">
                  <w:pPr>
                    <w:pStyle w:val="55"/>
                    <w:rPr>
                      <w:rFonts w:hint="default"/>
                    </w:rPr>
                  </w:pPr>
                  <w:r>
                    <w:t>8</w:t>
                  </w:r>
                </w:p>
              </w:tc>
              <w:tc>
                <w:tcPr>
                  <w:tcW w:w="2727" w:type="pct"/>
                  <w:tcBorders>
                    <w:top w:val="single" w:color="auto" w:sz="4" w:space="0"/>
                    <w:left w:val="single" w:color="auto" w:sz="4" w:space="0"/>
                    <w:bottom w:val="single" w:color="auto" w:sz="4" w:space="0"/>
                    <w:right w:val="single" w:color="auto" w:sz="4" w:space="0"/>
                    <w:tl2br w:val="nil"/>
                    <w:tr2bl w:val="nil"/>
                  </w:tcBorders>
                  <w:vAlign w:val="center"/>
                </w:tcPr>
                <w:p w14:paraId="376B41F7">
                  <w:pPr>
                    <w:pStyle w:val="55"/>
                    <w:jc w:val="left"/>
                    <w:rPr>
                      <w:rFonts w:hint="default" w:eastAsia="Times New Roman"/>
                      <w:bCs/>
                    </w:rPr>
                  </w:pPr>
                  <w:r>
                    <w:rPr>
                      <w:rFonts w:eastAsia="Times New Roman"/>
                      <w:bCs/>
                    </w:rPr>
                    <w:t>加强河道滩地、堤防和河岸的水土保持工作，防止水土流失、河道淤积。</w:t>
                  </w:r>
                </w:p>
              </w:tc>
              <w:tc>
                <w:tcPr>
                  <w:tcW w:w="1349" w:type="pct"/>
                  <w:vMerge w:val="continue"/>
                  <w:tcBorders>
                    <w:left w:val="single" w:color="auto" w:sz="4" w:space="0"/>
                    <w:right w:val="single" w:color="auto" w:sz="4" w:space="0"/>
                    <w:tl2br w:val="nil"/>
                    <w:tr2bl w:val="nil"/>
                  </w:tcBorders>
                  <w:vAlign w:val="center"/>
                </w:tcPr>
                <w:p w14:paraId="28CE7F5E">
                  <w:pPr>
                    <w:pStyle w:val="55"/>
                    <w:jc w:val="left"/>
                    <w:rPr>
                      <w:rFonts w:hint="default" w:eastAsia="Times New Roman"/>
                      <w:bCs/>
                    </w:rPr>
                  </w:pPr>
                </w:p>
              </w:tc>
              <w:tc>
                <w:tcPr>
                  <w:tcW w:w="547" w:type="pct"/>
                  <w:vMerge w:val="continue"/>
                  <w:tcBorders>
                    <w:left w:val="single" w:color="auto" w:sz="4" w:space="0"/>
                    <w:right w:val="single" w:color="auto" w:sz="4" w:space="0"/>
                    <w:tl2br w:val="nil"/>
                    <w:tr2bl w:val="nil"/>
                  </w:tcBorders>
                  <w:vAlign w:val="center"/>
                </w:tcPr>
                <w:p w14:paraId="14F8FC70">
                  <w:pPr>
                    <w:pStyle w:val="55"/>
                    <w:rPr>
                      <w:rFonts w:hint="default"/>
                    </w:rPr>
                  </w:pPr>
                </w:p>
              </w:tc>
            </w:tr>
            <w:tr w14:paraId="59A44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5" w:type="pct"/>
                  <w:tcBorders>
                    <w:top w:val="single" w:color="auto" w:sz="4" w:space="0"/>
                    <w:left w:val="single" w:color="auto" w:sz="4" w:space="0"/>
                    <w:bottom w:val="single" w:color="auto" w:sz="4" w:space="0"/>
                    <w:right w:val="single" w:color="auto" w:sz="4" w:space="0"/>
                    <w:tl2br w:val="nil"/>
                    <w:tr2bl w:val="nil"/>
                  </w:tcBorders>
                  <w:vAlign w:val="center"/>
                </w:tcPr>
                <w:p w14:paraId="2361BD6E">
                  <w:pPr>
                    <w:pStyle w:val="55"/>
                    <w:rPr>
                      <w:rFonts w:hint="default"/>
                    </w:rPr>
                  </w:pPr>
                  <w:r>
                    <w:t>9</w:t>
                  </w:r>
                </w:p>
              </w:tc>
              <w:tc>
                <w:tcPr>
                  <w:tcW w:w="2727" w:type="pct"/>
                  <w:tcBorders>
                    <w:top w:val="single" w:color="auto" w:sz="4" w:space="0"/>
                    <w:left w:val="single" w:color="auto" w:sz="4" w:space="0"/>
                    <w:bottom w:val="single" w:color="auto" w:sz="4" w:space="0"/>
                    <w:right w:val="single" w:color="auto" w:sz="4" w:space="0"/>
                    <w:tl2br w:val="nil"/>
                    <w:tr2bl w:val="nil"/>
                  </w:tcBorders>
                  <w:vAlign w:val="center"/>
                </w:tcPr>
                <w:p w14:paraId="77ACF581">
                  <w:pPr>
                    <w:pStyle w:val="55"/>
                    <w:jc w:val="left"/>
                    <w:rPr>
                      <w:rFonts w:hint="default" w:eastAsia="Times New Roman"/>
                      <w:bCs/>
                    </w:rPr>
                  </w:pPr>
                  <w:r>
                    <w:rPr>
                      <w:rFonts w:eastAsia="Times New Roman"/>
                      <w:bCs/>
                    </w:rPr>
                    <w:t>江河的故道、旧堤、原有工程设施等，非经河道主管机关批准，不得填堵、占用或者拆毁。</w:t>
                  </w:r>
                </w:p>
              </w:tc>
              <w:tc>
                <w:tcPr>
                  <w:tcW w:w="1349" w:type="pct"/>
                  <w:vMerge w:val="continue"/>
                  <w:tcBorders>
                    <w:left w:val="single" w:color="auto" w:sz="4" w:space="0"/>
                    <w:bottom w:val="single" w:color="auto" w:sz="4" w:space="0"/>
                    <w:right w:val="single" w:color="auto" w:sz="4" w:space="0"/>
                    <w:tl2br w:val="nil"/>
                    <w:tr2bl w:val="nil"/>
                  </w:tcBorders>
                  <w:vAlign w:val="center"/>
                </w:tcPr>
                <w:p w14:paraId="4153602E">
                  <w:pPr>
                    <w:pStyle w:val="55"/>
                    <w:jc w:val="left"/>
                    <w:rPr>
                      <w:rFonts w:hint="default" w:eastAsia="Times New Roman"/>
                      <w:bCs/>
                    </w:rPr>
                  </w:pPr>
                </w:p>
              </w:tc>
              <w:tc>
                <w:tcPr>
                  <w:tcW w:w="547" w:type="pct"/>
                  <w:vMerge w:val="continue"/>
                  <w:tcBorders>
                    <w:left w:val="single" w:color="auto" w:sz="4" w:space="0"/>
                    <w:bottom w:val="single" w:color="auto" w:sz="4" w:space="0"/>
                    <w:right w:val="single" w:color="auto" w:sz="4" w:space="0"/>
                    <w:tl2br w:val="nil"/>
                    <w:tr2bl w:val="nil"/>
                  </w:tcBorders>
                  <w:vAlign w:val="center"/>
                </w:tcPr>
                <w:p w14:paraId="369DAA8A">
                  <w:pPr>
                    <w:pStyle w:val="55"/>
                    <w:rPr>
                      <w:rFonts w:hint="default"/>
                    </w:rPr>
                  </w:pPr>
                </w:p>
              </w:tc>
            </w:tr>
          </w:tbl>
          <w:p w14:paraId="0DD95117">
            <w:pPr>
              <w:adjustRightInd w:val="0"/>
              <w:snapToGrid w:val="0"/>
              <w:spacing w:before="156" w:beforeLines="50" w:line="360" w:lineRule="auto"/>
              <w:ind w:firstLine="480" w:firstLineChars="200"/>
            </w:pPr>
            <w:r>
              <w:rPr>
                <w:rFonts w:ascii="宋体"/>
                <w:sz w:val="24"/>
                <w:szCs w:val="21"/>
              </w:rPr>
              <w:t>综上所述，本项目符合《中华人民共和国河道管理条例》</w:t>
            </w:r>
            <w:r>
              <w:rPr>
                <w:rFonts w:ascii="宋体"/>
                <w:sz w:val="24"/>
              </w:rPr>
              <w:t>相关</w:t>
            </w:r>
            <w:r>
              <w:rPr>
                <w:rFonts w:ascii="宋体"/>
                <w:sz w:val="24"/>
                <w:szCs w:val="21"/>
              </w:rPr>
              <w:t>要求。</w:t>
            </w:r>
          </w:p>
          <w:p w14:paraId="65089CCB">
            <w:pPr>
              <w:pStyle w:val="4"/>
            </w:pPr>
            <w:r>
              <w:rPr>
                <w:rFonts w:hint="eastAsia"/>
              </w:rPr>
              <w:t>与水污染防治行动计划的符合性分析</w:t>
            </w:r>
          </w:p>
          <w:p w14:paraId="167415DA">
            <w:pPr>
              <w:widowControl/>
              <w:spacing w:line="360" w:lineRule="auto"/>
              <w:ind w:firstLine="480" w:firstLineChars="200"/>
              <w:jc w:val="left"/>
              <w:rPr>
                <w:sz w:val="24"/>
                <w:szCs w:val="22"/>
              </w:rPr>
            </w:pPr>
            <w:r>
              <w:rPr>
                <w:rFonts w:hint="eastAsia"/>
                <w:sz w:val="24"/>
                <w:szCs w:val="22"/>
              </w:rPr>
              <w:t>本项目与水污染防治有关法律法规政策及生态环境保护规划的符合性分析详见下表：</w:t>
            </w:r>
          </w:p>
          <w:p w14:paraId="7E771A91">
            <w:pPr>
              <w:pStyle w:val="37"/>
              <w:spacing w:before="156"/>
              <w:rPr>
                <w:rFonts w:hint="default" w:eastAsia="Times New Roman"/>
              </w:rPr>
            </w:pPr>
            <w:r>
              <w:t>与水污染防治等相关规划符合性</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5268"/>
              <w:gridCol w:w="1100"/>
              <w:gridCol w:w="887"/>
            </w:tblGrid>
            <w:tr w14:paraId="52E51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pct"/>
                  <w:tcBorders>
                    <w:top w:val="single" w:color="auto" w:sz="4" w:space="0"/>
                    <w:left w:val="single" w:color="auto" w:sz="4" w:space="0"/>
                    <w:bottom w:val="single" w:color="auto" w:sz="4" w:space="0"/>
                    <w:right w:val="single" w:color="auto" w:sz="4" w:space="0"/>
                    <w:tl2br w:val="nil"/>
                    <w:tr2bl w:val="nil"/>
                  </w:tcBorders>
                  <w:vAlign w:val="center"/>
                </w:tcPr>
                <w:p w14:paraId="3A432CBB">
                  <w:pPr>
                    <w:widowControl/>
                    <w:jc w:val="center"/>
                    <w:rPr>
                      <w:b/>
                      <w:szCs w:val="21"/>
                    </w:rPr>
                  </w:pPr>
                  <w:r>
                    <w:rPr>
                      <w:rFonts w:hint="eastAsia"/>
                      <w:b/>
                      <w:szCs w:val="21"/>
                      <w:lang w:bidi="ar"/>
                    </w:rPr>
                    <w:t>文件</w:t>
                  </w:r>
                </w:p>
              </w:tc>
              <w:tc>
                <w:tcPr>
                  <w:tcW w:w="3088" w:type="pct"/>
                  <w:tcBorders>
                    <w:top w:val="single" w:color="auto" w:sz="4" w:space="0"/>
                    <w:left w:val="single" w:color="auto" w:sz="4" w:space="0"/>
                    <w:bottom w:val="single" w:color="auto" w:sz="4" w:space="0"/>
                    <w:right w:val="single" w:color="auto" w:sz="4" w:space="0"/>
                    <w:tl2br w:val="nil"/>
                    <w:tr2bl w:val="nil"/>
                  </w:tcBorders>
                  <w:vAlign w:val="center"/>
                </w:tcPr>
                <w:p w14:paraId="3E17C5BF">
                  <w:pPr>
                    <w:pStyle w:val="69"/>
                    <w:spacing w:line="240" w:lineRule="auto"/>
                    <w:ind w:firstLine="0" w:firstLineChars="0"/>
                    <w:jc w:val="center"/>
                    <w:rPr>
                      <w:b/>
                      <w:color w:val="auto"/>
                      <w:sz w:val="21"/>
                      <w:szCs w:val="21"/>
                    </w:rPr>
                  </w:pPr>
                  <w:r>
                    <w:rPr>
                      <w:rFonts w:hint="eastAsia"/>
                      <w:b/>
                      <w:color w:val="auto"/>
                      <w:sz w:val="21"/>
                      <w:szCs w:val="21"/>
                    </w:rPr>
                    <w:t>要求</w:t>
                  </w:r>
                </w:p>
              </w:tc>
              <w:tc>
                <w:tcPr>
                  <w:tcW w:w="645" w:type="pct"/>
                  <w:tcBorders>
                    <w:top w:val="single" w:color="auto" w:sz="4" w:space="0"/>
                    <w:left w:val="single" w:color="auto" w:sz="4" w:space="0"/>
                    <w:bottom w:val="single" w:color="auto" w:sz="4" w:space="0"/>
                    <w:right w:val="single" w:color="auto" w:sz="4" w:space="0"/>
                    <w:tl2br w:val="nil"/>
                    <w:tr2bl w:val="nil"/>
                  </w:tcBorders>
                  <w:vAlign w:val="center"/>
                </w:tcPr>
                <w:p w14:paraId="3109F2A0">
                  <w:pPr>
                    <w:pStyle w:val="69"/>
                    <w:spacing w:line="240" w:lineRule="auto"/>
                    <w:ind w:firstLine="0" w:firstLineChars="0"/>
                    <w:jc w:val="center"/>
                    <w:rPr>
                      <w:b/>
                      <w:color w:val="auto"/>
                      <w:sz w:val="21"/>
                      <w:szCs w:val="21"/>
                    </w:rPr>
                  </w:pPr>
                  <w:r>
                    <w:rPr>
                      <w:rFonts w:hint="eastAsia"/>
                      <w:b/>
                      <w:color w:val="auto"/>
                      <w:sz w:val="21"/>
                      <w:szCs w:val="21"/>
                    </w:rPr>
                    <w:t>项目情况</w:t>
                  </w:r>
                </w:p>
              </w:tc>
              <w:tc>
                <w:tcPr>
                  <w:tcW w:w="520" w:type="pct"/>
                  <w:tcBorders>
                    <w:top w:val="single" w:color="auto" w:sz="4" w:space="0"/>
                    <w:left w:val="single" w:color="auto" w:sz="4" w:space="0"/>
                    <w:bottom w:val="single" w:color="auto" w:sz="4" w:space="0"/>
                    <w:right w:val="single" w:color="auto" w:sz="4" w:space="0"/>
                    <w:tl2br w:val="nil"/>
                    <w:tr2bl w:val="nil"/>
                  </w:tcBorders>
                  <w:vAlign w:val="center"/>
                </w:tcPr>
                <w:p w14:paraId="65ADAD7A">
                  <w:pPr>
                    <w:pStyle w:val="69"/>
                    <w:spacing w:line="240" w:lineRule="auto"/>
                    <w:ind w:firstLine="0" w:firstLineChars="0"/>
                    <w:jc w:val="center"/>
                    <w:rPr>
                      <w:b/>
                      <w:color w:val="auto"/>
                      <w:sz w:val="21"/>
                      <w:szCs w:val="21"/>
                    </w:rPr>
                  </w:pPr>
                  <w:r>
                    <w:rPr>
                      <w:rFonts w:hint="eastAsia"/>
                      <w:b/>
                      <w:color w:val="auto"/>
                      <w:sz w:val="21"/>
                      <w:szCs w:val="21"/>
                    </w:rPr>
                    <w:t>符合性</w:t>
                  </w:r>
                </w:p>
              </w:tc>
            </w:tr>
            <w:tr w14:paraId="57D76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pct"/>
                  <w:tcBorders>
                    <w:top w:val="single" w:color="auto" w:sz="4" w:space="0"/>
                    <w:left w:val="single" w:color="auto" w:sz="4" w:space="0"/>
                    <w:bottom w:val="single" w:color="auto" w:sz="4" w:space="0"/>
                    <w:right w:val="single" w:color="auto" w:sz="4" w:space="0"/>
                    <w:tl2br w:val="nil"/>
                    <w:tr2bl w:val="nil"/>
                  </w:tcBorders>
                  <w:vAlign w:val="center"/>
                </w:tcPr>
                <w:p w14:paraId="3A440EDD">
                  <w:pPr>
                    <w:pStyle w:val="55"/>
                    <w:rPr>
                      <w:rFonts w:hint="default"/>
                    </w:rPr>
                  </w:pPr>
                  <w:r>
                    <w:t>《中华人民共和国长江保护法》（2021年3月1日起施行）</w:t>
                  </w:r>
                </w:p>
              </w:tc>
              <w:tc>
                <w:tcPr>
                  <w:tcW w:w="3088" w:type="pct"/>
                  <w:tcBorders>
                    <w:top w:val="single" w:color="auto" w:sz="4" w:space="0"/>
                    <w:left w:val="single" w:color="auto" w:sz="4" w:space="0"/>
                    <w:bottom w:val="single" w:color="auto" w:sz="4" w:space="0"/>
                    <w:right w:val="single" w:color="auto" w:sz="4" w:space="0"/>
                    <w:tl2br w:val="nil"/>
                    <w:tr2bl w:val="nil"/>
                  </w:tcBorders>
                  <w:vAlign w:val="center"/>
                </w:tcPr>
                <w:p w14:paraId="5FFAFCD0">
                  <w:pPr>
                    <w:pStyle w:val="55"/>
                    <w:numPr>
                      <w:ilvl w:val="0"/>
                      <w:numId w:val="21"/>
                    </w:numPr>
                    <w:jc w:val="left"/>
                    <w:rPr>
                      <w:rFonts w:hint="default"/>
                    </w:rPr>
                  </w:pPr>
                  <w:r>
                    <w:t>禁止在长江干支流岸线一公里范围内新建、扩建化工园区和化工项目。禁止在长江干流岸线三公里范围内和重要支流岸线一公里范围内新建、改建、扩建尾矿库；但是以提升安全、生态环境保护水平为目的的改建除外。</w:t>
                  </w:r>
                </w:p>
                <w:p w14:paraId="3AC1B12C">
                  <w:pPr>
                    <w:pStyle w:val="55"/>
                    <w:numPr>
                      <w:ilvl w:val="0"/>
                      <w:numId w:val="21"/>
                    </w:numPr>
                    <w:jc w:val="left"/>
                    <w:rPr>
                      <w:rFonts w:hint="default"/>
                    </w:rPr>
                  </w:pPr>
                  <w:r>
                    <w:t>禁止在长江流域河湖管理范围内倾倒、填埋、堆放、弃置、处理固体废物。长江流域县级以上地方人民政府应当加强对固体废物非法转移和倾倒的联防联控。</w:t>
                  </w:r>
                </w:p>
              </w:tc>
              <w:tc>
                <w:tcPr>
                  <w:tcW w:w="645" w:type="pct"/>
                  <w:tcBorders>
                    <w:top w:val="single" w:color="auto" w:sz="4" w:space="0"/>
                    <w:left w:val="single" w:color="auto" w:sz="4" w:space="0"/>
                    <w:bottom w:val="single" w:color="auto" w:sz="4" w:space="0"/>
                    <w:right w:val="single" w:color="auto" w:sz="4" w:space="0"/>
                    <w:tl2br w:val="nil"/>
                    <w:tr2bl w:val="nil"/>
                  </w:tcBorders>
                  <w:vAlign w:val="center"/>
                </w:tcPr>
                <w:p w14:paraId="33B6B742">
                  <w:pPr>
                    <w:pStyle w:val="55"/>
                    <w:jc w:val="left"/>
                    <w:rPr>
                      <w:rFonts w:hint="default"/>
                    </w:rPr>
                  </w:pPr>
                  <w:r>
                    <w:t>本项目属于河湖整治，不属于化工项目</w:t>
                  </w:r>
                </w:p>
              </w:tc>
              <w:tc>
                <w:tcPr>
                  <w:tcW w:w="520" w:type="pct"/>
                  <w:tcBorders>
                    <w:top w:val="single" w:color="auto" w:sz="4" w:space="0"/>
                    <w:left w:val="single" w:color="auto" w:sz="4" w:space="0"/>
                    <w:bottom w:val="single" w:color="auto" w:sz="4" w:space="0"/>
                    <w:right w:val="single" w:color="auto" w:sz="4" w:space="0"/>
                    <w:tl2br w:val="nil"/>
                    <w:tr2bl w:val="nil"/>
                  </w:tcBorders>
                  <w:vAlign w:val="center"/>
                </w:tcPr>
                <w:p w14:paraId="03A12364">
                  <w:pPr>
                    <w:pStyle w:val="55"/>
                    <w:rPr>
                      <w:rFonts w:hint="default"/>
                    </w:rPr>
                  </w:pPr>
                  <w:r>
                    <w:t>符合</w:t>
                  </w:r>
                </w:p>
              </w:tc>
            </w:tr>
            <w:tr w14:paraId="70AE8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pct"/>
                  <w:tcBorders>
                    <w:top w:val="single" w:color="auto" w:sz="4" w:space="0"/>
                    <w:left w:val="single" w:color="auto" w:sz="4" w:space="0"/>
                    <w:bottom w:val="single" w:color="auto" w:sz="4" w:space="0"/>
                    <w:right w:val="single" w:color="auto" w:sz="4" w:space="0"/>
                    <w:tl2br w:val="nil"/>
                    <w:tr2bl w:val="nil"/>
                  </w:tcBorders>
                  <w:vAlign w:val="center"/>
                </w:tcPr>
                <w:p w14:paraId="7CA1293D">
                  <w:pPr>
                    <w:pStyle w:val="55"/>
                    <w:rPr>
                      <w:rFonts w:hint="default"/>
                    </w:rPr>
                  </w:pPr>
                  <w:r>
                    <w:t>《中华人民共和国水污染防治法》（2017年修正）</w:t>
                  </w:r>
                </w:p>
              </w:tc>
              <w:tc>
                <w:tcPr>
                  <w:tcW w:w="3088" w:type="pct"/>
                  <w:tcBorders>
                    <w:top w:val="single" w:color="auto" w:sz="4" w:space="0"/>
                    <w:left w:val="single" w:color="auto" w:sz="4" w:space="0"/>
                    <w:bottom w:val="single" w:color="auto" w:sz="4" w:space="0"/>
                    <w:right w:val="single" w:color="auto" w:sz="4" w:space="0"/>
                    <w:tl2br w:val="nil"/>
                    <w:tr2bl w:val="nil"/>
                  </w:tcBorders>
                  <w:vAlign w:val="center"/>
                </w:tcPr>
                <w:p w14:paraId="4DB805B1">
                  <w:pPr>
                    <w:pStyle w:val="55"/>
                    <w:jc w:val="left"/>
                    <w:rPr>
                      <w:rFonts w:hint="default"/>
                    </w:rPr>
                  </w:pPr>
                  <w:r>
                    <w:t>排放工业废水的企业应当采取有效措施，收集和处理产生的全部废水，防止污染环境。含有毒有害水污染物的工业废水应当分类收集和处理，不得稀释排放。向污水集中处理设施排放工业废水的，应当按照国家有关规定进行预处理，达到集中处理设施处理工艺要求后方可排放。国家禁止新建不符合国家产业政策的小型造纸、制革、印染、染料、炼焦、炼硫、炼砷、炼汞、炼油、电镀、农药、石棉、水泥、玻璃、钢铁、火电以及其他严重污染水环境的生产项目。企业应当采用原材料利用效率高、污染物排放量少的清洁工艺，并加强管理，减少水污染物的产生。</w:t>
                  </w:r>
                </w:p>
              </w:tc>
              <w:tc>
                <w:tcPr>
                  <w:tcW w:w="645" w:type="pct"/>
                  <w:tcBorders>
                    <w:top w:val="single" w:color="auto" w:sz="4" w:space="0"/>
                    <w:left w:val="single" w:color="auto" w:sz="4" w:space="0"/>
                    <w:bottom w:val="single" w:color="auto" w:sz="4" w:space="0"/>
                    <w:right w:val="single" w:color="auto" w:sz="4" w:space="0"/>
                    <w:tl2br w:val="nil"/>
                    <w:tr2bl w:val="nil"/>
                  </w:tcBorders>
                  <w:vAlign w:val="center"/>
                </w:tcPr>
                <w:p w14:paraId="27BF2CF2">
                  <w:pPr>
                    <w:pStyle w:val="55"/>
                    <w:jc w:val="left"/>
                    <w:rPr>
                      <w:rFonts w:hint="default"/>
                    </w:rPr>
                  </w:pPr>
                  <w:r>
                    <w:t>本项目为河湖整治，属于生态影响类，运营期无污染物排放</w:t>
                  </w:r>
                </w:p>
              </w:tc>
              <w:tc>
                <w:tcPr>
                  <w:tcW w:w="520" w:type="pct"/>
                  <w:tcBorders>
                    <w:top w:val="single" w:color="auto" w:sz="4" w:space="0"/>
                    <w:left w:val="single" w:color="auto" w:sz="4" w:space="0"/>
                    <w:bottom w:val="single" w:color="auto" w:sz="4" w:space="0"/>
                    <w:right w:val="single" w:color="auto" w:sz="4" w:space="0"/>
                    <w:tl2br w:val="nil"/>
                    <w:tr2bl w:val="nil"/>
                  </w:tcBorders>
                  <w:vAlign w:val="center"/>
                </w:tcPr>
                <w:p w14:paraId="6C2C0AFD">
                  <w:pPr>
                    <w:pStyle w:val="55"/>
                    <w:rPr>
                      <w:rFonts w:hint="default"/>
                    </w:rPr>
                  </w:pPr>
                  <w:r>
                    <w:t>符合</w:t>
                  </w:r>
                </w:p>
              </w:tc>
            </w:tr>
            <w:tr w14:paraId="2E443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pct"/>
                  <w:tcBorders>
                    <w:top w:val="single" w:color="auto" w:sz="4" w:space="0"/>
                    <w:left w:val="single" w:color="auto" w:sz="4" w:space="0"/>
                    <w:bottom w:val="single" w:color="auto" w:sz="4" w:space="0"/>
                    <w:right w:val="single" w:color="auto" w:sz="4" w:space="0"/>
                    <w:tl2br w:val="nil"/>
                    <w:tr2bl w:val="nil"/>
                  </w:tcBorders>
                  <w:vAlign w:val="center"/>
                </w:tcPr>
                <w:p w14:paraId="7347C605">
                  <w:pPr>
                    <w:pStyle w:val="55"/>
                    <w:rPr>
                      <w:rFonts w:hint="default"/>
                    </w:rPr>
                  </w:pPr>
                  <w:r>
                    <w:t>《国务院关于印发水污染防治行动计划的通知》（国发〔2015〕17号）</w:t>
                  </w:r>
                </w:p>
              </w:tc>
              <w:tc>
                <w:tcPr>
                  <w:tcW w:w="3088" w:type="pct"/>
                  <w:tcBorders>
                    <w:top w:val="single" w:color="auto" w:sz="4" w:space="0"/>
                    <w:left w:val="single" w:color="auto" w:sz="4" w:space="0"/>
                    <w:bottom w:val="single" w:color="auto" w:sz="4" w:space="0"/>
                    <w:right w:val="single" w:color="auto" w:sz="4" w:space="0"/>
                    <w:tl2br w:val="nil"/>
                    <w:tr2bl w:val="nil"/>
                  </w:tcBorders>
                  <w:vAlign w:val="center"/>
                </w:tcPr>
                <w:p w14:paraId="2384AC5F">
                  <w:pPr>
                    <w:pStyle w:val="55"/>
                    <w:jc w:val="left"/>
                    <w:rPr>
                      <w:rFonts w:hint="default"/>
                    </w:rPr>
                  </w:pPr>
                  <w:r>
                    <w:rPr>
                      <w:rFonts w:cs="宋体"/>
                      <w:lang w:bidi="ar"/>
                    </w:rPr>
                    <w:t>（一）</w:t>
                  </w:r>
                  <w:r>
                    <w:t>狠抓工业污染防治专项整治十大重点行业。制定造纸、焦化、氮肥、有色金属、印染、农副食品加工、原料药制造、制革、农药、电镀等行业专项治理方案，实施清洁化改造。新建、改建、扩建上述行业建设项目实行主要污染物排放等量或减量置换。</w:t>
                  </w:r>
                </w:p>
                <w:p w14:paraId="33D58A69">
                  <w:pPr>
                    <w:pStyle w:val="55"/>
                    <w:jc w:val="left"/>
                    <w:rPr>
                      <w:rFonts w:hint="default"/>
                    </w:rPr>
                  </w:pPr>
                  <w:r>
                    <w:t>（五）调整产业结构严格环境准入。根据流域水质目标和主体功能区规划要求，明确区域环境准入条件，细化功能分区，实施差别化环境准入政策。建立水资源、水环境承载能力监测评价体系，实行承载能力监测预警，已超过承载能力的地区要实施水污染物削减方案，加快调整发展规划和产业结构。</w:t>
                  </w:r>
                </w:p>
              </w:tc>
              <w:tc>
                <w:tcPr>
                  <w:tcW w:w="645" w:type="pct"/>
                  <w:vMerge w:val="restart"/>
                  <w:tcBorders>
                    <w:top w:val="single" w:color="auto" w:sz="4" w:space="0"/>
                    <w:left w:val="single" w:color="auto" w:sz="4" w:space="0"/>
                    <w:right w:val="single" w:color="auto" w:sz="4" w:space="0"/>
                    <w:tl2br w:val="nil"/>
                    <w:tr2bl w:val="nil"/>
                  </w:tcBorders>
                  <w:vAlign w:val="center"/>
                </w:tcPr>
                <w:p w14:paraId="222BA614">
                  <w:pPr>
                    <w:pStyle w:val="55"/>
                    <w:jc w:val="left"/>
                    <w:rPr>
                      <w:rFonts w:hint="default"/>
                    </w:rPr>
                  </w:pPr>
                  <w:r>
                    <w:t>本项目不属于造纸、焦化、氮肥、有色金属、印染、农副食品加工、原料药制造、制革、农药、电镀等行业。项目地表水属于达标区</w:t>
                  </w:r>
                </w:p>
              </w:tc>
              <w:tc>
                <w:tcPr>
                  <w:tcW w:w="520" w:type="pct"/>
                  <w:vMerge w:val="restart"/>
                  <w:tcBorders>
                    <w:top w:val="single" w:color="auto" w:sz="4" w:space="0"/>
                    <w:left w:val="single" w:color="auto" w:sz="4" w:space="0"/>
                    <w:right w:val="single" w:color="auto" w:sz="4" w:space="0"/>
                    <w:tl2br w:val="nil"/>
                    <w:tr2bl w:val="nil"/>
                  </w:tcBorders>
                  <w:vAlign w:val="center"/>
                </w:tcPr>
                <w:p w14:paraId="7F8F0F20">
                  <w:pPr>
                    <w:pStyle w:val="55"/>
                    <w:rPr>
                      <w:rFonts w:hint="default"/>
                    </w:rPr>
                  </w:pPr>
                  <w:r>
                    <w:t>符合</w:t>
                  </w:r>
                </w:p>
              </w:tc>
            </w:tr>
            <w:tr w14:paraId="3F0AF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pct"/>
                  <w:tcBorders>
                    <w:top w:val="single" w:color="auto" w:sz="4" w:space="0"/>
                    <w:left w:val="single" w:color="auto" w:sz="4" w:space="0"/>
                    <w:bottom w:val="single" w:color="auto" w:sz="4" w:space="0"/>
                    <w:right w:val="single" w:color="auto" w:sz="4" w:space="0"/>
                    <w:tl2br w:val="nil"/>
                    <w:tr2bl w:val="nil"/>
                  </w:tcBorders>
                  <w:vAlign w:val="center"/>
                </w:tcPr>
                <w:p w14:paraId="0939D337">
                  <w:pPr>
                    <w:widowControl/>
                    <w:jc w:val="center"/>
                    <w:rPr>
                      <w:szCs w:val="21"/>
                    </w:rPr>
                  </w:pPr>
                  <w:r>
                    <w:rPr>
                      <w:rFonts w:hint="eastAsia" w:ascii="宋体" w:hAnsi="宋体" w:cs="宋体"/>
                      <w:color w:val="000000"/>
                      <w:kern w:val="0"/>
                      <w:sz w:val="20"/>
                      <w:szCs w:val="20"/>
                      <w:lang w:bidi="ar"/>
                    </w:rPr>
                    <w:t>《〈水污染防治行动计划〉四川省工作方案》（川府发</w:t>
                  </w:r>
                  <w:r>
                    <w:rPr>
                      <w:color w:val="000000"/>
                      <w:kern w:val="0"/>
                      <w:sz w:val="20"/>
                      <w:szCs w:val="20"/>
                      <w:lang w:bidi="ar"/>
                    </w:rPr>
                    <w:t>59</w:t>
                  </w:r>
                  <w:r>
                    <w:rPr>
                      <w:rFonts w:hint="eastAsia" w:ascii="宋体" w:hAnsi="宋体" w:cs="宋体"/>
                      <w:color w:val="000000"/>
                      <w:kern w:val="0"/>
                      <w:sz w:val="20"/>
                      <w:szCs w:val="20"/>
                      <w:lang w:bidi="ar"/>
                    </w:rPr>
                    <w:t>号）</w:t>
                  </w:r>
                </w:p>
              </w:tc>
              <w:tc>
                <w:tcPr>
                  <w:tcW w:w="3088" w:type="pct"/>
                  <w:tcBorders>
                    <w:top w:val="single" w:color="auto" w:sz="4" w:space="0"/>
                    <w:left w:val="single" w:color="auto" w:sz="4" w:space="0"/>
                    <w:bottom w:val="single" w:color="auto" w:sz="4" w:space="0"/>
                    <w:right w:val="single" w:color="auto" w:sz="4" w:space="0"/>
                    <w:tl2br w:val="nil"/>
                    <w:tr2bl w:val="nil"/>
                  </w:tcBorders>
                  <w:vAlign w:val="center"/>
                </w:tcPr>
                <w:p w14:paraId="0A6895FD">
                  <w:pPr>
                    <w:pStyle w:val="55"/>
                    <w:jc w:val="left"/>
                    <w:rPr>
                      <w:rFonts w:hint="default"/>
                    </w:rPr>
                  </w:pPr>
                  <w:r>
                    <w:t>（一）狠抓工业污染防治</w:t>
                  </w:r>
                </w:p>
                <w:p w14:paraId="694EB671">
                  <w:pPr>
                    <w:pStyle w:val="55"/>
                    <w:jc w:val="left"/>
                    <w:rPr>
                      <w:rFonts w:hint="default"/>
                    </w:rPr>
                  </w:pPr>
                  <w:r>
                    <w:t>2 专项整治“10+1”重点行业。环境保护、经济和信息化部门联合制定造纸、焦化、氮肥、有色金属、印染、农副食品加工、原料药制造、制革、农药、电镀和磷化工等行业专项治理方案并组织实施；新建、改建、扩建上述行业的建设项目执行氨氮、化学需氧量等量或减量置换。</w:t>
                  </w:r>
                </w:p>
                <w:p w14:paraId="0BB9FB59">
                  <w:pPr>
                    <w:pStyle w:val="55"/>
                    <w:jc w:val="left"/>
                    <w:rPr>
                      <w:rFonts w:hint="default"/>
                    </w:rPr>
                  </w:pPr>
                  <w:r>
                    <w:t>（五）调整产业结构</w:t>
                  </w:r>
                </w:p>
                <w:p w14:paraId="78EC4731">
                  <w:pPr>
                    <w:pStyle w:val="55"/>
                    <w:jc w:val="left"/>
                    <w:rPr>
                      <w:rFonts w:hint="default"/>
                    </w:rPr>
                  </w:pPr>
                  <w:r>
                    <w:t>17.严格环境准入。环境保护部门按照流域水质目标、区域功能划分、容量总量核定的“三位一体”环境准入要求，进一步细化准入条件，严格准入标准，强化分类指导；执行规划环境影响评价、项目环境影响评价以及流域、区域水环境质量和水污染物减排绩效挂钩制度；逐步建立水环境承载能力监测评价体系，对已超过水环境承载能力的地方，由各地制定并组织实施水环境质量达标方案。</w:t>
                  </w:r>
                </w:p>
              </w:tc>
              <w:tc>
                <w:tcPr>
                  <w:tcW w:w="645" w:type="pct"/>
                  <w:vMerge w:val="continue"/>
                  <w:tcBorders>
                    <w:left w:val="single" w:color="auto" w:sz="4" w:space="0"/>
                    <w:bottom w:val="single" w:color="auto" w:sz="4" w:space="0"/>
                    <w:right w:val="single" w:color="auto" w:sz="4" w:space="0"/>
                    <w:tl2br w:val="nil"/>
                    <w:tr2bl w:val="nil"/>
                  </w:tcBorders>
                  <w:vAlign w:val="center"/>
                </w:tcPr>
                <w:p w14:paraId="1B74160B">
                  <w:pPr>
                    <w:pStyle w:val="55"/>
                    <w:jc w:val="left"/>
                    <w:rPr>
                      <w:rFonts w:hint="default"/>
                    </w:rPr>
                  </w:pPr>
                </w:p>
              </w:tc>
              <w:tc>
                <w:tcPr>
                  <w:tcW w:w="520" w:type="pct"/>
                  <w:vMerge w:val="continue"/>
                  <w:tcBorders>
                    <w:left w:val="single" w:color="auto" w:sz="4" w:space="0"/>
                    <w:bottom w:val="single" w:color="auto" w:sz="4" w:space="0"/>
                    <w:right w:val="single" w:color="auto" w:sz="4" w:space="0"/>
                    <w:tl2br w:val="nil"/>
                    <w:tr2bl w:val="nil"/>
                  </w:tcBorders>
                  <w:vAlign w:val="center"/>
                </w:tcPr>
                <w:p w14:paraId="4F7E658F">
                  <w:pPr>
                    <w:pStyle w:val="55"/>
                    <w:rPr>
                      <w:rFonts w:hint="default"/>
                    </w:rPr>
                  </w:pPr>
                </w:p>
              </w:tc>
            </w:tr>
          </w:tbl>
          <w:p w14:paraId="22985353">
            <w:pPr>
              <w:widowControl/>
              <w:spacing w:line="360" w:lineRule="auto"/>
              <w:ind w:firstLine="480" w:firstLineChars="200"/>
              <w:jc w:val="left"/>
              <w:rPr>
                <w:sz w:val="24"/>
                <w:szCs w:val="22"/>
              </w:rPr>
            </w:pPr>
            <w:r>
              <w:rPr>
                <w:rFonts w:hint="eastAsia"/>
                <w:sz w:val="24"/>
                <w:szCs w:val="22"/>
              </w:rPr>
              <w:t>综上所述，项目建设与《中华人民共和国长江保护法》（2021年3月1日起施行）、《中华人民共和国水污染防治法》（2017年修正）、《国务院关于印发水污染防治行动计划的通知》（国发〔2015〕17号）、《〈水污染防治行动计划〉四川省工作方案》（川府发59号）要求相符。</w:t>
            </w:r>
          </w:p>
          <w:p w14:paraId="48C15F15">
            <w:pPr>
              <w:pStyle w:val="4"/>
            </w:pPr>
            <w:r>
              <w:rPr>
                <w:rFonts w:hint="eastAsia"/>
              </w:rPr>
              <w:t>项目与土壤污染防治行动计划符合性分析</w:t>
            </w:r>
          </w:p>
          <w:p w14:paraId="3D6990DB">
            <w:pPr>
              <w:widowControl/>
              <w:spacing w:line="360" w:lineRule="auto"/>
              <w:ind w:firstLine="480" w:firstLineChars="200"/>
              <w:jc w:val="left"/>
            </w:pPr>
            <w:r>
              <w:rPr>
                <w:rFonts w:hint="eastAsia"/>
                <w:sz w:val="24"/>
                <w:szCs w:val="22"/>
              </w:rPr>
              <w:t>项目与土壤污染防治行动计划“国发〔2016〕31号”及四川省工作方案符合性如下。</w:t>
            </w:r>
          </w:p>
          <w:p w14:paraId="15E6EE70">
            <w:pPr>
              <w:pStyle w:val="37"/>
              <w:spacing w:before="156"/>
              <w:rPr>
                <w:rFonts w:hint="default"/>
              </w:rPr>
            </w:pPr>
            <w:r>
              <w:t>与土壤污染防治行动计划符合性分析</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6"/>
              <w:gridCol w:w="4199"/>
              <w:gridCol w:w="2041"/>
              <w:gridCol w:w="911"/>
            </w:tblGrid>
            <w:tr w14:paraId="1D0A6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6" w:type="pct"/>
                  <w:tcBorders>
                    <w:top w:val="single" w:color="auto" w:sz="4" w:space="0"/>
                    <w:left w:val="single" w:color="auto" w:sz="4" w:space="0"/>
                    <w:bottom w:val="single" w:color="auto" w:sz="4" w:space="0"/>
                    <w:right w:val="single" w:color="auto" w:sz="4" w:space="0"/>
                    <w:tl2br w:val="nil"/>
                    <w:tr2bl w:val="nil"/>
                  </w:tcBorders>
                  <w:vAlign w:val="center"/>
                </w:tcPr>
                <w:p w14:paraId="57560019">
                  <w:pPr>
                    <w:widowControl/>
                    <w:jc w:val="center"/>
                    <w:rPr>
                      <w:b/>
                      <w:szCs w:val="21"/>
                    </w:rPr>
                  </w:pPr>
                  <w:r>
                    <w:rPr>
                      <w:rFonts w:hint="eastAsia"/>
                      <w:b/>
                      <w:szCs w:val="21"/>
                      <w:lang w:bidi="ar"/>
                    </w:rPr>
                    <w:t>文件</w:t>
                  </w:r>
                </w:p>
              </w:tc>
              <w:tc>
                <w:tcPr>
                  <w:tcW w:w="2461" w:type="pct"/>
                  <w:tcBorders>
                    <w:top w:val="single" w:color="auto" w:sz="4" w:space="0"/>
                    <w:left w:val="single" w:color="auto" w:sz="4" w:space="0"/>
                    <w:bottom w:val="single" w:color="auto" w:sz="4" w:space="0"/>
                    <w:right w:val="single" w:color="auto" w:sz="4" w:space="0"/>
                    <w:tl2br w:val="nil"/>
                    <w:tr2bl w:val="nil"/>
                  </w:tcBorders>
                  <w:vAlign w:val="center"/>
                </w:tcPr>
                <w:p w14:paraId="194EAEE1">
                  <w:pPr>
                    <w:widowControl/>
                    <w:jc w:val="center"/>
                    <w:rPr>
                      <w:b/>
                      <w:szCs w:val="21"/>
                    </w:rPr>
                  </w:pPr>
                  <w:r>
                    <w:rPr>
                      <w:rFonts w:hint="eastAsia"/>
                      <w:b/>
                      <w:szCs w:val="21"/>
                      <w:lang w:bidi="ar"/>
                    </w:rPr>
                    <w:t>相关要求</w:t>
                  </w:r>
                </w:p>
              </w:tc>
              <w:tc>
                <w:tcPr>
                  <w:tcW w:w="1197" w:type="pct"/>
                  <w:tcBorders>
                    <w:top w:val="single" w:color="auto" w:sz="4" w:space="0"/>
                    <w:left w:val="single" w:color="auto" w:sz="4" w:space="0"/>
                    <w:bottom w:val="single" w:color="auto" w:sz="4" w:space="0"/>
                    <w:right w:val="single" w:color="auto" w:sz="4" w:space="0"/>
                    <w:tl2br w:val="nil"/>
                    <w:tr2bl w:val="nil"/>
                  </w:tcBorders>
                  <w:vAlign w:val="center"/>
                </w:tcPr>
                <w:p w14:paraId="7A97A183">
                  <w:pPr>
                    <w:widowControl/>
                    <w:jc w:val="center"/>
                    <w:rPr>
                      <w:b/>
                      <w:szCs w:val="21"/>
                    </w:rPr>
                  </w:pPr>
                  <w:r>
                    <w:rPr>
                      <w:rFonts w:hint="eastAsia"/>
                      <w:b/>
                      <w:szCs w:val="21"/>
                      <w:lang w:bidi="ar"/>
                    </w:rPr>
                    <w:t>本项目情况</w:t>
                  </w:r>
                </w:p>
              </w:tc>
              <w:tc>
                <w:tcPr>
                  <w:tcW w:w="534" w:type="pct"/>
                  <w:tcBorders>
                    <w:top w:val="single" w:color="auto" w:sz="4" w:space="0"/>
                    <w:left w:val="single" w:color="auto" w:sz="4" w:space="0"/>
                    <w:bottom w:val="single" w:color="auto" w:sz="4" w:space="0"/>
                    <w:right w:val="single" w:color="auto" w:sz="4" w:space="0"/>
                    <w:tl2br w:val="nil"/>
                    <w:tr2bl w:val="nil"/>
                  </w:tcBorders>
                  <w:vAlign w:val="center"/>
                </w:tcPr>
                <w:p w14:paraId="261C0C23">
                  <w:pPr>
                    <w:pStyle w:val="69"/>
                    <w:spacing w:line="240" w:lineRule="auto"/>
                    <w:ind w:firstLine="0" w:firstLineChars="0"/>
                    <w:jc w:val="center"/>
                    <w:rPr>
                      <w:b/>
                      <w:color w:val="auto"/>
                      <w:sz w:val="21"/>
                      <w:szCs w:val="21"/>
                    </w:rPr>
                  </w:pPr>
                  <w:r>
                    <w:rPr>
                      <w:rFonts w:hint="eastAsia"/>
                      <w:b/>
                      <w:color w:val="auto"/>
                      <w:sz w:val="21"/>
                      <w:szCs w:val="21"/>
                    </w:rPr>
                    <w:t>符合性</w:t>
                  </w:r>
                </w:p>
              </w:tc>
            </w:tr>
            <w:tr w14:paraId="0429A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6" w:type="pct"/>
                  <w:tcBorders>
                    <w:top w:val="single" w:color="auto" w:sz="4" w:space="0"/>
                    <w:left w:val="single" w:color="auto" w:sz="4" w:space="0"/>
                    <w:bottom w:val="single" w:color="auto" w:sz="4" w:space="0"/>
                    <w:right w:val="single" w:color="auto" w:sz="4" w:space="0"/>
                    <w:tl2br w:val="nil"/>
                    <w:tr2bl w:val="nil"/>
                  </w:tcBorders>
                  <w:vAlign w:val="center"/>
                </w:tcPr>
                <w:p w14:paraId="32A25A3A">
                  <w:pPr>
                    <w:widowControl/>
                    <w:jc w:val="center"/>
                    <w:rPr>
                      <w:szCs w:val="21"/>
                    </w:rPr>
                  </w:pPr>
                  <w:r>
                    <w:rPr>
                      <w:rFonts w:hint="eastAsia"/>
                      <w:szCs w:val="21"/>
                      <w:lang w:bidi="ar"/>
                    </w:rPr>
                    <w:t>土壤污染防治行动计划“国〔2016〕31号”</w:t>
                  </w:r>
                </w:p>
              </w:tc>
              <w:tc>
                <w:tcPr>
                  <w:tcW w:w="2461" w:type="pct"/>
                  <w:tcBorders>
                    <w:top w:val="single" w:color="auto" w:sz="4" w:space="0"/>
                    <w:left w:val="single" w:color="auto" w:sz="4" w:space="0"/>
                    <w:bottom w:val="single" w:color="auto" w:sz="4" w:space="0"/>
                    <w:right w:val="single" w:color="auto" w:sz="4" w:space="0"/>
                    <w:tl2br w:val="nil"/>
                    <w:tr2bl w:val="nil"/>
                  </w:tcBorders>
                  <w:vAlign w:val="center"/>
                </w:tcPr>
                <w:p w14:paraId="196C3EDC">
                  <w:pPr>
                    <w:widowControl/>
                    <w:jc w:val="left"/>
                    <w:rPr>
                      <w:szCs w:val="21"/>
                      <w:lang w:bidi="ar"/>
                    </w:rPr>
                  </w:pPr>
                  <w:r>
                    <w:rPr>
                      <w:rFonts w:hint="eastAsia"/>
                      <w:szCs w:val="21"/>
                      <w:lang w:bidi="ar"/>
                    </w:rPr>
                    <w:t>（八）切实加大保护力度。</w:t>
                  </w:r>
                </w:p>
                <w:p w14:paraId="68B444F4">
                  <w:pPr>
                    <w:widowControl/>
                    <w:jc w:val="left"/>
                    <w:rPr>
                      <w:szCs w:val="21"/>
                    </w:rPr>
                  </w:pPr>
                  <w:r>
                    <w:rPr>
                      <w:rFonts w:hint="eastAsia"/>
                      <w:szCs w:val="21"/>
                      <w:lang w:bidi="ar"/>
                    </w:rPr>
                    <w:t>各地要将符合条件的优先保护类耕地划为基本农田，实行严格保护，确保其面积不减少、土壤环境质量不下降，除法律规定的重点建设项目选址确实无法避让外，其他任何建设不得占用。防控企业污染。严格控制在优先保护类耕地集中区域新建有色金属冶炼、石油加工、化工、焦化、电镀、制革等行业企业，现有相关行业企业要采用新技术、新工艺，加快提标升级改造步伐</w:t>
                  </w:r>
                </w:p>
              </w:tc>
              <w:tc>
                <w:tcPr>
                  <w:tcW w:w="1197" w:type="pct"/>
                  <w:tcBorders>
                    <w:top w:val="single" w:color="auto" w:sz="4" w:space="0"/>
                    <w:left w:val="single" w:color="auto" w:sz="4" w:space="0"/>
                    <w:bottom w:val="single" w:color="auto" w:sz="4" w:space="0"/>
                    <w:right w:val="single" w:color="auto" w:sz="4" w:space="0"/>
                    <w:tl2br w:val="nil"/>
                    <w:tr2bl w:val="nil"/>
                  </w:tcBorders>
                  <w:vAlign w:val="center"/>
                </w:tcPr>
                <w:p w14:paraId="66C625F8">
                  <w:pPr>
                    <w:pStyle w:val="69"/>
                    <w:spacing w:line="240" w:lineRule="auto"/>
                    <w:ind w:firstLine="0" w:firstLineChars="0"/>
                    <w:jc w:val="left"/>
                    <w:rPr>
                      <w:color w:val="auto"/>
                      <w:sz w:val="21"/>
                      <w:szCs w:val="21"/>
                    </w:rPr>
                  </w:pPr>
                  <w:r>
                    <w:rPr>
                      <w:rFonts w:hint="eastAsia"/>
                      <w:color w:val="auto"/>
                      <w:sz w:val="21"/>
                      <w:szCs w:val="21"/>
                    </w:rPr>
                    <w:t>本项目建设不涉及基本农田保护区，不占用公益林。项目不属于</w:t>
                  </w:r>
                  <w:r>
                    <w:rPr>
                      <w:rFonts w:hint="eastAsia"/>
                      <w:color w:val="auto"/>
                      <w:sz w:val="21"/>
                      <w:szCs w:val="21"/>
                      <w:lang w:bidi="ar"/>
                    </w:rPr>
                    <w:t>有色金属冶炼、石油加工、化工、焦化、电镀、制革等行业企业</w:t>
                  </w:r>
                </w:p>
              </w:tc>
              <w:tc>
                <w:tcPr>
                  <w:tcW w:w="534" w:type="pct"/>
                  <w:tcBorders>
                    <w:top w:val="single" w:color="auto" w:sz="4" w:space="0"/>
                    <w:left w:val="single" w:color="auto" w:sz="4" w:space="0"/>
                    <w:bottom w:val="single" w:color="auto" w:sz="4" w:space="0"/>
                    <w:right w:val="single" w:color="auto" w:sz="4" w:space="0"/>
                    <w:tl2br w:val="nil"/>
                    <w:tr2bl w:val="nil"/>
                  </w:tcBorders>
                  <w:vAlign w:val="center"/>
                </w:tcPr>
                <w:p w14:paraId="5AAB996C">
                  <w:pPr>
                    <w:pStyle w:val="69"/>
                    <w:spacing w:line="240" w:lineRule="auto"/>
                    <w:ind w:firstLine="0" w:firstLineChars="0"/>
                    <w:jc w:val="center"/>
                    <w:rPr>
                      <w:color w:val="auto"/>
                      <w:sz w:val="21"/>
                      <w:szCs w:val="21"/>
                    </w:rPr>
                  </w:pPr>
                  <w:r>
                    <w:rPr>
                      <w:rFonts w:hint="eastAsia"/>
                      <w:color w:val="auto"/>
                      <w:sz w:val="21"/>
                      <w:szCs w:val="21"/>
                    </w:rPr>
                    <w:t>符合</w:t>
                  </w:r>
                </w:p>
              </w:tc>
            </w:tr>
            <w:tr w14:paraId="3C687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6" w:type="pct"/>
                  <w:tcBorders>
                    <w:top w:val="single" w:color="auto" w:sz="4" w:space="0"/>
                    <w:left w:val="single" w:color="auto" w:sz="4" w:space="0"/>
                    <w:bottom w:val="single" w:color="auto" w:sz="4" w:space="0"/>
                    <w:right w:val="single" w:color="auto" w:sz="4" w:space="0"/>
                    <w:tl2br w:val="nil"/>
                    <w:tr2bl w:val="nil"/>
                  </w:tcBorders>
                  <w:vAlign w:val="center"/>
                </w:tcPr>
                <w:p w14:paraId="4D0C4047">
                  <w:pPr>
                    <w:widowControl/>
                    <w:jc w:val="center"/>
                    <w:rPr>
                      <w:szCs w:val="21"/>
                    </w:rPr>
                  </w:pPr>
                  <w:r>
                    <w:rPr>
                      <w:rFonts w:hint="eastAsia"/>
                      <w:szCs w:val="21"/>
                      <w:lang w:bidi="ar"/>
                    </w:rPr>
                    <w:t>土壤污染防治行动计划四川省工作方案</w:t>
                  </w:r>
                </w:p>
              </w:tc>
              <w:tc>
                <w:tcPr>
                  <w:tcW w:w="2461" w:type="pct"/>
                  <w:tcBorders>
                    <w:top w:val="single" w:color="auto" w:sz="4" w:space="0"/>
                    <w:left w:val="single" w:color="auto" w:sz="4" w:space="0"/>
                    <w:bottom w:val="single" w:color="auto" w:sz="4" w:space="0"/>
                    <w:right w:val="single" w:color="auto" w:sz="4" w:space="0"/>
                    <w:tl2br w:val="nil"/>
                    <w:tr2bl w:val="nil"/>
                  </w:tcBorders>
                  <w:vAlign w:val="center"/>
                </w:tcPr>
                <w:p w14:paraId="6A0ACF03">
                  <w:pPr>
                    <w:pStyle w:val="69"/>
                    <w:spacing w:line="240" w:lineRule="auto"/>
                    <w:ind w:firstLine="0" w:firstLineChars="0"/>
                    <w:jc w:val="left"/>
                    <w:rPr>
                      <w:color w:val="auto"/>
                      <w:sz w:val="21"/>
                      <w:szCs w:val="21"/>
                    </w:rPr>
                  </w:pPr>
                  <w:r>
                    <w:rPr>
                      <w:rFonts w:hint="eastAsia"/>
                      <w:color w:val="auto"/>
                      <w:sz w:val="21"/>
                      <w:szCs w:val="21"/>
                    </w:rPr>
                    <w:t>（二十一）加强工业废物处理处置。全面整治尾矿、煤矸石、工业副产石膏、粉煤灰、赤泥、冶炼渣、电石渣、铬渣、砷渣以及脱硫、脱硝、除尘产生固体废物的堆存场所，完善防扬散、防流失、防渗漏等设施，相关县（市、区）政府要制定综合整治方案并有序实施。（环境保护厅牵头，省经济和信息化委、国土资源厅参与）</w:t>
                  </w:r>
                </w:p>
                <w:p w14:paraId="3BB4A385">
                  <w:pPr>
                    <w:pStyle w:val="69"/>
                    <w:spacing w:line="240" w:lineRule="auto"/>
                    <w:ind w:firstLine="0" w:firstLineChars="0"/>
                    <w:jc w:val="left"/>
                    <w:rPr>
                      <w:color w:val="auto"/>
                      <w:sz w:val="21"/>
                      <w:szCs w:val="21"/>
                    </w:rPr>
                  </w:pPr>
                  <w:r>
                    <w:rPr>
                      <w:rFonts w:hint="eastAsia"/>
                      <w:color w:val="auto"/>
                      <w:sz w:val="21"/>
                      <w:szCs w:val="21"/>
                    </w:rPr>
                    <w:t>加强工业固体废物综合利用。对全省电子废物、废轮胎、废塑料等再生利用活动进行清理整顿，引导有关企业采用先进适用加工工艺、集聚发展，集中建设和运营污染治理设施，防止污染土壤和地下水。</w:t>
                  </w:r>
                </w:p>
              </w:tc>
              <w:tc>
                <w:tcPr>
                  <w:tcW w:w="1197" w:type="pct"/>
                  <w:tcBorders>
                    <w:top w:val="single" w:color="auto" w:sz="4" w:space="0"/>
                    <w:left w:val="single" w:color="auto" w:sz="4" w:space="0"/>
                    <w:bottom w:val="single" w:color="auto" w:sz="4" w:space="0"/>
                    <w:right w:val="single" w:color="auto" w:sz="4" w:space="0"/>
                    <w:tl2br w:val="nil"/>
                    <w:tr2bl w:val="nil"/>
                  </w:tcBorders>
                  <w:vAlign w:val="center"/>
                </w:tcPr>
                <w:p w14:paraId="1BF201B5">
                  <w:pPr>
                    <w:pStyle w:val="69"/>
                    <w:spacing w:line="240" w:lineRule="auto"/>
                    <w:ind w:firstLine="0" w:firstLineChars="0"/>
                    <w:jc w:val="left"/>
                    <w:rPr>
                      <w:color w:val="auto"/>
                      <w:sz w:val="21"/>
                      <w:szCs w:val="21"/>
                    </w:rPr>
                  </w:pPr>
                  <w:r>
                    <w:rPr>
                      <w:rFonts w:hint="eastAsia"/>
                      <w:color w:val="auto"/>
                      <w:sz w:val="21"/>
                      <w:szCs w:val="21"/>
                    </w:rPr>
                    <w:t>项目不涉及尾矿、煤矸石、工业副产石膏、粉煤灰、赤泥、冶炼渣、电石渣、铬渣、砷渣以及脱硫、脱硝、除尘等产生的固体废物；项目施工期产生的建筑垃圾堆放至指定场所，优先进行再生利用，不能利用的及时转运处理。</w:t>
                  </w:r>
                </w:p>
              </w:tc>
              <w:tc>
                <w:tcPr>
                  <w:tcW w:w="534" w:type="pct"/>
                  <w:tcBorders>
                    <w:top w:val="single" w:color="auto" w:sz="4" w:space="0"/>
                    <w:left w:val="single" w:color="auto" w:sz="4" w:space="0"/>
                    <w:bottom w:val="single" w:color="auto" w:sz="4" w:space="0"/>
                    <w:right w:val="single" w:color="auto" w:sz="4" w:space="0"/>
                    <w:tl2br w:val="nil"/>
                    <w:tr2bl w:val="nil"/>
                  </w:tcBorders>
                  <w:vAlign w:val="center"/>
                </w:tcPr>
                <w:p w14:paraId="2E382ECF">
                  <w:pPr>
                    <w:pStyle w:val="69"/>
                    <w:spacing w:line="240" w:lineRule="auto"/>
                    <w:ind w:firstLine="0" w:firstLineChars="0"/>
                    <w:jc w:val="center"/>
                    <w:rPr>
                      <w:color w:val="auto"/>
                      <w:sz w:val="21"/>
                      <w:szCs w:val="21"/>
                    </w:rPr>
                  </w:pPr>
                  <w:r>
                    <w:rPr>
                      <w:rFonts w:hint="eastAsia"/>
                      <w:color w:val="auto"/>
                      <w:sz w:val="21"/>
                      <w:szCs w:val="21"/>
                    </w:rPr>
                    <w:t>符合</w:t>
                  </w:r>
                </w:p>
              </w:tc>
            </w:tr>
          </w:tbl>
          <w:p w14:paraId="0F591E47">
            <w:pPr>
              <w:pStyle w:val="4"/>
              <w:numPr>
                <w:ilvl w:val="0"/>
                <w:numId w:val="0"/>
              </w:numPr>
              <w:ind w:firstLine="480" w:firstLineChars="200"/>
              <w:rPr>
                <w:b w:val="0"/>
                <w:szCs w:val="22"/>
              </w:rPr>
            </w:pPr>
            <w:r>
              <w:rPr>
                <w:rFonts w:hint="eastAsia"/>
                <w:b w:val="0"/>
                <w:szCs w:val="22"/>
              </w:rPr>
              <w:t>综上所述，项目建设与《土壤污染防治行动计划“国〔2016〕31号”</w:t>
            </w:r>
            <w:r>
              <w:rPr>
                <w:rFonts w:hint="eastAsia"/>
                <w:b w:val="0"/>
                <w:szCs w:val="22"/>
                <w:lang w:eastAsia="zh-CN"/>
              </w:rPr>
              <w:t>》《</w:t>
            </w:r>
            <w:r>
              <w:rPr>
                <w:rFonts w:hint="eastAsia"/>
                <w:b w:val="0"/>
                <w:szCs w:val="22"/>
              </w:rPr>
              <w:t>土壤污染防治行动计划四川省工作方案》要求相符。</w:t>
            </w:r>
          </w:p>
          <w:p w14:paraId="68EB50E6">
            <w:pPr>
              <w:pStyle w:val="36"/>
              <w:ind w:firstLine="480"/>
              <w:rPr>
                <w:rFonts w:hint="default"/>
              </w:rPr>
            </w:pPr>
          </w:p>
        </w:tc>
      </w:tr>
    </w:tbl>
    <w:p w14:paraId="4E4EF867">
      <w:bookmarkStart w:id="3" w:name="_Toc16948"/>
      <w:r>
        <w:br w:type="page"/>
      </w:r>
    </w:p>
    <w:p w14:paraId="469C6B13">
      <w:pPr>
        <w:pStyle w:val="3"/>
      </w:pPr>
      <w:bookmarkStart w:id="4" w:name="_Toc29033"/>
      <w:r>
        <w:t>建设项目工程分析</w:t>
      </w:r>
      <w:bookmarkEnd w:id="4"/>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8473"/>
      </w:tblGrid>
      <w:tr w14:paraId="3E78F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3" w:type="dxa"/>
            <w:tcBorders>
              <w:tl2br w:val="nil"/>
              <w:tr2bl w:val="nil"/>
            </w:tcBorders>
            <w:vAlign w:val="center"/>
          </w:tcPr>
          <w:p w14:paraId="79C481B4">
            <w:pPr>
              <w:autoSpaceDE w:val="0"/>
              <w:autoSpaceDN w:val="0"/>
              <w:adjustRightInd w:val="0"/>
              <w:snapToGrid w:val="0"/>
              <w:jc w:val="center"/>
              <w:rPr>
                <w:kern w:val="0"/>
                <w:sz w:val="24"/>
              </w:rPr>
            </w:pPr>
            <w:r>
              <w:rPr>
                <w:rFonts w:hint="eastAsia"/>
                <w:kern w:val="0"/>
                <w:sz w:val="24"/>
              </w:rPr>
              <w:t>地理位置</w:t>
            </w:r>
          </w:p>
        </w:tc>
        <w:tc>
          <w:tcPr>
            <w:tcW w:w="8473" w:type="dxa"/>
            <w:tcBorders>
              <w:tl2br w:val="nil"/>
              <w:tr2bl w:val="nil"/>
            </w:tcBorders>
            <w:vAlign w:val="center"/>
          </w:tcPr>
          <w:p w14:paraId="02B0D360">
            <w:pPr>
              <w:pStyle w:val="36"/>
              <w:ind w:firstLine="482"/>
              <w:rPr>
                <w:rFonts w:hint="default"/>
              </w:rPr>
            </w:pPr>
            <w:r>
              <w:rPr>
                <w:b/>
                <w:bCs/>
              </w:rPr>
              <w:t>项目所在地理位置：</w:t>
            </w:r>
            <w:r>
              <w:t>四川省遂宁市大英县金元镇</w:t>
            </w:r>
          </w:p>
          <w:p w14:paraId="54A9BC73">
            <w:pPr>
              <w:pStyle w:val="36"/>
              <w:ind w:firstLine="482"/>
              <w:rPr>
                <w:rFonts w:hint="default"/>
              </w:rPr>
            </w:pPr>
            <w:r>
              <w:rPr>
                <w:b/>
                <w:bCs/>
              </w:rPr>
              <w:t>项目坐标为：</w:t>
            </w:r>
            <w:r>
              <w:t>项目综合治理河道长度730.06m（其中金水河665.06m，胜利溪65.0m），起点为便民桥，终点为金元堰；其中胜利溪河段起点为便民桥（E105°20′19.512″，N30°32′52.093″），终点至河道前中部分的胜利溪终点（E105°20′21.858″，N30°32′51.127″）；金水河河段起点为河道前中部分胜利溪终点（E105°20′21.858″，N30°32′51.127″），终点至金元堰（E105°20′37.385″，N30°33′2.758″）。</w:t>
            </w:r>
          </w:p>
          <w:p w14:paraId="0EAF78ED">
            <w:pPr>
              <w:pStyle w:val="36"/>
              <w:spacing w:line="240" w:lineRule="auto"/>
              <w:ind w:firstLine="0" w:firstLineChars="0"/>
              <w:rPr>
                <w:rFonts w:hint="default"/>
              </w:rPr>
            </w:pPr>
            <w:r>
              <mc:AlternateContent>
                <mc:Choice Requires="wps">
                  <w:drawing>
                    <wp:anchor distT="0" distB="0" distL="114300" distR="114300" simplePos="0" relativeHeight="251670528" behindDoc="0" locked="0" layoutInCell="1" allowOverlap="1">
                      <wp:simplePos x="0" y="0"/>
                      <wp:positionH relativeFrom="column">
                        <wp:posOffset>1287780</wp:posOffset>
                      </wp:positionH>
                      <wp:positionV relativeFrom="paragraph">
                        <wp:posOffset>2258695</wp:posOffset>
                      </wp:positionV>
                      <wp:extent cx="909320" cy="274955"/>
                      <wp:effectExtent l="139700" t="6350" r="17780" b="442595"/>
                      <wp:wrapNone/>
                      <wp:docPr id="77" name="矩形标注 77"/>
                      <wp:cNvGraphicFramePr/>
                      <a:graphic xmlns:a="http://schemas.openxmlformats.org/drawingml/2006/main">
                        <a:graphicData uri="http://schemas.microsoft.com/office/word/2010/wordprocessingShape">
                          <wps:wsp>
                            <wps:cNvSpPr/>
                            <wps:spPr>
                              <a:xfrm>
                                <a:off x="0" y="0"/>
                                <a:ext cx="909320" cy="274955"/>
                              </a:xfrm>
                              <a:prstGeom prst="wedgeRectCallout">
                                <a:avLst>
                                  <a:gd name="adj1" fmla="val -62290"/>
                                  <a:gd name="adj2" fmla="val 196882"/>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2CACEDD">
                                  <w:pPr>
                                    <w:jc w:val="center"/>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胜利溪终点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01.4pt;margin-top:177.85pt;height:21.65pt;width:71.6pt;z-index:251670528;v-text-anchor:middle;mso-width-relative:page;mso-height-relative:page;" fillcolor="#FFFFFF [3212]" filled="t" stroked="t" coordsize="21600,21600" o:gfxdata="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BV4ah53AAAAAsBAAAPAAAAAAAAAAEAIAAAACIAAABk&#10;cnMvZG93bnJldi54bWxQSwECFAAUAAAACACHTuJAr02tJa0CAABlBQAADgAAAAAAAAABACAAAAAr&#10;AQAAZHJzL2Uyb0RvYy54bWxQSwUGAAAAAAYABgBZAQAASgYAAAAA&#10;" adj="-2655,53327">
                      <v:fill on="t" focussize="0,0"/>
                      <v:stroke weight="1pt" color="#000000 [3213]" miterlimit="8" joinstyle="miter"/>
                      <v:imagedata o:title=""/>
                      <o:lock v:ext="edit" aspectratio="f"/>
                      <v:textbox>
                        <w:txbxContent>
                          <w:p w14:paraId="42CACEDD">
                            <w:pPr>
                              <w:jc w:val="center"/>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胜利溪终点</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2473325</wp:posOffset>
                      </wp:positionH>
                      <wp:positionV relativeFrom="paragraph">
                        <wp:posOffset>1252855</wp:posOffset>
                      </wp:positionV>
                      <wp:extent cx="909320" cy="274955"/>
                      <wp:effectExtent l="6350" t="6350" r="151130" b="899795"/>
                      <wp:wrapNone/>
                      <wp:docPr id="76" name="矩形标注 76"/>
                      <wp:cNvGraphicFramePr/>
                      <a:graphic xmlns:a="http://schemas.openxmlformats.org/drawingml/2006/main">
                        <a:graphicData uri="http://schemas.microsoft.com/office/word/2010/wordprocessingShape">
                          <wps:wsp>
                            <wps:cNvSpPr/>
                            <wps:spPr>
                              <a:xfrm>
                                <a:off x="0" y="0"/>
                                <a:ext cx="909320" cy="274955"/>
                              </a:xfrm>
                              <a:prstGeom prst="wedgeRectCallout">
                                <a:avLst>
                                  <a:gd name="adj1" fmla="val 63337"/>
                                  <a:gd name="adj2" fmla="val 354618"/>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B98AB48">
                                  <w:pPr>
                                    <w:jc w:val="center"/>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金水河河段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94.75pt;margin-top:98.65pt;height:21.65pt;width:71.6pt;z-index:251669504;v-text-anchor:middle;mso-width-relative:page;mso-height-relative:page;" fillcolor="#FFFFFF [3212]" filled="t" stroked="t" coordsize="21600,21600" o:gfxdata="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lpXZddkAAAALAQAADwAAAAAAAAABACAAAAAiAAAAZHJzL2Rv&#10;d25yZXYueG1sUEsBAhQAFAAAAAgAh07iQExII2urAgAAZAUAAA4AAAAAAAAAAQAgAAAAKAEAAGRy&#10;cy9lMm9Eb2MueG1sUEsFBgAAAAAGAAYAWQEAAEUGAAAAAA==&#10;" adj="24481,87397">
                      <v:fill on="t" focussize="0,0"/>
                      <v:stroke weight="1pt" color="#000000 [3213]" miterlimit="8" joinstyle="miter"/>
                      <v:imagedata o:title=""/>
                      <o:lock v:ext="edit" aspectratio="f"/>
                      <v:textbox>
                        <w:txbxContent>
                          <w:p w14:paraId="2B98AB48">
                            <w:pPr>
                              <w:jc w:val="center"/>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金水河河段</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881380</wp:posOffset>
                      </wp:positionH>
                      <wp:positionV relativeFrom="paragraph">
                        <wp:posOffset>1376045</wp:posOffset>
                      </wp:positionV>
                      <wp:extent cx="909320" cy="274955"/>
                      <wp:effectExtent l="106045" t="6350" r="13335" b="1337945"/>
                      <wp:wrapNone/>
                      <wp:docPr id="75" name="矩形标注 75"/>
                      <wp:cNvGraphicFramePr/>
                      <a:graphic xmlns:a="http://schemas.openxmlformats.org/drawingml/2006/main">
                        <a:graphicData uri="http://schemas.microsoft.com/office/word/2010/wordprocessingShape">
                          <wps:wsp>
                            <wps:cNvSpPr/>
                            <wps:spPr>
                              <a:xfrm>
                                <a:off x="0" y="0"/>
                                <a:ext cx="909320" cy="274955"/>
                              </a:xfrm>
                              <a:prstGeom prst="wedgeRectCallout">
                                <a:avLst>
                                  <a:gd name="adj1" fmla="val -59963"/>
                                  <a:gd name="adj2" fmla="val 516281"/>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73BAECB">
                                  <w:pPr>
                                    <w:jc w:val="center"/>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胜利溪河段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69.4pt;margin-top:108.35pt;height:21.65pt;width:71.6pt;z-index:251668480;v-text-anchor:middle;mso-width-relative:page;mso-height-relative:page;" fillcolor="#FFFFFF [3212]" filled="t" stroked="t" coordsize="21600,21600" o:gfxdata="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icbfs2QAAAAsBAAAPAAAAAAAAAAEAIAAAACIAAABkcnMv&#10;ZG93bnJldi54bWxQSwECFAAUAAAACACHTuJAddi6+60CAABlBQAADgAAAAAAAAABACAAAAAoAQAA&#10;ZHJzL2Uyb0RvYy54bWxQSwUGAAAAAAYABgBZAQAARwYAAAAA&#10;" adj="-2152,122317">
                      <v:fill on="t" focussize="0,0"/>
                      <v:stroke weight="1pt" color="#000000 [3213]" miterlimit="8" joinstyle="miter"/>
                      <v:imagedata o:title=""/>
                      <o:lock v:ext="edit" aspectratio="f"/>
                      <v:textbox>
                        <w:txbxContent>
                          <w:p w14:paraId="773BAECB">
                            <w:pPr>
                              <w:jc w:val="center"/>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胜利溪河段</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3347720</wp:posOffset>
                      </wp:positionH>
                      <wp:positionV relativeFrom="paragraph">
                        <wp:posOffset>128270</wp:posOffset>
                      </wp:positionV>
                      <wp:extent cx="636905" cy="274955"/>
                      <wp:effectExtent l="6350" t="6350" r="385445" b="99695"/>
                      <wp:wrapNone/>
                      <wp:docPr id="74" name="矩形标注 74"/>
                      <wp:cNvGraphicFramePr/>
                      <a:graphic xmlns:a="http://schemas.openxmlformats.org/drawingml/2006/main">
                        <a:graphicData uri="http://schemas.microsoft.com/office/word/2010/wordprocessingShape">
                          <wps:wsp>
                            <wps:cNvSpPr/>
                            <wps:spPr>
                              <a:xfrm>
                                <a:off x="0" y="0"/>
                                <a:ext cx="636905" cy="274955"/>
                              </a:xfrm>
                              <a:prstGeom prst="wedgeRectCallout">
                                <a:avLst>
                                  <a:gd name="adj1" fmla="val 100747"/>
                                  <a:gd name="adj2" fmla="val 73556"/>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AD47CE7">
                                  <w:pPr>
                                    <w:jc w:val="center"/>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金元堰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63.6pt;margin-top:10.1pt;height:21.65pt;width:50.15pt;z-index:251667456;v-text-anchor:middle;mso-width-relative:page;mso-height-relative:page;" fillcolor="#FFFFFF [3212]" filled="t" stroked="t" coordsize="21600,21600" o:gfxdata="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Cz9b1DYAAAACQEAAA8AAAAAAAAAAQAgAAAAIgAAAGRycy9k&#10;b3ducmV2LnhtbFBLAQIUABQAAAAIAIdO4kBOWLo7rQIAAGQFAAAOAAAAAAAAAAEAIAAAACcBAABk&#10;cnMvZTJvRG9jLnhtbFBLBQYAAAAABgAGAFkBAABGBgAAAAA=&#10;" adj="32561,26688">
                      <v:fill on="t" focussize="0,0"/>
                      <v:stroke weight="1pt" color="#000000 [3213]" miterlimit="8" joinstyle="miter"/>
                      <v:imagedata o:title=""/>
                      <o:lock v:ext="edit" aspectratio="f"/>
                      <v:textbox>
                        <w:txbxContent>
                          <w:p w14:paraId="6AD47CE7">
                            <w:pPr>
                              <w:jc w:val="center"/>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金元堰</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83820</wp:posOffset>
                      </wp:positionH>
                      <wp:positionV relativeFrom="paragraph">
                        <wp:posOffset>2049780</wp:posOffset>
                      </wp:positionV>
                      <wp:extent cx="636905" cy="274955"/>
                      <wp:effectExtent l="6350" t="6350" r="23495" b="442595"/>
                      <wp:wrapNone/>
                      <wp:docPr id="73" name="矩形标注 73"/>
                      <wp:cNvGraphicFramePr/>
                      <a:graphic xmlns:a="http://schemas.openxmlformats.org/drawingml/2006/main">
                        <a:graphicData uri="http://schemas.microsoft.com/office/word/2010/wordprocessingShape">
                          <wps:wsp>
                            <wps:cNvSpPr/>
                            <wps:spPr>
                              <a:xfrm>
                                <a:off x="0" y="0"/>
                                <a:ext cx="636905" cy="275118"/>
                              </a:xfrm>
                              <a:prstGeom prst="wedgeRectCallout">
                                <a:avLst>
                                  <a:gd name="adj1" fmla="val 22542"/>
                                  <a:gd name="adj2" fmla="val 193058"/>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DB54127">
                                  <w:pPr>
                                    <w:jc w:val="center"/>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便民桥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6.6pt;margin-top:161.4pt;height:21.65pt;width:50.15pt;z-index:251666432;v-text-anchor:middle;mso-width-relative:page;mso-height-relative:page;" fillcolor="#FFFFFF [3212]" filled="t" stroked="t" coordsize="21600,21600" o:gfxdata="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Eyjb37YAAAACgEAAA8AAAAAAAAAAQAgAAAAIgAAAGRycy9k&#10;b3ducmV2LnhtbFBLAQIUABQAAAAIAIdO4kAPxg3IrQIAAGQFAAAOAAAAAAAAAAEAIAAAACcBAABk&#10;cnMvZTJvRG9jLnhtbFBLBQYAAAAABgAGAFkBAABGBgAAAAA=&#10;" adj="15669,52501">
                      <v:fill on="t" focussize="0,0"/>
                      <v:stroke weight="1pt" color="#000000 [3213]" miterlimit="8" joinstyle="miter"/>
                      <v:imagedata o:title=""/>
                      <o:lock v:ext="edit" aspectratio="f"/>
                      <v:textbox>
                        <w:txbxContent>
                          <w:p w14:paraId="4DB54127">
                            <w:pPr>
                              <w:jc w:val="center"/>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便民桥</w:t>
                            </w:r>
                          </w:p>
                        </w:txbxContent>
                      </v:textbox>
                    </v:shape>
                  </w:pict>
                </mc:Fallback>
              </mc:AlternateContent>
            </w:r>
            <w:r>
              <w:drawing>
                <wp:inline distT="0" distB="0" distL="114300" distR="114300">
                  <wp:extent cx="5233670" cy="3419475"/>
                  <wp:effectExtent l="0" t="0" r="5080" b="9525"/>
                  <wp:docPr id="72" name="图片 72" descr="项目河道走向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项目河道走向图2"/>
                          <pic:cNvPicPr>
                            <a:picLocks noChangeAspect="1"/>
                          </pic:cNvPicPr>
                        </pic:nvPicPr>
                        <pic:blipFill>
                          <a:blip r:embed="rId12"/>
                          <a:stretch>
                            <a:fillRect/>
                          </a:stretch>
                        </pic:blipFill>
                        <pic:spPr>
                          <a:xfrm>
                            <a:off x="0" y="0"/>
                            <a:ext cx="5233670" cy="3419475"/>
                          </a:xfrm>
                          <a:prstGeom prst="rect">
                            <a:avLst/>
                          </a:prstGeom>
                        </pic:spPr>
                      </pic:pic>
                    </a:graphicData>
                  </a:graphic>
                </wp:inline>
              </w:drawing>
            </w:r>
          </w:p>
          <w:p w14:paraId="7CBECAD9">
            <w:pPr>
              <w:pStyle w:val="44"/>
              <w:spacing w:after="156"/>
            </w:pPr>
            <w:r>
              <w:rPr>
                <w:rFonts w:hint="eastAsia"/>
              </w:rPr>
              <w:t>项目地理位置</w:t>
            </w:r>
            <w:r>
              <w:t>图</w:t>
            </w:r>
          </w:p>
        </w:tc>
      </w:tr>
      <w:tr w14:paraId="0849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5" w:hRule="atLeast"/>
          <w:jc w:val="center"/>
        </w:trPr>
        <w:tc>
          <w:tcPr>
            <w:tcW w:w="813" w:type="dxa"/>
            <w:tcBorders>
              <w:tl2br w:val="nil"/>
              <w:tr2bl w:val="nil"/>
            </w:tcBorders>
            <w:vAlign w:val="center"/>
          </w:tcPr>
          <w:p w14:paraId="413DFF41">
            <w:pPr>
              <w:autoSpaceDE w:val="0"/>
              <w:autoSpaceDN w:val="0"/>
              <w:adjustRightInd w:val="0"/>
              <w:snapToGrid w:val="0"/>
              <w:jc w:val="center"/>
              <w:rPr>
                <w:kern w:val="0"/>
                <w:sz w:val="24"/>
              </w:rPr>
            </w:pPr>
            <w:r>
              <w:rPr>
                <w:rFonts w:hint="eastAsia"/>
                <w:kern w:val="0"/>
                <w:sz w:val="24"/>
              </w:rPr>
              <w:t>建设内容</w:t>
            </w:r>
          </w:p>
        </w:tc>
        <w:tc>
          <w:tcPr>
            <w:tcW w:w="8473" w:type="dxa"/>
            <w:tcBorders>
              <w:tl2br w:val="nil"/>
              <w:tr2bl w:val="nil"/>
            </w:tcBorders>
            <w:vAlign w:val="center"/>
          </w:tcPr>
          <w:p w14:paraId="02764492">
            <w:pPr>
              <w:pStyle w:val="4"/>
              <w:numPr>
                <w:ilvl w:val="0"/>
                <w:numId w:val="22"/>
              </w:numPr>
            </w:pPr>
            <w:bookmarkStart w:id="5" w:name="_Hlk69482648"/>
            <w:r>
              <w:rPr>
                <w:rFonts w:hint="eastAsia"/>
              </w:rPr>
              <w:t>项目由来</w:t>
            </w:r>
          </w:p>
          <w:p w14:paraId="0E31545B">
            <w:pPr>
              <w:adjustRightInd w:val="0"/>
              <w:snapToGrid w:val="0"/>
              <w:spacing w:line="440" w:lineRule="exact"/>
              <w:ind w:firstLine="480" w:firstLineChars="200"/>
              <w:rPr>
                <w:kern w:val="0"/>
                <w:sz w:val="24"/>
              </w:rPr>
            </w:pPr>
            <w:r>
              <w:rPr>
                <w:rFonts w:hint="eastAsia"/>
                <w:kern w:val="0"/>
                <w:sz w:val="24"/>
              </w:rPr>
              <w:t>金水河为郪江右岸二级支流，发源于金元镇西南边界金家寨，向北流经金元场镇，左纳胜利溪，然后转向东北、在隆盛镇和金元镇边界处右纳定海河后进入鹅颈项水库，最后在隆盛镇玉明村汇入黄腊溪。金水河河长12.06km，流域面积46.74km</w:t>
            </w:r>
            <w:r>
              <w:rPr>
                <w:rFonts w:hint="eastAsia"/>
                <w:kern w:val="0"/>
                <w:sz w:val="24"/>
                <w:vertAlign w:val="superscript"/>
              </w:rPr>
              <w:t>2</w:t>
            </w:r>
            <w:r>
              <w:rPr>
                <w:rFonts w:hint="eastAsia"/>
                <w:kern w:val="0"/>
                <w:sz w:val="24"/>
              </w:rPr>
              <w:t>，其支流胜利溪河长5.53km，流域面积7.43km</w:t>
            </w:r>
            <w:r>
              <w:rPr>
                <w:rFonts w:hint="eastAsia"/>
                <w:kern w:val="0"/>
                <w:sz w:val="24"/>
                <w:vertAlign w:val="superscript"/>
              </w:rPr>
              <w:t>2</w:t>
            </w:r>
            <w:r>
              <w:rPr>
                <w:rFonts w:hint="eastAsia"/>
                <w:kern w:val="0"/>
                <w:sz w:val="24"/>
              </w:rPr>
              <w:t>。</w:t>
            </w:r>
          </w:p>
          <w:p w14:paraId="157DED32">
            <w:pPr>
              <w:adjustRightInd w:val="0"/>
              <w:snapToGrid w:val="0"/>
              <w:spacing w:line="440" w:lineRule="exact"/>
              <w:ind w:firstLine="480" w:firstLineChars="200"/>
              <w:rPr>
                <w:kern w:val="0"/>
                <w:sz w:val="24"/>
              </w:rPr>
            </w:pPr>
            <w:r>
              <w:rPr>
                <w:rFonts w:hint="eastAsia"/>
                <w:kern w:val="0"/>
                <w:sz w:val="24"/>
              </w:rPr>
              <w:t>金元镇场镇坐落于金水河支流胜利溪汇口处，房屋集中，临河而建。河道桥堰较多，具有一定的阻水作用，场镇范围内金水河中拦河堰共8处，左支胜利溪2处，场镇范围内金水河涉河桥梁共6座，左支胜利溪1座。尤其是汇口上游83m处的便民桥为桥带堰型式，两岸收窄，形成行洪卡口，洪水来临时由于过流能力不足，洪水从右岸翻上场镇道路。加之两岸房屋修建较早，地势低矮，山洪暴发时，受灾较为严重。项目河段左岸当地居民建有堤防，右岸建有岸坡护脚，现状已经出现多处破损、裂缝、空洞，岸坡基础存在垮塌风险，该段河道护脚由于面板较薄，基础埋深不足等情况，现状已无法满足防洪固岸要求。</w:t>
            </w:r>
          </w:p>
          <w:p w14:paraId="1B01623F">
            <w:pPr>
              <w:adjustRightInd w:val="0"/>
              <w:snapToGrid w:val="0"/>
              <w:spacing w:line="440" w:lineRule="exact"/>
              <w:ind w:firstLine="480" w:firstLineChars="200"/>
              <w:rPr>
                <w:kern w:val="0"/>
                <w:sz w:val="24"/>
              </w:rPr>
            </w:pPr>
            <w:r>
              <w:rPr>
                <w:rFonts w:hint="eastAsia"/>
                <w:kern w:val="0"/>
                <w:sz w:val="24"/>
              </w:rPr>
              <w:t>目前，工程河段主要问题就是防洪基础设施薄弱，涉河建筑物建设标准较低，原居民自建设施质量偏低，从而导致河道防洪、抗冲能力不足。通过改建石河堰、加固堤防，可以提高河道防洪、抗冲功能，确保沿线群众生命财产安全。工程建设后，将增强河道行洪能力、岸坡抗冲刷能力及改善河道水景观，增强保护区山洪灾害综合防御能力，有效减少风险转移频次、人员伤亡及财产损失，有效的保护了大英县金元镇场镇、圆通寺村及金元社区的安全，保护人口0.28万人，保护耕地0.2万亩。</w:t>
            </w:r>
          </w:p>
          <w:p w14:paraId="1F22BE84">
            <w:pPr>
              <w:adjustRightInd w:val="0"/>
              <w:snapToGrid w:val="0"/>
              <w:spacing w:line="440" w:lineRule="exact"/>
              <w:ind w:firstLine="480" w:firstLineChars="200"/>
              <w:rPr>
                <w:kern w:val="0"/>
                <w:sz w:val="24"/>
              </w:rPr>
            </w:pPr>
            <w:r>
              <w:rPr>
                <w:rFonts w:hint="eastAsia"/>
                <w:kern w:val="0"/>
                <w:sz w:val="24"/>
              </w:rPr>
              <w:t>本项目于2025年7月7日取得了大英县水利局发布《关于大英县金水河金元场镇山洪沟治理工程初步设计及概算的批复》（大水函[2025]130号），建设内容为：综合治理河道长度730.06m（其中金水河665.06m，胜利溪65.0m），起点为便民桥，终点为金元堰；整治加固护岸3段共计1087.46m（其中左一521.00m、右一66.46m、右二500.00m）；堰改闸1座，拆除阻水危桥1座，拆除低堰2座，整治排水涵管（洞）9处，新建下河梯步10处。</w:t>
            </w:r>
          </w:p>
          <w:p w14:paraId="12F38734">
            <w:pPr>
              <w:adjustRightInd w:val="0"/>
              <w:snapToGrid w:val="0"/>
              <w:spacing w:line="440" w:lineRule="exact"/>
              <w:ind w:firstLine="480" w:firstLineChars="200"/>
              <w:rPr>
                <w:kern w:val="0"/>
                <w:sz w:val="24"/>
              </w:rPr>
            </w:pPr>
            <w:r>
              <w:rPr>
                <w:rFonts w:hint="eastAsia"/>
                <w:kern w:val="0"/>
                <w:sz w:val="24"/>
              </w:rPr>
              <w:t>本次环评根据项目初步设计确定的工程措施内容进行评价。</w:t>
            </w:r>
          </w:p>
          <w:p w14:paraId="239680AD">
            <w:pPr>
              <w:adjustRightInd w:val="0"/>
              <w:snapToGrid w:val="0"/>
              <w:spacing w:line="440" w:lineRule="exact"/>
              <w:ind w:firstLine="480" w:firstLineChars="200"/>
              <w:rPr>
                <w:kern w:val="0"/>
                <w:sz w:val="24"/>
              </w:rPr>
            </w:pPr>
            <w:r>
              <w:rPr>
                <w:rFonts w:hint="eastAsia"/>
                <w:kern w:val="0"/>
                <w:sz w:val="24"/>
              </w:rPr>
              <w:t>根据《中华人民共和国环境保护法》《中华人民共和国环境影响评价法》以及国务院令第682号《建设项目环境保护管理条例》的要求，本项目的实施需进行环境影响评价。依据生态环境部第16号令《建设项目环境影响评价分类管理名录（2021年版）》，本项目属于“五十一、水利；128河湖整治（不含农村塘堰、水渠）；其他”，确定本项目应编制环境影响报告表。</w:t>
            </w:r>
          </w:p>
          <w:bookmarkEnd w:id="5"/>
          <w:p w14:paraId="5FD33BD2">
            <w:pPr>
              <w:pStyle w:val="4"/>
              <w:numPr>
                <w:ilvl w:val="0"/>
                <w:numId w:val="22"/>
              </w:numPr>
            </w:pPr>
            <w:r>
              <w:rPr>
                <w:rFonts w:hint="eastAsia"/>
              </w:rPr>
              <w:t>项目概况</w:t>
            </w:r>
          </w:p>
          <w:p w14:paraId="45AAD25D">
            <w:pPr>
              <w:autoSpaceDE w:val="0"/>
              <w:autoSpaceDN w:val="0"/>
              <w:adjustRightInd w:val="0"/>
              <w:snapToGrid w:val="0"/>
              <w:spacing w:line="440" w:lineRule="exact"/>
              <w:ind w:firstLine="482"/>
              <w:jc w:val="left"/>
              <w:rPr>
                <w:sz w:val="24"/>
              </w:rPr>
            </w:pPr>
            <w:r>
              <w:rPr>
                <w:rFonts w:hint="eastAsia"/>
                <w:b/>
                <w:bCs/>
                <w:sz w:val="24"/>
              </w:rPr>
              <w:t>项目名称：</w:t>
            </w:r>
            <w:r>
              <w:rPr>
                <w:sz w:val="24"/>
              </w:rPr>
              <w:t>大英县金水河金元场镇山洪沟治理工程</w:t>
            </w:r>
          </w:p>
          <w:p w14:paraId="455502EA">
            <w:pPr>
              <w:autoSpaceDE w:val="0"/>
              <w:autoSpaceDN w:val="0"/>
              <w:adjustRightInd w:val="0"/>
              <w:snapToGrid w:val="0"/>
              <w:spacing w:line="440" w:lineRule="exact"/>
              <w:ind w:firstLine="482"/>
              <w:jc w:val="left"/>
              <w:rPr>
                <w:sz w:val="24"/>
              </w:rPr>
            </w:pPr>
            <w:r>
              <w:rPr>
                <w:rFonts w:hint="eastAsia"/>
                <w:b/>
                <w:bCs/>
                <w:sz w:val="24"/>
              </w:rPr>
              <w:t>建设地点：</w:t>
            </w:r>
            <w:r>
              <w:rPr>
                <w:rFonts w:hint="eastAsia"/>
                <w:sz w:val="24"/>
              </w:rPr>
              <w:t>四川省遂宁市大英县金元镇</w:t>
            </w:r>
          </w:p>
          <w:p w14:paraId="695DAFA2">
            <w:pPr>
              <w:autoSpaceDE w:val="0"/>
              <w:autoSpaceDN w:val="0"/>
              <w:adjustRightInd w:val="0"/>
              <w:snapToGrid w:val="0"/>
              <w:spacing w:line="440" w:lineRule="exact"/>
              <w:ind w:firstLine="482"/>
              <w:jc w:val="left"/>
              <w:rPr>
                <w:sz w:val="24"/>
              </w:rPr>
            </w:pPr>
            <w:r>
              <w:rPr>
                <w:rFonts w:hint="eastAsia"/>
                <w:b/>
                <w:bCs/>
                <w:sz w:val="24"/>
              </w:rPr>
              <w:t>建设单位：</w:t>
            </w:r>
            <w:r>
              <w:rPr>
                <w:rFonts w:hint="eastAsia"/>
                <w:kern w:val="0"/>
                <w:sz w:val="24"/>
              </w:rPr>
              <w:t>大英县祥凤寨水库建设开发有限责任公司</w:t>
            </w:r>
          </w:p>
          <w:p w14:paraId="4A27D7E1">
            <w:pPr>
              <w:autoSpaceDE w:val="0"/>
              <w:autoSpaceDN w:val="0"/>
              <w:adjustRightInd w:val="0"/>
              <w:snapToGrid w:val="0"/>
              <w:spacing w:line="440" w:lineRule="exact"/>
              <w:ind w:firstLine="482"/>
              <w:jc w:val="left"/>
              <w:rPr>
                <w:sz w:val="24"/>
              </w:rPr>
            </w:pPr>
            <w:r>
              <w:rPr>
                <w:rFonts w:hint="eastAsia"/>
                <w:b/>
                <w:bCs/>
                <w:sz w:val="24"/>
              </w:rPr>
              <w:t>建设性质：</w:t>
            </w:r>
            <w:r>
              <w:rPr>
                <w:rFonts w:hint="eastAsia"/>
                <w:sz w:val="24"/>
              </w:rPr>
              <w:t>新建</w:t>
            </w:r>
          </w:p>
          <w:p w14:paraId="7591C081">
            <w:pPr>
              <w:spacing w:line="440" w:lineRule="exact"/>
              <w:ind w:firstLine="482" w:firstLineChars="200"/>
              <w:rPr>
                <w:b/>
                <w:bCs/>
                <w:sz w:val="24"/>
                <w:szCs w:val="32"/>
              </w:rPr>
            </w:pPr>
            <w:r>
              <w:rPr>
                <w:rFonts w:hint="eastAsia"/>
                <w:b/>
                <w:bCs/>
                <w:sz w:val="24"/>
                <w:szCs w:val="32"/>
              </w:rPr>
              <w:t>建设内容：</w:t>
            </w:r>
            <w:r>
              <w:rPr>
                <w:rFonts w:hint="eastAsia"/>
                <w:sz w:val="24"/>
                <w:szCs w:val="32"/>
              </w:rPr>
              <w:t>综合治理河道长度730.06m（其中金水河665.06m，胜利溪65.0m），起点为便民桥，终点为金元堰；整治加固护岸3段共计1087.46m（其中左一521.00m、右一66.46m、右二500.00m）；堰改闸1座，拆除阻水危桥1座，拆除低堰2座，整治排水涵管（洞）9处，新建下河梯步10处。</w:t>
            </w:r>
          </w:p>
          <w:p w14:paraId="73931909">
            <w:pPr>
              <w:pStyle w:val="4"/>
              <w:numPr>
                <w:ilvl w:val="0"/>
                <w:numId w:val="22"/>
              </w:numPr>
            </w:pPr>
            <w:r>
              <w:rPr>
                <w:rFonts w:hint="eastAsia"/>
              </w:rPr>
              <w:t>建设内容及项目组成</w:t>
            </w:r>
          </w:p>
          <w:p w14:paraId="6D3457FE">
            <w:pPr>
              <w:autoSpaceDE w:val="0"/>
              <w:autoSpaceDN w:val="0"/>
              <w:adjustRightInd w:val="0"/>
              <w:snapToGrid w:val="0"/>
              <w:spacing w:line="440" w:lineRule="exact"/>
              <w:ind w:firstLine="482"/>
              <w:rPr>
                <w:spacing w:val="-3"/>
                <w:sz w:val="24"/>
              </w:rPr>
            </w:pPr>
            <w:r>
              <w:rPr>
                <w:rFonts w:hint="eastAsia"/>
                <w:spacing w:val="-3"/>
                <w:sz w:val="24"/>
              </w:rPr>
              <w:t>本项目的工程组成详见下表。</w:t>
            </w:r>
          </w:p>
          <w:p w14:paraId="0C209081">
            <w:pPr>
              <w:pStyle w:val="43"/>
              <w:spacing w:before="156"/>
            </w:pPr>
            <w:r>
              <w:rPr>
                <w:rFonts w:hint="eastAsia"/>
              </w:rPr>
              <w:t>本项目组成及主要环境问题</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41"/>
              <w:gridCol w:w="901"/>
              <w:gridCol w:w="4975"/>
              <w:gridCol w:w="1018"/>
              <w:gridCol w:w="544"/>
              <w:gridCol w:w="468"/>
            </w:tblGrid>
            <w:tr w14:paraId="53470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753" w:type="pct"/>
                  <w:gridSpan w:val="2"/>
                  <w:vMerge w:val="restart"/>
                  <w:vAlign w:val="center"/>
                </w:tcPr>
                <w:p w14:paraId="585467A0">
                  <w:pPr>
                    <w:pStyle w:val="38"/>
                    <w:rPr>
                      <w:rFonts w:hint="default"/>
                      <w:b/>
                      <w:bCs/>
                    </w:rPr>
                  </w:pPr>
                  <w:r>
                    <w:rPr>
                      <w:b/>
                      <w:bCs/>
                    </w:rPr>
                    <w:t>项目名称</w:t>
                  </w:r>
                </w:p>
              </w:tc>
              <w:tc>
                <w:tcPr>
                  <w:tcW w:w="3015" w:type="pct"/>
                  <w:vMerge w:val="restart"/>
                  <w:vAlign w:val="center"/>
                </w:tcPr>
                <w:p w14:paraId="391838E5">
                  <w:pPr>
                    <w:pStyle w:val="38"/>
                    <w:rPr>
                      <w:rFonts w:hint="default"/>
                      <w:b/>
                      <w:bCs/>
                    </w:rPr>
                  </w:pPr>
                  <w:r>
                    <w:rPr>
                      <w:b/>
                      <w:bCs/>
                    </w:rPr>
                    <w:t>建设内容及规模</w:t>
                  </w:r>
                </w:p>
              </w:tc>
              <w:tc>
                <w:tcPr>
                  <w:tcW w:w="947" w:type="pct"/>
                  <w:gridSpan w:val="2"/>
                  <w:vAlign w:val="center"/>
                </w:tcPr>
                <w:p w14:paraId="714B85E0">
                  <w:pPr>
                    <w:pStyle w:val="38"/>
                    <w:rPr>
                      <w:rFonts w:hint="default"/>
                      <w:b/>
                      <w:bCs/>
                    </w:rPr>
                  </w:pPr>
                  <w:r>
                    <w:rPr>
                      <w:b/>
                      <w:bCs/>
                    </w:rPr>
                    <w:t>可能产生的环境问题</w:t>
                  </w:r>
                </w:p>
              </w:tc>
              <w:tc>
                <w:tcPr>
                  <w:tcW w:w="284" w:type="pct"/>
                  <w:vMerge w:val="restart"/>
                  <w:vAlign w:val="center"/>
                </w:tcPr>
                <w:p w14:paraId="795BD6A9">
                  <w:pPr>
                    <w:pStyle w:val="38"/>
                    <w:rPr>
                      <w:rFonts w:hint="default"/>
                      <w:b/>
                      <w:bCs/>
                    </w:rPr>
                  </w:pPr>
                  <w:r>
                    <w:rPr>
                      <w:b/>
                      <w:bCs/>
                    </w:rPr>
                    <w:t>备注</w:t>
                  </w:r>
                </w:p>
              </w:tc>
            </w:tr>
            <w:tr w14:paraId="510F4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753" w:type="pct"/>
                  <w:gridSpan w:val="2"/>
                  <w:vMerge w:val="continue"/>
                  <w:vAlign w:val="center"/>
                </w:tcPr>
                <w:p w14:paraId="67F0F289">
                  <w:pPr>
                    <w:pStyle w:val="38"/>
                    <w:rPr>
                      <w:rFonts w:hint="default"/>
                    </w:rPr>
                  </w:pPr>
                </w:p>
              </w:tc>
              <w:tc>
                <w:tcPr>
                  <w:tcW w:w="3015" w:type="pct"/>
                  <w:vMerge w:val="continue"/>
                  <w:vAlign w:val="center"/>
                </w:tcPr>
                <w:p w14:paraId="21955820">
                  <w:pPr>
                    <w:pStyle w:val="38"/>
                    <w:rPr>
                      <w:rFonts w:hint="default"/>
                    </w:rPr>
                  </w:pPr>
                </w:p>
              </w:tc>
              <w:tc>
                <w:tcPr>
                  <w:tcW w:w="617" w:type="pct"/>
                  <w:vAlign w:val="center"/>
                </w:tcPr>
                <w:p w14:paraId="79627BBE">
                  <w:pPr>
                    <w:pStyle w:val="38"/>
                    <w:rPr>
                      <w:rFonts w:hint="default"/>
                      <w:b/>
                      <w:bCs/>
                    </w:rPr>
                  </w:pPr>
                  <w:r>
                    <w:rPr>
                      <w:b/>
                      <w:bCs/>
                    </w:rPr>
                    <w:t>施工期</w:t>
                  </w:r>
                </w:p>
              </w:tc>
              <w:tc>
                <w:tcPr>
                  <w:tcW w:w="329" w:type="pct"/>
                  <w:vAlign w:val="center"/>
                </w:tcPr>
                <w:p w14:paraId="52322A19">
                  <w:pPr>
                    <w:pStyle w:val="38"/>
                    <w:rPr>
                      <w:rFonts w:hint="default"/>
                      <w:b/>
                      <w:bCs/>
                    </w:rPr>
                  </w:pPr>
                  <w:r>
                    <w:rPr>
                      <w:b/>
                      <w:bCs/>
                    </w:rPr>
                    <w:t>营运期</w:t>
                  </w:r>
                </w:p>
              </w:tc>
              <w:tc>
                <w:tcPr>
                  <w:tcW w:w="284" w:type="pct"/>
                  <w:vMerge w:val="continue"/>
                  <w:vAlign w:val="center"/>
                </w:tcPr>
                <w:p w14:paraId="6985E782">
                  <w:pPr>
                    <w:pStyle w:val="38"/>
                    <w:rPr>
                      <w:rFonts w:hint="default"/>
                    </w:rPr>
                  </w:pPr>
                </w:p>
              </w:tc>
            </w:tr>
            <w:tr w14:paraId="62712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207" w:type="pct"/>
                  <w:vMerge w:val="restart"/>
                  <w:vAlign w:val="center"/>
                </w:tcPr>
                <w:p w14:paraId="52D729CD">
                  <w:pPr>
                    <w:pStyle w:val="38"/>
                    <w:rPr>
                      <w:rFonts w:hint="default"/>
                    </w:rPr>
                  </w:pPr>
                  <w:r>
                    <w:t>主体</w:t>
                  </w:r>
                </w:p>
                <w:p w14:paraId="236B8447">
                  <w:pPr>
                    <w:pStyle w:val="38"/>
                    <w:rPr>
                      <w:rFonts w:hint="default"/>
                    </w:rPr>
                  </w:pPr>
                  <w:r>
                    <w:t>工程</w:t>
                  </w:r>
                </w:p>
              </w:tc>
              <w:tc>
                <w:tcPr>
                  <w:tcW w:w="545" w:type="pct"/>
                  <w:vAlign w:val="center"/>
                </w:tcPr>
                <w:p w14:paraId="6EBE535C">
                  <w:pPr>
                    <w:pStyle w:val="38"/>
                    <w:rPr>
                      <w:rFonts w:hint="default"/>
                    </w:rPr>
                  </w:pPr>
                  <w:r>
                    <w:t>河道整治</w:t>
                  </w:r>
                </w:p>
              </w:tc>
              <w:tc>
                <w:tcPr>
                  <w:tcW w:w="3015" w:type="pct"/>
                  <w:vAlign w:val="center"/>
                </w:tcPr>
                <w:p w14:paraId="1690D9C6">
                  <w:pPr>
                    <w:pStyle w:val="38"/>
                    <w:rPr>
                      <w:rFonts w:hint="default"/>
                    </w:rPr>
                  </w:pPr>
                  <w:r>
                    <w:t>综合治理河道长度730.06m（其中金水河665.06m，胜利溪65.0m），起点为便民桥，终点为金元堰</w:t>
                  </w:r>
                </w:p>
              </w:tc>
              <w:tc>
                <w:tcPr>
                  <w:tcW w:w="617" w:type="pct"/>
                  <w:vMerge w:val="restart"/>
                  <w:vAlign w:val="center"/>
                </w:tcPr>
                <w:p w14:paraId="4DFF4364">
                  <w:pPr>
                    <w:pStyle w:val="38"/>
                    <w:rPr>
                      <w:rFonts w:hint="default"/>
                    </w:rPr>
                  </w:pPr>
                  <w:r>
                    <w:t>施工扬尘、施工废水、施工噪声、施工固废、植被破坏、水土流失、生态破坏等</w:t>
                  </w:r>
                </w:p>
              </w:tc>
              <w:tc>
                <w:tcPr>
                  <w:tcW w:w="329" w:type="pct"/>
                  <w:vMerge w:val="restart"/>
                  <w:vAlign w:val="center"/>
                </w:tcPr>
                <w:p w14:paraId="54C93196">
                  <w:pPr>
                    <w:pStyle w:val="38"/>
                    <w:rPr>
                      <w:rFonts w:hint="default"/>
                    </w:rPr>
                  </w:pPr>
                  <w:r>
                    <w:t>/</w:t>
                  </w:r>
                </w:p>
              </w:tc>
              <w:tc>
                <w:tcPr>
                  <w:tcW w:w="284" w:type="pct"/>
                  <w:vMerge w:val="restart"/>
                  <w:vAlign w:val="center"/>
                </w:tcPr>
                <w:p w14:paraId="458034AA">
                  <w:pPr>
                    <w:pStyle w:val="38"/>
                    <w:rPr>
                      <w:rFonts w:hint="default"/>
                    </w:rPr>
                  </w:pPr>
                  <w:r>
                    <w:t>新建</w:t>
                  </w:r>
                </w:p>
              </w:tc>
            </w:tr>
            <w:tr w14:paraId="2EEC1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207" w:type="pct"/>
                  <w:vMerge w:val="continue"/>
                  <w:vAlign w:val="center"/>
                </w:tcPr>
                <w:p w14:paraId="2A6C3168">
                  <w:pPr>
                    <w:pStyle w:val="38"/>
                    <w:rPr>
                      <w:rFonts w:hint="default"/>
                    </w:rPr>
                  </w:pPr>
                </w:p>
              </w:tc>
              <w:tc>
                <w:tcPr>
                  <w:tcW w:w="545" w:type="pct"/>
                  <w:vAlign w:val="center"/>
                </w:tcPr>
                <w:p w14:paraId="13B01E94">
                  <w:pPr>
                    <w:pStyle w:val="38"/>
                    <w:rPr>
                      <w:rFonts w:hint="default"/>
                    </w:rPr>
                  </w:pPr>
                  <w:r>
                    <w:t>护岸</w:t>
                  </w:r>
                </w:p>
              </w:tc>
              <w:tc>
                <w:tcPr>
                  <w:tcW w:w="3015" w:type="pct"/>
                  <w:vAlign w:val="center"/>
                </w:tcPr>
                <w:p w14:paraId="6691C54B">
                  <w:pPr>
                    <w:pStyle w:val="38"/>
                    <w:rPr>
                      <w:rFonts w:hint="default"/>
                    </w:rPr>
                  </w:pPr>
                  <w:r>
                    <w:t>整治加固护岸3段共计1087.46m（其中左一521.00m、右一66.46m、右二500.00m）。采用拆除重建-砼面板+格宾石笼护底方案，对原有砼面板护脚进行拆除，并在改建水闸正常蓄水311.05m以上1m处设置护脚平台，平台宽1.5m厚0.2m；平台以下为砼面板护坡，面板坡比为1:1.75，采用0.2m厚C25砼浇筑，下部设厚5cmM7.5水泥砂浆垫层，并在河床铺设厚0.5m格宾石笼护底。</w:t>
                  </w:r>
                </w:p>
              </w:tc>
              <w:tc>
                <w:tcPr>
                  <w:tcW w:w="617" w:type="pct"/>
                  <w:vMerge w:val="continue"/>
                  <w:vAlign w:val="center"/>
                </w:tcPr>
                <w:p w14:paraId="014AAA90">
                  <w:pPr>
                    <w:pStyle w:val="38"/>
                    <w:rPr>
                      <w:rFonts w:hint="default"/>
                    </w:rPr>
                  </w:pPr>
                </w:p>
              </w:tc>
              <w:tc>
                <w:tcPr>
                  <w:tcW w:w="329" w:type="pct"/>
                  <w:vMerge w:val="continue"/>
                  <w:vAlign w:val="center"/>
                </w:tcPr>
                <w:p w14:paraId="287E0166">
                  <w:pPr>
                    <w:pStyle w:val="38"/>
                    <w:rPr>
                      <w:rFonts w:hint="default"/>
                    </w:rPr>
                  </w:pPr>
                </w:p>
              </w:tc>
              <w:tc>
                <w:tcPr>
                  <w:tcW w:w="284" w:type="pct"/>
                  <w:vMerge w:val="continue"/>
                  <w:vAlign w:val="center"/>
                </w:tcPr>
                <w:p w14:paraId="05086A8B">
                  <w:pPr>
                    <w:pStyle w:val="38"/>
                    <w:rPr>
                      <w:rFonts w:hint="default"/>
                    </w:rPr>
                  </w:pPr>
                </w:p>
              </w:tc>
            </w:tr>
            <w:tr w14:paraId="4F86F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207" w:type="pct"/>
                  <w:vMerge w:val="continue"/>
                  <w:vAlign w:val="center"/>
                </w:tcPr>
                <w:p w14:paraId="321D61FC">
                  <w:pPr>
                    <w:pStyle w:val="38"/>
                    <w:rPr>
                      <w:rFonts w:hint="default"/>
                    </w:rPr>
                  </w:pPr>
                </w:p>
              </w:tc>
              <w:tc>
                <w:tcPr>
                  <w:tcW w:w="545" w:type="pct"/>
                  <w:vAlign w:val="center"/>
                </w:tcPr>
                <w:p w14:paraId="2C44D781">
                  <w:pPr>
                    <w:pStyle w:val="38"/>
                    <w:rPr>
                      <w:rFonts w:hint="default"/>
                    </w:rPr>
                  </w:pPr>
                  <w:r>
                    <w:t>堰改闸</w:t>
                  </w:r>
                </w:p>
              </w:tc>
              <w:tc>
                <w:tcPr>
                  <w:tcW w:w="3015" w:type="pct"/>
                  <w:vAlign w:val="center"/>
                </w:tcPr>
                <w:p w14:paraId="680C2E9D">
                  <w:pPr>
                    <w:pStyle w:val="38"/>
                    <w:rPr>
                      <w:rFonts w:hint="default"/>
                    </w:rPr>
                  </w:pPr>
                  <w:r>
                    <w:t>改建金元闸为单孔钢坝闸，总净宽16.00m，挡水高程为311.05m。闸室采用宽顶堰开敞式结构，底板顺水流方向长度为10.00m，宽16m，底板厚1.0m；闸室上游设置钢筋混凝土铺盖，顺水流方向长14.50m，钢筋混凝土厚0.40～1.1m，铺盖下部设10cm厚砼垫层；闸室下游设置钢筋混凝土下挖式消力池，消力池段总长8.5m（斜段2.0m，水平段6.5m），池深0.7m，采用钢筋混凝土浇筑，上游与闸室衔接，斜坡段长度2.00m，水平段长6.50m，尾部设0.50m宽齿坎与下游河道衔接，消力池底部设置反滤层和排水孔，齿坎下游设置长18.50m大卵石防冲，大卵石厚度0.5m。</w:t>
                  </w:r>
                </w:p>
              </w:tc>
              <w:tc>
                <w:tcPr>
                  <w:tcW w:w="617" w:type="pct"/>
                  <w:vMerge w:val="continue"/>
                  <w:vAlign w:val="center"/>
                </w:tcPr>
                <w:p w14:paraId="36652ED1">
                  <w:pPr>
                    <w:pStyle w:val="38"/>
                    <w:rPr>
                      <w:rFonts w:hint="default"/>
                    </w:rPr>
                  </w:pPr>
                </w:p>
              </w:tc>
              <w:tc>
                <w:tcPr>
                  <w:tcW w:w="329" w:type="pct"/>
                  <w:vMerge w:val="continue"/>
                  <w:vAlign w:val="center"/>
                </w:tcPr>
                <w:p w14:paraId="62C1C7C3">
                  <w:pPr>
                    <w:pStyle w:val="38"/>
                    <w:rPr>
                      <w:rFonts w:hint="default"/>
                    </w:rPr>
                  </w:pPr>
                </w:p>
              </w:tc>
              <w:tc>
                <w:tcPr>
                  <w:tcW w:w="284" w:type="pct"/>
                  <w:vMerge w:val="continue"/>
                  <w:vAlign w:val="center"/>
                </w:tcPr>
                <w:p w14:paraId="3F197AC0">
                  <w:pPr>
                    <w:pStyle w:val="38"/>
                    <w:rPr>
                      <w:rFonts w:hint="default"/>
                    </w:rPr>
                  </w:pPr>
                </w:p>
              </w:tc>
            </w:tr>
            <w:tr w14:paraId="1456A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207" w:type="pct"/>
                  <w:vMerge w:val="continue"/>
                  <w:vAlign w:val="center"/>
                </w:tcPr>
                <w:p w14:paraId="08730E12">
                  <w:pPr>
                    <w:pStyle w:val="38"/>
                    <w:rPr>
                      <w:rFonts w:hint="default"/>
                    </w:rPr>
                  </w:pPr>
                </w:p>
              </w:tc>
              <w:tc>
                <w:tcPr>
                  <w:tcW w:w="545" w:type="pct"/>
                  <w:vAlign w:val="center"/>
                </w:tcPr>
                <w:p w14:paraId="40EF8EAC">
                  <w:pPr>
                    <w:pStyle w:val="38"/>
                    <w:rPr>
                      <w:rFonts w:hint="default"/>
                    </w:rPr>
                  </w:pPr>
                  <w:r>
                    <w:t>拆除设施</w:t>
                  </w:r>
                </w:p>
              </w:tc>
              <w:tc>
                <w:tcPr>
                  <w:tcW w:w="3015" w:type="pct"/>
                  <w:vAlign w:val="center"/>
                </w:tcPr>
                <w:p w14:paraId="414136EC">
                  <w:pPr>
                    <w:pStyle w:val="38"/>
                    <w:rPr>
                      <w:rFonts w:hint="default"/>
                    </w:rPr>
                  </w:pPr>
                  <w:r>
                    <w:t>因年久失修，存在安全隐患。本工程拆除阻水危桥1座，拆除低堰2座，采用挖机辅以破碎头进行拆除，拆除后运至渣场堆放。</w:t>
                  </w:r>
                </w:p>
              </w:tc>
              <w:tc>
                <w:tcPr>
                  <w:tcW w:w="617" w:type="pct"/>
                  <w:vMerge w:val="continue"/>
                  <w:vAlign w:val="center"/>
                </w:tcPr>
                <w:p w14:paraId="7DE4DEC9">
                  <w:pPr>
                    <w:pStyle w:val="38"/>
                    <w:rPr>
                      <w:rFonts w:hint="default"/>
                    </w:rPr>
                  </w:pPr>
                </w:p>
              </w:tc>
              <w:tc>
                <w:tcPr>
                  <w:tcW w:w="329" w:type="pct"/>
                  <w:vMerge w:val="continue"/>
                  <w:vAlign w:val="center"/>
                </w:tcPr>
                <w:p w14:paraId="5043CA2B">
                  <w:pPr>
                    <w:pStyle w:val="38"/>
                    <w:rPr>
                      <w:rFonts w:hint="default"/>
                    </w:rPr>
                  </w:pPr>
                </w:p>
              </w:tc>
              <w:tc>
                <w:tcPr>
                  <w:tcW w:w="284" w:type="pct"/>
                  <w:vMerge w:val="continue"/>
                  <w:vAlign w:val="center"/>
                </w:tcPr>
                <w:p w14:paraId="53AFA4EB">
                  <w:pPr>
                    <w:pStyle w:val="38"/>
                    <w:rPr>
                      <w:rFonts w:hint="default"/>
                    </w:rPr>
                  </w:pPr>
                </w:p>
              </w:tc>
            </w:tr>
            <w:tr w14:paraId="088CF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207" w:type="pct"/>
                  <w:vMerge w:val="continue"/>
                  <w:vAlign w:val="center"/>
                </w:tcPr>
                <w:p w14:paraId="5B82B4FC">
                  <w:pPr>
                    <w:pStyle w:val="38"/>
                    <w:rPr>
                      <w:rFonts w:hint="default"/>
                    </w:rPr>
                  </w:pPr>
                </w:p>
              </w:tc>
              <w:tc>
                <w:tcPr>
                  <w:tcW w:w="545" w:type="pct"/>
                  <w:vAlign w:val="center"/>
                </w:tcPr>
                <w:p w14:paraId="406617CA">
                  <w:pPr>
                    <w:pStyle w:val="38"/>
                    <w:rPr>
                      <w:rFonts w:hint="default"/>
                    </w:rPr>
                  </w:pPr>
                  <w:r>
                    <w:t>排水涵管</w:t>
                  </w:r>
                </w:p>
              </w:tc>
              <w:tc>
                <w:tcPr>
                  <w:tcW w:w="3015" w:type="pct"/>
                  <w:vAlign w:val="center"/>
                </w:tcPr>
                <w:p w14:paraId="27AB7DF8">
                  <w:pPr>
                    <w:pStyle w:val="38"/>
                    <w:rPr>
                      <w:rFonts w:hint="default"/>
                    </w:rPr>
                  </w:pPr>
                  <w:r>
                    <w:t>本次两岸排涝设施完善，工程治理段沿岸共布设9处排水涵管，由于本次基础防冲加固需对其进行拆除原址重建，拆除重建管道利用原有砼涵管，并在出口处增设C25砼防渗刺墙，墙上部顶宽0.3m，砼涵管包裹厚度0.3m。</w:t>
                  </w:r>
                </w:p>
              </w:tc>
              <w:tc>
                <w:tcPr>
                  <w:tcW w:w="617" w:type="pct"/>
                  <w:vMerge w:val="continue"/>
                  <w:vAlign w:val="center"/>
                </w:tcPr>
                <w:p w14:paraId="790C67E9">
                  <w:pPr>
                    <w:pStyle w:val="38"/>
                    <w:rPr>
                      <w:rFonts w:hint="default"/>
                    </w:rPr>
                  </w:pPr>
                </w:p>
              </w:tc>
              <w:tc>
                <w:tcPr>
                  <w:tcW w:w="329" w:type="pct"/>
                  <w:vMerge w:val="continue"/>
                  <w:vAlign w:val="center"/>
                </w:tcPr>
                <w:p w14:paraId="6BFB4729">
                  <w:pPr>
                    <w:pStyle w:val="38"/>
                    <w:rPr>
                      <w:rFonts w:hint="default"/>
                    </w:rPr>
                  </w:pPr>
                </w:p>
              </w:tc>
              <w:tc>
                <w:tcPr>
                  <w:tcW w:w="284" w:type="pct"/>
                  <w:vMerge w:val="continue"/>
                  <w:vAlign w:val="center"/>
                </w:tcPr>
                <w:p w14:paraId="21E5D0EE">
                  <w:pPr>
                    <w:pStyle w:val="38"/>
                    <w:rPr>
                      <w:rFonts w:hint="default"/>
                    </w:rPr>
                  </w:pPr>
                </w:p>
              </w:tc>
            </w:tr>
            <w:tr w14:paraId="644D8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207" w:type="pct"/>
                  <w:vMerge w:val="continue"/>
                  <w:vAlign w:val="center"/>
                </w:tcPr>
                <w:p w14:paraId="22DE52DC">
                  <w:pPr>
                    <w:pStyle w:val="38"/>
                    <w:rPr>
                      <w:rFonts w:hint="default"/>
                    </w:rPr>
                  </w:pPr>
                </w:p>
              </w:tc>
              <w:tc>
                <w:tcPr>
                  <w:tcW w:w="545" w:type="pct"/>
                  <w:vAlign w:val="center"/>
                </w:tcPr>
                <w:p w14:paraId="461D89A1">
                  <w:pPr>
                    <w:pStyle w:val="38"/>
                    <w:rPr>
                      <w:rFonts w:hint="default"/>
                    </w:rPr>
                  </w:pPr>
                  <w:r>
                    <w:t>下河梯步</w:t>
                  </w:r>
                </w:p>
              </w:tc>
              <w:tc>
                <w:tcPr>
                  <w:tcW w:w="3015" w:type="pct"/>
                  <w:vAlign w:val="center"/>
                </w:tcPr>
                <w:p w14:paraId="7635B8CE">
                  <w:pPr>
                    <w:pStyle w:val="38"/>
                    <w:rPr>
                      <w:rFonts w:hint="default"/>
                    </w:rPr>
                  </w:pPr>
                  <w:r>
                    <w:t>本次工程新建下河梯步10处，梯步布置位可根据村镇规划布局进行调整；梯步采用C25砼浇筑，梯步宽度3.0m，台阶宽0.35m，高0.2m，梯步两侧设置宽0.2m梯带。</w:t>
                  </w:r>
                </w:p>
              </w:tc>
              <w:tc>
                <w:tcPr>
                  <w:tcW w:w="617" w:type="pct"/>
                  <w:vMerge w:val="continue"/>
                  <w:vAlign w:val="center"/>
                </w:tcPr>
                <w:p w14:paraId="05FFB671">
                  <w:pPr>
                    <w:pStyle w:val="38"/>
                    <w:rPr>
                      <w:rFonts w:hint="default"/>
                    </w:rPr>
                  </w:pPr>
                </w:p>
              </w:tc>
              <w:tc>
                <w:tcPr>
                  <w:tcW w:w="329" w:type="pct"/>
                  <w:vMerge w:val="continue"/>
                  <w:vAlign w:val="center"/>
                </w:tcPr>
                <w:p w14:paraId="3E06CD6A">
                  <w:pPr>
                    <w:pStyle w:val="38"/>
                    <w:rPr>
                      <w:rFonts w:hint="default"/>
                    </w:rPr>
                  </w:pPr>
                </w:p>
              </w:tc>
              <w:tc>
                <w:tcPr>
                  <w:tcW w:w="284" w:type="pct"/>
                  <w:vMerge w:val="continue"/>
                  <w:vAlign w:val="center"/>
                </w:tcPr>
                <w:p w14:paraId="26033679">
                  <w:pPr>
                    <w:pStyle w:val="38"/>
                    <w:rPr>
                      <w:rFonts w:hint="default"/>
                    </w:rPr>
                  </w:pPr>
                </w:p>
              </w:tc>
            </w:tr>
            <w:tr w14:paraId="520D9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tblHeader/>
                <w:jc w:val="center"/>
              </w:trPr>
              <w:tc>
                <w:tcPr>
                  <w:tcW w:w="207" w:type="pct"/>
                  <w:vMerge w:val="restart"/>
                  <w:vAlign w:val="center"/>
                </w:tcPr>
                <w:p w14:paraId="0D43591E">
                  <w:pPr>
                    <w:pStyle w:val="38"/>
                    <w:rPr>
                      <w:rFonts w:hint="default"/>
                    </w:rPr>
                  </w:pPr>
                  <w:r>
                    <w:t>临时工程</w:t>
                  </w:r>
                </w:p>
              </w:tc>
              <w:tc>
                <w:tcPr>
                  <w:tcW w:w="545" w:type="pct"/>
                  <w:vAlign w:val="center"/>
                </w:tcPr>
                <w:p w14:paraId="6BBE8161">
                  <w:pPr>
                    <w:pStyle w:val="38"/>
                    <w:rPr>
                      <w:rFonts w:hint="default"/>
                    </w:rPr>
                  </w:pPr>
                  <w:r>
                    <w:t>施工导流</w:t>
                  </w:r>
                </w:p>
              </w:tc>
              <w:tc>
                <w:tcPr>
                  <w:tcW w:w="3015" w:type="pct"/>
                  <w:vAlign w:val="center"/>
                </w:tcPr>
                <w:p w14:paraId="067649E6">
                  <w:pPr>
                    <w:pStyle w:val="38"/>
                    <w:rPr>
                      <w:rFonts w:hint="default"/>
                    </w:rPr>
                  </w:pPr>
                  <w:r>
                    <w:t>采用分段填筑横向围堰封闭河段河床后抽排水的方式进行施工导流，施工导流围堰采用开挖的土石填筑围堰，袋装土和防渗土工布防渗的方式</w:t>
                  </w:r>
                </w:p>
              </w:tc>
              <w:tc>
                <w:tcPr>
                  <w:tcW w:w="617" w:type="pct"/>
                  <w:vMerge w:val="continue"/>
                  <w:vAlign w:val="center"/>
                </w:tcPr>
                <w:p w14:paraId="02FDA026">
                  <w:pPr>
                    <w:pStyle w:val="38"/>
                    <w:rPr>
                      <w:rFonts w:hint="default"/>
                    </w:rPr>
                  </w:pPr>
                </w:p>
              </w:tc>
              <w:tc>
                <w:tcPr>
                  <w:tcW w:w="329" w:type="pct"/>
                  <w:vMerge w:val="restart"/>
                  <w:vAlign w:val="center"/>
                </w:tcPr>
                <w:p w14:paraId="56F58FFE">
                  <w:pPr>
                    <w:pStyle w:val="38"/>
                    <w:rPr>
                      <w:rFonts w:hint="default"/>
                    </w:rPr>
                  </w:pPr>
                  <w:r>
                    <w:t>/</w:t>
                  </w:r>
                </w:p>
              </w:tc>
              <w:tc>
                <w:tcPr>
                  <w:tcW w:w="284" w:type="pct"/>
                  <w:vMerge w:val="restart"/>
                  <w:vAlign w:val="center"/>
                </w:tcPr>
                <w:p w14:paraId="25A1FA57">
                  <w:pPr>
                    <w:pStyle w:val="38"/>
                    <w:rPr>
                      <w:rFonts w:hint="default"/>
                    </w:rPr>
                  </w:pPr>
                  <w:r>
                    <w:t>新建</w:t>
                  </w:r>
                </w:p>
              </w:tc>
            </w:tr>
            <w:tr w14:paraId="35727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tblHeader/>
                <w:jc w:val="center"/>
              </w:trPr>
              <w:tc>
                <w:tcPr>
                  <w:tcW w:w="207" w:type="pct"/>
                  <w:vMerge w:val="continue"/>
                  <w:vAlign w:val="center"/>
                </w:tcPr>
                <w:p w14:paraId="6E845B4C">
                  <w:pPr>
                    <w:pStyle w:val="38"/>
                    <w:rPr>
                      <w:rFonts w:hint="default"/>
                    </w:rPr>
                  </w:pPr>
                </w:p>
              </w:tc>
              <w:tc>
                <w:tcPr>
                  <w:tcW w:w="545" w:type="pct"/>
                  <w:vAlign w:val="center"/>
                </w:tcPr>
                <w:p w14:paraId="66AF60AD">
                  <w:pPr>
                    <w:pStyle w:val="38"/>
                    <w:rPr>
                      <w:rFonts w:hint="default"/>
                    </w:rPr>
                  </w:pPr>
                  <w:r>
                    <w:t>施工场地</w:t>
                  </w:r>
                </w:p>
              </w:tc>
              <w:tc>
                <w:tcPr>
                  <w:tcW w:w="3015" w:type="pct"/>
                  <w:vAlign w:val="center"/>
                </w:tcPr>
                <w:p w14:paraId="711CC69A">
                  <w:pPr>
                    <w:pStyle w:val="38"/>
                    <w:rPr>
                      <w:rFonts w:hint="default"/>
                    </w:rPr>
                  </w:pPr>
                  <w:r>
                    <w:t>租用</w:t>
                  </w:r>
                  <w:r>
                    <w:rPr>
                      <w:rFonts w:hint="eastAsia"/>
                      <w:lang w:eastAsia="zh-CN"/>
                    </w:rPr>
                    <w:t>村委会空地</w:t>
                  </w:r>
                  <w:r>
                    <w:t>设置施工</w:t>
                  </w:r>
                  <w:r>
                    <w:rPr>
                      <w:rStyle w:val="29"/>
                      <w:rFonts w:hint="eastAsia"/>
                      <w:kern w:val="2"/>
                      <w:lang w:eastAsia="zh-CN"/>
                    </w:rPr>
                    <w:t>场地</w:t>
                  </w:r>
                  <w:r>
                    <w:rPr>
                      <w:rFonts w:hint="eastAsia"/>
                      <w:lang w:eastAsia="zh-CN"/>
                    </w:rPr>
                    <w:t>（约</w:t>
                  </w:r>
                  <w:r>
                    <w:rPr>
                      <w:rFonts w:hint="eastAsia"/>
                      <w:lang w:val="en-US" w:eastAsia="zh-CN"/>
                    </w:rPr>
                    <w:t>1000m</w:t>
                  </w:r>
                  <w:r>
                    <w:rPr>
                      <w:rFonts w:hint="eastAsia"/>
                      <w:vertAlign w:val="superscript"/>
                      <w:lang w:val="en-US" w:eastAsia="zh-CN"/>
                    </w:rPr>
                    <w:t>2</w:t>
                  </w:r>
                  <w:r>
                    <w:rPr>
                      <w:rFonts w:hint="eastAsia"/>
                      <w:lang w:eastAsia="zh-CN"/>
                    </w:rPr>
                    <w:t>）</w:t>
                  </w:r>
                  <w:r>
                    <w:t>，主要用于设置材料堆放场、车辆设备停放、淤泥翻晒场、表土临时堆放等。施工场地周边设置截排水沟和沉淀池。</w:t>
                  </w:r>
                </w:p>
              </w:tc>
              <w:tc>
                <w:tcPr>
                  <w:tcW w:w="617" w:type="pct"/>
                  <w:vMerge w:val="continue"/>
                  <w:vAlign w:val="center"/>
                </w:tcPr>
                <w:p w14:paraId="77FC0883">
                  <w:pPr>
                    <w:pStyle w:val="38"/>
                    <w:rPr>
                      <w:rFonts w:hint="default"/>
                    </w:rPr>
                  </w:pPr>
                </w:p>
              </w:tc>
              <w:tc>
                <w:tcPr>
                  <w:tcW w:w="329" w:type="pct"/>
                  <w:vMerge w:val="continue"/>
                  <w:vAlign w:val="center"/>
                </w:tcPr>
                <w:p w14:paraId="1ADF927D">
                  <w:pPr>
                    <w:pStyle w:val="38"/>
                    <w:rPr>
                      <w:rFonts w:hint="default"/>
                    </w:rPr>
                  </w:pPr>
                </w:p>
              </w:tc>
              <w:tc>
                <w:tcPr>
                  <w:tcW w:w="284" w:type="pct"/>
                  <w:vMerge w:val="continue"/>
                  <w:vAlign w:val="center"/>
                </w:tcPr>
                <w:p w14:paraId="0E03737F">
                  <w:pPr>
                    <w:pStyle w:val="38"/>
                    <w:rPr>
                      <w:rFonts w:hint="default"/>
                    </w:rPr>
                  </w:pPr>
                </w:p>
              </w:tc>
            </w:tr>
            <w:tr w14:paraId="42A44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tblHeader/>
                <w:jc w:val="center"/>
              </w:trPr>
              <w:tc>
                <w:tcPr>
                  <w:tcW w:w="753" w:type="pct"/>
                  <w:gridSpan w:val="2"/>
                  <w:vAlign w:val="center"/>
                </w:tcPr>
                <w:p w14:paraId="035D45FB">
                  <w:pPr>
                    <w:pStyle w:val="38"/>
                    <w:rPr>
                      <w:rFonts w:hint="default"/>
                    </w:rPr>
                  </w:pPr>
                  <w:r>
                    <w:t>移民安置</w:t>
                  </w:r>
                </w:p>
              </w:tc>
              <w:tc>
                <w:tcPr>
                  <w:tcW w:w="3015" w:type="pct"/>
                  <w:vAlign w:val="center"/>
                </w:tcPr>
                <w:p w14:paraId="2C526170">
                  <w:pPr>
                    <w:pStyle w:val="38"/>
                    <w:rPr>
                      <w:rFonts w:hint="default"/>
                    </w:rPr>
                  </w:pPr>
                  <w:r>
                    <w:t>本工程不涉及移民拆迁。</w:t>
                  </w:r>
                </w:p>
              </w:tc>
              <w:tc>
                <w:tcPr>
                  <w:tcW w:w="617" w:type="pct"/>
                  <w:vMerge w:val="continue"/>
                  <w:vAlign w:val="center"/>
                </w:tcPr>
                <w:p w14:paraId="6F70C274">
                  <w:pPr>
                    <w:pStyle w:val="38"/>
                    <w:rPr>
                      <w:rFonts w:hint="default"/>
                    </w:rPr>
                  </w:pPr>
                </w:p>
              </w:tc>
              <w:tc>
                <w:tcPr>
                  <w:tcW w:w="329" w:type="pct"/>
                  <w:vMerge w:val="continue"/>
                  <w:vAlign w:val="center"/>
                </w:tcPr>
                <w:p w14:paraId="53E0C1E4">
                  <w:pPr>
                    <w:pStyle w:val="38"/>
                    <w:rPr>
                      <w:rFonts w:hint="default"/>
                    </w:rPr>
                  </w:pPr>
                </w:p>
              </w:tc>
              <w:tc>
                <w:tcPr>
                  <w:tcW w:w="284" w:type="pct"/>
                  <w:vMerge w:val="continue"/>
                  <w:vAlign w:val="center"/>
                </w:tcPr>
                <w:p w14:paraId="707B3B71">
                  <w:pPr>
                    <w:pStyle w:val="38"/>
                    <w:rPr>
                      <w:rFonts w:hint="default"/>
                    </w:rPr>
                  </w:pPr>
                </w:p>
              </w:tc>
            </w:tr>
            <w:tr w14:paraId="47EF4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atLeast"/>
                <w:jc w:val="center"/>
              </w:trPr>
              <w:tc>
                <w:tcPr>
                  <w:tcW w:w="207" w:type="pct"/>
                  <w:vMerge w:val="restart"/>
                  <w:vAlign w:val="center"/>
                </w:tcPr>
                <w:p w14:paraId="329085AD">
                  <w:pPr>
                    <w:pStyle w:val="38"/>
                    <w:rPr>
                      <w:rFonts w:hint="default"/>
                    </w:rPr>
                  </w:pPr>
                  <w:r>
                    <w:t>公辅</w:t>
                  </w:r>
                </w:p>
                <w:p w14:paraId="6D65016E">
                  <w:pPr>
                    <w:pStyle w:val="38"/>
                    <w:rPr>
                      <w:rFonts w:hint="default"/>
                    </w:rPr>
                  </w:pPr>
                  <w:r>
                    <w:t>工程</w:t>
                  </w:r>
                </w:p>
              </w:tc>
              <w:tc>
                <w:tcPr>
                  <w:tcW w:w="545" w:type="pct"/>
                  <w:vAlign w:val="center"/>
                </w:tcPr>
                <w:p w14:paraId="56F4D305">
                  <w:pPr>
                    <w:pStyle w:val="38"/>
                    <w:rPr>
                      <w:rFonts w:hint="default"/>
                    </w:rPr>
                  </w:pPr>
                  <w:r>
                    <w:t>供电</w:t>
                  </w:r>
                </w:p>
              </w:tc>
              <w:tc>
                <w:tcPr>
                  <w:tcW w:w="3015" w:type="pct"/>
                  <w:vAlign w:val="center"/>
                </w:tcPr>
                <w:p w14:paraId="09503C9D">
                  <w:pPr>
                    <w:pStyle w:val="38"/>
                    <w:rPr>
                      <w:rFonts w:hint="default"/>
                      <w:highlight w:val="yellow"/>
                    </w:rPr>
                  </w:pPr>
                  <w:r>
                    <w:t>由当地电网接入、备用柴油发电机。</w:t>
                  </w:r>
                </w:p>
              </w:tc>
              <w:tc>
                <w:tcPr>
                  <w:tcW w:w="617" w:type="pct"/>
                  <w:vMerge w:val="restart"/>
                  <w:vAlign w:val="center"/>
                </w:tcPr>
                <w:p w14:paraId="663205AF">
                  <w:pPr>
                    <w:pStyle w:val="38"/>
                    <w:rPr>
                      <w:rFonts w:hint="default"/>
                    </w:rPr>
                  </w:pPr>
                  <w:r>
                    <w:t>/</w:t>
                  </w:r>
                </w:p>
              </w:tc>
              <w:tc>
                <w:tcPr>
                  <w:tcW w:w="329" w:type="pct"/>
                  <w:vMerge w:val="restart"/>
                  <w:vAlign w:val="center"/>
                </w:tcPr>
                <w:p w14:paraId="281102B0">
                  <w:pPr>
                    <w:pStyle w:val="38"/>
                    <w:rPr>
                      <w:rFonts w:hint="default"/>
                    </w:rPr>
                  </w:pPr>
                  <w:r>
                    <w:t>/</w:t>
                  </w:r>
                </w:p>
              </w:tc>
              <w:tc>
                <w:tcPr>
                  <w:tcW w:w="284" w:type="pct"/>
                  <w:vMerge w:val="restart"/>
                  <w:vAlign w:val="center"/>
                </w:tcPr>
                <w:p w14:paraId="2FA0D3EF">
                  <w:pPr>
                    <w:pStyle w:val="38"/>
                    <w:rPr>
                      <w:rFonts w:hint="default"/>
                    </w:rPr>
                  </w:pPr>
                  <w:r>
                    <w:t>依托</w:t>
                  </w:r>
                </w:p>
              </w:tc>
            </w:tr>
            <w:tr w14:paraId="165CE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atLeast"/>
                <w:jc w:val="center"/>
              </w:trPr>
              <w:tc>
                <w:tcPr>
                  <w:tcW w:w="207" w:type="pct"/>
                  <w:vMerge w:val="continue"/>
                  <w:vAlign w:val="center"/>
                </w:tcPr>
                <w:p w14:paraId="40C11397">
                  <w:pPr>
                    <w:pStyle w:val="38"/>
                    <w:rPr>
                      <w:rFonts w:hint="default"/>
                    </w:rPr>
                  </w:pPr>
                </w:p>
              </w:tc>
              <w:tc>
                <w:tcPr>
                  <w:tcW w:w="545" w:type="pct"/>
                  <w:vAlign w:val="center"/>
                </w:tcPr>
                <w:p w14:paraId="4A195050">
                  <w:pPr>
                    <w:pStyle w:val="38"/>
                    <w:rPr>
                      <w:rFonts w:hint="default"/>
                    </w:rPr>
                  </w:pPr>
                  <w:r>
                    <w:t>供水</w:t>
                  </w:r>
                </w:p>
              </w:tc>
              <w:tc>
                <w:tcPr>
                  <w:tcW w:w="3015" w:type="pct"/>
                  <w:vAlign w:val="center"/>
                </w:tcPr>
                <w:p w14:paraId="482AD957">
                  <w:pPr>
                    <w:pStyle w:val="38"/>
                    <w:rPr>
                      <w:rFonts w:hint="default"/>
                    </w:rPr>
                  </w:pPr>
                  <w:r>
                    <w:t>施工生产用水：可直接抽取河道内的水，根据现场生产需要布置水泵；</w:t>
                  </w:r>
                </w:p>
                <w:p w14:paraId="2EE0B500">
                  <w:pPr>
                    <w:pStyle w:val="38"/>
                    <w:rPr>
                      <w:rFonts w:hint="default"/>
                    </w:rPr>
                  </w:pPr>
                  <w:r>
                    <w:t>生活用水：可依托租赁民房的自来水。</w:t>
                  </w:r>
                </w:p>
              </w:tc>
              <w:tc>
                <w:tcPr>
                  <w:tcW w:w="617" w:type="pct"/>
                  <w:vMerge w:val="continue"/>
                  <w:vAlign w:val="center"/>
                </w:tcPr>
                <w:p w14:paraId="7D8C8508">
                  <w:pPr>
                    <w:pStyle w:val="38"/>
                    <w:rPr>
                      <w:rFonts w:hint="default"/>
                    </w:rPr>
                  </w:pPr>
                </w:p>
              </w:tc>
              <w:tc>
                <w:tcPr>
                  <w:tcW w:w="329" w:type="pct"/>
                  <w:vMerge w:val="continue"/>
                  <w:vAlign w:val="center"/>
                </w:tcPr>
                <w:p w14:paraId="12D8816A">
                  <w:pPr>
                    <w:pStyle w:val="38"/>
                    <w:rPr>
                      <w:rFonts w:hint="default"/>
                    </w:rPr>
                  </w:pPr>
                </w:p>
              </w:tc>
              <w:tc>
                <w:tcPr>
                  <w:tcW w:w="284" w:type="pct"/>
                  <w:vMerge w:val="continue"/>
                  <w:vAlign w:val="center"/>
                </w:tcPr>
                <w:p w14:paraId="16E97C94">
                  <w:pPr>
                    <w:pStyle w:val="38"/>
                    <w:rPr>
                      <w:rFonts w:hint="default"/>
                    </w:rPr>
                  </w:pPr>
                </w:p>
              </w:tc>
            </w:tr>
            <w:tr w14:paraId="321B5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7" w:type="pct"/>
                  <w:vMerge w:val="restart"/>
                  <w:vAlign w:val="center"/>
                </w:tcPr>
                <w:p w14:paraId="063CD2BE">
                  <w:pPr>
                    <w:pStyle w:val="38"/>
                    <w:rPr>
                      <w:rFonts w:hint="default"/>
                    </w:rPr>
                  </w:pPr>
                  <w:r>
                    <w:t>环保</w:t>
                  </w:r>
                </w:p>
                <w:p w14:paraId="666D7479">
                  <w:pPr>
                    <w:pStyle w:val="38"/>
                    <w:rPr>
                      <w:rFonts w:hint="default"/>
                    </w:rPr>
                  </w:pPr>
                  <w:r>
                    <w:t>工程</w:t>
                  </w:r>
                </w:p>
              </w:tc>
              <w:tc>
                <w:tcPr>
                  <w:tcW w:w="545" w:type="pct"/>
                  <w:vAlign w:val="center"/>
                </w:tcPr>
                <w:p w14:paraId="101A41AB">
                  <w:pPr>
                    <w:pStyle w:val="38"/>
                    <w:rPr>
                      <w:rFonts w:hint="default"/>
                    </w:rPr>
                  </w:pPr>
                  <w:r>
                    <w:t>废气治理</w:t>
                  </w:r>
                </w:p>
              </w:tc>
              <w:tc>
                <w:tcPr>
                  <w:tcW w:w="3015" w:type="pct"/>
                  <w:vAlign w:val="center"/>
                </w:tcPr>
                <w:p w14:paraId="5A55EC53">
                  <w:pPr>
                    <w:pStyle w:val="38"/>
                    <w:rPr>
                      <w:rFonts w:hint="default"/>
                    </w:rPr>
                  </w:pPr>
                  <w:r>
                    <w:rPr>
                      <w:rFonts w:hint="default"/>
                    </w:rPr>
                    <w:t>项目进行打围施工，对施工</w:t>
                  </w:r>
                  <w:r>
                    <w:t>场地</w:t>
                  </w:r>
                  <w:r>
                    <w:rPr>
                      <w:rFonts w:hint="default"/>
                    </w:rPr>
                    <w:t>等临时占地采取遮盖、洒水抑尘措施；加强施工机械的保养维护等措施减少燃油废气排放；堆场</w:t>
                  </w:r>
                  <w:r>
                    <w:t>等</w:t>
                  </w:r>
                  <w:r>
                    <w:rPr>
                      <w:rFonts w:hint="default"/>
                    </w:rPr>
                    <w:t>设置防尘网覆盖，减少扬尘；进出车辆设置洗车平台对汽车轮胎进行冲洗等设施</w:t>
                  </w:r>
                  <w:r>
                    <w:t>降尘</w:t>
                  </w:r>
                  <w:r>
                    <w:rPr>
                      <w:rFonts w:hint="default"/>
                    </w:rPr>
                    <w:t>。</w:t>
                  </w:r>
                </w:p>
              </w:tc>
              <w:tc>
                <w:tcPr>
                  <w:tcW w:w="617" w:type="pct"/>
                  <w:vAlign w:val="center"/>
                </w:tcPr>
                <w:p w14:paraId="2D5816A0">
                  <w:pPr>
                    <w:pStyle w:val="38"/>
                    <w:rPr>
                      <w:rFonts w:hint="default"/>
                    </w:rPr>
                  </w:pPr>
                  <w:r>
                    <w:t>/</w:t>
                  </w:r>
                </w:p>
              </w:tc>
              <w:tc>
                <w:tcPr>
                  <w:tcW w:w="329" w:type="pct"/>
                  <w:vAlign w:val="center"/>
                </w:tcPr>
                <w:p w14:paraId="2768D63D">
                  <w:pPr>
                    <w:pStyle w:val="38"/>
                    <w:rPr>
                      <w:rFonts w:hint="default"/>
                    </w:rPr>
                  </w:pPr>
                  <w:r>
                    <w:t>/</w:t>
                  </w:r>
                </w:p>
              </w:tc>
              <w:tc>
                <w:tcPr>
                  <w:tcW w:w="284" w:type="pct"/>
                  <w:vAlign w:val="center"/>
                </w:tcPr>
                <w:p w14:paraId="7BEF9B07">
                  <w:pPr>
                    <w:pStyle w:val="38"/>
                    <w:rPr>
                      <w:rFonts w:hint="default"/>
                    </w:rPr>
                  </w:pPr>
                  <w:r>
                    <w:t>新建</w:t>
                  </w:r>
                </w:p>
              </w:tc>
            </w:tr>
            <w:tr w14:paraId="18EE8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7" w:type="pct"/>
                  <w:vMerge w:val="continue"/>
                  <w:vAlign w:val="center"/>
                </w:tcPr>
                <w:p w14:paraId="5DD52921">
                  <w:pPr>
                    <w:pStyle w:val="38"/>
                    <w:rPr>
                      <w:rFonts w:hint="default"/>
                    </w:rPr>
                  </w:pPr>
                </w:p>
              </w:tc>
              <w:tc>
                <w:tcPr>
                  <w:tcW w:w="545" w:type="pct"/>
                  <w:vAlign w:val="center"/>
                </w:tcPr>
                <w:p w14:paraId="5597CE20">
                  <w:pPr>
                    <w:pStyle w:val="38"/>
                    <w:rPr>
                      <w:rFonts w:hint="default"/>
                    </w:rPr>
                  </w:pPr>
                  <w:r>
                    <w:t>废水治理</w:t>
                  </w:r>
                </w:p>
              </w:tc>
              <w:tc>
                <w:tcPr>
                  <w:tcW w:w="3015" w:type="pct"/>
                  <w:vAlign w:val="center"/>
                </w:tcPr>
                <w:p w14:paraId="3BCB741F">
                  <w:pPr>
                    <w:pStyle w:val="38"/>
                    <w:rPr>
                      <w:rFonts w:hint="default"/>
                    </w:rPr>
                  </w:pPr>
                  <w:r>
                    <w:rPr>
                      <w:rFonts w:hint="default"/>
                    </w:rPr>
                    <w:t>施工期：施工场地周边</w:t>
                  </w:r>
                  <w:r>
                    <w:t>设置临时</w:t>
                  </w:r>
                  <w:r>
                    <w:rPr>
                      <w:rFonts w:hint="default"/>
                    </w:rPr>
                    <w:t>排水沟，在排水沟出口处设置1个5m</w:t>
                  </w:r>
                  <w:r>
                    <w:rPr>
                      <w:rFonts w:hint="default"/>
                      <w:vertAlign w:val="superscript"/>
                    </w:rPr>
                    <w:t>3</w:t>
                  </w:r>
                  <w:r>
                    <w:rPr>
                      <w:rFonts w:hint="default"/>
                    </w:rPr>
                    <w:t>隔油沉淀池，沉淀后用于场地降尘使用；施工人员产生的生活污水通过租</w:t>
                  </w:r>
                  <w:r>
                    <w:rPr>
                      <w:rFonts w:hint="eastAsia"/>
                      <w:lang w:eastAsia="zh-CN"/>
                    </w:rPr>
                    <w:t>用</w:t>
                  </w:r>
                  <w:r>
                    <w:rPr>
                      <w:rFonts w:hint="default"/>
                    </w:rPr>
                    <w:t>民房现有生活污水处理设施处理，不外排；在各基坑内设排水沟、集水坑，基坑排水</w:t>
                  </w:r>
                  <w:r>
                    <w:t>主要含较高浓度悬浮物</w:t>
                  </w:r>
                  <w:r>
                    <w:rPr>
                      <w:rFonts w:hint="default"/>
                    </w:rPr>
                    <w:t>，经沉淀处理后回用</w:t>
                  </w:r>
                  <w:r>
                    <w:rPr>
                      <w:rFonts w:hint="eastAsia"/>
                      <w:lang w:eastAsia="zh-CN"/>
                    </w:rPr>
                    <w:t>于施工用水和洒水降尘</w:t>
                  </w:r>
                  <w:r>
                    <w:rPr>
                      <w:rFonts w:hint="default"/>
                    </w:rPr>
                    <w:t>。</w:t>
                  </w:r>
                </w:p>
              </w:tc>
              <w:tc>
                <w:tcPr>
                  <w:tcW w:w="617" w:type="pct"/>
                  <w:vAlign w:val="center"/>
                </w:tcPr>
                <w:p w14:paraId="0732A294">
                  <w:pPr>
                    <w:pStyle w:val="38"/>
                    <w:rPr>
                      <w:rFonts w:hint="default"/>
                    </w:rPr>
                  </w:pPr>
                  <w:r>
                    <w:t>/</w:t>
                  </w:r>
                </w:p>
              </w:tc>
              <w:tc>
                <w:tcPr>
                  <w:tcW w:w="329" w:type="pct"/>
                  <w:vAlign w:val="center"/>
                </w:tcPr>
                <w:p w14:paraId="3C93CF06">
                  <w:pPr>
                    <w:pStyle w:val="38"/>
                    <w:rPr>
                      <w:rFonts w:hint="default"/>
                    </w:rPr>
                  </w:pPr>
                  <w:r>
                    <w:t>/</w:t>
                  </w:r>
                </w:p>
              </w:tc>
              <w:tc>
                <w:tcPr>
                  <w:tcW w:w="284" w:type="pct"/>
                  <w:vAlign w:val="center"/>
                </w:tcPr>
                <w:p w14:paraId="0D79E90F">
                  <w:pPr>
                    <w:pStyle w:val="38"/>
                    <w:rPr>
                      <w:rFonts w:hint="default"/>
                    </w:rPr>
                  </w:pPr>
                  <w:r>
                    <w:t>新建</w:t>
                  </w:r>
                </w:p>
              </w:tc>
            </w:tr>
            <w:tr w14:paraId="3C426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7" w:type="pct"/>
                  <w:vMerge w:val="continue"/>
                  <w:vAlign w:val="center"/>
                </w:tcPr>
                <w:p w14:paraId="12250958">
                  <w:pPr>
                    <w:pStyle w:val="38"/>
                    <w:rPr>
                      <w:rFonts w:hint="default"/>
                    </w:rPr>
                  </w:pPr>
                </w:p>
              </w:tc>
              <w:tc>
                <w:tcPr>
                  <w:tcW w:w="545" w:type="pct"/>
                  <w:vAlign w:val="center"/>
                </w:tcPr>
                <w:p w14:paraId="31E437BB">
                  <w:pPr>
                    <w:pStyle w:val="38"/>
                    <w:rPr>
                      <w:rFonts w:hint="default"/>
                    </w:rPr>
                  </w:pPr>
                  <w:r>
                    <w:t>噪声防治</w:t>
                  </w:r>
                </w:p>
              </w:tc>
              <w:tc>
                <w:tcPr>
                  <w:tcW w:w="3015" w:type="pct"/>
                  <w:vAlign w:val="center"/>
                </w:tcPr>
                <w:p w14:paraId="1B3AD4B5">
                  <w:pPr>
                    <w:pStyle w:val="38"/>
                    <w:rPr>
                      <w:rFonts w:hint="default"/>
                    </w:rPr>
                  </w:pPr>
                  <w:r>
                    <w:t>选用低噪声机械，加强设备保养，合理安排作业时间；禁止在中高考期间进行建筑施工等。</w:t>
                  </w:r>
                </w:p>
              </w:tc>
              <w:tc>
                <w:tcPr>
                  <w:tcW w:w="617" w:type="pct"/>
                  <w:vAlign w:val="center"/>
                </w:tcPr>
                <w:p w14:paraId="3AFEDA14">
                  <w:pPr>
                    <w:pStyle w:val="38"/>
                    <w:rPr>
                      <w:rFonts w:hint="default"/>
                    </w:rPr>
                  </w:pPr>
                  <w:r>
                    <w:t>/</w:t>
                  </w:r>
                </w:p>
              </w:tc>
              <w:tc>
                <w:tcPr>
                  <w:tcW w:w="329" w:type="pct"/>
                  <w:vAlign w:val="center"/>
                </w:tcPr>
                <w:p w14:paraId="5E00FF31">
                  <w:pPr>
                    <w:pStyle w:val="38"/>
                    <w:rPr>
                      <w:rFonts w:hint="default"/>
                    </w:rPr>
                  </w:pPr>
                  <w:r>
                    <w:t>/</w:t>
                  </w:r>
                </w:p>
              </w:tc>
              <w:tc>
                <w:tcPr>
                  <w:tcW w:w="284" w:type="pct"/>
                  <w:vAlign w:val="center"/>
                </w:tcPr>
                <w:p w14:paraId="674AD10B">
                  <w:pPr>
                    <w:pStyle w:val="38"/>
                    <w:rPr>
                      <w:rFonts w:hint="default"/>
                    </w:rPr>
                  </w:pPr>
                  <w:r>
                    <w:t>新建</w:t>
                  </w:r>
                </w:p>
              </w:tc>
            </w:tr>
            <w:tr w14:paraId="3F1DC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7" w:type="pct"/>
                  <w:vMerge w:val="continue"/>
                  <w:vAlign w:val="center"/>
                </w:tcPr>
                <w:p w14:paraId="5BBABAE3">
                  <w:pPr>
                    <w:pStyle w:val="38"/>
                    <w:rPr>
                      <w:rFonts w:hint="default"/>
                    </w:rPr>
                  </w:pPr>
                </w:p>
              </w:tc>
              <w:tc>
                <w:tcPr>
                  <w:tcW w:w="545" w:type="pct"/>
                  <w:vAlign w:val="center"/>
                </w:tcPr>
                <w:p w14:paraId="25A07913">
                  <w:pPr>
                    <w:pStyle w:val="38"/>
                    <w:rPr>
                      <w:rFonts w:hint="default"/>
                    </w:rPr>
                  </w:pPr>
                  <w:r>
                    <w:t>固废处置</w:t>
                  </w:r>
                </w:p>
              </w:tc>
              <w:tc>
                <w:tcPr>
                  <w:tcW w:w="3015" w:type="pct"/>
                  <w:vAlign w:val="center"/>
                </w:tcPr>
                <w:p w14:paraId="185182E1">
                  <w:pPr>
                    <w:pStyle w:val="38"/>
                    <w:rPr>
                      <w:rFonts w:hint="default"/>
                    </w:rPr>
                  </w:pPr>
                  <w:r>
                    <w:t>施工过程中产生的建筑垃圾，运输至政府指定弃渣场。开挖土石方优先用于工程回填，多余弃方主要为淤泥，在施工场地翻晒后运至金元镇附近农田综合利用。生活垃圾由环卫部门统一清运。项目机修依靠当地修理厂，不产生和贮存危废。</w:t>
                  </w:r>
                </w:p>
              </w:tc>
              <w:tc>
                <w:tcPr>
                  <w:tcW w:w="617" w:type="pct"/>
                  <w:vAlign w:val="center"/>
                </w:tcPr>
                <w:p w14:paraId="0A16B554">
                  <w:pPr>
                    <w:pStyle w:val="38"/>
                    <w:rPr>
                      <w:rFonts w:hint="default"/>
                    </w:rPr>
                  </w:pPr>
                  <w:r>
                    <w:t>/</w:t>
                  </w:r>
                </w:p>
              </w:tc>
              <w:tc>
                <w:tcPr>
                  <w:tcW w:w="329" w:type="pct"/>
                  <w:vAlign w:val="center"/>
                </w:tcPr>
                <w:p w14:paraId="243704D9">
                  <w:pPr>
                    <w:pStyle w:val="38"/>
                    <w:rPr>
                      <w:rFonts w:hint="default"/>
                    </w:rPr>
                  </w:pPr>
                  <w:r>
                    <w:t>/</w:t>
                  </w:r>
                </w:p>
              </w:tc>
              <w:tc>
                <w:tcPr>
                  <w:tcW w:w="284" w:type="pct"/>
                  <w:vAlign w:val="center"/>
                </w:tcPr>
                <w:p w14:paraId="6DC1CE8C">
                  <w:pPr>
                    <w:pStyle w:val="38"/>
                    <w:rPr>
                      <w:rFonts w:hint="default"/>
                    </w:rPr>
                  </w:pPr>
                  <w:r>
                    <w:t>新建</w:t>
                  </w:r>
                </w:p>
              </w:tc>
            </w:tr>
            <w:tr w14:paraId="22FD8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6" w:hRule="atLeast"/>
                <w:jc w:val="center"/>
              </w:trPr>
              <w:tc>
                <w:tcPr>
                  <w:tcW w:w="207" w:type="pct"/>
                  <w:vMerge w:val="continue"/>
                  <w:vAlign w:val="center"/>
                </w:tcPr>
                <w:p w14:paraId="74BF3202">
                  <w:pPr>
                    <w:pStyle w:val="38"/>
                    <w:rPr>
                      <w:rFonts w:hint="default"/>
                    </w:rPr>
                  </w:pPr>
                </w:p>
              </w:tc>
              <w:tc>
                <w:tcPr>
                  <w:tcW w:w="545" w:type="pct"/>
                  <w:vMerge w:val="restart"/>
                  <w:vAlign w:val="center"/>
                </w:tcPr>
                <w:p w14:paraId="65EE5DAD">
                  <w:pPr>
                    <w:pStyle w:val="38"/>
                    <w:rPr>
                      <w:rFonts w:hint="default"/>
                    </w:rPr>
                  </w:pPr>
                  <w:r>
                    <w:t>生态环境保护</w:t>
                  </w:r>
                </w:p>
              </w:tc>
              <w:tc>
                <w:tcPr>
                  <w:tcW w:w="3015" w:type="pct"/>
                  <w:vAlign w:val="center"/>
                </w:tcPr>
                <w:p w14:paraId="048CA5DF">
                  <w:pPr>
                    <w:pStyle w:val="89"/>
                    <w:jc w:val="both"/>
                    <w:rPr>
                      <w:kern w:val="2"/>
                    </w:rPr>
                  </w:pPr>
                  <w:r>
                    <w:rPr>
                      <w:rFonts w:hint="eastAsia"/>
                      <w:kern w:val="2"/>
                    </w:rPr>
                    <w:t>陆生生物及生态系统保护措施：</w:t>
                  </w:r>
                </w:p>
                <w:p w14:paraId="22C3FE55">
                  <w:pPr>
                    <w:pStyle w:val="89"/>
                    <w:jc w:val="both"/>
                    <w:rPr>
                      <w:b/>
                      <w:kern w:val="2"/>
                    </w:rPr>
                  </w:pPr>
                  <w:r>
                    <w:rPr>
                      <w:b/>
                      <w:kern w:val="2"/>
                    </w:rPr>
                    <w:t>陆生动植物保护措施</w:t>
                  </w:r>
                  <w:r>
                    <w:rPr>
                      <w:rFonts w:hint="eastAsia"/>
                      <w:b/>
                      <w:kern w:val="2"/>
                    </w:rPr>
                    <w:t>：</w:t>
                  </w:r>
                </w:p>
                <w:p w14:paraId="5400BDB2">
                  <w:pPr>
                    <w:pStyle w:val="89"/>
                    <w:jc w:val="both"/>
                    <w:rPr>
                      <w:kern w:val="2"/>
                    </w:rPr>
                  </w:pPr>
                  <w:r>
                    <w:rPr>
                      <w:rFonts w:hint="eastAsia"/>
                      <w:kern w:val="2"/>
                    </w:rPr>
                    <w:t>（1）加强对职工宣传教育，提高保护动植物意识。</w:t>
                  </w:r>
                </w:p>
                <w:p w14:paraId="3B7A460F">
                  <w:pPr>
                    <w:pStyle w:val="89"/>
                    <w:jc w:val="both"/>
                    <w:rPr>
                      <w:kern w:val="2"/>
                    </w:rPr>
                  </w:pPr>
                  <w:r>
                    <w:rPr>
                      <w:rFonts w:hint="eastAsia"/>
                      <w:kern w:val="2"/>
                    </w:rPr>
                    <w:t>（2）严格施工范围，严禁任意越界破坏周围植被。</w:t>
                  </w:r>
                </w:p>
                <w:p w14:paraId="5CDE729B">
                  <w:pPr>
                    <w:pStyle w:val="89"/>
                    <w:jc w:val="both"/>
                    <w:rPr>
                      <w:kern w:val="2"/>
                    </w:rPr>
                  </w:pPr>
                  <w:r>
                    <w:rPr>
                      <w:rFonts w:hint="eastAsia"/>
                      <w:kern w:val="2"/>
                    </w:rPr>
                    <w:t>（3）施工结束后及时对工程临时用地进行迹地恢复。植被恢复以当地适生树种和草本为主，禁止植被恢复建设过程中使用农药、化肥、杀虫剂、除草剂等。</w:t>
                  </w:r>
                </w:p>
                <w:p w14:paraId="5CDF973F">
                  <w:pPr>
                    <w:pStyle w:val="89"/>
                    <w:jc w:val="both"/>
                    <w:rPr>
                      <w:kern w:val="2"/>
                    </w:rPr>
                  </w:pPr>
                  <w:r>
                    <w:rPr>
                      <w:rFonts w:hint="eastAsia"/>
                      <w:kern w:val="2"/>
                    </w:rPr>
                    <w:t>（4）采用先进的施工工艺，合理安排施工时间，合理产噪设使用时间，减小对野生动物生境的影响。减少对工程区植被的破坏。降低施工污染。</w:t>
                  </w:r>
                </w:p>
                <w:p w14:paraId="08BA3E28">
                  <w:pPr>
                    <w:pStyle w:val="89"/>
                    <w:jc w:val="both"/>
                    <w:rPr>
                      <w:kern w:val="2"/>
                    </w:rPr>
                  </w:pPr>
                  <w:r>
                    <w:rPr>
                      <w:rFonts w:hint="eastAsia"/>
                      <w:kern w:val="2"/>
                    </w:rPr>
                    <w:t>（5）工程在施工过程中应加强施工管理，固废堆存在指定场所及时处理，避免雨水冲刷污染物进入附近地表水体。</w:t>
                  </w:r>
                </w:p>
                <w:p w14:paraId="6BEF3814">
                  <w:pPr>
                    <w:pStyle w:val="89"/>
                    <w:jc w:val="both"/>
                    <w:rPr>
                      <w:kern w:val="2"/>
                    </w:rPr>
                  </w:pPr>
                  <w:r>
                    <w:rPr>
                      <w:rFonts w:hint="eastAsia"/>
                      <w:kern w:val="2"/>
                    </w:rPr>
                    <w:t>（6）若</w:t>
                  </w:r>
                  <w:r>
                    <w:rPr>
                      <w:kern w:val="2"/>
                    </w:rPr>
                    <w:t>工程区域</w:t>
                  </w:r>
                  <w:r>
                    <w:rPr>
                      <w:rFonts w:hint="eastAsia"/>
                      <w:kern w:val="2"/>
                    </w:rPr>
                    <w:t>存在</w:t>
                  </w:r>
                  <w:r>
                    <w:rPr>
                      <w:kern w:val="2"/>
                    </w:rPr>
                    <w:t>较大的树木</w:t>
                  </w:r>
                  <w:r>
                    <w:rPr>
                      <w:rFonts w:hint="eastAsia"/>
                      <w:kern w:val="2"/>
                    </w:rPr>
                    <w:t>，应</w:t>
                  </w:r>
                  <w:r>
                    <w:rPr>
                      <w:kern w:val="2"/>
                    </w:rPr>
                    <w:t>尽可能实施移栽，不可简单地将其进行砍伐</w:t>
                  </w:r>
                </w:p>
                <w:p w14:paraId="53475645">
                  <w:pPr>
                    <w:pStyle w:val="38"/>
                    <w:jc w:val="both"/>
                    <w:rPr>
                      <w:rFonts w:hint="default"/>
                      <w:b/>
                    </w:rPr>
                  </w:pPr>
                  <w:r>
                    <w:rPr>
                      <w:rFonts w:hint="default"/>
                      <w:b/>
                    </w:rPr>
                    <w:t>生态环境恢复环保要求</w:t>
                  </w:r>
                  <w:r>
                    <w:rPr>
                      <w:b/>
                    </w:rPr>
                    <w:t>：</w:t>
                  </w:r>
                </w:p>
                <w:p w14:paraId="72C56A68">
                  <w:pPr>
                    <w:pStyle w:val="38"/>
                    <w:jc w:val="both"/>
                    <w:rPr>
                      <w:rFonts w:hint="default"/>
                      <w:highlight w:val="yellow"/>
                    </w:rPr>
                  </w:pPr>
                  <w:r>
                    <w:rPr>
                      <w:rFonts w:hint="default"/>
                    </w:rPr>
                    <w:t>项目竣工后及时拆除</w:t>
                  </w:r>
                  <w:r>
                    <w:t>施工场地内堆场、生产区</w:t>
                  </w:r>
                  <w:r>
                    <w:rPr>
                      <w:rFonts w:hint="default"/>
                    </w:rPr>
                    <w:t>等临时设施，并进行迹地恢复。场地内建筑物垃圾、生活垃圾清扫干净后，施工单位方可退场。</w:t>
                  </w:r>
                </w:p>
              </w:tc>
              <w:tc>
                <w:tcPr>
                  <w:tcW w:w="617" w:type="pct"/>
                  <w:vMerge w:val="restart"/>
                  <w:vAlign w:val="center"/>
                </w:tcPr>
                <w:p w14:paraId="1A9013B7">
                  <w:pPr>
                    <w:pStyle w:val="38"/>
                    <w:rPr>
                      <w:rFonts w:hint="default"/>
                    </w:rPr>
                  </w:pPr>
                  <w:r>
                    <w:t>/</w:t>
                  </w:r>
                </w:p>
              </w:tc>
              <w:tc>
                <w:tcPr>
                  <w:tcW w:w="329" w:type="pct"/>
                  <w:vMerge w:val="restart"/>
                  <w:vAlign w:val="center"/>
                </w:tcPr>
                <w:p w14:paraId="245117BE">
                  <w:pPr>
                    <w:pStyle w:val="38"/>
                    <w:rPr>
                      <w:rFonts w:hint="default"/>
                    </w:rPr>
                  </w:pPr>
                  <w:r>
                    <w:t>/</w:t>
                  </w:r>
                </w:p>
              </w:tc>
              <w:tc>
                <w:tcPr>
                  <w:tcW w:w="284" w:type="pct"/>
                  <w:vMerge w:val="restart"/>
                  <w:vAlign w:val="center"/>
                </w:tcPr>
                <w:p w14:paraId="560899B5">
                  <w:pPr>
                    <w:pStyle w:val="38"/>
                    <w:rPr>
                      <w:rFonts w:hint="default"/>
                    </w:rPr>
                  </w:pPr>
                  <w:r>
                    <w:t>新建</w:t>
                  </w:r>
                </w:p>
              </w:tc>
            </w:tr>
            <w:tr w14:paraId="58BE7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6" w:hRule="atLeast"/>
                <w:jc w:val="center"/>
              </w:trPr>
              <w:tc>
                <w:tcPr>
                  <w:tcW w:w="207" w:type="pct"/>
                  <w:vMerge w:val="continue"/>
                  <w:vAlign w:val="center"/>
                </w:tcPr>
                <w:p w14:paraId="73E6F3CD">
                  <w:pPr>
                    <w:pStyle w:val="38"/>
                    <w:rPr>
                      <w:rFonts w:hint="default"/>
                    </w:rPr>
                  </w:pPr>
                </w:p>
              </w:tc>
              <w:tc>
                <w:tcPr>
                  <w:tcW w:w="545" w:type="pct"/>
                  <w:vMerge w:val="continue"/>
                  <w:vAlign w:val="center"/>
                </w:tcPr>
                <w:p w14:paraId="7E24025E">
                  <w:pPr>
                    <w:pStyle w:val="38"/>
                    <w:rPr>
                      <w:rFonts w:hint="default"/>
                    </w:rPr>
                  </w:pPr>
                </w:p>
              </w:tc>
              <w:tc>
                <w:tcPr>
                  <w:tcW w:w="3015" w:type="pct"/>
                  <w:vAlign w:val="center"/>
                </w:tcPr>
                <w:p w14:paraId="467BDCF0">
                  <w:pPr>
                    <w:pStyle w:val="38"/>
                    <w:jc w:val="both"/>
                    <w:rPr>
                      <w:rFonts w:hint="default"/>
                      <w:b/>
                      <w:bCs/>
                    </w:rPr>
                  </w:pPr>
                  <w:r>
                    <w:rPr>
                      <w:b/>
                      <w:bCs/>
                    </w:rPr>
                    <w:t>水</w:t>
                  </w:r>
                  <w:r>
                    <w:rPr>
                      <w:rFonts w:hint="eastAsia"/>
                      <w:b/>
                      <w:bCs/>
                      <w:lang w:eastAsia="zh-CN"/>
                    </w:rPr>
                    <w:t>生</w:t>
                  </w:r>
                  <w:r>
                    <w:rPr>
                      <w:b/>
                      <w:bCs/>
                    </w:rPr>
                    <w:t>生态环境保护措施：</w:t>
                  </w:r>
                </w:p>
                <w:p w14:paraId="18D7C8B8">
                  <w:pPr>
                    <w:pStyle w:val="109"/>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（1）管理措施：开展水环境保护教育，加强施工管理；防止施工机械油料泄漏污染水体；及时处置施工过程中产生的废土、废渣等固废，禁止将其投入河流水体中。</w:t>
                  </w:r>
                </w:p>
                <w:p w14:paraId="293BF30B">
                  <w:pPr>
                    <w:pStyle w:val="109"/>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（2）在施工时考虑用塑料薄膜、覆盖网等对开挖和填筑的未采取防护措施的边坡、堆场等进行覆盖，在路基两侧及堆场周围设置截排水沟，并在截排水沟末端设置沉淀池等措施。</w:t>
                  </w:r>
                </w:p>
                <w:p w14:paraId="7BE7A94F">
                  <w:pPr>
                    <w:pStyle w:val="109"/>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3）施工时序保护措施：项目选择在枯水期进行施工，并加强施工监督管理，进入枯水期优先开展河道清淤整治工作，以减轻项目施工对地表水体的影响。建设工作优先选在在枯水期开展，保证工程质量的同时也减轻项目施工对地表水体的影响。</w:t>
                  </w:r>
                </w:p>
                <w:p w14:paraId="0157445F">
                  <w:pPr>
                    <w:pStyle w:val="38"/>
                    <w:jc w:val="both"/>
                    <w:rPr>
                      <w:rFonts w:hint="default"/>
                    </w:rPr>
                  </w:pPr>
                  <w:r>
                    <w:t>减轻地表水体扰动的保护措施合理选择施工时间尽量选在枯水期施工。</w:t>
                  </w:r>
                </w:p>
              </w:tc>
              <w:tc>
                <w:tcPr>
                  <w:tcW w:w="617" w:type="pct"/>
                  <w:vMerge w:val="continue"/>
                  <w:vAlign w:val="center"/>
                </w:tcPr>
                <w:p w14:paraId="0BE6AFFB">
                  <w:pPr>
                    <w:pStyle w:val="38"/>
                    <w:rPr>
                      <w:rFonts w:hint="default"/>
                      <w:highlight w:val="yellow"/>
                    </w:rPr>
                  </w:pPr>
                </w:p>
              </w:tc>
              <w:tc>
                <w:tcPr>
                  <w:tcW w:w="329" w:type="pct"/>
                  <w:vMerge w:val="continue"/>
                  <w:vAlign w:val="center"/>
                </w:tcPr>
                <w:p w14:paraId="2BF9DDE4">
                  <w:pPr>
                    <w:pStyle w:val="38"/>
                    <w:rPr>
                      <w:rFonts w:hint="default"/>
                      <w:highlight w:val="yellow"/>
                    </w:rPr>
                  </w:pPr>
                </w:p>
              </w:tc>
              <w:tc>
                <w:tcPr>
                  <w:tcW w:w="284" w:type="pct"/>
                  <w:vMerge w:val="continue"/>
                  <w:vAlign w:val="center"/>
                </w:tcPr>
                <w:p w14:paraId="2BC25187">
                  <w:pPr>
                    <w:pStyle w:val="38"/>
                    <w:rPr>
                      <w:rFonts w:hint="default"/>
                      <w:highlight w:val="yellow"/>
                    </w:rPr>
                  </w:pPr>
                </w:p>
              </w:tc>
            </w:tr>
            <w:tr w14:paraId="51E3F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6" w:hRule="atLeast"/>
                <w:jc w:val="center"/>
              </w:trPr>
              <w:tc>
                <w:tcPr>
                  <w:tcW w:w="207" w:type="pct"/>
                  <w:vMerge w:val="continue"/>
                  <w:vAlign w:val="center"/>
                </w:tcPr>
                <w:p w14:paraId="1D7A1482">
                  <w:pPr>
                    <w:pStyle w:val="38"/>
                    <w:rPr>
                      <w:rFonts w:hint="default"/>
                      <w:highlight w:val="yellow"/>
                    </w:rPr>
                  </w:pPr>
                </w:p>
              </w:tc>
              <w:tc>
                <w:tcPr>
                  <w:tcW w:w="545" w:type="pct"/>
                  <w:vMerge w:val="continue"/>
                  <w:vAlign w:val="center"/>
                </w:tcPr>
                <w:p w14:paraId="6F717A6B">
                  <w:pPr>
                    <w:pStyle w:val="38"/>
                    <w:rPr>
                      <w:rFonts w:hint="default"/>
                      <w:highlight w:val="yellow"/>
                    </w:rPr>
                  </w:pPr>
                </w:p>
              </w:tc>
              <w:tc>
                <w:tcPr>
                  <w:tcW w:w="3015" w:type="pct"/>
                  <w:vAlign w:val="center"/>
                </w:tcPr>
                <w:p w14:paraId="6F7247BD">
                  <w:pPr>
                    <w:pStyle w:val="38"/>
                    <w:jc w:val="both"/>
                    <w:rPr>
                      <w:rFonts w:hint="default"/>
                    </w:rPr>
                  </w:pPr>
                  <w:r>
                    <w:t>工程迹地恢复：</w:t>
                  </w:r>
                </w:p>
                <w:p w14:paraId="0E371B05">
                  <w:pPr>
                    <w:pStyle w:val="38"/>
                    <w:jc w:val="both"/>
                    <w:rPr>
                      <w:rFonts w:hint="default"/>
                      <w:highlight w:val="yellow"/>
                    </w:rPr>
                  </w:pPr>
                  <w:r>
                    <w:t>工程临时征用士地共1064.22m</w:t>
                  </w:r>
                  <w:r>
                    <w:rPr>
                      <w:vertAlign w:val="superscript"/>
                    </w:rPr>
                    <w:t>2</w:t>
                  </w:r>
                  <w:r>
                    <w:t>，工程结束后需及时对其进行复垦。拆除临时建筑物，清理施工生产生活垃圾。对临时占地区采取深翻松土、平整，进行土地整治恢复原地貌，对耕地、林地等前2年增施有机肥，提高土地有机质含量和土壤肥力，使土地生产地达到或超过原有水平。</w:t>
                  </w:r>
                </w:p>
              </w:tc>
              <w:tc>
                <w:tcPr>
                  <w:tcW w:w="617" w:type="pct"/>
                  <w:vMerge w:val="continue"/>
                  <w:vAlign w:val="center"/>
                </w:tcPr>
                <w:p w14:paraId="73143DF2">
                  <w:pPr>
                    <w:pStyle w:val="38"/>
                    <w:rPr>
                      <w:rFonts w:hint="default"/>
                      <w:highlight w:val="yellow"/>
                    </w:rPr>
                  </w:pPr>
                </w:p>
              </w:tc>
              <w:tc>
                <w:tcPr>
                  <w:tcW w:w="329" w:type="pct"/>
                  <w:vMerge w:val="continue"/>
                  <w:vAlign w:val="center"/>
                </w:tcPr>
                <w:p w14:paraId="6A99506B">
                  <w:pPr>
                    <w:pStyle w:val="38"/>
                    <w:rPr>
                      <w:rFonts w:hint="default"/>
                      <w:highlight w:val="yellow"/>
                    </w:rPr>
                  </w:pPr>
                </w:p>
              </w:tc>
              <w:tc>
                <w:tcPr>
                  <w:tcW w:w="284" w:type="pct"/>
                  <w:vMerge w:val="continue"/>
                  <w:vAlign w:val="center"/>
                </w:tcPr>
                <w:p w14:paraId="16AEFB1B">
                  <w:pPr>
                    <w:pStyle w:val="38"/>
                    <w:rPr>
                      <w:rFonts w:hint="default"/>
                      <w:highlight w:val="yellow"/>
                    </w:rPr>
                  </w:pPr>
                </w:p>
              </w:tc>
            </w:tr>
          </w:tbl>
          <w:p w14:paraId="30F9CF87">
            <w:pPr>
              <w:pStyle w:val="43"/>
              <w:spacing w:before="156"/>
            </w:pPr>
            <w:r>
              <w:rPr>
                <w:rFonts w:hint="eastAsia"/>
              </w:rPr>
              <w:t>主要工程量汇总表</w:t>
            </w:r>
          </w:p>
          <w:tbl>
            <w:tblPr>
              <w:tblStyle w:val="10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06"/>
              <w:gridCol w:w="2274"/>
              <w:gridCol w:w="1057"/>
              <w:gridCol w:w="1057"/>
              <w:gridCol w:w="1057"/>
              <w:gridCol w:w="1057"/>
              <w:gridCol w:w="1049"/>
            </w:tblGrid>
            <w:tr w14:paraId="632A25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tblHeader/>
                <w:jc w:val="center"/>
              </w:trPr>
              <w:tc>
                <w:tcPr>
                  <w:tcW w:w="428" w:type="pct"/>
                  <w:noWrap/>
                  <w:vAlign w:val="center"/>
                </w:tcPr>
                <w:p w14:paraId="7A9B3FDD">
                  <w:pPr>
                    <w:pStyle w:val="103"/>
                    <w:rPr>
                      <w:sz w:val="21"/>
                      <w:szCs w:val="21"/>
                    </w:rPr>
                  </w:pPr>
                  <w:r>
                    <w:rPr>
                      <w:rFonts w:hint="eastAsia"/>
                      <w:sz w:val="21"/>
                      <w:szCs w:val="21"/>
                    </w:rPr>
                    <w:t>序号</w:t>
                  </w:r>
                </w:p>
              </w:tc>
              <w:tc>
                <w:tcPr>
                  <w:tcW w:w="1377" w:type="pct"/>
                  <w:noWrap/>
                  <w:vAlign w:val="center"/>
                </w:tcPr>
                <w:p w14:paraId="30EDE89D">
                  <w:pPr>
                    <w:pStyle w:val="103"/>
                    <w:rPr>
                      <w:sz w:val="21"/>
                      <w:szCs w:val="21"/>
                    </w:rPr>
                  </w:pPr>
                  <w:r>
                    <w:rPr>
                      <w:rFonts w:hint="eastAsia"/>
                      <w:sz w:val="21"/>
                      <w:szCs w:val="21"/>
                    </w:rPr>
                    <w:t>项目</w:t>
                  </w:r>
                </w:p>
              </w:tc>
              <w:tc>
                <w:tcPr>
                  <w:tcW w:w="640" w:type="pct"/>
                  <w:vAlign w:val="center"/>
                </w:tcPr>
                <w:p w14:paraId="32019518">
                  <w:pPr>
                    <w:pStyle w:val="103"/>
                    <w:rPr>
                      <w:sz w:val="21"/>
                      <w:szCs w:val="21"/>
                    </w:rPr>
                  </w:pPr>
                  <w:r>
                    <w:rPr>
                      <w:rFonts w:hint="eastAsia"/>
                      <w:sz w:val="21"/>
                      <w:szCs w:val="21"/>
                    </w:rPr>
                    <w:t>土石方明挖（m</w:t>
                  </w:r>
                  <w:r>
                    <w:rPr>
                      <w:rFonts w:hint="eastAsia"/>
                      <w:sz w:val="21"/>
                      <w:szCs w:val="21"/>
                      <w:vertAlign w:val="superscript"/>
                    </w:rPr>
                    <w:t>3</w:t>
                  </w:r>
                  <w:r>
                    <w:rPr>
                      <w:rFonts w:hint="eastAsia"/>
                      <w:sz w:val="21"/>
                      <w:szCs w:val="21"/>
                    </w:rPr>
                    <w:t>）</w:t>
                  </w:r>
                </w:p>
              </w:tc>
              <w:tc>
                <w:tcPr>
                  <w:tcW w:w="640" w:type="pct"/>
                  <w:vAlign w:val="center"/>
                </w:tcPr>
                <w:p w14:paraId="01C18D31">
                  <w:pPr>
                    <w:pStyle w:val="103"/>
                    <w:rPr>
                      <w:sz w:val="21"/>
                      <w:szCs w:val="21"/>
                    </w:rPr>
                  </w:pPr>
                  <w:r>
                    <w:rPr>
                      <w:rFonts w:hint="eastAsia"/>
                      <w:sz w:val="21"/>
                      <w:szCs w:val="21"/>
                    </w:rPr>
                    <w:t>土石方回填（m</w:t>
                  </w:r>
                  <w:r>
                    <w:rPr>
                      <w:rFonts w:hint="eastAsia"/>
                      <w:sz w:val="21"/>
                      <w:szCs w:val="21"/>
                      <w:vertAlign w:val="superscript"/>
                    </w:rPr>
                    <w:t>3</w:t>
                  </w:r>
                  <w:r>
                    <w:rPr>
                      <w:rFonts w:hint="eastAsia"/>
                      <w:sz w:val="21"/>
                      <w:szCs w:val="21"/>
                    </w:rPr>
                    <w:t>）</w:t>
                  </w:r>
                </w:p>
              </w:tc>
              <w:tc>
                <w:tcPr>
                  <w:tcW w:w="640" w:type="pct"/>
                  <w:vAlign w:val="center"/>
                </w:tcPr>
                <w:p w14:paraId="7952519C">
                  <w:pPr>
                    <w:pStyle w:val="103"/>
                    <w:rPr>
                      <w:sz w:val="21"/>
                      <w:szCs w:val="21"/>
                    </w:rPr>
                  </w:pPr>
                  <w:r>
                    <w:rPr>
                      <w:rFonts w:hint="eastAsia"/>
                      <w:sz w:val="21"/>
                      <w:szCs w:val="21"/>
                    </w:rPr>
                    <w:t>土石方填筑（m</w:t>
                  </w:r>
                  <w:r>
                    <w:rPr>
                      <w:rFonts w:hint="eastAsia"/>
                      <w:sz w:val="21"/>
                      <w:szCs w:val="21"/>
                      <w:vertAlign w:val="superscript"/>
                    </w:rPr>
                    <w:t>3</w:t>
                  </w:r>
                  <w:r>
                    <w:rPr>
                      <w:rFonts w:hint="eastAsia"/>
                      <w:sz w:val="21"/>
                      <w:szCs w:val="21"/>
                    </w:rPr>
                    <w:t>）</w:t>
                  </w:r>
                </w:p>
              </w:tc>
              <w:tc>
                <w:tcPr>
                  <w:tcW w:w="640" w:type="pct"/>
                  <w:vAlign w:val="center"/>
                </w:tcPr>
                <w:p w14:paraId="6611D272">
                  <w:pPr>
                    <w:pStyle w:val="103"/>
                    <w:rPr>
                      <w:sz w:val="21"/>
                      <w:szCs w:val="21"/>
                    </w:rPr>
                  </w:pPr>
                  <w:r>
                    <w:rPr>
                      <w:rFonts w:hint="eastAsia"/>
                      <w:sz w:val="21"/>
                      <w:szCs w:val="21"/>
                    </w:rPr>
                    <w:t>钢筋（t）</w:t>
                  </w:r>
                </w:p>
              </w:tc>
              <w:tc>
                <w:tcPr>
                  <w:tcW w:w="635" w:type="pct"/>
                  <w:vAlign w:val="center"/>
                </w:tcPr>
                <w:p w14:paraId="54C34B3C">
                  <w:pPr>
                    <w:pStyle w:val="103"/>
                    <w:rPr>
                      <w:sz w:val="21"/>
                      <w:szCs w:val="21"/>
                    </w:rPr>
                  </w:pPr>
                  <w:r>
                    <w:rPr>
                      <w:rFonts w:hint="eastAsia"/>
                      <w:sz w:val="21"/>
                      <w:szCs w:val="21"/>
                    </w:rPr>
                    <w:t>混凝土（m</w:t>
                  </w:r>
                  <w:r>
                    <w:rPr>
                      <w:rFonts w:hint="eastAsia"/>
                      <w:sz w:val="21"/>
                      <w:szCs w:val="21"/>
                      <w:vertAlign w:val="superscript"/>
                    </w:rPr>
                    <w:t>3</w:t>
                  </w:r>
                  <w:r>
                    <w:rPr>
                      <w:rFonts w:hint="eastAsia"/>
                      <w:sz w:val="21"/>
                      <w:szCs w:val="21"/>
                    </w:rPr>
                    <w:t>）</w:t>
                  </w:r>
                </w:p>
              </w:tc>
            </w:tr>
            <w:tr w14:paraId="6DEC7D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tblHeader/>
                <w:jc w:val="center"/>
              </w:trPr>
              <w:tc>
                <w:tcPr>
                  <w:tcW w:w="428" w:type="pct"/>
                  <w:noWrap/>
                  <w:vAlign w:val="center"/>
                </w:tcPr>
                <w:p w14:paraId="62E3C3AB">
                  <w:pPr>
                    <w:pStyle w:val="103"/>
                    <w:rPr>
                      <w:sz w:val="21"/>
                      <w:szCs w:val="21"/>
                    </w:rPr>
                  </w:pPr>
                </w:p>
              </w:tc>
              <w:tc>
                <w:tcPr>
                  <w:tcW w:w="1377" w:type="pct"/>
                  <w:vAlign w:val="center"/>
                </w:tcPr>
                <w:p w14:paraId="56D65288">
                  <w:pPr>
                    <w:pStyle w:val="103"/>
                    <w:rPr>
                      <w:sz w:val="21"/>
                      <w:szCs w:val="21"/>
                    </w:rPr>
                  </w:pPr>
                  <w:r>
                    <w:rPr>
                      <w:rFonts w:hint="eastAsia"/>
                      <w:sz w:val="21"/>
                      <w:szCs w:val="21"/>
                    </w:rPr>
                    <w:t>第一部分 建筑工程</w:t>
                  </w:r>
                </w:p>
              </w:tc>
              <w:tc>
                <w:tcPr>
                  <w:tcW w:w="640" w:type="pct"/>
                  <w:vAlign w:val="center"/>
                </w:tcPr>
                <w:p w14:paraId="77291C52">
                  <w:pPr>
                    <w:pStyle w:val="103"/>
                    <w:rPr>
                      <w:sz w:val="21"/>
                      <w:szCs w:val="21"/>
                    </w:rPr>
                  </w:pPr>
                  <w:r>
                    <w:rPr>
                      <w:rFonts w:hint="eastAsia"/>
                      <w:sz w:val="21"/>
                      <w:szCs w:val="21"/>
                    </w:rPr>
                    <w:t>7973.00</w:t>
                  </w:r>
                </w:p>
              </w:tc>
              <w:tc>
                <w:tcPr>
                  <w:tcW w:w="640" w:type="pct"/>
                  <w:vAlign w:val="center"/>
                </w:tcPr>
                <w:p w14:paraId="7F306BB9">
                  <w:pPr>
                    <w:pStyle w:val="103"/>
                    <w:rPr>
                      <w:sz w:val="21"/>
                      <w:szCs w:val="21"/>
                    </w:rPr>
                  </w:pPr>
                  <w:r>
                    <w:rPr>
                      <w:rFonts w:hint="eastAsia"/>
                      <w:sz w:val="21"/>
                      <w:szCs w:val="21"/>
                    </w:rPr>
                    <w:t>2115.00</w:t>
                  </w:r>
                </w:p>
              </w:tc>
              <w:tc>
                <w:tcPr>
                  <w:tcW w:w="640" w:type="pct"/>
                  <w:vAlign w:val="center"/>
                </w:tcPr>
                <w:p w14:paraId="7FA194CF">
                  <w:pPr>
                    <w:pStyle w:val="103"/>
                    <w:rPr>
                      <w:sz w:val="21"/>
                      <w:szCs w:val="21"/>
                    </w:rPr>
                  </w:pPr>
                  <w:r>
                    <w:rPr>
                      <w:rFonts w:hint="eastAsia"/>
                      <w:sz w:val="21"/>
                      <w:szCs w:val="21"/>
                    </w:rPr>
                    <w:t>1105.00</w:t>
                  </w:r>
                </w:p>
              </w:tc>
              <w:tc>
                <w:tcPr>
                  <w:tcW w:w="640" w:type="pct"/>
                  <w:vAlign w:val="center"/>
                </w:tcPr>
                <w:p w14:paraId="74D6CC19">
                  <w:pPr>
                    <w:pStyle w:val="103"/>
                    <w:rPr>
                      <w:sz w:val="21"/>
                      <w:szCs w:val="21"/>
                    </w:rPr>
                  </w:pPr>
                  <w:r>
                    <w:rPr>
                      <w:rFonts w:hint="eastAsia"/>
                      <w:sz w:val="21"/>
                      <w:szCs w:val="21"/>
                    </w:rPr>
                    <w:t>80.59</w:t>
                  </w:r>
                </w:p>
              </w:tc>
              <w:tc>
                <w:tcPr>
                  <w:tcW w:w="635" w:type="pct"/>
                  <w:vAlign w:val="center"/>
                </w:tcPr>
                <w:p w14:paraId="6F60C182">
                  <w:pPr>
                    <w:pStyle w:val="103"/>
                    <w:rPr>
                      <w:sz w:val="21"/>
                      <w:szCs w:val="21"/>
                    </w:rPr>
                  </w:pPr>
                  <w:r>
                    <w:rPr>
                      <w:rFonts w:hint="eastAsia"/>
                      <w:sz w:val="21"/>
                      <w:szCs w:val="21"/>
                    </w:rPr>
                    <w:t>3607.00</w:t>
                  </w:r>
                </w:p>
              </w:tc>
            </w:tr>
            <w:tr w14:paraId="68F29E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tblHeader/>
                <w:jc w:val="center"/>
              </w:trPr>
              <w:tc>
                <w:tcPr>
                  <w:tcW w:w="428" w:type="pct"/>
                  <w:vAlign w:val="center"/>
                </w:tcPr>
                <w:p w14:paraId="24A133C0">
                  <w:pPr>
                    <w:pStyle w:val="103"/>
                    <w:rPr>
                      <w:sz w:val="21"/>
                      <w:szCs w:val="21"/>
                    </w:rPr>
                  </w:pPr>
                  <w:r>
                    <w:rPr>
                      <w:rFonts w:hint="eastAsia"/>
                      <w:sz w:val="21"/>
                      <w:szCs w:val="21"/>
                    </w:rPr>
                    <w:t>一</w:t>
                  </w:r>
                </w:p>
              </w:tc>
              <w:tc>
                <w:tcPr>
                  <w:tcW w:w="1377" w:type="pct"/>
                  <w:vAlign w:val="center"/>
                </w:tcPr>
                <w:p w14:paraId="574B101C">
                  <w:pPr>
                    <w:pStyle w:val="103"/>
                    <w:rPr>
                      <w:sz w:val="21"/>
                      <w:szCs w:val="21"/>
                    </w:rPr>
                  </w:pPr>
                  <w:r>
                    <w:rPr>
                      <w:rFonts w:hint="eastAsia"/>
                      <w:sz w:val="21"/>
                      <w:szCs w:val="21"/>
                    </w:rPr>
                    <w:t>护岸工程</w:t>
                  </w:r>
                </w:p>
              </w:tc>
              <w:tc>
                <w:tcPr>
                  <w:tcW w:w="640" w:type="pct"/>
                  <w:vAlign w:val="center"/>
                </w:tcPr>
                <w:p w14:paraId="75B5E752">
                  <w:pPr>
                    <w:pStyle w:val="103"/>
                    <w:rPr>
                      <w:sz w:val="21"/>
                      <w:szCs w:val="21"/>
                    </w:rPr>
                  </w:pPr>
                  <w:r>
                    <w:rPr>
                      <w:rFonts w:hint="eastAsia"/>
                      <w:sz w:val="21"/>
                      <w:szCs w:val="21"/>
                    </w:rPr>
                    <w:t>4681.00</w:t>
                  </w:r>
                </w:p>
              </w:tc>
              <w:tc>
                <w:tcPr>
                  <w:tcW w:w="640" w:type="pct"/>
                  <w:vAlign w:val="center"/>
                </w:tcPr>
                <w:p w14:paraId="5E783D3B">
                  <w:pPr>
                    <w:pStyle w:val="103"/>
                    <w:rPr>
                      <w:sz w:val="21"/>
                      <w:szCs w:val="21"/>
                    </w:rPr>
                  </w:pPr>
                  <w:r>
                    <w:rPr>
                      <w:rFonts w:hint="eastAsia"/>
                      <w:sz w:val="21"/>
                      <w:szCs w:val="21"/>
                    </w:rPr>
                    <w:t>1368.00</w:t>
                  </w:r>
                </w:p>
              </w:tc>
              <w:tc>
                <w:tcPr>
                  <w:tcW w:w="640" w:type="pct"/>
                  <w:noWrap/>
                  <w:vAlign w:val="center"/>
                </w:tcPr>
                <w:p w14:paraId="45D1F7CB">
                  <w:pPr>
                    <w:pStyle w:val="103"/>
                    <w:rPr>
                      <w:sz w:val="21"/>
                      <w:szCs w:val="21"/>
                    </w:rPr>
                  </w:pPr>
                </w:p>
              </w:tc>
              <w:tc>
                <w:tcPr>
                  <w:tcW w:w="640" w:type="pct"/>
                  <w:vAlign w:val="center"/>
                </w:tcPr>
                <w:p w14:paraId="231C0E26">
                  <w:pPr>
                    <w:pStyle w:val="103"/>
                    <w:rPr>
                      <w:sz w:val="21"/>
                      <w:szCs w:val="21"/>
                    </w:rPr>
                  </w:pPr>
                  <w:r>
                    <w:rPr>
                      <w:rFonts w:hint="eastAsia"/>
                      <w:sz w:val="21"/>
                      <w:szCs w:val="21"/>
                    </w:rPr>
                    <w:t>27.03</w:t>
                  </w:r>
                </w:p>
              </w:tc>
              <w:tc>
                <w:tcPr>
                  <w:tcW w:w="635" w:type="pct"/>
                  <w:vAlign w:val="center"/>
                </w:tcPr>
                <w:p w14:paraId="065794C3">
                  <w:pPr>
                    <w:pStyle w:val="103"/>
                    <w:rPr>
                      <w:sz w:val="21"/>
                      <w:szCs w:val="21"/>
                    </w:rPr>
                  </w:pPr>
                  <w:r>
                    <w:rPr>
                      <w:rFonts w:hint="eastAsia"/>
                      <w:sz w:val="21"/>
                      <w:szCs w:val="21"/>
                    </w:rPr>
                    <w:t>2600.00</w:t>
                  </w:r>
                </w:p>
              </w:tc>
            </w:tr>
            <w:tr w14:paraId="220BD8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tblHeader/>
                <w:jc w:val="center"/>
              </w:trPr>
              <w:tc>
                <w:tcPr>
                  <w:tcW w:w="428" w:type="pct"/>
                  <w:vAlign w:val="center"/>
                </w:tcPr>
                <w:p w14:paraId="3EC5233B">
                  <w:pPr>
                    <w:pStyle w:val="103"/>
                    <w:rPr>
                      <w:sz w:val="21"/>
                      <w:szCs w:val="21"/>
                    </w:rPr>
                  </w:pPr>
                  <w:r>
                    <w:rPr>
                      <w:rFonts w:hint="eastAsia"/>
                      <w:sz w:val="21"/>
                      <w:szCs w:val="21"/>
                    </w:rPr>
                    <w:t>(一)</w:t>
                  </w:r>
                </w:p>
              </w:tc>
              <w:tc>
                <w:tcPr>
                  <w:tcW w:w="1377" w:type="pct"/>
                  <w:vAlign w:val="center"/>
                </w:tcPr>
                <w:p w14:paraId="2BE568F3">
                  <w:pPr>
                    <w:pStyle w:val="103"/>
                    <w:rPr>
                      <w:rFonts w:hint="eastAsia" w:eastAsia="宋体"/>
                      <w:sz w:val="21"/>
                      <w:szCs w:val="21"/>
                      <w:lang w:eastAsia="zh-CN"/>
                    </w:rPr>
                  </w:pPr>
                  <w:r>
                    <w:rPr>
                      <w:rFonts w:hint="eastAsia"/>
                      <w:sz w:val="21"/>
                      <w:szCs w:val="21"/>
                      <w:lang w:eastAsia="zh-CN"/>
                    </w:rPr>
                    <w:t>河道主体工程</w:t>
                  </w:r>
                </w:p>
              </w:tc>
              <w:tc>
                <w:tcPr>
                  <w:tcW w:w="640" w:type="pct"/>
                  <w:vAlign w:val="center"/>
                </w:tcPr>
                <w:p w14:paraId="1AF7F5F1">
                  <w:pPr>
                    <w:pStyle w:val="103"/>
                    <w:rPr>
                      <w:sz w:val="21"/>
                      <w:szCs w:val="21"/>
                    </w:rPr>
                  </w:pPr>
                  <w:r>
                    <w:rPr>
                      <w:rFonts w:hint="eastAsia"/>
                      <w:sz w:val="21"/>
                      <w:szCs w:val="21"/>
                    </w:rPr>
                    <w:t>4681.00</w:t>
                  </w:r>
                </w:p>
              </w:tc>
              <w:tc>
                <w:tcPr>
                  <w:tcW w:w="640" w:type="pct"/>
                  <w:vAlign w:val="center"/>
                </w:tcPr>
                <w:p w14:paraId="35A2D2DA">
                  <w:pPr>
                    <w:pStyle w:val="103"/>
                    <w:rPr>
                      <w:sz w:val="21"/>
                      <w:szCs w:val="21"/>
                    </w:rPr>
                  </w:pPr>
                  <w:r>
                    <w:rPr>
                      <w:rFonts w:hint="eastAsia"/>
                      <w:sz w:val="21"/>
                      <w:szCs w:val="21"/>
                    </w:rPr>
                    <w:t>1368.00</w:t>
                  </w:r>
                </w:p>
              </w:tc>
              <w:tc>
                <w:tcPr>
                  <w:tcW w:w="640" w:type="pct"/>
                  <w:noWrap/>
                  <w:vAlign w:val="center"/>
                </w:tcPr>
                <w:p w14:paraId="427FC6CB">
                  <w:pPr>
                    <w:pStyle w:val="103"/>
                    <w:rPr>
                      <w:sz w:val="21"/>
                      <w:szCs w:val="21"/>
                    </w:rPr>
                  </w:pPr>
                </w:p>
              </w:tc>
              <w:tc>
                <w:tcPr>
                  <w:tcW w:w="640" w:type="pct"/>
                  <w:vAlign w:val="center"/>
                </w:tcPr>
                <w:p w14:paraId="3AFA2C2B">
                  <w:pPr>
                    <w:pStyle w:val="103"/>
                    <w:rPr>
                      <w:sz w:val="21"/>
                      <w:szCs w:val="21"/>
                    </w:rPr>
                  </w:pPr>
                  <w:r>
                    <w:rPr>
                      <w:rFonts w:hint="eastAsia"/>
                      <w:sz w:val="21"/>
                      <w:szCs w:val="21"/>
                    </w:rPr>
                    <w:t>27.03</w:t>
                  </w:r>
                </w:p>
              </w:tc>
              <w:tc>
                <w:tcPr>
                  <w:tcW w:w="635" w:type="pct"/>
                  <w:vAlign w:val="center"/>
                </w:tcPr>
                <w:p w14:paraId="2A7D3FF8">
                  <w:pPr>
                    <w:pStyle w:val="103"/>
                    <w:rPr>
                      <w:sz w:val="21"/>
                      <w:szCs w:val="21"/>
                    </w:rPr>
                  </w:pPr>
                  <w:r>
                    <w:rPr>
                      <w:rFonts w:hint="eastAsia"/>
                      <w:sz w:val="21"/>
                      <w:szCs w:val="21"/>
                    </w:rPr>
                    <w:t>2600.00</w:t>
                  </w:r>
                </w:p>
              </w:tc>
            </w:tr>
            <w:tr w14:paraId="2CB4D3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tblHeader/>
                <w:jc w:val="center"/>
              </w:trPr>
              <w:tc>
                <w:tcPr>
                  <w:tcW w:w="428" w:type="pct"/>
                  <w:vAlign w:val="center"/>
                </w:tcPr>
                <w:p w14:paraId="3B7C6975">
                  <w:pPr>
                    <w:pStyle w:val="103"/>
                    <w:rPr>
                      <w:sz w:val="21"/>
                      <w:szCs w:val="21"/>
                    </w:rPr>
                  </w:pPr>
                  <w:r>
                    <w:rPr>
                      <w:rFonts w:hint="eastAsia"/>
                      <w:sz w:val="21"/>
                      <w:szCs w:val="21"/>
                    </w:rPr>
                    <w:t>二</w:t>
                  </w:r>
                </w:p>
              </w:tc>
              <w:tc>
                <w:tcPr>
                  <w:tcW w:w="1377" w:type="pct"/>
                  <w:vAlign w:val="center"/>
                </w:tcPr>
                <w:p w14:paraId="2EE67CA1">
                  <w:pPr>
                    <w:pStyle w:val="103"/>
                    <w:rPr>
                      <w:sz w:val="21"/>
                      <w:szCs w:val="21"/>
                    </w:rPr>
                  </w:pPr>
                  <w:r>
                    <w:rPr>
                      <w:rFonts w:hint="eastAsia"/>
                      <w:sz w:val="21"/>
                      <w:szCs w:val="21"/>
                    </w:rPr>
                    <w:t>金元闸</w:t>
                  </w:r>
                </w:p>
              </w:tc>
              <w:tc>
                <w:tcPr>
                  <w:tcW w:w="640" w:type="pct"/>
                  <w:vAlign w:val="center"/>
                </w:tcPr>
                <w:p w14:paraId="5B47FF22">
                  <w:pPr>
                    <w:pStyle w:val="103"/>
                    <w:rPr>
                      <w:sz w:val="21"/>
                      <w:szCs w:val="21"/>
                    </w:rPr>
                  </w:pPr>
                  <w:r>
                    <w:rPr>
                      <w:rFonts w:hint="eastAsia"/>
                      <w:sz w:val="21"/>
                      <w:szCs w:val="21"/>
                    </w:rPr>
                    <w:t>3292.00</w:t>
                  </w:r>
                </w:p>
              </w:tc>
              <w:tc>
                <w:tcPr>
                  <w:tcW w:w="640" w:type="pct"/>
                  <w:vAlign w:val="center"/>
                </w:tcPr>
                <w:p w14:paraId="7413A29A">
                  <w:pPr>
                    <w:pStyle w:val="103"/>
                    <w:rPr>
                      <w:sz w:val="21"/>
                      <w:szCs w:val="21"/>
                    </w:rPr>
                  </w:pPr>
                  <w:r>
                    <w:rPr>
                      <w:rFonts w:hint="eastAsia"/>
                      <w:sz w:val="21"/>
                      <w:szCs w:val="21"/>
                    </w:rPr>
                    <w:t>747.00</w:t>
                  </w:r>
                </w:p>
              </w:tc>
              <w:tc>
                <w:tcPr>
                  <w:tcW w:w="640" w:type="pct"/>
                  <w:vAlign w:val="center"/>
                </w:tcPr>
                <w:p w14:paraId="3051D353">
                  <w:pPr>
                    <w:pStyle w:val="103"/>
                    <w:rPr>
                      <w:sz w:val="21"/>
                      <w:szCs w:val="21"/>
                    </w:rPr>
                  </w:pPr>
                  <w:r>
                    <w:rPr>
                      <w:rFonts w:hint="eastAsia"/>
                      <w:sz w:val="21"/>
                      <w:szCs w:val="21"/>
                    </w:rPr>
                    <w:t>1105.00</w:t>
                  </w:r>
                </w:p>
              </w:tc>
              <w:tc>
                <w:tcPr>
                  <w:tcW w:w="640" w:type="pct"/>
                  <w:vAlign w:val="center"/>
                </w:tcPr>
                <w:p w14:paraId="4E24E7D9">
                  <w:pPr>
                    <w:pStyle w:val="103"/>
                    <w:rPr>
                      <w:sz w:val="21"/>
                      <w:szCs w:val="21"/>
                    </w:rPr>
                  </w:pPr>
                  <w:r>
                    <w:rPr>
                      <w:rFonts w:hint="eastAsia"/>
                      <w:sz w:val="21"/>
                      <w:szCs w:val="21"/>
                    </w:rPr>
                    <w:t>53.56</w:t>
                  </w:r>
                </w:p>
              </w:tc>
              <w:tc>
                <w:tcPr>
                  <w:tcW w:w="635" w:type="pct"/>
                  <w:vAlign w:val="center"/>
                </w:tcPr>
                <w:p w14:paraId="78DF61B8">
                  <w:pPr>
                    <w:pStyle w:val="103"/>
                    <w:rPr>
                      <w:sz w:val="21"/>
                      <w:szCs w:val="21"/>
                    </w:rPr>
                  </w:pPr>
                  <w:r>
                    <w:rPr>
                      <w:rFonts w:hint="eastAsia"/>
                      <w:sz w:val="21"/>
                      <w:szCs w:val="21"/>
                    </w:rPr>
                    <w:t>994.00</w:t>
                  </w:r>
                </w:p>
              </w:tc>
            </w:tr>
            <w:tr w14:paraId="3FF27F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tblHeader/>
                <w:jc w:val="center"/>
              </w:trPr>
              <w:tc>
                <w:tcPr>
                  <w:tcW w:w="428" w:type="pct"/>
                  <w:vAlign w:val="center"/>
                </w:tcPr>
                <w:p w14:paraId="302827E6">
                  <w:pPr>
                    <w:pStyle w:val="103"/>
                    <w:rPr>
                      <w:sz w:val="21"/>
                      <w:szCs w:val="21"/>
                    </w:rPr>
                  </w:pPr>
                  <w:r>
                    <w:rPr>
                      <w:rFonts w:hint="eastAsia"/>
                      <w:sz w:val="21"/>
                      <w:szCs w:val="21"/>
                    </w:rPr>
                    <w:t>(一)</w:t>
                  </w:r>
                </w:p>
              </w:tc>
              <w:tc>
                <w:tcPr>
                  <w:tcW w:w="1377" w:type="pct"/>
                  <w:vAlign w:val="center"/>
                </w:tcPr>
                <w:p w14:paraId="0F8F7CEC">
                  <w:pPr>
                    <w:pStyle w:val="103"/>
                    <w:rPr>
                      <w:sz w:val="21"/>
                      <w:szCs w:val="21"/>
                    </w:rPr>
                  </w:pPr>
                  <w:r>
                    <w:rPr>
                      <w:rFonts w:hint="eastAsia"/>
                      <w:sz w:val="21"/>
                      <w:szCs w:val="21"/>
                    </w:rPr>
                    <w:t>闸室段</w:t>
                  </w:r>
                </w:p>
              </w:tc>
              <w:tc>
                <w:tcPr>
                  <w:tcW w:w="640" w:type="pct"/>
                  <w:vAlign w:val="center"/>
                </w:tcPr>
                <w:p w14:paraId="0EB81F76">
                  <w:pPr>
                    <w:pStyle w:val="103"/>
                    <w:rPr>
                      <w:sz w:val="21"/>
                      <w:szCs w:val="21"/>
                    </w:rPr>
                  </w:pPr>
                  <w:r>
                    <w:rPr>
                      <w:rFonts w:hint="eastAsia"/>
                      <w:sz w:val="21"/>
                      <w:szCs w:val="21"/>
                    </w:rPr>
                    <w:t>2125.00</w:t>
                  </w:r>
                </w:p>
              </w:tc>
              <w:tc>
                <w:tcPr>
                  <w:tcW w:w="640" w:type="pct"/>
                  <w:noWrap/>
                  <w:vAlign w:val="center"/>
                </w:tcPr>
                <w:p w14:paraId="489BAE69">
                  <w:pPr>
                    <w:pStyle w:val="103"/>
                    <w:rPr>
                      <w:sz w:val="21"/>
                      <w:szCs w:val="21"/>
                    </w:rPr>
                  </w:pPr>
                </w:p>
              </w:tc>
              <w:tc>
                <w:tcPr>
                  <w:tcW w:w="640" w:type="pct"/>
                  <w:vAlign w:val="center"/>
                </w:tcPr>
                <w:p w14:paraId="177EC2FF">
                  <w:pPr>
                    <w:pStyle w:val="103"/>
                    <w:rPr>
                      <w:sz w:val="21"/>
                      <w:szCs w:val="21"/>
                    </w:rPr>
                  </w:pPr>
                  <w:r>
                    <w:rPr>
                      <w:rFonts w:hint="eastAsia"/>
                      <w:sz w:val="21"/>
                      <w:szCs w:val="21"/>
                    </w:rPr>
                    <w:t>1105.00</w:t>
                  </w:r>
                </w:p>
              </w:tc>
              <w:tc>
                <w:tcPr>
                  <w:tcW w:w="640" w:type="pct"/>
                  <w:vAlign w:val="center"/>
                </w:tcPr>
                <w:p w14:paraId="750B63BC">
                  <w:pPr>
                    <w:pStyle w:val="103"/>
                    <w:rPr>
                      <w:sz w:val="21"/>
                      <w:szCs w:val="21"/>
                    </w:rPr>
                  </w:pPr>
                  <w:r>
                    <w:rPr>
                      <w:rFonts w:hint="eastAsia"/>
                      <w:sz w:val="21"/>
                      <w:szCs w:val="21"/>
                    </w:rPr>
                    <w:t>37.20</w:t>
                  </w:r>
                </w:p>
              </w:tc>
              <w:tc>
                <w:tcPr>
                  <w:tcW w:w="635" w:type="pct"/>
                  <w:vAlign w:val="center"/>
                </w:tcPr>
                <w:p w14:paraId="50FE1EDA">
                  <w:pPr>
                    <w:pStyle w:val="103"/>
                    <w:rPr>
                      <w:sz w:val="21"/>
                      <w:szCs w:val="21"/>
                    </w:rPr>
                  </w:pPr>
                  <w:r>
                    <w:rPr>
                      <w:rFonts w:hint="eastAsia"/>
                      <w:sz w:val="21"/>
                      <w:szCs w:val="21"/>
                    </w:rPr>
                    <w:t>516.00</w:t>
                  </w:r>
                </w:p>
              </w:tc>
            </w:tr>
            <w:tr w14:paraId="2EEDEA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tblHeader/>
                <w:jc w:val="center"/>
              </w:trPr>
              <w:tc>
                <w:tcPr>
                  <w:tcW w:w="428" w:type="pct"/>
                  <w:vAlign w:val="center"/>
                </w:tcPr>
                <w:p w14:paraId="55092706">
                  <w:pPr>
                    <w:pStyle w:val="103"/>
                    <w:rPr>
                      <w:sz w:val="21"/>
                      <w:szCs w:val="21"/>
                    </w:rPr>
                  </w:pPr>
                  <w:r>
                    <w:rPr>
                      <w:rFonts w:hint="eastAsia"/>
                      <w:sz w:val="21"/>
                      <w:szCs w:val="21"/>
                    </w:rPr>
                    <w:t>(二)</w:t>
                  </w:r>
                </w:p>
              </w:tc>
              <w:tc>
                <w:tcPr>
                  <w:tcW w:w="1377" w:type="pct"/>
                  <w:vAlign w:val="center"/>
                </w:tcPr>
                <w:p w14:paraId="5B2AEA6B">
                  <w:pPr>
                    <w:pStyle w:val="103"/>
                    <w:rPr>
                      <w:sz w:val="21"/>
                      <w:szCs w:val="21"/>
                    </w:rPr>
                  </w:pPr>
                  <w:r>
                    <w:rPr>
                      <w:rFonts w:hint="eastAsia"/>
                      <w:sz w:val="21"/>
                      <w:szCs w:val="21"/>
                    </w:rPr>
                    <w:t>铺盖</w:t>
                  </w:r>
                </w:p>
              </w:tc>
              <w:tc>
                <w:tcPr>
                  <w:tcW w:w="640" w:type="pct"/>
                  <w:vAlign w:val="center"/>
                </w:tcPr>
                <w:p w14:paraId="186FF187">
                  <w:pPr>
                    <w:pStyle w:val="103"/>
                    <w:rPr>
                      <w:sz w:val="21"/>
                      <w:szCs w:val="21"/>
                    </w:rPr>
                  </w:pPr>
                  <w:r>
                    <w:rPr>
                      <w:rFonts w:hint="eastAsia"/>
                      <w:sz w:val="21"/>
                      <w:szCs w:val="21"/>
                    </w:rPr>
                    <w:t>85.00</w:t>
                  </w:r>
                </w:p>
              </w:tc>
              <w:tc>
                <w:tcPr>
                  <w:tcW w:w="640" w:type="pct"/>
                  <w:vAlign w:val="center"/>
                </w:tcPr>
                <w:p w14:paraId="199175AD">
                  <w:pPr>
                    <w:pStyle w:val="103"/>
                    <w:rPr>
                      <w:sz w:val="21"/>
                      <w:szCs w:val="21"/>
                    </w:rPr>
                  </w:pPr>
                  <w:r>
                    <w:rPr>
                      <w:rFonts w:hint="eastAsia"/>
                      <w:sz w:val="21"/>
                      <w:szCs w:val="21"/>
                    </w:rPr>
                    <w:t>29.00</w:t>
                  </w:r>
                </w:p>
              </w:tc>
              <w:tc>
                <w:tcPr>
                  <w:tcW w:w="640" w:type="pct"/>
                  <w:noWrap/>
                  <w:vAlign w:val="center"/>
                </w:tcPr>
                <w:p w14:paraId="7C5C3913">
                  <w:pPr>
                    <w:pStyle w:val="103"/>
                    <w:rPr>
                      <w:sz w:val="21"/>
                      <w:szCs w:val="21"/>
                    </w:rPr>
                  </w:pPr>
                </w:p>
              </w:tc>
              <w:tc>
                <w:tcPr>
                  <w:tcW w:w="640" w:type="pct"/>
                  <w:vAlign w:val="center"/>
                </w:tcPr>
                <w:p w14:paraId="790675D3">
                  <w:pPr>
                    <w:pStyle w:val="103"/>
                    <w:rPr>
                      <w:sz w:val="21"/>
                      <w:szCs w:val="21"/>
                    </w:rPr>
                  </w:pPr>
                  <w:r>
                    <w:rPr>
                      <w:rFonts w:hint="eastAsia"/>
                      <w:sz w:val="21"/>
                      <w:szCs w:val="21"/>
                    </w:rPr>
                    <w:t>5.00</w:t>
                  </w:r>
                </w:p>
              </w:tc>
              <w:tc>
                <w:tcPr>
                  <w:tcW w:w="635" w:type="pct"/>
                  <w:vAlign w:val="center"/>
                </w:tcPr>
                <w:p w14:paraId="07E31D76">
                  <w:pPr>
                    <w:pStyle w:val="103"/>
                    <w:rPr>
                      <w:sz w:val="21"/>
                      <w:szCs w:val="21"/>
                    </w:rPr>
                  </w:pPr>
                  <w:r>
                    <w:rPr>
                      <w:rFonts w:hint="eastAsia"/>
                      <w:sz w:val="21"/>
                      <w:szCs w:val="21"/>
                    </w:rPr>
                    <w:t>79.00</w:t>
                  </w:r>
                </w:p>
              </w:tc>
            </w:tr>
            <w:tr w14:paraId="54825B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tblHeader/>
                <w:jc w:val="center"/>
              </w:trPr>
              <w:tc>
                <w:tcPr>
                  <w:tcW w:w="428" w:type="pct"/>
                  <w:vAlign w:val="center"/>
                </w:tcPr>
                <w:p w14:paraId="7847E230">
                  <w:pPr>
                    <w:pStyle w:val="103"/>
                    <w:rPr>
                      <w:sz w:val="21"/>
                      <w:szCs w:val="21"/>
                    </w:rPr>
                  </w:pPr>
                  <w:r>
                    <w:rPr>
                      <w:rFonts w:hint="eastAsia"/>
                      <w:sz w:val="21"/>
                      <w:szCs w:val="21"/>
                    </w:rPr>
                    <w:t>(三)</w:t>
                  </w:r>
                </w:p>
              </w:tc>
              <w:tc>
                <w:tcPr>
                  <w:tcW w:w="1377" w:type="pct"/>
                  <w:vAlign w:val="center"/>
                </w:tcPr>
                <w:p w14:paraId="78BD5647">
                  <w:pPr>
                    <w:pStyle w:val="103"/>
                    <w:rPr>
                      <w:sz w:val="21"/>
                      <w:szCs w:val="21"/>
                    </w:rPr>
                  </w:pPr>
                  <w:r>
                    <w:rPr>
                      <w:rFonts w:hint="eastAsia"/>
                      <w:sz w:val="21"/>
                      <w:szCs w:val="21"/>
                    </w:rPr>
                    <w:t>消力池</w:t>
                  </w:r>
                </w:p>
              </w:tc>
              <w:tc>
                <w:tcPr>
                  <w:tcW w:w="640" w:type="pct"/>
                  <w:vAlign w:val="center"/>
                </w:tcPr>
                <w:p w14:paraId="12A3D1F7">
                  <w:pPr>
                    <w:pStyle w:val="103"/>
                    <w:rPr>
                      <w:sz w:val="21"/>
                      <w:szCs w:val="21"/>
                    </w:rPr>
                  </w:pPr>
                  <w:r>
                    <w:rPr>
                      <w:rFonts w:hint="eastAsia"/>
                      <w:sz w:val="21"/>
                      <w:szCs w:val="21"/>
                    </w:rPr>
                    <w:t>221.00</w:t>
                  </w:r>
                </w:p>
              </w:tc>
              <w:tc>
                <w:tcPr>
                  <w:tcW w:w="640" w:type="pct"/>
                  <w:vAlign w:val="center"/>
                </w:tcPr>
                <w:p w14:paraId="31BAA10F">
                  <w:pPr>
                    <w:pStyle w:val="103"/>
                    <w:rPr>
                      <w:sz w:val="21"/>
                      <w:szCs w:val="21"/>
                    </w:rPr>
                  </w:pPr>
                  <w:r>
                    <w:rPr>
                      <w:rFonts w:hint="eastAsia"/>
                      <w:sz w:val="21"/>
                      <w:szCs w:val="21"/>
                    </w:rPr>
                    <w:t>29.00</w:t>
                  </w:r>
                </w:p>
              </w:tc>
              <w:tc>
                <w:tcPr>
                  <w:tcW w:w="640" w:type="pct"/>
                  <w:noWrap/>
                  <w:vAlign w:val="center"/>
                </w:tcPr>
                <w:p w14:paraId="5FC19C5B">
                  <w:pPr>
                    <w:pStyle w:val="103"/>
                    <w:rPr>
                      <w:sz w:val="21"/>
                      <w:szCs w:val="21"/>
                    </w:rPr>
                  </w:pPr>
                </w:p>
              </w:tc>
              <w:tc>
                <w:tcPr>
                  <w:tcW w:w="640" w:type="pct"/>
                  <w:vAlign w:val="center"/>
                </w:tcPr>
                <w:p w14:paraId="21983C15">
                  <w:pPr>
                    <w:pStyle w:val="103"/>
                    <w:rPr>
                      <w:sz w:val="21"/>
                      <w:szCs w:val="21"/>
                    </w:rPr>
                  </w:pPr>
                  <w:r>
                    <w:rPr>
                      <w:rFonts w:hint="eastAsia"/>
                      <w:sz w:val="21"/>
                      <w:szCs w:val="21"/>
                    </w:rPr>
                    <w:t>11.36</w:t>
                  </w:r>
                </w:p>
              </w:tc>
              <w:tc>
                <w:tcPr>
                  <w:tcW w:w="635" w:type="pct"/>
                  <w:vAlign w:val="center"/>
                </w:tcPr>
                <w:p w14:paraId="6845B01E">
                  <w:pPr>
                    <w:pStyle w:val="103"/>
                    <w:rPr>
                      <w:sz w:val="21"/>
                      <w:szCs w:val="21"/>
                    </w:rPr>
                  </w:pPr>
                  <w:r>
                    <w:rPr>
                      <w:rFonts w:hint="eastAsia"/>
                      <w:sz w:val="21"/>
                      <w:szCs w:val="21"/>
                    </w:rPr>
                    <w:t>156.00</w:t>
                  </w:r>
                </w:p>
              </w:tc>
            </w:tr>
            <w:tr w14:paraId="78C764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tblHeader/>
                <w:jc w:val="center"/>
              </w:trPr>
              <w:tc>
                <w:tcPr>
                  <w:tcW w:w="428" w:type="pct"/>
                  <w:vAlign w:val="center"/>
                </w:tcPr>
                <w:p w14:paraId="27FBEC01">
                  <w:pPr>
                    <w:pStyle w:val="103"/>
                    <w:rPr>
                      <w:sz w:val="21"/>
                      <w:szCs w:val="21"/>
                    </w:rPr>
                  </w:pPr>
                  <w:r>
                    <w:rPr>
                      <w:rFonts w:hint="eastAsia"/>
                      <w:sz w:val="21"/>
                      <w:szCs w:val="21"/>
                    </w:rPr>
                    <w:t>(四)</w:t>
                  </w:r>
                </w:p>
              </w:tc>
              <w:tc>
                <w:tcPr>
                  <w:tcW w:w="1377" w:type="pct"/>
                  <w:vAlign w:val="center"/>
                </w:tcPr>
                <w:p w14:paraId="06999AF0">
                  <w:pPr>
                    <w:pStyle w:val="103"/>
                    <w:rPr>
                      <w:sz w:val="21"/>
                      <w:szCs w:val="21"/>
                    </w:rPr>
                  </w:pPr>
                  <w:r>
                    <w:rPr>
                      <w:rFonts w:hint="eastAsia"/>
                      <w:sz w:val="21"/>
                      <w:szCs w:val="21"/>
                    </w:rPr>
                    <w:t>上、下游连接段</w:t>
                  </w:r>
                </w:p>
              </w:tc>
              <w:tc>
                <w:tcPr>
                  <w:tcW w:w="640" w:type="pct"/>
                  <w:vAlign w:val="center"/>
                </w:tcPr>
                <w:p w14:paraId="4DD9A1FC">
                  <w:pPr>
                    <w:pStyle w:val="103"/>
                    <w:rPr>
                      <w:sz w:val="21"/>
                      <w:szCs w:val="21"/>
                    </w:rPr>
                  </w:pPr>
                  <w:r>
                    <w:rPr>
                      <w:rFonts w:hint="eastAsia"/>
                      <w:sz w:val="21"/>
                      <w:szCs w:val="21"/>
                    </w:rPr>
                    <w:t>861.00</w:t>
                  </w:r>
                </w:p>
              </w:tc>
              <w:tc>
                <w:tcPr>
                  <w:tcW w:w="640" w:type="pct"/>
                  <w:vAlign w:val="center"/>
                </w:tcPr>
                <w:p w14:paraId="31280E40">
                  <w:pPr>
                    <w:pStyle w:val="103"/>
                    <w:rPr>
                      <w:sz w:val="21"/>
                      <w:szCs w:val="21"/>
                    </w:rPr>
                  </w:pPr>
                  <w:r>
                    <w:rPr>
                      <w:rFonts w:hint="eastAsia"/>
                      <w:sz w:val="21"/>
                      <w:szCs w:val="21"/>
                    </w:rPr>
                    <w:t>689.00</w:t>
                  </w:r>
                </w:p>
              </w:tc>
              <w:tc>
                <w:tcPr>
                  <w:tcW w:w="640" w:type="pct"/>
                  <w:noWrap/>
                  <w:vAlign w:val="center"/>
                </w:tcPr>
                <w:p w14:paraId="68B76E96">
                  <w:pPr>
                    <w:pStyle w:val="103"/>
                    <w:rPr>
                      <w:sz w:val="21"/>
                      <w:szCs w:val="21"/>
                    </w:rPr>
                  </w:pPr>
                </w:p>
              </w:tc>
              <w:tc>
                <w:tcPr>
                  <w:tcW w:w="640" w:type="pct"/>
                  <w:noWrap/>
                  <w:vAlign w:val="center"/>
                </w:tcPr>
                <w:p w14:paraId="601A5951">
                  <w:pPr>
                    <w:pStyle w:val="103"/>
                    <w:rPr>
                      <w:sz w:val="21"/>
                      <w:szCs w:val="21"/>
                    </w:rPr>
                  </w:pPr>
                </w:p>
              </w:tc>
              <w:tc>
                <w:tcPr>
                  <w:tcW w:w="635" w:type="pct"/>
                  <w:vAlign w:val="center"/>
                </w:tcPr>
                <w:p w14:paraId="6DE156AF">
                  <w:pPr>
                    <w:pStyle w:val="103"/>
                    <w:rPr>
                      <w:sz w:val="21"/>
                      <w:szCs w:val="21"/>
                    </w:rPr>
                  </w:pPr>
                  <w:r>
                    <w:rPr>
                      <w:rFonts w:hint="eastAsia"/>
                      <w:sz w:val="21"/>
                      <w:szCs w:val="21"/>
                    </w:rPr>
                    <w:t>243.00</w:t>
                  </w:r>
                </w:p>
              </w:tc>
            </w:tr>
            <w:tr w14:paraId="07B46D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tblHeader/>
                <w:jc w:val="center"/>
              </w:trPr>
              <w:tc>
                <w:tcPr>
                  <w:tcW w:w="428" w:type="pct"/>
                  <w:vAlign w:val="center"/>
                </w:tcPr>
                <w:p w14:paraId="1470BFE4">
                  <w:pPr>
                    <w:pStyle w:val="103"/>
                    <w:rPr>
                      <w:sz w:val="21"/>
                      <w:szCs w:val="21"/>
                    </w:rPr>
                  </w:pPr>
                  <w:r>
                    <w:rPr>
                      <w:rFonts w:hint="eastAsia"/>
                      <w:sz w:val="21"/>
                      <w:szCs w:val="21"/>
                    </w:rPr>
                    <w:t>三</w:t>
                  </w:r>
                </w:p>
              </w:tc>
              <w:tc>
                <w:tcPr>
                  <w:tcW w:w="1377" w:type="pct"/>
                  <w:vAlign w:val="center"/>
                </w:tcPr>
                <w:p w14:paraId="447E52D6">
                  <w:pPr>
                    <w:pStyle w:val="103"/>
                    <w:rPr>
                      <w:sz w:val="21"/>
                      <w:szCs w:val="21"/>
                    </w:rPr>
                  </w:pPr>
                  <w:r>
                    <w:rPr>
                      <w:rFonts w:hint="eastAsia"/>
                      <w:sz w:val="21"/>
                      <w:szCs w:val="21"/>
                    </w:rPr>
                    <w:t>排水涵管（洞）整治</w:t>
                  </w:r>
                </w:p>
              </w:tc>
              <w:tc>
                <w:tcPr>
                  <w:tcW w:w="640" w:type="pct"/>
                  <w:noWrap/>
                  <w:vAlign w:val="center"/>
                </w:tcPr>
                <w:p w14:paraId="3D3CC0BF">
                  <w:pPr>
                    <w:pStyle w:val="103"/>
                    <w:rPr>
                      <w:sz w:val="21"/>
                      <w:szCs w:val="21"/>
                    </w:rPr>
                  </w:pPr>
                </w:p>
              </w:tc>
              <w:tc>
                <w:tcPr>
                  <w:tcW w:w="640" w:type="pct"/>
                  <w:noWrap/>
                  <w:vAlign w:val="center"/>
                </w:tcPr>
                <w:p w14:paraId="5EBB3388">
                  <w:pPr>
                    <w:pStyle w:val="103"/>
                    <w:rPr>
                      <w:sz w:val="21"/>
                      <w:szCs w:val="21"/>
                    </w:rPr>
                  </w:pPr>
                </w:p>
              </w:tc>
              <w:tc>
                <w:tcPr>
                  <w:tcW w:w="640" w:type="pct"/>
                  <w:noWrap/>
                  <w:vAlign w:val="center"/>
                </w:tcPr>
                <w:p w14:paraId="4EB4C192">
                  <w:pPr>
                    <w:pStyle w:val="103"/>
                    <w:rPr>
                      <w:sz w:val="21"/>
                      <w:szCs w:val="21"/>
                    </w:rPr>
                  </w:pPr>
                </w:p>
              </w:tc>
              <w:tc>
                <w:tcPr>
                  <w:tcW w:w="640" w:type="pct"/>
                  <w:noWrap/>
                  <w:vAlign w:val="center"/>
                </w:tcPr>
                <w:p w14:paraId="0772DDBA">
                  <w:pPr>
                    <w:pStyle w:val="103"/>
                    <w:rPr>
                      <w:sz w:val="21"/>
                      <w:szCs w:val="21"/>
                    </w:rPr>
                  </w:pPr>
                </w:p>
              </w:tc>
              <w:tc>
                <w:tcPr>
                  <w:tcW w:w="635" w:type="pct"/>
                  <w:vAlign w:val="center"/>
                </w:tcPr>
                <w:p w14:paraId="5CB0DA52">
                  <w:pPr>
                    <w:widowControl/>
                    <w:spacing w:line="240" w:lineRule="auto"/>
                    <w:jc w:val="center"/>
                    <w:rPr>
                      <w:kern w:val="0"/>
                      <w:szCs w:val="21"/>
                    </w:rPr>
                  </w:pPr>
                  <w:r>
                    <w:rPr>
                      <w:rFonts w:hint="eastAsia"/>
                      <w:kern w:val="0"/>
                      <w:szCs w:val="21"/>
                    </w:rPr>
                    <w:t>13.00</w:t>
                  </w:r>
                </w:p>
              </w:tc>
            </w:tr>
            <w:tr w14:paraId="63E587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tblHeader/>
                <w:jc w:val="center"/>
              </w:trPr>
              <w:tc>
                <w:tcPr>
                  <w:tcW w:w="428" w:type="pct"/>
                  <w:noWrap/>
                  <w:vAlign w:val="center"/>
                </w:tcPr>
                <w:p w14:paraId="2FC6AAD0">
                  <w:pPr>
                    <w:pStyle w:val="103"/>
                    <w:rPr>
                      <w:sz w:val="21"/>
                      <w:szCs w:val="21"/>
                    </w:rPr>
                  </w:pPr>
                </w:p>
              </w:tc>
              <w:tc>
                <w:tcPr>
                  <w:tcW w:w="1377" w:type="pct"/>
                  <w:vAlign w:val="center"/>
                </w:tcPr>
                <w:p w14:paraId="7393B32B">
                  <w:pPr>
                    <w:pStyle w:val="103"/>
                    <w:rPr>
                      <w:sz w:val="21"/>
                      <w:szCs w:val="21"/>
                    </w:rPr>
                  </w:pPr>
                  <w:r>
                    <w:rPr>
                      <w:rFonts w:hint="eastAsia"/>
                      <w:sz w:val="21"/>
                      <w:szCs w:val="21"/>
                    </w:rPr>
                    <w:t>合计</w:t>
                  </w:r>
                </w:p>
              </w:tc>
              <w:tc>
                <w:tcPr>
                  <w:tcW w:w="640" w:type="pct"/>
                  <w:vAlign w:val="center"/>
                </w:tcPr>
                <w:p w14:paraId="044D6F03">
                  <w:pPr>
                    <w:pStyle w:val="103"/>
                    <w:rPr>
                      <w:sz w:val="21"/>
                      <w:szCs w:val="21"/>
                    </w:rPr>
                  </w:pPr>
                  <w:r>
                    <w:rPr>
                      <w:rFonts w:hint="eastAsia"/>
                      <w:sz w:val="21"/>
                      <w:szCs w:val="21"/>
                    </w:rPr>
                    <w:t>7973.00</w:t>
                  </w:r>
                </w:p>
              </w:tc>
              <w:tc>
                <w:tcPr>
                  <w:tcW w:w="640" w:type="pct"/>
                  <w:vAlign w:val="center"/>
                </w:tcPr>
                <w:p w14:paraId="29A87944">
                  <w:pPr>
                    <w:pStyle w:val="103"/>
                    <w:rPr>
                      <w:sz w:val="21"/>
                      <w:szCs w:val="21"/>
                    </w:rPr>
                  </w:pPr>
                  <w:r>
                    <w:rPr>
                      <w:rFonts w:hint="eastAsia"/>
                      <w:sz w:val="21"/>
                      <w:szCs w:val="21"/>
                    </w:rPr>
                    <w:t>2115.00</w:t>
                  </w:r>
                </w:p>
              </w:tc>
              <w:tc>
                <w:tcPr>
                  <w:tcW w:w="640" w:type="pct"/>
                  <w:vAlign w:val="center"/>
                </w:tcPr>
                <w:p w14:paraId="3F4101DE">
                  <w:pPr>
                    <w:pStyle w:val="103"/>
                    <w:rPr>
                      <w:sz w:val="21"/>
                      <w:szCs w:val="21"/>
                    </w:rPr>
                  </w:pPr>
                  <w:r>
                    <w:rPr>
                      <w:rFonts w:hint="eastAsia"/>
                      <w:sz w:val="21"/>
                      <w:szCs w:val="21"/>
                    </w:rPr>
                    <w:t>1105.00</w:t>
                  </w:r>
                </w:p>
              </w:tc>
              <w:tc>
                <w:tcPr>
                  <w:tcW w:w="640" w:type="pct"/>
                  <w:vAlign w:val="center"/>
                </w:tcPr>
                <w:p w14:paraId="3BF16529">
                  <w:pPr>
                    <w:pStyle w:val="103"/>
                    <w:rPr>
                      <w:sz w:val="21"/>
                      <w:szCs w:val="21"/>
                    </w:rPr>
                  </w:pPr>
                  <w:r>
                    <w:rPr>
                      <w:rFonts w:hint="eastAsia"/>
                      <w:sz w:val="21"/>
                      <w:szCs w:val="21"/>
                    </w:rPr>
                    <w:t>80.59</w:t>
                  </w:r>
                </w:p>
              </w:tc>
              <w:tc>
                <w:tcPr>
                  <w:tcW w:w="635" w:type="pct"/>
                  <w:vAlign w:val="center"/>
                </w:tcPr>
                <w:p w14:paraId="36C2A29F">
                  <w:pPr>
                    <w:pStyle w:val="103"/>
                    <w:rPr>
                      <w:sz w:val="21"/>
                      <w:szCs w:val="21"/>
                    </w:rPr>
                  </w:pPr>
                  <w:r>
                    <w:rPr>
                      <w:rFonts w:hint="eastAsia"/>
                      <w:sz w:val="21"/>
                      <w:szCs w:val="21"/>
                    </w:rPr>
                    <w:t>3607.00</w:t>
                  </w:r>
                </w:p>
              </w:tc>
            </w:tr>
          </w:tbl>
          <w:p w14:paraId="778FF09D">
            <w:pPr>
              <w:pStyle w:val="4"/>
              <w:numPr>
                <w:ilvl w:val="0"/>
                <w:numId w:val="22"/>
              </w:numPr>
            </w:pPr>
            <w:r>
              <w:rPr>
                <w:rFonts w:hint="eastAsia"/>
              </w:rPr>
              <w:t>施工设备</w:t>
            </w:r>
          </w:p>
          <w:p w14:paraId="680EB6C9">
            <w:pPr>
              <w:adjustRightInd w:val="0"/>
              <w:snapToGrid w:val="0"/>
              <w:spacing w:line="440" w:lineRule="exact"/>
              <w:ind w:firstLine="480" w:firstLineChars="200"/>
              <w:rPr>
                <w:bCs/>
                <w:sz w:val="24"/>
              </w:rPr>
            </w:pPr>
            <w:r>
              <w:rPr>
                <w:rFonts w:hint="eastAsia"/>
                <w:bCs/>
                <w:sz w:val="24"/>
              </w:rPr>
              <w:t>河道整治工程主要施工机械设备清单如下表。</w:t>
            </w:r>
          </w:p>
          <w:p w14:paraId="178731B0">
            <w:pPr>
              <w:pStyle w:val="43"/>
              <w:spacing w:before="156"/>
            </w:pPr>
            <w:r>
              <w:rPr>
                <w:rFonts w:hint="eastAsia"/>
              </w:rPr>
              <w:t>主要机械设备清单一览表</w:t>
            </w:r>
          </w:p>
          <w:tbl>
            <w:tblPr>
              <w:tblStyle w:val="27"/>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0"/>
              <w:gridCol w:w="2464"/>
              <w:gridCol w:w="2073"/>
              <w:gridCol w:w="930"/>
              <w:gridCol w:w="930"/>
              <w:gridCol w:w="930"/>
            </w:tblGrid>
            <w:tr w14:paraId="19FEC4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63" w:type="pct"/>
                </w:tcPr>
                <w:p w14:paraId="3889D94C">
                  <w:pPr>
                    <w:pStyle w:val="103"/>
                    <w:spacing w:line="320" w:lineRule="exact"/>
                    <w:rPr>
                      <w:sz w:val="21"/>
                      <w:szCs w:val="21"/>
                    </w:rPr>
                  </w:pPr>
                  <w:r>
                    <w:rPr>
                      <w:rFonts w:hint="eastAsia"/>
                      <w:sz w:val="21"/>
                      <w:szCs w:val="21"/>
                    </w:rPr>
                    <w:t>序号</w:t>
                  </w:r>
                </w:p>
              </w:tc>
              <w:tc>
                <w:tcPr>
                  <w:tcW w:w="1492" w:type="pct"/>
                </w:tcPr>
                <w:p w14:paraId="1B620078">
                  <w:pPr>
                    <w:pStyle w:val="103"/>
                    <w:spacing w:line="320" w:lineRule="exact"/>
                    <w:rPr>
                      <w:sz w:val="21"/>
                      <w:szCs w:val="21"/>
                    </w:rPr>
                  </w:pPr>
                  <w:r>
                    <w:rPr>
                      <w:rFonts w:hint="eastAsia"/>
                      <w:sz w:val="21"/>
                      <w:szCs w:val="21"/>
                    </w:rPr>
                    <w:t>设备名称</w:t>
                  </w:r>
                </w:p>
              </w:tc>
              <w:tc>
                <w:tcPr>
                  <w:tcW w:w="1255" w:type="pct"/>
                </w:tcPr>
                <w:p w14:paraId="19B8B67D">
                  <w:pPr>
                    <w:pStyle w:val="103"/>
                    <w:spacing w:line="320" w:lineRule="exact"/>
                    <w:rPr>
                      <w:sz w:val="21"/>
                      <w:szCs w:val="21"/>
                    </w:rPr>
                  </w:pPr>
                  <w:r>
                    <w:rPr>
                      <w:rFonts w:hint="eastAsia"/>
                      <w:sz w:val="21"/>
                      <w:szCs w:val="21"/>
                    </w:rPr>
                    <w:t>规 格 型 号</w:t>
                  </w:r>
                </w:p>
              </w:tc>
              <w:tc>
                <w:tcPr>
                  <w:tcW w:w="563" w:type="pct"/>
                </w:tcPr>
                <w:p w14:paraId="5E3DAA68">
                  <w:pPr>
                    <w:pStyle w:val="103"/>
                    <w:spacing w:line="320" w:lineRule="exact"/>
                    <w:rPr>
                      <w:sz w:val="21"/>
                      <w:szCs w:val="21"/>
                    </w:rPr>
                  </w:pPr>
                  <w:r>
                    <w:rPr>
                      <w:rFonts w:hint="eastAsia"/>
                      <w:sz w:val="21"/>
                      <w:szCs w:val="21"/>
                    </w:rPr>
                    <w:t>单位</w:t>
                  </w:r>
                </w:p>
              </w:tc>
              <w:tc>
                <w:tcPr>
                  <w:tcW w:w="563" w:type="pct"/>
                </w:tcPr>
                <w:p w14:paraId="7EBF3F2E">
                  <w:pPr>
                    <w:pStyle w:val="103"/>
                    <w:spacing w:line="320" w:lineRule="exact"/>
                    <w:rPr>
                      <w:sz w:val="21"/>
                      <w:szCs w:val="21"/>
                    </w:rPr>
                  </w:pPr>
                  <w:r>
                    <w:rPr>
                      <w:rFonts w:hint="eastAsia"/>
                      <w:sz w:val="21"/>
                      <w:szCs w:val="21"/>
                    </w:rPr>
                    <w:t>数量</w:t>
                  </w:r>
                </w:p>
              </w:tc>
              <w:tc>
                <w:tcPr>
                  <w:tcW w:w="563" w:type="pct"/>
                </w:tcPr>
                <w:p w14:paraId="09E7BB07">
                  <w:pPr>
                    <w:pStyle w:val="103"/>
                    <w:spacing w:line="320" w:lineRule="exact"/>
                    <w:rPr>
                      <w:sz w:val="21"/>
                      <w:szCs w:val="21"/>
                    </w:rPr>
                  </w:pPr>
                  <w:r>
                    <w:rPr>
                      <w:rFonts w:hint="eastAsia"/>
                      <w:sz w:val="21"/>
                      <w:szCs w:val="21"/>
                    </w:rPr>
                    <w:t>备注</w:t>
                  </w:r>
                </w:p>
              </w:tc>
            </w:tr>
            <w:tr w14:paraId="7C81F6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tcPr>
                <w:p w14:paraId="5DB20047">
                  <w:pPr>
                    <w:pStyle w:val="103"/>
                    <w:spacing w:line="320" w:lineRule="exact"/>
                    <w:rPr>
                      <w:sz w:val="21"/>
                      <w:szCs w:val="21"/>
                    </w:rPr>
                  </w:pPr>
                  <w:r>
                    <w:rPr>
                      <w:rFonts w:hint="eastAsia"/>
                      <w:sz w:val="21"/>
                      <w:szCs w:val="21"/>
                    </w:rPr>
                    <w:t>一</w:t>
                  </w:r>
                </w:p>
              </w:tc>
              <w:tc>
                <w:tcPr>
                  <w:tcW w:w="1492" w:type="pct"/>
                </w:tcPr>
                <w:p w14:paraId="10C17A30">
                  <w:pPr>
                    <w:pStyle w:val="103"/>
                    <w:spacing w:line="320" w:lineRule="exact"/>
                    <w:rPr>
                      <w:sz w:val="21"/>
                      <w:szCs w:val="21"/>
                    </w:rPr>
                  </w:pPr>
                  <w:r>
                    <w:rPr>
                      <w:rFonts w:hint="eastAsia"/>
                      <w:sz w:val="21"/>
                      <w:szCs w:val="21"/>
                    </w:rPr>
                    <w:t>土石方开挖机械</w:t>
                  </w:r>
                </w:p>
              </w:tc>
              <w:tc>
                <w:tcPr>
                  <w:tcW w:w="1255" w:type="pct"/>
                </w:tcPr>
                <w:p w14:paraId="69794778">
                  <w:pPr>
                    <w:pStyle w:val="103"/>
                    <w:spacing w:line="320" w:lineRule="exact"/>
                    <w:rPr>
                      <w:sz w:val="21"/>
                      <w:szCs w:val="21"/>
                    </w:rPr>
                  </w:pPr>
                </w:p>
              </w:tc>
              <w:tc>
                <w:tcPr>
                  <w:tcW w:w="563" w:type="pct"/>
                </w:tcPr>
                <w:p w14:paraId="6CB7C419">
                  <w:pPr>
                    <w:pStyle w:val="103"/>
                    <w:spacing w:line="320" w:lineRule="exact"/>
                    <w:rPr>
                      <w:sz w:val="21"/>
                      <w:szCs w:val="21"/>
                    </w:rPr>
                  </w:pPr>
                </w:p>
              </w:tc>
              <w:tc>
                <w:tcPr>
                  <w:tcW w:w="563" w:type="pct"/>
                </w:tcPr>
                <w:p w14:paraId="60EAD66F">
                  <w:pPr>
                    <w:pStyle w:val="103"/>
                    <w:spacing w:line="320" w:lineRule="exact"/>
                    <w:rPr>
                      <w:sz w:val="21"/>
                      <w:szCs w:val="21"/>
                    </w:rPr>
                  </w:pPr>
                </w:p>
              </w:tc>
              <w:tc>
                <w:tcPr>
                  <w:tcW w:w="563" w:type="pct"/>
                </w:tcPr>
                <w:p w14:paraId="2C315B22">
                  <w:pPr>
                    <w:pStyle w:val="103"/>
                    <w:spacing w:line="320" w:lineRule="exact"/>
                    <w:rPr>
                      <w:sz w:val="21"/>
                      <w:szCs w:val="21"/>
                    </w:rPr>
                  </w:pPr>
                </w:p>
              </w:tc>
            </w:tr>
            <w:tr w14:paraId="38C4C2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tcPr>
                <w:p w14:paraId="20C839BF">
                  <w:pPr>
                    <w:pStyle w:val="103"/>
                    <w:spacing w:line="320" w:lineRule="exact"/>
                    <w:rPr>
                      <w:sz w:val="21"/>
                      <w:szCs w:val="21"/>
                    </w:rPr>
                  </w:pPr>
                  <w:r>
                    <w:rPr>
                      <w:rFonts w:hint="eastAsia"/>
                      <w:sz w:val="21"/>
                      <w:szCs w:val="21"/>
                    </w:rPr>
                    <w:t>1</w:t>
                  </w:r>
                </w:p>
              </w:tc>
              <w:tc>
                <w:tcPr>
                  <w:tcW w:w="1492" w:type="pct"/>
                </w:tcPr>
                <w:p w14:paraId="3C5C07B7">
                  <w:pPr>
                    <w:pStyle w:val="103"/>
                    <w:spacing w:line="320" w:lineRule="exact"/>
                    <w:rPr>
                      <w:sz w:val="21"/>
                      <w:szCs w:val="21"/>
                    </w:rPr>
                  </w:pPr>
                  <w:r>
                    <w:rPr>
                      <w:rFonts w:hint="eastAsia"/>
                      <w:sz w:val="21"/>
                      <w:szCs w:val="21"/>
                    </w:rPr>
                    <w:t>挖掘机</w:t>
                  </w:r>
                </w:p>
              </w:tc>
              <w:tc>
                <w:tcPr>
                  <w:tcW w:w="1255" w:type="pct"/>
                </w:tcPr>
                <w:p w14:paraId="31A0BB38">
                  <w:pPr>
                    <w:pStyle w:val="103"/>
                    <w:spacing w:line="320" w:lineRule="exact"/>
                    <w:rPr>
                      <w:sz w:val="21"/>
                      <w:szCs w:val="21"/>
                    </w:rPr>
                  </w:pPr>
                  <w:r>
                    <w:rPr>
                      <w:rFonts w:hint="eastAsia"/>
                      <w:sz w:val="21"/>
                      <w:szCs w:val="21"/>
                    </w:rPr>
                    <w:t>0.6m</w:t>
                  </w:r>
                  <w:r>
                    <w:rPr>
                      <w:rFonts w:hint="eastAsia"/>
                      <w:sz w:val="21"/>
                      <w:szCs w:val="21"/>
                      <w:vertAlign w:val="superscript"/>
                    </w:rPr>
                    <w:t>3</w:t>
                  </w:r>
                  <w:r>
                    <w:rPr>
                      <w:rFonts w:hint="eastAsia"/>
                      <w:sz w:val="21"/>
                      <w:szCs w:val="21"/>
                    </w:rPr>
                    <w:t>-2.0m</w:t>
                  </w:r>
                  <w:r>
                    <w:rPr>
                      <w:rFonts w:hint="eastAsia"/>
                      <w:sz w:val="21"/>
                      <w:szCs w:val="21"/>
                      <w:vertAlign w:val="superscript"/>
                    </w:rPr>
                    <w:t>3</w:t>
                  </w:r>
                </w:p>
              </w:tc>
              <w:tc>
                <w:tcPr>
                  <w:tcW w:w="563" w:type="pct"/>
                </w:tcPr>
                <w:p w14:paraId="7E3B0E9C">
                  <w:pPr>
                    <w:pStyle w:val="103"/>
                    <w:spacing w:line="320" w:lineRule="exact"/>
                    <w:rPr>
                      <w:sz w:val="21"/>
                      <w:szCs w:val="21"/>
                    </w:rPr>
                  </w:pPr>
                  <w:r>
                    <w:rPr>
                      <w:rFonts w:hint="eastAsia"/>
                      <w:sz w:val="21"/>
                      <w:szCs w:val="21"/>
                    </w:rPr>
                    <w:t>台</w:t>
                  </w:r>
                </w:p>
              </w:tc>
              <w:tc>
                <w:tcPr>
                  <w:tcW w:w="563" w:type="pct"/>
                </w:tcPr>
                <w:p w14:paraId="3AAC6A83">
                  <w:pPr>
                    <w:pStyle w:val="103"/>
                    <w:spacing w:line="320" w:lineRule="exact"/>
                    <w:rPr>
                      <w:sz w:val="21"/>
                      <w:szCs w:val="21"/>
                    </w:rPr>
                  </w:pPr>
                  <w:r>
                    <w:rPr>
                      <w:rFonts w:hint="eastAsia"/>
                      <w:sz w:val="21"/>
                      <w:szCs w:val="21"/>
                    </w:rPr>
                    <w:t>5</w:t>
                  </w:r>
                </w:p>
              </w:tc>
              <w:tc>
                <w:tcPr>
                  <w:tcW w:w="563" w:type="pct"/>
                </w:tcPr>
                <w:p w14:paraId="037EF68A">
                  <w:pPr>
                    <w:pStyle w:val="103"/>
                    <w:spacing w:line="320" w:lineRule="exact"/>
                    <w:rPr>
                      <w:sz w:val="21"/>
                      <w:szCs w:val="21"/>
                    </w:rPr>
                  </w:pPr>
                </w:p>
              </w:tc>
            </w:tr>
            <w:tr w14:paraId="75E4B1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tcPr>
                <w:p w14:paraId="6F67B04C">
                  <w:pPr>
                    <w:pStyle w:val="103"/>
                    <w:spacing w:line="320" w:lineRule="exact"/>
                    <w:rPr>
                      <w:sz w:val="21"/>
                      <w:szCs w:val="21"/>
                    </w:rPr>
                  </w:pPr>
                  <w:r>
                    <w:rPr>
                      <w:rFonts w:hint="eastAsia"/>
                      <w:sz w:val="21"/>
                      <w:szCs w:val="21"/>
                    </w:rPr>
                    <w:t>2</w:t>
                  </w:r>
                </w:p>
              </w:tc>
              <w:tc>
                <w:tcPr>
                  <w:tcW w:w="1492" w:type="pct"/>
                </w:tcPr>
                <w:p w14:paraId="77E34C17">
                  <w:pPr>
                    <w:pStyle w:val="103"/>
                    <w:spacing w:line="320" w:lineRule="exact"/>
                    <w:rPr>
                      <w:sz w:val="21"/>
                      <w:szCs w:val="21"/>
                    </w:rPr>
                  </w:pPr>
                  <w:r>
                    <w:rPr>
                      <w:rFonts w:hint="eastAsia"/>
                      <w:sz w:val="21"/>
                      <w:szCs w:val="21"/>
                    </w:rPr>
                    <w:t>推土机</w:t>
                  </w:r>
                </w:p>
              </w:tc>
              <w:tc>
                <w:tcPr>
                  <w:tcW w:w="1255" w:type="pct"/>
                </w:tcPr>
                <w:p w14:paraId="65EB118E">
                  <w:pPr>
                    <w:pStyle w:val="103"/>
                    <w:spacing w:line="320" w:lineRule="exact"/>
                    <w:rPr>
                      <w:sz w:val="21"/>
                      <w:szCs w:val="21"/>
                    </w:rPr>
                  </w:pPr>
                  <w:r>
                    <w:rPr>
                      <w:rFonts w:hint="eastAsia"/>
                      <w:sz w:val="21"/>
                      <w:szCs w:val="21"/>
                    </w:rPr>
                    <w:t>推土机59-88kw</w:t>
                  </w:r>
                </w:p>
              </w:tc>
              <w:tc>
                <w:tcPr>
                  <w:tcW w:w="563" w:type="pct"/>
                </w:tcPr>
                <w:p w14:paraId="060D5087">
                  <w:pPr>
                    <w:pStyle w:val="103"/>
                    <w:spacing w:line="320" w:lineRule="exact"/>
                    <w:rPr>
                      <w:sz w:val="21"/>
                      <w:szCs w:val="21"/>
                    </w:rPr>
                  </w:pPr>
                  <w:r>
                    <w:rPr>
                      <w:rFonts w:hint="eastAsia"/>
                      <w:sz w:val="21"/>
                      <w:szCs w:val="21"/>
                    </w:rPr>
                    <w:t>台</w:t>
                  </w:r>
                </w:p>
              </w:tc>
              <w:tc>
                <w:tcPr>
                  <w:tcW w:w="563" w:type="pct"/>
                </w:tcPr>
                <w:p w14:paraId="47D6F9A6">
                  <w:pPr>
                    <w:pStyle w:val="103"/>
                    <w:spacing w:line="320" w:lineRule="exact"/>
                    <w:rPr>
                      <w:sz w:val="21"/>
                      <w:szCs w:val="21"/>
                    </w:rPr>
                  </w:pPr>
                  <w:r>
                    <w:rPr>
                      <w:sz w:val="21"/>
                      <w:szCs w:val="21"/>
                    </w:rPr>
                    <w:t>2</w:t>
                  </w:r>
                </w:p>
              </w:tc>
              <w:tc>
                <w:tcPr>
                  <w:tcW w:w="563" w:type="pct"/>
                </w:tcPr>
                <w:p w14:paraId="1D342E66">
                  <w:pPr>
                    <w:pStyle w:val="103"/>
                    <w:spacing w:line="320" w:lineRule="exact"/>
                    <w:rPr>
                      <w:sz w:val="21"/>
                      <w:szCs w:val="21"/>
                    </w:rPr>
                  </w:pPr>
                </w:p>
              </w:tc>
            </w:tr>
            <w:tr w14:paraId="0745EB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tcPr>
                <w:p w14:paraId="6176BF04">
                  <w:pPr>
                    <w:pStyle w:val="103"/>
                    <w:spacing w:line="320" w:lineRule="exact"/>
                    <w:rPr>
                      <w:sz w:val="21"/>
                      <w:szCs w:val="21"/>
                    </w:rPr>
                  </w:pPr>
                  <w:r>
                    <w:rPr>
                      <w:rFonts w:hint="eastAsia"/>
                      <w:sz w:val="21"/>
                      <w:szCs w:val="21"/>
                    </w:rPr>
                    <w:t>二</w:t>
                  </w:r>
                </w:p>
              </w:tc>
              <w:tc>
                <w:tcPr>
                  <w:tcW w:w="1492" w:type="pct"/>
                </w:tcPr>
                <w:p w14:paraId="238AED5F">
                  <w:pPr>
                    <w:pStyle w:val="103"/>
                    <w:spacing w:line="320" w:lineRule="exact"/>
                    <w:rPr>
                      <w:sz w:val="21"/>
                      <w:szCs w:val="21"/>
                    </w:rPr>
                  </w:pPr>
                  <w:r>
                    <w:rPr>
                      <w:rFonts w:hint="eastAsia"/>
                      <w:sz w:val="21"/>
                      <w:szCs w:val="21"/>
                    </w:rPr>
                    <w:t>运输机械</w:t>
                  </w:r>
                </w:p>
              </w:tc>
              <w:tc>
                <w:tcPr>
                  <w:tcW w:w="1255" w:type="pct"/>
                </w:tcPr>
                <w:p w14:paraId="23C12516">
                  <w:pPr>
                    <w:pStyle w:val="103"/>
                    <w:spacing w:line="320" w:lineRule="exact"/>
                    <w:rPr>
                      <w:sz w:val="21"/>
                      <w:szCs w:val="21"/>
                    </w:rPr>
                  </w:pPr>
                </w:p>
              </w:tc>
              <w:tc>
                <w:tcPr>
                  <w:tcW w:w="563" w:type="pct"/>
                </w:tcPr>
                <w:p w14:paraId="43B89316">
                  <w:pPr>
                    <w:pStyle w:val="103"/>
                    <w:spacing w:line="320" w:lineRule="exact"/>
                    <w:rPr>
                      <w:sz w:val="21"/>
                      <w:szCs w:val="21"/>
                    </w:rPr>
                  </w:pPr>
                </w:p>
              </w:tc>
              <w:tc>
                <w:tcPr>
                  <w:tcW w:w="563" w:type="pct"/>
                </w:tcPr>
                <w:p w14:paraId="1AEF8185">
                  <w:pPr>
                    <w:pStyle w:val="103"/>
                    <w:spacing w:line="320" w:lineRule="exact"/>
                    <w:rPr>
                      <w:sz w:val="21"/>
                      <w:szCs w:val="21"/>
                    </w:rPr>
                  </w:pPr>
                </w:p>
              </w:tc>
              <w:tc>
                <w:tcPr>
                  <w:tcW w:w="563" w:type="pct"/>
                </w:tcPr>
                <w:p w14:paraId="71488C94">
                  <w:pPr>
                    <w:pStyle w:val="103"/>
                    <w:spacing w:line="320" w:lineRule="exact"/>
                    <w:rPr>
                      <w:sz w:val="21"/>
                      <w:szCs w:val="21"/>
                    </w:rPr>
                  </w:pPr>
                </w:p>
              </w:tc>
            </w:tr>
            <w:tr w14:paraId="7A1F75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tcPr>
                <w:p w14:paraId="206D154B">
                  <w:pPr>
                    <w:pStyle w:val="103"/>
                    <w:spacing w:line="320" w:lineRule="exact"/>
                    <w:rPr>
                      <w:sz w:val="21"/>
                      <w:szCs w:val="21"/>
                    </w:rPr>
                  </w:pPr>
                  <w:r>
                    <w:rPr>
                      <w:sz w:val="21"/>
                      <w:szCs w:val="21"/>
                    </w:rPr>
                    <w:t>1</w:t>
                  </w:r>
                </w:p>
              </w:tc>
              <w:tc>
                <w:tcPr>
                  <w:tcW w:w="1492" w:type="pct"/>
                </w:tcPr>
                <w:p w14:paraId="13D6B29E">
                  <w:pPr>
                    <w:pStyle w:val="103"/>
                    <w:spacing w:line="320" w:lineRule="exact"/>
                    <w:rPr>
                      <w:sz w:val="21"/>
                      <w:szCs w:val="21"/>
                    </w:rPr>
                  </w:pPr>
                  <w:r>
                    <w:rPr>
                      <w:rFonts w:hint="eastAsia"/>
                      <w:sz w:val="21"/>
                      <w:szCs w:val="21"/>
                    </w:rPr>
                    <w:t>自卸汽车</w:t>
                  </w:r>
                </w:p>
              </w:tc>
              <w:tc>
                <w:tcPr>
                  <w:tcW w:w="1255" w:type="pct"/>
                </w:tcPr>
                <w:p w14:paraId="2E8F1F1B">
                  <w:pPr>
                    <w:pStyle w:val="103"/>
                    <w:spacing w:line="320" w:lineRule="exact"/>
                    <w:rPr>
                      <w:sz w:val="21"/>
                      <w:szCs w:val="21"/>
                    </w:rPr>
                  </w:pPr>
                  <w:r>
                    <w:rPr>
                      <w:rFonts w:hint="eastAsia"/>
                      <w:sz w:val="21"/>
                      <w:szCs w:val="21"/>
                    </w:rPr>
                    <w:t>5t</w:t>
                  </w:r>
                </w:p>
              </w:tc>
              <w:tc>
                <w:tcPr>
                  <w:tcW w:w="563" w:type="pct"/>
                </w:tcPr>
                <w:p w14:paraId="43A92221">
                  <w:pPr>
                    <w:pStyle w:val="103"/>
                    <w:spacing w:line="320" w:lineRule="exact"/>
                    <w:rPr>
                      <w:sz w:val="21"/>
                      <w:szCs w:val="21"/>
                    </w:rPr>
                  </w:pPr>
                  <w:r>
                    <w:rPr>
                      <w:rFonts w:hint="eastAsia"/>
                      <w:sz w:val="21"/>
                      <w:szCs w:val="21"/>
                    </w:rPr>
                    <w:t>辆</w:t>
                  </w:r>
                </w:p>
              </w:tc>
              <w:tc>
                <w:tcPr>
                  <w:tcW w:w="563" w:type="pct"/>
                </w:tcPr>
                <w:p w14:paraId="4A8F253A">
                  <w:pPr>
                    <w:pStyle w:val="103"/>
                    <w:spacing w:line="320" w:lineRule="exact"/>
                    <w:rPr>
                      <w:sz w:val="21"/>
                      <w:szCs w:val="21"/>
                    </w:rPr>
                  </w:pPr>
                  <w:r>
                    <w:rPr>
                      <w:rFonts w:hint="eastAsia"/>
                      <w:sz w:val="21"/>
                      <w:szCs w:val="21"/>
                    </w:rPr>
                    <w:t>3</w:t>
                  </w:r>
                </w:p>
              </w:tc>
              <w:tc>
                <w:tcPr>
                  <w:tcW w:w="563" w:type="pct"/>
                </w:tcPr>
                <w:p w14:paraId="709408B8">
                  <w:pPr>
                    <w:pStyle w:val="103"/>
                    <w:spacing w:line="320" w:lineRule="exact"/>
                    <w:rPr>
                      <w:sz w:val="21"/>
                      <w:szCs w:val="21"/>
                    </w:rPr>
                  </w:pPr>
                </w:p>
              </w:tc>
            </w:tr>
            <w:tr w14:paraId="6C380C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tcPr>
                <w:p w14:paraId="23E01732">
                  <w:pPr>
                    <w:pStyle w:val="103"/>
                    <w:spacing w:line="320" w:lineRule="exact"/>
                    <w:rPr>
                      <w:sz w:val="21"/>
                      <w:szCs w:val="21"/>
                    </w:rPr>
                  </w:pPr>
                  <w:r>
                    <w:rPr>
                      <w:sz w:val="21"/>
                      <w:szCs w:val="21"/>
                    </w:rPr>
                    <w:t>2</w:t>
                  </w:r>
                </w:p>
              </w:tc>
              <w:tc>
                <w:tcPr>
                  <w:tcW w:w="1492" w:type="pct"/>
                </w:tcPr>
                <w:p w14:paraId="66E6A1C4">
                  <w:pPr>
                    <w:pStyle w:val="103"/>
                    <w:spacing w:line="320" w:lineRule="exact"/>
                    <w:rPr>
                      <w:sz w:val="21"/>
                      <w:szCs w:val="21"/>
                    </w:rPr>
                  </w:pPr>
                  <w:r>
                    <w:rPr>
                      <w:rFonts w:hint="eastAsia"/>
                      <w:sz w:val="21"/>
                      <w:szCs w:val="21"/>
                    </w:rPr>
                    <w:t>自卸汽车</w:t>
                  </w:r>
                </w:p>
              </w:tc>
              <w:tc>
                <w:tcPr>
                  <w:tcW w:w="1255" w:type="pct"/>
                </w:tcPr>
                <w:p w14:paraId="38D8DCC8">
                  <w:pPr>
                    <w:pStyle w:val="103"/>
                    <w:spacing w:line="320" w:lineRule="exact"/>
                    <w:rPr>
                      <w:sz w:val="21"/>
                      <w:szCs w:val="21"/>
                    </w:rPr>
                  </w:pPr>
                  <w:r>
                    <w:rPr>
                      <w:rFonts w:hint="eastAsia"/>
                      <w:sz w:val="21"/>
                      <w:szCs w:val="21"/>
                    </w:rPr>
                    <w:t>1</w:t>
                  </w:r>
                  <w:r>
                    <w:rPr>
                      <w:sz w:val="21"/>
                      <w:szCs w:val="21"/>
                    </w:rPr>
                    <w:t>0</w:t>
                  </w:r>
                  <w:r>
                    <w:rPr>
                      <w:rFonts w:hint="eastAsia"/>
                      <w:sz w:val="21"/>
                      <w:szCs w:val="21"/>
                    </w:rPr>
                    <w:t>t-</w:t>
                  </w:r>
                  <w:r>
                    <w:rPr>
                      <w:sz w:val="21"/>
                      <w:szCs w:val="21"/>
                    </w:rPr>
                    <w:t>15</w:t>
                  </w:r>
                  <w:r>
                    <w:rPr>
                      <w:rFonts w:hint="eastAsia"/>
                      <w:sz w:val="21"/>
                      <w:szCs w:val="21"/>
                    </w:rPr>
                    <w:t>t</w:t>
                  </w:r>
                </w:p>
              </w:tc>
              <w:tc>
                <w:tcPr>
                  <w:tcW w:w="563" w:type="pct"/>
                </w:tcPr>
                <w:p w14:paraId="729AB2CE">
                  <w:pPr>
                    <w:pStyle w:val="103"/>
                    <w:spacing w:line="320" w:lineRule="exact"/>
                    <w:rPr>
                      <w:sz w:val="21"/>
                      <w:szCs w:val="21"/>
                    </w:rPr>
                  </w:pPr>
                  <w:r>
                    <w:rPr>
                      <w:rFonts w:hint="eastAsia"/>
                      <w:sz w:val="21"/>
                      <w:szCs w:val="21"/>
                    </w:rPr>
                    <w:t>辆</w:t>
                  </w:r>
                </w:p>
              </w:tc>
              <w:tc>
                <w:tcPr>
                  <w:tcW w:w="563" w:type="pct"/>
                </w:tcPr>
                <w:p w14:paraId="33CA73FC">
                  <w:pPr>
                    <w:pStyle w:val="103"/>
                    <w:spacing w:line="320" w:lineRule="exact"/>
                    <w:rPr>
                      <w:sz w:val="21"/>
                      <w:szCs w:val="21"/>
                    </w:rPr>
                  </w:pPr>
                  <w:r>
                    <w:rPr>
                      <w:rFonts w:hint="eastAsia"/>
                      <w:sz w:val="21"/>
                      <w:szCs w:val="21"/>
                    </w:rPr>
                    <w:t>3</w:t>
                  </w:r>
                </w:p>
              </w:tc>
              <w:tc>
                <w:tcPr>
                  <w:tcW w:w="563" w:type="pct"/>
                </w:tcPr>
                <w:p w14:paraId="78D05ACB">
                  <w:pPr>
                    <w:pStyle w:val="103"/>
                    <w:spacing w:line="320" w:lineRule="exact"/>
                    <w:rPr>
                      <w:sz w:val="21"/>
                      <w:szCs w:val="21"/>
                    </w:rPr>
                  </w:pPr>
                </w:p>
              </w:tc>
            </w:tr>
            <w:tr w14:paraId="31554B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tcPr>
                <w:p w14:paraId="3D3883C0">
                  <w:pPr>
                    <w:pStyle w:val="103"/>
                    <w:spacing w:line="320" w:lineRule="exact"/>
                    <w:rPr>
                      <w:sz w:val="21"/>
                      <w:szCs w:val="21"/>
                    </w:rPr>
                  </w:pPr>
                  <w:r>
                    <w:rPr>
                      <w:sz w:val="21"/>
                      <w:szCs w:val="21"/>
                    </w:rPr>
                    <w:t>3</w:t>
                  </w:r>
                </w:p>
              </w:tc>
              <w:tc>
                <w:tcPr>
                  <w:tcW w:w="1492" w:type="pct"/>
                </w:tcPr>
                <w:p w14:paraId="3C232F65">
                  <w:pPr>
                    <w:pStyle w:val="103"/>
                    <w:spacing w:line="320" w:lineRule="exact"/>
                    <w:rPr>
                      <w:sz w:val="21"/>
                      <w:szCs w:val="21"/>
                    </w:rPr>
                  </w:pPr>
                  <w:r>
                    <w:rPr>
                      <w:rFonts w:hint="eastAsia"/>
                      <w:sz w:val="21"/>
                      <w:szCs w:val="21"/>
                    </w:rPr>
                    <w:t>农用四轮车</w:t>
                  </w:r>
                </w:p>
              </w:tc>
              <w:tc>
                <w:tcPr>
                  <w:tcW w:w="1255" w:type="pct"/>
                </w:tcPr>
                <w:p w14:paraId="2CDE1CF2">
                  <w:pPr>
                    <w:pStyle w:val="103"/>
                    <w:spacing w:line="320" w:lineRule="exact"/>
                    <w:rPr>
                      <w:sz w:val="21"/>
                      <w:szCs w:val="21"/>
                    </w:rPr>
                  </w:pPr>
                </w:p>
              </w:tc>
              <w:tc>
                <w:tcPr>
                  <w:tcW w:w="563" w:type="pct"/>
                </w:tcPr>
                <w:p w14:paraId="60092EED">
                  <w:pPr>
                    <w:pStyle w:val="103"/>
                    <w:spacing w:line="320" w:lineRule="exact"/>
                    <w:rPr>
                      <w:sz w:val="21"/>
                      <w:szCs w:val="21"/>
                    </w:rPr>
                  </w:pPr>
                  <w:r>
                    <w:rPr>
                      <w:rFonts w:hint="eastAsia"/>
                      <w:sz w:val="21"/>
                      <w:szCs w:val="21"/>
                    </w:rPr>
                    <w:t>辆</w:t>
                  </w:r>
                </w:p>
              </w:tc>
              <w:tc>
                <w:tcPr>
                  <w:tcW w:w="563" w:type="pct"/>
                </w:tcPr>
                <w:p w14:paraId="5B5A3115">
                  <w:pPr>
                    <w:pStyle w:val="103"/>
                    <w:spacing w:line="320" w:lineRule="exact"/>
                    <w:rPr>
                      <w:sz w:val="21"/>
                      <w:szCs w:val="21"/>
                    </w:rPr>
                  </w:pPr>
                  <w:r>
                    <w:rPr>
                      <w:rFonts w:hint="eastAsia"/>
                      <w:sz w:val="21"/>
                      <w:szCs w:val="21"/>
                    </w:rPr>
                    <w:t>6</w:t>
                  </w:r>
                </w:p>
              </w:tc>
              <w:tc>
                <w:tcPr>
                  <w:tcW w:w="563" w:type="pct"/>
                </w:tcPr>
                <w:p w14:paraId="2E19DD8E">
                  <w:pPr>
                    <w:pStyle w:val="103"/>
                    <w:spacing w:line="320" w:lineRule="exact"/>
                    <w:rPr>
                      <w:sz w:val="21"/>
                      <w:szCs w:val="21"/>
                    </w:rPr>
                  </w:pPr>
                </w:p>
              </w:tc>
            </w:tr>
            <w:tr w14:paraId="048A96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tcPr>
                <w:p w14:paraId="3048FE2A">
                  <w:pPr>
                    <w:pStyle w:val="103"/>
                    <w:spacing w:line="320" w:lineRule="exact"/>
                    <w:rPr>
                      <w:sz w:val="21"/>
                      <w:szCs w:val="21"/>
                    </w:rPr>
                  </w:pPr>
                  <w:r>
                    <w:rPr>
                      <w:rFonts w:hint="eastAsia"/>
                      <w:sz w:val="21"/>
                      <w:szCs w:val="21"/>
                    </w:rPr>
                    <w:t>4</w:t>
                  </w:r>
                </w:p>
              </w:tc>
              <w:tc>
                <w:tcPr>
                  <w:tcW w:w="1492" w:type="pct"/>
                </w:tcPr>
                <w:p w14:paraId="7B4B682C">
                  <w:pPr>
                    <w:pStyle w:val="103"/>
                    <w:spacing w:line="320" w:lineRule="exact"/>
                    <w:rPr>
                      <w:sz w:val="21"/>
                      <w:szCs w:val="21"/>
                    </w:rPr>
                  </w:pPr>
                  <w:r>
                    <w:rPr>
                      <w:rFonts w:hint="eastAsia"/>
                      <w:sz w:val="21"/>
                      <w:szCs w:val="21"/>
                    </w:rPr>
                    <w:t>简易起重吊车</w:t>
                  </w:r>
                </w:p>
              </w:tc>
              <w:tc>
                <w:tcPr>
                  <w:tcW w:w="1255" w:type="pct"/>
                </w:tcPr>
                <w:p w14:paraId="16E854CD">
                  <w:pPr>
                    <w:pStyle w:val="103"/>
                    <w:spacing w:line="320" w:lineRule="exact"/>
                    <w:rPr>
                      <w:sz w:val="21"/>
                      <w:szCs w:val="21"/>
                    </w:rPr>
                  </w:pPr>
                  <w:r>
                    <w:rPr>
                      <w:rFonts w:hint="eastAsia"/>
                      <w:sz w:val="21"/>
                      <w:szCs w:val="21"/>
                    </w:rPr>
                    <w:t>10t</w:t>
                  </w:r>
                </w:p>
              </w:tc>
              <w:tc>
                <w:tcPr>
                  <w:tcW w:w="563" w:type="pct"/>
                </w:tcPr>
                <w:p w14:paraId="6A09F6D7">
                  <w:pPr>
                    <w:pStyle w:val="103"/>
                    <w:spacing w:line="320" w:lineRule="exact"/>
                    <w:rPr>
                      <w:sz w:val="21"/>
                      <w:szCs w:val="21"/>
                    </w:rPr>
                  </w:pPr>
                  <w:r>
                    <w:rPr>
                      <w:rFonts w:hint="eastAsia"/>
                      <w:sz w:val="21"/>
                      <w:szCs w:val="21"/>
                    </w:rPr>
                    <w:t>辆</w:t>
                  </w:r>
                </w:p>
              </w:tc>
              <w:tc>
                <w:tcPr>
                  <w:tcW w:w="563" w:type="pct"/>
                </w:tcPr>
                <w:p w14:paraId="1B4F830E">
                  <w:pPr>
                    <w:pStyle w:val="103"/>
                    <w:spacing w:line="320" w:lineRule="exact"/>
                    <w:rPr>
                      <w:sz w:val="21"/>
                      <w:szCs w:val="21"/>
                    </w:rPr>
                  </w:pPr>
                  <w:r>
                    <w:rPr>
                      <w:rFonts w:hint="eastAsia"/>
                      <w:sz w:val="21"/>
                      <w:szCs w:val="21"/>
                    </w:rPr>
                    <w:t>3</w:t>
                  </w:r>
                </w:p>
              </w:tc>
              <w:tc>
                <w:tcPr>
                  <w:tcW w:w="563" w:type="pct"/>
                </w:tcPr>
                <w:p w14:paraId="5463679B">
                  <w:pPr>
                    <w:pStyle w:val="103"/>
                    <w:spacing w:line="320" w:lineRule="exact"/>
                    <w:rPr>
                      <w:sz w:val="21"/>
                      <w:szCs w:val="21"/>
                    </w:rPr>
                  </w:pPr>
                </w:p>
              </w:tc>
            </w:tr>
            <w:tr w14:paraId="0D393A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tcPr>
                <w:p w14:paraId="53A95F08">
                  <w:pPr>
                    <w:pStyle w:val="103"/>
                    <w:spacing w:line="320" w:lineRule="exact"/>
                    <w:rPr>
                      <w:sz w:val="21"/>
                      <w:szCs w:val="21"/>
                    </w:rPr>
                  </w:pPr>
                  <w:r>
                    <w:rPr>
                      <w:rFonts w:hint="eastAsia"/>
                      <w:sz w:val="21"/>
                      <w:szCs w:val="21"/>
                    </w:rPr>
                    <w:t>5</w:t>
                  </w:r>
                </w:p>
              </w:tc>
              <w:tc>
                <w:tcPr>
                  <w:tcW w:w="1492" w:type="pct"/>
                </w:tcPr>
                <w:p w14:paraId="23AF985D">
                  <w:pPr>
                    <w:pStyle w:val="103"/>
                    <w:spacing w:line="320" w:lineRule="exact"/>
                    <w:rPr>
                      <w:sz w:val="21"/>
                      <w:szCs w:val="21"/>
                    </w:rPr>
                  </w:pPr>
                  <w:r>
                    <w:rPr>
                      <w:rFonts w:hint="eastAsia"/>
                      <w:sz w:val="21"/>
                      <w:szCs w:val="21"/>
                    </w:rPr>
                    <w:t>机动翻斗车</w:t>
                  </w:r>
                </w:p>
              </w:tc>
              <w:tc>
                <w:tcPr>
                  <w:tcW w:w="1255" w:type="pct"/>
                </w:tcPr>
                <w:p w14:paraId="2274F530">
                  <w:pPr>
                    <w:pStyle w:val="103"/>
                    <w:spacing w:line="320" w:lineRule="exact"/>
                    <w:rPr>
                      <w:sz w:val="21"/>
                      <w:szCs w:val="21"/>
                    </w:rPr>
                  </w:pPr>
                  <w:r>
                    <w:rPr>
                      <w:rFonts w:hint="eastAsia"/>
                      <w:sz w:val="21"/>
                      <w:szCs w:val="21"/>
                    </w:rPr>
                    <w:t>1t</w:t>
                  </w:r>
                </w:p>
              </w:tc>
              <w:tc>
                <w:tcPr>
                  <w:tcW w:w="563" w:type="pct"/>
                </w:tcPr>
                <w:p w14:paraId="7BEEFE43">
                  <w:pPr>
                    <w:pStyle w:val="103"/>
                    <w:spacing w:line="320" w:lineRule="exact"/>
                    <w:rPr>
                      <w:sz w:val="21"/>
                      <w:szCs w:val="21"/>
                    </w:rPr>
                  </w:pPr>
                  <w:r>
                    <w:rPr>
                      <w:rFonts w:hint="eastAsia"/>
                      <w:sz w:val="21"/>
                      <w:szCs w:val="21"/>
                    </w:rPr>
                    <w:t>辆</w:t>
                  </w:r>
                </w:p>
              </w:tc>
              <w:tc>
                <w:tcPr>
                  <w:tcW w:w="563" w:type="pct"/>
                </w:tcPr>
                <w:p w14:paraId="1A9D49A7">
                  <w:pPr>
                    <w:pStyle w:val="103"/>
                    <w:spacing w:line="320" w:lineRule="exact"/>
                    <w:rPr>
                      <w:sz w:val="21"/>
                      <w:szCs w:val="21"/>
                    </w:rPr>
                  </w:pPr>
                  <w:r>
                    <w:rPr>
                      <w:rFonts w:hint="eastAsia"/>
                      <w:sz w:val="21"/>
                      <w:szCs w:val="21"/>
                    </w:rPr>
                    <w:t>15</w:t>
                  </w:r>
                </w:p>
              </w:tc>
              <w:tc>
                <w:tcPr>
                  <w:tcW w:w="563" w:type="pct"/>
                </w:tcPr>
                <w:p w14:paraId="1F1F4225">
                  <w:pPr>
                    <w:pStyle w:val="103"/>
                    <w:spacing w:line="320" w:lineRule="exact"/>
                    <w:rPr>
                      <w:sz w:val="21"/>
                      <w:szCs w:val="21"/>
                    </w:rPr>
                  </w:pPr>
                </w:p>
              </w:tc>
            </w:tr>
            <w:tr w14:paraId="1B599A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tcPr>
                <w:p w14:paraId="6796FD8D">
                  <w:pPr>
                    <w:pStyle w:val="103"/>
                    <w:spacing w:line="320" w:lineRule="exact"/>
                    <w:rPr>
                      <w:sz w:val="21"/>
                      <w:szCs w:val="21"/>
                    </w:rPr>
                  </w:pPr>
                  <w:r>
                    <w:rPr>
                      <w:rFonts w:hint="eastAsia"/>
                      <w:sz w:val="21"/>
                      <w:szCs w:val="21"/>
                    </w:rPr>
                    <w:t>三</w:t>
                  </w:r>
                </w:p>
              </w:tc>
              <w:tc>
                <w:tcPr>
                  <w:tcW w:w="1492" w:type="pct"/>
                </w:tcPr>
                <w:p w14:paraId="2689E76F">
                  <w:pPr>
                    <w:pStyle w:val="103"/>
                    <w:spacing w:line="320" w:lineRule="exact"/>
                    <w:rPr>
                      <w:sz w:val="21"/>
                      <w:szCs w:val="21"/>
                    </w:rPr>
                  </w:pPr>
                  <w:r>
                    <w:rPr>
                      <w:rFonts w:hint="eastAsia"/>
                      <w:sz w:val="21"/>
                      <w:szCs w:val="21"/>
                    </w:rPr>
                    <w:t>填筑碾压机械</w:t>
                  </w:r>
                </w:p>
              </w:tc>
              <w:tc>
                <w:tcPr>
                  <w:tcW w:w="1255" w:type="pct"/>
                </w:tcPr>
                <w:p w14:paraId="138065AB">
                  <w:pPr>
                    <w:pStyle w:val="103"/>
                    <w:spacing w:line="320" w:lineRule="exact"/>
                    <w:rPr>
                      <w:sz w:val="21"/>
                      <w:szCs w:val="21"/>
                    </w:rPr>
                  </w:pPr>
                </w:p>
              </w:tc>
              <w:tc>
                <w:tcPr>
                  <w:tcW w:w="563" w:type="pct"/>
                </w:tcPr>
                <w:p w14:paraId="3FC90A84">
                  <w:pPr>
                    <w:pStyle w:val="103"/>
                    <w:spacing w:line="320" w:lineRule="exact"/>
                    <w:rPr>
                      <w:sz w:val="21"/>
                      <w:szCs w:val="21"/>
                    </w:rPr>
                  </w:pPr>
                </w:p>
              </w:tc>
              <w:tc>
                <w:tcPr>
                  <w:tcW w:w="563" w:type="pct"/>
                </w:tcPr>
                <w:p w14:paraId="1EA5490A">
                  <w:pPr>
                    <w:pStyle w:val="103"/>
                    <w:spacing w:line="320" w:lineRule="exact"/>
                    <w:rPr>
                      <w:sz w:val="21"/>
                      <w:szCs w:val="21"/>
                    </w:rPr>
                  </w:pPr>
                </w:p>
              </w:tc>
              <w:tc>
                <w:tcPr>
                  <w:tcW w:w="563" w:type="pct"/>
                </w:tcPr>
                <w:p w14:paraId="45EFCB5D">
                  <w:pPr>
                    <w:pStyle w:val="103"/>
                    <w:spacing w:line="320" w:lineRule="exact"/>
                    <w:rPr>
                      <w:sz w:val="21"/>
                      <w:szCs w:val="21"/>
                    </w:rPr>
                  </w:pPr>
                </w:p>
              </w:tc>
            </w:tr>
            <w:tr w14:paraId="0823E0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tcPr>
                <w:p w14:paraId="578D14C2">
                  <w:pPr>
                    <w:pStyle w:val="103"/>
                    <w:spacing w:line="320" w:lineRule="exact"/>
                    <w:rPr>
                      <w:sz w:val="21"/>
                      <w:szCs w:val="21"/>
                    </w:rPr>
                  </w:pPr>
                  <w:r>
                    <w:rPr>
                      <w:rFonts w:hint="eastAsia"/>
                      <w:sz w:val="21"/>
                      <w:szCs w:val="21"/>
                    </w:rPr>
                    <w:t>1</w:t>
                  </w:r>
                </w:p>
              </w:tc>
              <w:tc>
                <w:tcPr>
                  <w:tcW w:w="1492" w:type="pct"/>
                </w:tcPr>
                <w:p w14:paraId="5A623842">
                  <w:pPr>
                    <w:pStyle w:val="103"/>
                    <w:spacing w:line="320" w:lineRule="exact"/>
                    <w:rPr>
                      <w:sz w:val="21"/>
                      <w:szCs w:val="21"/>
                    </w:rPr>
                  </w:pPr>
                  <w:r>
                    <w:rPr>
                      <w:rFonts w:hint="eastAsia"/>
                      <w:sz w:val="21"/>
                      <w:szCs w:val="21"/>
                    </w:rPr>
                    <w:t>蛙式打夯机</w:t>
                  </w:r>
                </w:p>
              </w:tc>
              <w:tc>
                <w:tcPr>
                  <w:tcW w:w="1255" w:type="pct"/>
                </w:tcPr>
                <w:p w14:paraId="05151765">
                  <w:pPr>
                    <w:pStyle w:val="103"/>
                    <w:spacing w:line="320" w:lineRule="exact"/>
                    <w:rPr>
                      <w:sz w:val="21"/>
                      <w:szCs w:val="21"/>
                    </w:rPr>
                  </w:pPr>
                  <w:r>
                    <w:rPr>
                      <w:sz w:val="21"/>
                      <w:szCs w:val="21"/>
                    </w:rPr>
                    <w:t>2.</w:t>
                  </w:r>
                  <w:r>
                    <w:rPr>
                      <w:rFonts w:hint="eastAsia"/>
                      <w:sz w:val="21"/>
                      <w:szCs w:val="21"/>
                    </w:rPr>
                    <w:t>8</w:t>
                  </w:r>
                  <w:r>
                    <w:rPr>
                      <w:sz w:val="21"/>
                      <w:szCs w:val="21"/>
                    </w:rPr>
                    <w:t>KW</w:t>
                  </w:r>
                </w:p>
              </w:tc>
              <w:tc>
                <w:tcPr>
                  <w:tcW w:w="563" w:type="pct"/>
                </w:tcPr>
                <w:p w14:paraId="152F21E2">
                  <w:pPr>
                    <w:pStyle w:val="103"/>
                    <w:spacing w:line="320" w:lineRule="exact"/>
                    <w:rPr>
                      <w:sz w:val="21"/>
                      <w:szCs w:val="21"/>
                    </w:rPr>
                  </w:pPr>
                  <w:r>
                    <w:rPr>
                      <w:rFonts w:hint="eastAsia"/>
                      <w:sz w:val="21"/>
                      <w:szCs w:val="21"/>
                    </w:rPr>
                    <w:t>台</w:t>
                  </w:r>
                </w:p>
              </w:tc>
              <w:tc>
                <w:tcPr>
                  <w:tcW w:w="563" w:type="pct"/>
                </w:tcPr>
                <w:p w14:paraId="4C33AAAD">
                  <w:pPr>
                    <w:pStyle w:val="103"/>
                    <w:spacing w:line="320" w:lineRule="exact"/>
                    <w:rPr>
                      <w:sz w:val="21"/>
                      <w:szCs w:val="21"/>
                    </w:rPr>
                  </w:pPr>
                  <w:r>
                    <w:rPr>
                      <w:rFonts w:hint="eastAsia"/>
                      <w:sz w:val="21"/>
                      <w:szCs w:val="21"/>
                    </w:rPr>
                    <w:t>15</w:t>
                  </w:r>
                </w:p>
              </w:tc>
              <w:tc>
                <w:tcPr>
                  <w:tcW w:w="563" w:type="pct"/>
                </w:tcPr>
                <w:p w14:paraId="752784F0">
                  <w:pPr>
                    <w:pStyle w:val="103"/>
                    <w:spacing w:line="320" w:lineRule="exact"/>
                    <w:rPr>
                      <w:sz w:val="21"/>
                      <w:szCs w:val="21"/>
                    </w:rPr>
                  </w:pPr>
                </w:p>
              </w:tc>
            </w:tr>
            <w:tr w14:paraId="0A4759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tcPr>
                <w:p w14:paraId="63582087">
                  <w:pPr>
                    <w:pStyle w:val="103"/>
                    <w:spacing w:line="320" w:lineRule="exact"/>
                    <w:rPr>
                      <w:sz w:val="21"/>
                      <w:szCs w:val="21"/>
                    </w:rPr>
                  </w:pPr>
                  <w:r>
                    <w:rPr>
                      <w:rFonts w:hint="eastAsia"/>
                      <w:sz w:val="21"/>
                      <w:szCs w:val="21"/>
                    </w:rPr>
                    <w:t>四</w:t>
                  </w:r>
                </w:p>
              </w:tc>
              <w:tc>
                <w:tcPr>
                  <w:tcW w:w="1492" w:type="pct"/>
                </w:tcPr>
                <w:p w14:paraId="46E4BCE6">
                  <w:pPr>
                    <w:pStyle w:val="103"/>
                    <w:spacing w:line="320" w:lineRule="exact"/>
                    <w:rPr>
                      <w:sz w:val="21"/>
                      <w:szCs w:val="21"/>
                    </w:rPr>
                  </w:pPr>
                  <w:r>
                    <w:rPr>
                      <w:rFonts w:hint="eastAsia"/>
                      <w:sz w:val="21"/>
                      <w:szCs w:val="21"/>
                    </w:rPr>
                    <w:t>混凝土机械</w:t>
                  </w:r>
                </w:p>
              </w:tc>
              <w:tc>
                <w:tcPr>
                  <w:tcW w:w="1255" w:type="pct"/>
                </w:tcPr>
                <w:p w14:paraId="502FA5EF">
                  <w:pPr>
                    <w:pStyle w:val="103"/>
                    <w:spacing w:line="320" w:lineRule="exact"/>
                    <w:rPr>
                      <w:sz w:val="21"/>
                      <w:szCs w:val="21"/>
                    </w:rPr>
                  </w:pPr>
                </w:p>
              </w:tc>
              <w:tc>
                <w:tcPr>
                  <w:tcW w:w="563" w:type="pct"/>
                </w:tcPr>
                <w:p w14:paraId="4EFDAE9F">
                  <w:pPr>
                    <w:pStyle w:val="103"/>
                    <w:spacing w:line="320" w:lineRule="exact"/>
                    <w:rPr>
                      <w:sz w:val="21"/>
                      <w:szCs w:val="21"/>
                    </w:rPr>
                  </w:pPr>
                </w:p>
              </w:tc>
              <w:tc>
                <w:tcPr>
                  <w:tcW w:w="563" w:type="pct"/>
                </w:tcPr>
                <w:p w14:paraId="7520D9B5">
                  <w:pPr>
                    <w:pStyle w:val="103"/>
                    <w:spacing w:line="320" w:lineRule="exact"/>
                    <w:rPr>
                      <w:sz w:val="21"/>
                      <w:szCs w:val="21"/>
                    </w:rPr>
                  </w:pPr>
                </w:p>
              </w:tc>
              <w:tc>
                <w:tcPr>
                  <w:tcW w:w="563" w:type="pct"/>
                </w:tcPr>
                <w:p w14:paraId="084CEDB1">
                  <w:pPr>
                    <w:pStyle w:val="103"/>
                    <w:spacing w:line="320" w:lineRule="exact"/>
                    <w:rPr>
                      <w:sz w:val="21"/>
                      <w:szCs w:val="21"/>
                    </w:rPr>
                  </w:pPr>
                </w:p>
              </w:tc>
            </w:tr>
            <w:tr w14:paraId="4AD9A9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tcPr>
                <w:p w14:paraId="6E3C6295">
                  <w:pPr>
                    <w:pStyle w:val="103"/>
                    <w:spacing w:line="320" w:lineRule="exact"/>
                    <w:rPr>
                      <w:sz w:val="21"/>
                      <w:szCs w:val="21"/>
                    </w:rPr>
                  </w:pPr>
                  <w:r>
                    <w:rPr>
                      <w:rFonts w:hint="eastAsia"/>
                      <w:sz w:val="21"/>
                      <w:szCs w:val="21"/>
                    </w:rPr>
                    <w:t>1</w:t>
                  </w:r>
                </w:p>
              </w:tc>
              <w:tc>
                <w:tcPr>
                  <w:tcW w:w="1492" w:type="pct"/>
                </w:tcPr>
                <w:p w14:paraId="1D9EDC80">
                  <w:pPr>
                    <w:pStyle w:val="103"/>
                    <w:spacing w:line="320" w:lineRule="exact"/>
                    <w:rPr>
                      <w:sz w:val="21"/>
                      <w:szCs w:val="21"/>
                    </w:rPr>
                  </w:pPr>
                  <w:r>
                    <w:rPr>
                      <w:rFonts w:hint="eastAsia"/>
                      <w:sz w:val="21"/>
                      <w:szCs w:val="21"/>
                    </w:rPr>
                    <w:t>混凝土振动器</w:t>
                  </w:r>
                </w:p>
              </w:tc>
              <w:tc>
                <w:tcPr>
                  <w:tcW w:w="1255" w:type="pct"/>
                </w:tcPr>
                <w:p w14:paraId="727DE367">
                  <w:pPr>
                    <w:pStyle w:val="103"/>
                    <w:spacing w:line="320" w:lineRule="exact"/>
                    <w:rPr>
                      <w:sz w:val="21"/>
                      <w:szCs w:val="21"/>
                    </w:rPr>
                  </w:pPr>
                </w:p>
              </w:tc>
              <w:tc>
                <w:tcPr>
                  <w:tcW w:w="563" w:type="pct"/>
                </w:tcPr>
                <w:p w14:paraId="6289DC81">
                  <w:pPr>
                    <w:pStyle w:val="103"/>
                    <w:spacing w:line="320" w:lineRule="exact"/>
                    <w:rPr>
                      <w:sz w:val="21"/>
                      <w:szCs w:val="21"/>
                    </w:rPr>
                  </w:pPr>
                  <w:r>
                    <w:rPr>
                      <w:rFonts w:hint="eastAsia"/>
                      <w:sz w:val="21"/>
                      <w:szCs w:val="21"/>
                    </w:rPr>
                    <w:t>台</w:t>
                  </w:r>
                </w:p>
              </w:tc>
              <w:tc>
                <w:tcPr>
                  <w:tcW w:w="563" w:type="pct"/>
                </w:tcPr>
                <w:p w14:paraId="5DDD24E4">
                  <w:pPr>
                    <w:pStyle w:val="103"/>
                    <w:spacing w:line="320" w:lineRule="exact"/>
                    <w:rPr>
                      <w:sz w:val="21"/>
                      <w:szCs w:val="21"/>
                    </w:rPr>
                  </w:pPr>
                  <w:r>
                    <w:rPr>
                      <w:rFonts w:hint="eastAsia"/>
                      <w:sz w:val="21"/>
                      <w:szCs w:val="21"/>
                    </w:rPr>
                    <w:t>10</w:t>
                  </w:r>
                </w:p>
              </w:tc>
              <w:tc>
                <w:tcPr>
                  <w:tcW w:w="563" w:type="pct"/>
                </w:tcPr>
                <w:p w14:paraId="07DD2B7A">
                  <w:pPr>
                    <w:pStyle w:val="103"/>
                    <w:spacing w:line="320" w:lineRule="exact"/>
                    <w:rPr>
                      <w:sz w:val="21"/>
                      <w:szCs w:val="21"/>
                    </w:rPr>
                  </w:pPr>
                </w:p>
              </w:tc>
            </w:tr>
            <w:tr w14:paraId="06B649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tcPr>
                <w:p w14:paraId="1B41FCB2">
                  <w:pPr>
                    <w:pStyle w:val="103"/>
                    <w:spacing w:line="320" w:lineRule="exact"/>
                    <w:rPr>
                      <w:sz w:val="21"/>
                      <w:szCs w:val="21"/>
                    </w:rPr>
                  </w:pPr>
                  <w:r>
                    <w:rPr>
                      <w:rFonts w:hint="eastAsia"/>
                      <w:sz w:val="21"/>
                      <w:szCs w:val="21"/>
                    </w:rPr>
                    <w:t>五</w:t>
                  </w:r>
                </w:p>
              </w:tc>
              <w:tc>
                <w:tcPr>
                  <w:tcW w:w="1492" w:type="pct"/>
                </w:tcPr>
                <w:p w14:paraId="4D87F1D5">
                  <w:pPr>
                    <w:pStyle w:val="103"/>
                    <w:spacing w:line="320" w:lineRule="exact"/>
                    <w:rPr>
                      <w:sz w:val="21"/>
                      <w:szCs w:val="21"/>
                    </w:rPr>
                  </w:pPr>
                  <w:r>
                    <w:rPr>
                      <w:rFonts w:hint="eastAsia"/>
                      <w:sz w:val="21"/>
                      <w:szCs w:val="21"/>
                    </w:rPr>
                    <w:t>钢筋加工机械</w:t>
                  </w:r>
                </w:p>
              </w:tc>
              <w:tc>
                <w:tcPr>
                  <w:tcW w:w="1255" w:type="pct"/>
                </w:tcPr>
                <w:p w14:paraId="735568EB">
                  <w:pPr>
                    <w:pStyle w:val="103"/>
                    <w:spacing w:line="320" w:lineRule="exact"/>
                    <w:rPr>
                      <w:sz w:val="21"/>
                      <w:szCs w:val="21"/>
                    </w:rPr>
                  </w:pPr>
                </w:p>
              </w:tc>
              <w:tc>
                <w:tcPr>
                  <w:tcW w:w="563" w:type="pct"/>
                </w:tcPr>
                <w:p w14:paraId="2EA6F8D5">
                  <w:pPr>
                    <w:pStyle w:val="103"/>
                    <w:spacing w:line="320" w:lineRule="exact"/>
                    <w:rPr>
                      <w:sz w:val="21"/>
                      <w:szCs w:val="21"/>
                    </w:rPr>
                  </w:pPr>
                </w:p>
              </w:tc>
              <w:tc>
                <w:tcPr>
                  <w:tcW w:w="563" w:type="pct"/>
                </w:tcPr>
                <w:p w14:paraId="56A4C7CA">
                  <w:pPr>
                    <w:pStyle w:val="103"/>
                    <w:spacing w:line="320" w:lineRule="exact"/>
                    <w:rPr>
                      <w:sz w:val="21"/>
                      <w:szCs w:val="21"/>
                    </w:rPr>
                  </w:pPr>
                </w:p>
              </w:tc>
              <w:tc>
                <w:tcPr>
                  <w:tcW w:w="563" w:type="pct"/>
                </w:tcPr>
                <w:p w14:paraId="0A916402">
                  <w:pPr>
                    <w:pStyle w:val="103"/>
                    <w:spacing w:line="320" w:lineRule="exact"/>
                    <w:rPr>
                      <w:sz w:val="21"/>
                      <w:szCs w:val="21"/>
                    </w:rPr>
                  </w:pPr>
                </w:p>
              </w:tc>
            </w:tr>
            <w:tr w14:paraId="33D129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tcPr>
                <w:p w14:paraId="1A1FB3B5">
                  <w:pPr>
                    <w:pStyle w:val="103"/>
                    <w:spacing w:line="320" w:lineRule="exact"/>
                    <w:rPr>
                      <w:sz w:val="21"/>
                      <w:szCs w:val="21"/>
                    </w:rPr>
                  </w:pPr>
                  <w:r>
                    <w:rPr>
                      <w:rFonts w:hint="eastAsia"/>
                      <w:sz w:val="21"/>
                      <w:szCs w:val="21"/>
                    </w:rPr>
                    <w:t>1</w:t>
                  </w:r>
                </w:p>
              </w:tc>
              <w:tc>
                <w:tcPr>
                  <w:tcW w:w="1492" w:type="pct"/>
                </w:tcPr>
                <w:p w14:paraId="4D3DD5E2">
                  <w:pPr>
                    <w:pStyle w:val="103"/>
                    <w:spacing w:line="320" w:lineRule="exact"/>
                    <w:rPr>
                      <w:sz w:val="21"/>
                      <w:szCs w:val="21"/>
                    </w:rPr>
                  </w:pPr>
                  <w:r>
                    <w:rPr>
                      <w:sz w:val="21"/>
                      <w:szCs w:val="21"/>
                    </w:rPr>
                    <w:t>钢筋切断</w:t>
                  </w:r>
                </w:p>
              </w:tc>
              <w:tc>
                <w:tcPr>
                  <w:tcW w:w="1255" w:type="pct"/>
                </w:tcPr>
                <w:p w14:paraId="5843229B">
                  <w:pPr>
                    <w:pStyle w:val="103"/>
                    <w:spacing w:line="320" w:lineRule="exact"/>
                    <w:rPr>
                      <w:sz w:val="21"/>
                      <w:szCs w:val="21"/>
                    </w:rPr>
                  </w:pPr>
                </w:p>
              </w:tc>
              <w:tc>
                <w:tcPr>
                  <w:tcW w:w="563" w:type="pct"/>
                </w:tcPr>
                <w:p w14:paraId="2293768B">
                  <w:pPr>
                    <w:pStyle w:val="103"/>
                    <w:spacing w:line="320" w:lineRule="exact"/>
                    <w:rPr>
                      <w:sz w:val="21"/>
                      <w:szCs w:val="21"/>
                    </w:rPr>
                  </w:pPr>
                  <w:r>
                    <w:rPr>
                      <w:sz w:val="21"/>
                      <w:szCs w:val="21"/>
                    </w:rPr>
                    <w:t>台</w:t>
                  </w:r>
                </w:p>
              </w:tc>
              <w:tc>
                <w:tcPr>
                  <w:tcW w:w="563" w:type="pct"/>
                </w:tcPr>
                <w:p w14:paraId="0E376AFF">
                  <w:pPr>
                    <w:pStyle w:val="103"/>
                    <w:spacing w:line="320" w:lineRule="exact"/>
                    <w:rPr>
                      <w:sz w:val="21"/>
                      <w:szCs w:val="21"/>
                    </w:rPr>
                  </w:pPr>
                  <w:r>
                    <w:rPr>
                      <w:sz w:val="21"/>
                      <w:szCs w:val="21"/>
                    </w:rPr>
                    <w:t>3</w:t>
                  </w:r>
                </w:p>
              </w:tc>
              <w:tc>
                <w:tcPr>
                  <w:tcW w:w="563" w:type="pct"/>
                </w:tcPr>
                <w:p w14:paraId="7F106A76">
                  <w:pPr>
                    <w:pStyle w:val="103"/>
                    <w:spacing w:line="320" w:lineRule="exact"/>
                    <w:rPr>
                      <w:sz w:val="21"/>
                      <w:szCs w:val="21"/>
                    </w:rPr>
                  </w:pPr>
                </w:p>
              </w:tc>
            </w:tr>
            <w:tr w14:paraId="40F229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tcPr>
                <w:p w14:paraId="7A20BF0C">
                  <w:pPr>
                    <w:pStyle w:val="103"/>
                    <w:spacing w:line="320" w:lineRule="exact"/>
                    <w:rPr>
                      <w:sz w:val="21"/>
                      <w:szCs w:val="21"/>
                    </w:rPr>
                  </w:pPr>
                  <w:r>
                    <w:rPr>
                      <w:rFonts w:hint="eastAsia"/>
                      <w:sz w:val="21"/>
                      <w:szCs w:val="21"/>
                    </w:rPr>
                    <w:t>2</w:t>
                  </w:r>
                </w:p>
              </w:tc>
              <w:tc>
                <w:tcPr>
                  <w:tcW w:w="1492" w:type="pct"/>
                </w:tcPr>
                <w:p w14:paraId="554E1BB4">
                  <w:pPr>
                    <w:pStyle w:val="103"/>
                    <w:spacing w:line="320" w:lineRule="exact"/>
                    <w:rPr>
                      <w:sz w:val="21"/>
                      <w:szCs w:val="21"/>
                    </w:rPr>
                  </w:pPr>
                  <w:r>
                    <w:rPr>
                      <w:sz w:val="21"/>
                      <w:szCs w:val="21"/>
                    </w:rPr>
                    <w:t>钢筋弯曲机</w:t>
                  </w:r>
                </w:p>
              </w:tc>
              <w:tc>
                <w:tcPr>
                  <w:tcW w:w="1255" w:type="pct"/>
                </w:tcPr>
                <w:p w14:paraId="3089BB68">
                  <w:pPr>
                    <w:pStyle w:val="103"/>
                    <w:spacing w:line="320" w:lineRule="exact"/>
                    <w:rPr>
                      <w:sz w:val="21"/>
                      <w:szCs w:val="21"/>
                    </w:rPr>
                  </w:pPr>
                </w:p>
              </w:tc>
              <w:tc>
                <w:tcPr>
                  <w:tcW w:w="563" w:type="pct"/>
                </w:tcPr>
                <w:p w14:paraId="2EE757A7">
                  <w:pPr>
                    <w:pStyle w:val="103"/>
                    <w:spacing w:line="320" w:lineRule="exact"/>
                    <w:rPr>
                      <w:sz w:val="21"/>
                      <w:szCs w:val="21"/>
                    </w:rPr>
                  </w:pPr>
                  <w:r>
                    <w:rPr>
                      <w:sz w:val="21"/>
                      <w:szCs w:val="21"/>
                    </w:rPr>
                    <w:t>台</w:t>
                  </w:r>
                </w:p>
              </w:tc>
              <w:tc>
                <w:tcPr>
                  <w:tcW w:w="563" w:type="pct"/>
                </w:tcPr>
                <w:p w14:paraId="7C1A7775">
                  <w:pPr>
                    <w:pStyle w:val="103"/>
                    <w:spacing w:line="320" w:lineRule="exact"/>
                    <w:rPr>
                      <w:sz w:val="21"/>
                      <w:szCs w:val="21"/>
                    </w:rPr>
                  </w:pPr>
                  <w:r>
                    <w:rPr>
                      <w:sz w:val="21"/>
                      <w:szCs w:val="21"/>
                    </w:rPr>
                    <w:t>3</w:t>
                  </w:r>
                </w:p>
              </w:tc>
              <w:tc>
                <w:tcPr>
                  <w:tcW w:w="563" w:type="pct"/>
                </w:tcPr>
                <w:p w14:paraId="1E65C2E2">
                  <w:pPr>
                    <w:pStyle w:val="103"/>
                    <w:spacing w:line="320" w:lineRule="exact"/>
                    <w:rPr>
                      <w:sz w:val="21"/>
                      <w:szCs w:val="21"/>
                    </w:rPr>
                  </w:pPr>
                </w:p>
              </w:tc>
            </w:tr>
            <w:tr w14:paraId="521AB1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tcPr>
                <w:p w14:paraId="253C4A31">
                  <w:pPr>
                    <w:pStyle w:val="103"/>
                    <w:spacing w:line="320" w:lineRule="exact"/>
                    <w:rPr>
                      <w:sz w:val="21"/>
                      <w:szCs w:val="21"/>
                    </w:rPr>
                  </w:pPr>
                  <w:r>
                    <w:rPr>
                      <w:rFonts w:hint="eastAsia"/>
                      <w:sz w:val="21"/>
                      <w:szCs w:val="21"/>
                    </w:rPr>
                    <w:t>3</w:t>
                  </w:r>
                </w:p>
              </w:tc>
              <w:tc>
                <w:tcPr>
                  <w:tcW w:w="1492" w:type="pct"/>
                </w:tcPr>
                <w:p w14:paraId="14F703E8">
                  <w:pPr>
                    <w:pStyle w:val="103"/>
                    <w:spacing w:line="320" w:lineRule="exact"/>
                    <w:rPr>
                      <w:sz w:val="21"/>
                      <w:szCs w:val="21"/>
                    </w:rPr>
                  </w:pPr>
                  <w:r>
                    <w:rPr>
                      <w:sz w:val="21"/>
                      <w:szCs w:val="21"/>
                    </w:rPr>
                    <w:t>电焊机</w:t>
                  </w:r>
                </w:p>
              </w:tc>
              <w:tc>
                <w:tcPr>
                  <w:tcW w:w="1255" w:type="pct"/>
                </w:tcPr>
                <w:p w14:paraId="635DA768">
                  <w:pPr>
                    <w:pStyle w:val="103"/>
                    <w:spacing w:line="320" w:lineRule="exact"/>
                    <w:rPr>
                      <w:sz w:val="21"/>
                      <w:szCs w:val="21"/>
                    </w:rPr>
                  </w:pPr>
                </w:p>
              </w:tc>
              <w:tc>
                <w:tcPr>
                  <w:tcW w:w="563" w:type="pct"/>
                </w:tcPr>
                <w:p w14:paraId="1AEC2F9A">
                  <w:pPr>
                    <w:pStyle w:val="103"/>
                    <w:spacing w:line="320" w:lineRule="exact"/>
                    <w:rPr>
                      <w:sz w:val="21"/>
                      <w:szCs w:val="21"/>
                    </w:rPr>
                  </w:pPr>
                  <w:r>
                    <w:rPr>
                      <w:sz w:val="21"/>
                      <w:szCs w:val="21"/>
                    </w:rPr>
                    <w:t>台</w:t>
                  </w:r>
                </w:p>
              </w:tc>
              <w:tc>
                <w:tcPr>
                  <w:tcW w:w="563" w:type="pct"/>
                </w:tcPr>
                <w:p w14:paraId="71EAF338">
                  <w:pPr>
                    <w:pStyle w:val="103"/>
                    <w:spacing w:line="320" w:lineRule="exact"/>
                    <w:rPr>
                      <w:sz w:val="21"/>
                      <w:szCs w:val="21"/>
                    </w:rPr>
                  </w:pPr>
                  <w:r>
                    <w:rPr>
                      <w:sz w:val="21"/>
                      <w:szCs w:val="21"/>
                    </w:rPr>
                    <w:t>6</w:t>
                  </w:r>
                </w:p>
              </w:tc>
              <w:tc>
                <w:tcPr>
                  <w:tcW w:w="563" w:type="pct"/>
                </w:tcPr>
                <w:p w14:paraId="5D81A819">
                  <w:pPr>
                    <w:pStyle w:val="103"/>
                    <w:spacing w:line="320" w:lineRule="exact"/>
                    <w:rPr>
                      <w:sz w:val="21"/>
                      <w:szCs w:val="21"/>
                    </w:rPr>
                  </w:pPr>
                </w:p>
              </w:tc>
            </w:tr>
            <w:tr w14:paraId="276029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tcPr>
                <w:p w14:paraId="651A72B2">
                  <w:pPr>
                    <w:pStyle w:val="103"/>
                    <w:spacing w:line="320" w:lineRule="exact"/>
                    <w:rPr>
                      <w:sz w:val="21"/>
                      <w:szCs w:val="21"/>
                    </w:rPr>
                  </w:pPr>
                  <w:r>
                    <w:rPr>
                      <w:rFonts w:hint="eastAsia"/>
                      <w:sz w:val="21"/>
                      <w:szCs w:val="21"/>
                    </w:rPr>
                    <w:t>4</w:t>
                  </w:r>
                </w:p>
              </w:tc>
              <w:tc>
                <w:tcPr>
                  <w:tcW w:w="1492" w:type="pct"/>
                </w:tcPr>
                <w:p w14:paraId="42AEF5E6">
                  <w:pPr>
                    <w:pStyle w:val="103"/>
                    <w:spacing w:line="320" w:lineRule="exact"/>
                    <w:rPr>
                      <w:sz w:val="21"/>
                      <w:szCs w:val="21"/>
                    </w:rPr>
                  </w:pPr>
                  <w:r>
                    <w:rPr>
                      <w:sz w:val="21"/>
                      <w:szCs w:val="21"/>
                    </w:rPr>
                    <w:t>钢筋切断</w:t>
                  </w:r>
                </w:p>
              </w:tc>
              <w:tc>
                <w:tcPr>
                  <w:tcW w:w="1255" w:type="pct"/>
                </w:tcPr>
                <w:p w14:paraId="4D1C4D39">
                  <w:pPr>
                    <w:pStyle w:val="103"/>
                    <w:spacing w:line="320" w:lineRule="exact"/>
                    <w:rPr>
                      <w:sz w:val="21"/>
                      <w:szCs w:val="21"/>
                    </w:rPr>
                  </w:pPr>
                </w:p>
              </w:tc>
              <w:tc>
                <w:tcPr>
                  <w:tcW w:w="563" w:type="pct"/>
                </w:tcPr>
                <w:p w14:paraId="51CB6749">
                  <w:pPr>
                    <w:pStyle w:val="103"/>
                    <w:spacing w:line="320" w:lineRule="exact"/>
                    <w:rPr>
                      <w:sz w:val="21"/>
                      <w:szCs w:val="21"/>
                    </w:rPr>
                  </w:pPr>
                  <w:r>
                    <w:rPr>
                      <w:sz w:val="21"/>
                      <w:szCs w:val="21"/>
                    </w:rPr>
                    <w:t>台</w:t>
                  </w:r>
                </w:p>
              </w:tc>
              <w:tc>
                <w:tcPr>
                  <w:tcW w:w="563" w:type="pct"/>
                </w:tcPr>
                <w:p w14:paraId="034644B9">
                  <w:pPr>
                    <w:pStyle w:val="103"/>
                    <w:spacing w:line="320" w:lineRule="exact"/>
                    <w:rPr>
                      <w:sz w:val="21"/>
                      <w:szCs w:val="21"/>
                    </w:rPr>
                  </w:pPr>
                  <w:r>
                    <w:rPr>
                      <w:sz w:val="21"/>
                      <w:szCs w:val="21"/>
                    </w:rPr>
                    <w:t>3</w:t>
                  </w:r>
                </w:p>
              </w:tc>
              <w:tc>
                <w:tcPr>
                  <w:tcW w:w="563" w:type="pct"/>
                </w:tcPr>
                <w:p w14:paraId="39C72195">
                  <w:pPr>
                    <w:pStyle w:val="103"/>
                    <w:spacing w:line="320" w:lineRule="exact"/>
                    <w:rPr>
                      <w:sz w:val="21"/>
                      <w:szCs w:val="21"/>
                    </w:rPr>
                  </w:pPr>
                </w:p>
              </w:tc>
            </w:tr>
            <w:tr w14:paraId="13EE2F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tcPr>
                <w:p w14:paraId="2F2C76F8">
                  <w:pPr>
                    <w:pStyle w:val="103"/>
                    <w:spacing w:line="320" w:lineRule="exact"/>
                    <w:rPr>
                      <w:sz w:val="21"/>
                      <w:szCs w:val="21"/>
                    </w:rPr>
                  </w:pPr>
                  <w:r>
                    <w:rPr>
                      <w:rFonts w:hint="eastAsia"/>
                      <w:sz w:val="21"/>
                      <w:szCs w:val="21"/>
                    </w:rPr>
                    <w:t>六</w:t>
                  </w:r>
                </w:p>
              </w:tc>
              <w:tc>
                <w:tcPr>
                  <w:tcW w:w="1492" w:type="pct"/>
                </w:tcPr>
                <w:p w14:paraId="57DCD1BF">
                  <w:pPr>
                    <w:pStyle w:val="103"/>
                    <w:spacing w:line="320" w:lineRule="exact"/>
                    <w:rPr>
                      <w:sz w:val="21"/>
                      <w:szCs w:val="21"/>
                    </w:rPr>
                  </w:pPr>
                  <w:r>
                    <w:rPr>
                      <w:rFonts w:hint="eastAsia"/>
                      <w:sz w:val="21"/>
                      <w:szCs w:val="21"/>
                    </w:rPr>
                    <w:t>其它施工机械</w:t>
                  </w:r>
                </w:p>
              </w:tc>
              <w:tc>
                <w:tcPr>
                  <w:tcW w:w="1255" w:type="pct"/>
                </w:tcPr>
                <w:p w14:paraId="4D677B6E">
                  <w:pPr>
                    <w:pStyle w:val="103"/>
                    <w:spacing w:line="320" w:lineRule="exact"/>
                    <w:rPr>
                      <w:sz w:val="21"/>
                      <w:szCs w:val="21"/>
                    </w:rPr>
                  </w:pPr>
                </w:p>
              </w:tc>
              <w:tc>
                <w:tcPr>
                  <w:tcW w:w="563" w:type="pct"/>
                </w:tcPr>
                <w:p w14:paraId="15F70C25">
                  <w:pPr>
                    <w:pStyle w:val="103"/>
                    <w:spacing w:line="320" w:lineRule="exact"/>
                    <w:rPr>
                      <w:sz w:val="21"/>
                      <w:szCs w:val="21"/>
                    </w:rPr>
                  </w:pPr>
                </w:p>
              </w:tc>
              <w:tc>
                <w:tcPr>
                  <w:tcW w:w="563" w:type="pct"/>
                </w:tcPr>
                <w:p w14:paraId="4199B179">
                  <w:pPr>
                    <w:pStyle w:val="103"/>
                    <w:spacing w:line="320" w:lineRule="exact"/>
                    <w:rPr>
                      <w:sz w:val="21"/>
                      <w:szCs w:val="21"/>
                    </w:rPr>
                  </w:pPr>
                </w:p>
              </w:tc>
              <w:tc>
                <w:tcPr>
                  <w:tcW w:w="563" w:type="pct"/>
                </w:tcPr>
                <w:p w14:paraId="403A341E">
                  <w:pPr>
                    <w:pStyle w:val="103"/>
                    <w:spacing w:line="320" w:lineRule="exact"/>
                    <w:rPr>
                      <w:sz w:val="21"/>
                      <w:szCs w:val="21"/>
                    </w:rPr>
                  </w:pPr>
                </w:p>
              </w:tc>
            </w:tr>
            <w:tr w14:paraId="1B6FC0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tcPr>
                <w:p w14:paraId="33A02739">
                  <w:pPr>
                    <w:pStyle w:val="103"/>
                    <w:spacing w:line="320" w:lineRule="exact"/>
                    <w:rPr>
                      <w:sz w:val="21"/>
                      <w:szCs w:val="21"/>
                    </w:rPr>
                  </w:pPr>
                  <w:r>
                    <w:rPr>
                      <w:rFonts w:hint="eastAsia"/>
                      <w:sz w:val="21"/>
                      <w:szCs w:val="21"/>
                    </w:rPr>
                    <w:t>1</w:t>
                  </w:r>
                </w:p>
              </w:tc>
              <w:tc>
                <w:tcPr>
                  <w:tcW w:w="1492" w:type="pct"/>
                </w:tcPr>
                <w:p w14:paraId="220D8FA0">
                  <w:pPr>
                    <w:pStyle w:val="103"/>
                    <w:spacing w:line="320" w:lineRule="exact"/>
                    <w:rPr>
                      <w:sz w:val="21"/>
                      <w:szCs w:val="21"/>
                    </w:rPr>
                  </w:pPr>
                  <w:r>
                    <w:rPr>
                      <w:rFonts w:hint="eastAsia"/>
                      <w:sz w:val="21"/>
                      <w:szCs w:val="21"/>
                    </w:rPr>
                    <w:t>供水泵</w:t>
                  </w:r>
                </w:p>
              </w:tc>
              <w:tc>
                <w:tcPr>
                  <w:tcW w:w="1255" w:type="pct"/>
                </w:tcPr>
                <w:p w14:paraId="7D4B9F66">
                  <w:pPr>
                    <w:pStyle w:val="103"/>
                    <w:spacing w:line="320" w:lineRule="exact"/>
                    <w:rPr>
                      <w:sz w:val="21"/>
                      <w:szCs w:val="21"/>
                    </w:rPr>
                  </w:pPr>
                </w:p>
              </w:tc>
              <w:tc>
                <w:tcPr>
                  <w:tcW w:w="563" w:type="pct"/>
                </w:tcPr>
                <w:p w14:paraId="592F07AF">
                  <w:pPr>
                    <w:pStyle w:val="103"/>
                    <w:spacing w:line="320" w:lineRule="exact"/>
                    <w:rPr>
                      <w:sz w:val="21"/>
                      <w:szCs w:val="21"/>
                    </w:rPr>
                  </w:pPr>
                  <w:r>
                    <w:rPr>
                      <w:rFonts w:hint="eastAsia"/>
                      <w:sz w:val="21"/>
                      <w:szCs w:val="21"/>
                    </w:rPr>
                    <w:t>台</w:t>
                  </w:r>
                </w:p>
              </w:tc>
              <w:tc>
                <w:tcPr>
                  <w:tcW w:w="563" w:type="pct"/>
                </w:tcPr>
                <w:p w14:paraId="7C46B9AF">
                  <w:pPr>
                    <w:pStyle w:val="103"/>
                    <w:spacing w:line="320" w:lineRule="exact"/>
                    <w:rPr>
                      <w:sz w:val="21"/>
                      <w:szCs w:val="21"/>
                    </w:rPr>
                  </w:pPr>
                  <w:r>
                    <w:rPr>
                      <w:rFonts w:hint="eastAsia"/>
                      <w:sz w:val="21"/>
                      <w:szCs w:val="21"/>
                    </w:rPr>
                    <w:t>3</w:t>
                  </w:r>
                </w:p>
              </w:tc>
              <w:tc>
                <w:tcPr>
                  <w:tcW w:w="563" w:type="pct"/>
                </w:tcPr>
                <w:p w14:paraId="404E6B1B">
                  <w:pPr>
                    <w:pStyle w:val="103"/>
                    <w:spacing w:line="320" w:lineRule="exact"/>
                    <w:rPr>
                      <w:sz w:val="21"/>
                      <w:szCs w:val="21"/>
                    </w:rPr>
                  </w:pPr>
                </w:p>
              </w:tc>
            </w:tr>
            <w:tr w14:paraId="155CCC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tcPr>
                <w:p w14:paraId="2936ED38">
                  <w:pPr>
                    <w:pStyle w:val="103"/>
                    <w:spacing w:line="320" w:lineRule="exact"/>
                    <w:rPr>
                      <w:sz w:val="21"/>
                      <w:szCs w:val="21"/>
                    </w:rPr>
                  </w:pPr>
                  <w:r>
                    <w:rPr>
                      <w:rFonts w:hint="eastAsia"/>
                      <w:sz w:val="21"/>
                      <w:szCs w:val="21"/>
                    </w:rPr>
                    <w:t>2</w:t>
                  </w:r>
                </w:p>
              </w:tc>
              <w:tc>
                <w:tcPr>
                  <w:tcW w:w="1492" w:type="pct"/>
                </w:tcPr>
                <w:p w14:paraId="3B375755">
                  <w:pPr>
                    <w:pStyle w:val="103"/>
                    <w:spacing w:line="320" w:lineRule="exact"/>
                    <w:rPr>
                      <w:sz w:val="21"/>
                      <w:szCs w:val="21"/>
                    </w:rPr>
                  </w:pPr>
                  <w:r>
                    <w:rPr>
                      <w:rFonts w:hint="eastAsia"/>
                      <w:sz w:val="21"/>
                      <w:szCs w:val="21"/>
                    </w:rPr>
                    <w:t>排水泵</w:t>
                  </w:r>
                </w:p>
              </w:tc>
              <w:tc>
                <w:tcPr>
                  <w:tcW w:w="1255" w:type="pct"/>
                </w:tcPr>
                <w:p w14:paraId="551E377D">
                  <w:pPr>
                    <w:pStyle w:val="103"/>
                    <w:spacing w:line="320" w:lineRule="exact"/>
                    <w:rPr>
                      <w:sz w:val="21"/>
                      <w:szCs w:val="21"/>
                    </w:rPr>
                  </w:pPr>
                </w:p>
              </w:tc>
              <w:tc>
                <w:tcPr>
                  <w:tcW w:w="563" w:type="pct"/>
                </w:tcPr>
                <w:p w14:paraId="03438790">
                  <w:pPr>
                    <w:pStyle w:val="103"/>
                    <w:spacing w:line="320" w:lineRule="exact"/>
                    <w:rPr>
                      <w:sz w:val="21"/>
                      <w:szCs w:val="21"/>
                    </w:rPr>
                  </w:pPr>
                  <w:r>
                    <w:rPr>
                      <w:rFonts w:hint="eastAsia"/>
                      <w:sz w:val="21"/>
                      <w:szCs w:val="21"/>
                    </w:rPr>
                    <w:t>台</w:t>
                  </w:r>
                </w:p>
              </w:tc>
              <w:tc>
                <w:tcPr>
                  <w:tcW w:w="563" w:type="pct"/>
                </w:tcPr>
                <w:p w14:paraId="50B447EC">
                  <w:pPr>
                    <w:pStyle w:val="103"/>
                    <w:spacing w:line="320" w:lineRule="exact"/>
                    <w:rPr>
                      <w:sz w:val="21"/>
                      <w:szCs w:val="21"/>
                    </w:rPr>
                  </w:pPr>
                  <w:r>
                    <w:rPr>
                      <w:rFonts w:hint="eastAsia"/>
                      <w:sz w:val="21"/>
                      <w:szCs w:val="21"/>
                    </w:rPr>
                    <w:t>4</w:t>
                  </w:r>
                </w:p>
              </w:tc>
              <w:tc>
                <w:tcPr>
                  <w:tcW w:w="563" w:type="pct"/>
                </w:tcPr>
                <w:p w14:paraId="2F3813D0">
                  <w:pPr>
                    <w:pStyle w:val="103"/>
                    <w:spacing w:line="320" w:lineRule="exact"/>
                    <w:rPr>
                      <w:sz w:val="21"/>
                      <w:szCs w:val="21"/>
                    </w:rPr>
                  </w:pPr>
                </w:p>
              </w:tc>
            </w:tr>
            <w:tr w14:paraId="7F40B8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tcPr>
                <w:p w14:paraId="2417B471">
                  <w:pPr>
                    <w:pStyle w:val="103"/>
                    <w:spacing w:line="320" w:lineRule="exact"/>
                    <w:rPr>
                      <w:sz w:val="21"/>
                      <w:szCs w:val="21"/>
                    </w:rPr>
                  </w:pPr>
                  <w:r>
                    <w:rPr>
                      <w:rFonts w:hint="eastAsia"/>
                      <w:sz w:val="21"/>
                      <w:szCs w:val="21"/>
                    </w:rPr>
                    <w:t>3</w:t>
                  </w:r>
                </w:p>
              </w:tc>
              <w:tc>
                <w:tcPr>
                  <w:tcW w:w="1492" w:type="pct"/>
                </w:tcPr>
                <w:p w14:paraId="3C722B8B">
                  <w:pPr>
                    <w:pStyle w:val="103"/>
                    <w:spacing w:line="320" w:lineRule="exact"/>
                    <w:rPr>
                      <w:sz w:val="21"/>
                      <w:szCs w:val="21"/>
                    </w:rPr>
                  </w:pPr>
                  <w:r>
                    <w:rPr>
                      <w:rFonts w:hint="eastAsia"/>
                      <w:sz w:val="21"/>
                      <w:szCs w:val="21"/>
                    </w:rPr>
                    <w:t>变压器</w:t>
                  </w:r>
                </w:p>
              </w:tc>
              <w:tc>
                <w:tcPr>
                  <w:tcW w:w="1255" w:type="pct"/>
                </w:tcPr>
                <w:p w14:paraId="02FD3AD5">
                  <w:pPr>
                    <w:pStyle w:val="103"/>
                    <w:spacing w:line="320" w:lineRule="exact"/>
                    <w:rPr>
                      <w:sz w:val="21"/>
                      <w:szCs w:val="21"/>
                    </w:rPr>
                  </w:pPr>
                  <w:r>
                    <w:rPr>
                      <w:rFonts w:hint="eastAsia"/>
                      <w:sz w:val="21"/>
                      <w:szCs w:val="21"/>
                    </w:rPr>
                    <w:t>200</w:t>
                  </w:r>
                  <w:r>
                    <w:rPr>
                      <w:sz w:val="21"/>
                      <w:szCs w:val="21"/>
                    </w:rPr>
                    <w:t>KVA</w:t>
                  </w:r>
                </w:p>
              </w:tc>
              <w:tc>
                <w:tcPr>
                  <w:tcW w:w="563" w:type="pct"/>
                </w:tcPr>
                <w:p w14:paraId="47C6ADDB">
                  <w:pPr>
                    <w:pStyle w:val="103"/>
                    <w:spacing w:line="320" w:lineRule="exact"/>
                    <w:rPr>
                      <w:sz w:val="21"/>
                      <w:szCs w:val="21"/>
                    </w:rPr>
                  </w:pPr>
                  <w:r>
                    <w:rPr>
                      <w:rFonts w:hint="eastAsia"/>
                      <w:sz w:val="21"/>
                      <w:szCs w:val="21"/>
                    </w:rPr>
                    <w:t>台</w:t>
                  </w:r>
                </w:p>
              </w:tc>
              <w:tc>
                <w:tcPr>
                  <w:tcW w:w="563" w:type="pct"/>
                </w:tcPr>
                <w:p w14:paraId="2C089868">
                  <w:pPr>
                    <w:pStyle w:val="103"/>
                    <w:spacing w:line="320" w:lineRule="exact"/>
                    <w:rPr>
                      <w:sz w:val="21"/>
                      <w:szCs w:val="21"/>
                    </w:rPr>
                  </w:pPr>
                  <w:r>
                    <w:rPr>
                      <w:rFonts w:hint="eastAsia"/>
                      <w:sz w:val="21"/>
                      <w:szCs w:val="21"/>
                    </w:rPr>
                    <w:t>1</w:t>
                  </w:r>
                </w:p>
              </w:tc>
              <w:tc>
                <w:tcPr>
                  <w:tcW w:w="563" w:type="pct"/>
                </w:tcPr>
                <w:p w14:paraId="60CBA333">
                  <w:pPr>
                    <w:pStyle w:val="103"/>
                    <w:spacing w:line="320" w:lineRule="exact"/>
                    <w:rPr>
                      <w:sz w:val="21"/>
                      <w:szCs w:val="21"/>
                    </w:rPr>
                  </w:pPr>
                </w:p>
              </w:tc>
            </w:tr>
          </w:tbl>
          <w:p w14:paraId="70E22429">
            <w:pPr>
              <w:adjustRightInd w:val="0"/>
              <w:snapToGrid w:val="0"/>
              <w:spacing w:line="440" w:lineRule="exact"/>
              <w:ind w:firstLine="480" w:firstLineChars="200"/>
              <w:rPr>
                <w:bCs/>
                <w:sz w:val="24"/>
              </w:rPr>
            </w:pPr>
            <w:r>
              <w:rPr>
                <w:rFonts w:hint="eastAsia"/>
                <w:bCs/>
                <w:sz w:val="24"/>
              </w:rPr>
              <w:t>根据《产业结构调整指导目录（2024年本）</w:t>
            </w:r>
            <w:r>
              <w:rPr>
                <w:rFonts w:hint="eastAsia"/>
                <w:bCs/>
                <w:sz w:val="24"/>
                <w:lang w:eastAsia="zh-CN"/>
              </w:rPr>
              <w:t>》《</w:t>
            </w:r>
            <w:r>
              <w:rPr>
                <w:rFonts w:hint="eastAsia"/>
                <w:bCs/>
                <w:sz w:val="24"/>
              </w:rPr>
              <w:t>淘汰落后生产能力、工艺和产品的目录》（第一、二、三批）可知，项目所用设备均不属于国家禁止或明令淘汰的设备。</w:t>
            </w:r>
          </w:p>
          <w:p w14:paraId="2E923DE5">
            <w:pPr>
              <w:pStyle w:val="4"/>
              <w:numPr>
                <w:ilvl w:val="0"/>
                <w:numId w:val="22"/>
              </w:numPr>
            </w:pPr>
            <w:r>
              <w:rPr>
                <w:rFonts w:hint="eastAsia"/>
              </w:rPr>
              <w:t>主要原辅材料及能源消耗量</w:t>
            </w:r>
          </w:p>
          <w:p w14:paraId="3B5D3D8D">
            <w:pPr>
              <w:spacing w:line="440" w:lineRule="exact"/>
              <w:ind w:firstLine="480" w:firstLineChars="200"/>
              <w:rPr>
                <w:sz w:val="24"/>
              </w:rPr>
            </w:pPr>
            <w:r>
              <w:rPr>
                <w:rFonts w:hint="eastAsia"/>
                <w:sz w:val="24"/>
              </w:rPr>
              <w:t>本工程在建设期内主要消耗的能源为柴油、汽油和电力；在运行期间，主要消耗的能源为电力及少量汽油和柴油。</w:t>
            </w:r>
          </w:p>
          <w:p w14:paraId="030F2F61">
            <w:pPr>
              <w:spacing w:line="440" w:lineRule="exact"/>
              <w:ind w:firstLine="480" w:firstLineChars="200"/>
              <w:rPr>
                <w:sz w:val="24"/>
              </w:rPr>
            </w:pPr>
            <w:r>
              <w:rPr>
                <w:rFonts w:hint="eastAsia"/>
                <w:sz w:val="24"/>
              </w:rPr>
              <w:t>经《初步设计》计算，本工程在施工期间消耗能源柴油9t，汽油4t，电力4.13万kW.h；工程在运行管理期间，工程运行年消耗柴油0.10t，汽油0.10t，电力0.05万kW.h，按工程设计寿命20年计算，共消耗柴油2.0t，汽油2.0t，电力1.0万kW.h。</w:t>
            </w:r>
          </w:p>
          <w:p w14:paraId="789957F4">
            <w:pPr>
              <w:pStyle w:val="43"/>
              <w:spacing w:before="156"/>
            </w:pPr>
            <w:r>
              <w:rPr>
                <w:rFonts w:hint="eastAsia"/>
              </w:rPr>
              <w:t>主要原辅材料消耗一览表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4"/>
              <w:gridCol w:w="1727"/>
              <w:gridCol w:w="2532"/>
              <w:gridCol w:w="2984"/>
            </w:tblGrid>
            <w:tr w14:paraId="52F86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609" w:type="pct"/>
                  <w:vAlign w:val="center"/>
                </w:tcPr>
                <w:p w14:paraId="2DD022EE">
                  <w:pPr>
                    <w:jc w:val="center"/>
                    <w:rPr>
                      <w:b/>
                      <w:bCs/>
                      <w:szCs w:val="21"/>
                    </w:rPr>
                  </w:pPr>
                  <w:r>
                    <w:rPr>
                      <w:rFonts w:hint="eastAsia"/>
                      <w:b/>
                      <w:bCs/>
                      <w:szCs w:val="21"/>
                    </w:rPr>
                    <w:t>序号</w:t>
                  </w:r>
                </w:p>
              </w:tc>
              <w:tc>
                <w:tcPr>
                  <w:tcW w:w="1047" w:type="pct"/>
                  <w:vAlign w:val="center"/>
                </w:tcPr>
                <w:p w14:paraId="24D8D59C">
                  <w:pPr>
                    <w:jc w:val="center"/>
                    <w:rPr>
                      <w:b/>
                      <w:bCs/>
                      <w:szCs w:val="21"/>
                    </w:rPr>
                  </w:pPr>
                  <w:r>
                    <w:rPr>
                      <w:rFonts w:hint="eastAsia"/>
                      <w:b/>
                      <w:bCs/>
                      <w:szCs w:val="21"/>
                    </w:rPr>
                    <w:t>材料名称</w:t>
                  </w:r>
                </w:p>
              </w:tc>
              <w:tc>
                <w:tcPr>
                  <w:tcW w:w="1534" w:type="pct"/>
                  <w:vAlign w:val="center"/>
                </w:tcPr>
                <w:p w14:paraId="2D8790A6">
                  <w:pPr>
                    <w:jc w:val="center"/>
                    <w:rPr>
                      <w:b/>
                      <w:bCs/>
                      <w:szCs w:val="21"/>
                    </w:rPr>
                  </w:pPr>
                  <w:r>
                    <w:rPr>
                      <w:rFonts w:hint="eastAsia"/>
                      <w:b/>
                      <w:bCs/>
                      <w:szCs w:val="21"/>
                    </w:rPr>
                    <w:t>年消耗量</w:t>
                  </w:r>
                </w:p>
              </w:tc>
              <w:tc>
                <w:tcPr>
                  <w:tcW w:w="1808" w:type="pct"/>
                  <w:vAlign w:val="center"/>
                </w:tcPr>
                <w:p w14:paraId="44C4F504">
                  <w:pPr>
                    <w:jc w:val="center"/>
                    <w:rPr>
                      <w:b/>
                      <w:bCs/>
                      <w:szCs w:val="21"/>
                    </w:rPr>
                  </w:pPr>
                  <w:r>
                    <w:rPr>
                      <w:rFonts w:hint="eastAsia"/>
                      <w:b/>
                      <w:bCs/>
                      <w:szCs w:val="21"/>
                    </w:rPr>
                    <w:t>备注</w:t>
                  </w:r>
                </w:p>
              </w:tc>
            </w:tr>
            <w:tr w14:paraId="27AC6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9" w:type="pct"/>
                  <w:vMerge w:val="restart"/>
                  <w:vAlign w:val="center"/>
                </w:tcPr>
                <w:p w14:paraId="1E112FC3">
                  <w:pPr>
                    <w:jc w:val="center"/>
                    <w:rPr>
                      <w:szCs w:val="21"/>
                      <w:highlight w:val="yellow"/>
                    </w:rPr>
                  </w:pPr>
                  <w:r>
                    <w:rPr>
                      <w:rFonts w:hint="eastAsia"/>
                      <w:szCs w:val="21"/>
                    </w:rPr>
                    <w:t>能源</w:t>
                  </w:r>
                </w:p>
              </w:tc>
              <w:tc>
                <w:tcPr>
                  <w:tcW w:w="1047" w:type="pct"/>
                  <w:vAlign w:val="center"/>
                </w:tcPr>
                <w:p w14:paraId="1461FD25">
                  <w:pPr>
                    <w:jc w:val="center"/>
                    <w:rPr>
                      <w:szCs w:val="21"/>
                    </w:rPr>
                  </w:pPr>
                  <w:r>
                    <w:rPr>
                      <w:rFonts w:hint="eastAsia"/>
                      <w:szCs w:val="21"/>
                    </w:rPr>
                    <w:t>水</w:t>
                  </w:r>
                </w:p>
              </w:tc>
              <w:tc>
                <w:tcPr>
                  <w:tcW w:w="1534" w:type="pct"/>
                  <w:vAlign w:val="center"/>
                </w:tcPr>
                <w:p w14:paraId="0E393BDA">
                  <w:pPr>
                    <w:jc w:val="center"/>
                  </w:pPr>
                  <w:r>
                    <w:rPr>
                      <w:rFonts w:hint="eastAsia"/>
                    </w:rPr>
                    <w:t>1.2万m</w:t>
                  </w:r>
                  <w:r>
                    <w:rPr>
                      <w:rFonts w:hint="eastAsia"/>
                      <w:vertAlign w:val="superscript"/>
                    </w:rPr>
                    <w:t>3</w:t>
                  </w:r>
                </w:p>
              </w:tc>
              <w:tc>
                <w:tcPr>
                  <w:tcW w:w="1808" w:type="pct"/>
                  <w:vAlign w:val="center"/>
                </w:tcPr>
                <w:p w14:paraId="44B9D1A4">
                  <w:pPr>
                    <w:jc w:val="center"/>
                    <w:rPr>
                      <w:szCs w:val="21"/>
                    </w:rPr>
                  </w:pPr>
                  <w:r>
                    <w:rPr>
                      <w:rFonts w:hint="eastAsia"/>
                      <w:szCs w:val="21"/>
                    </w:rPr>
                    <w:t>来源于沉淀池回用水、河水、当地自来水管网</w:t>
                  </w:r>
                </w:p>
              </w:tc>
            </w:tr>
            <w:tr w14:paraId="3EBBA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9" w:type="pct"/>
                  <w:vMerge w:val="continue"/>
                  <w:vAlign w:val="center"/>
                </w:tcPr>
                <w:p w14:paraId="1C76F121">
                  <w:pPr>
                    <w:jc w:val="center"/>
                    <w:rPr>
                      <w:szCs w:val="21"/>
                      <w:highlight w:val="yellow"/>
                    </w:rPr>
                  </w:pPr>
                </w:p>
              </w:tc>
              <w:tc>
                <w:tcPr>
                  <w:tcW w:w="1047" w:type="pct"/>
                  <w:vAlign w:val="center"/>
                </w:tcPr>
                <w:p w14:paraId="1A0D3AB5">
                  <w:pPr>
                    <w:jc w:val="center"/>
                    <w:rPr>
                      <w:szCs w:val="21"/>
                    </w:rPr>
                  </w:pPr>
                  <w:r>
                    <w:rPr>
                      <w:rFonts w:hint="eastAsia"/>
                      <w:szCs w:val="21"/>
                    </w:rPr>
                    <w:t>电</w:t>
                  </w:r>
                </w:p>
              </w:tc>
              <w:tc>
                <w:tcPr>
                  <w:tcW w:w="1534" w:type="pct"/>
                  <w:vAlign w:val="center"/>
                </w:tcPr>
                <w:p w14:paraId="089202AE">
                  <w:pPr>
                    <w:jc w:val="center"/>
                    <w:rPr>
                      <w:szCs w:val="21"/>
                    </w:rPr>
                  </w:pPr>
                  <w:r>
                    <w:rPr>
                      <w:rFonts w:hint="eastAsia"/>
                      <w:szCs w:val="21"/>
                    </w:rPr>
                    <w:t>5.13万kW.h</w:t>
                  </w:r>
                </w:p>
              </w:tc>
              <w:tc>
                <w:tcPr>
                  <w:tcW w:w="1808" w:type="pct"/>
                  <w:vAlign w:val="center"/>
                </w:tcPr>
                <w:p w14:paraId="647D8747">
                  <w:pPr>
                    <w:jc w:val="center"/>
                    <w:rPr>
                      <w:szCs w:val="21"/>
                    </w:rPr>
                  </w:pPr>
                  <w:r>
                    <w:rPr>
                      <w:rFonts w:hint="eastAsia"/>
                      <w:szCs w:val="21"/>
                    </w:rPr>
                    <w:t>依托当地电网</w:t>
                  </w:r>
                </w:p>
              </w:tc>
            </w:tr>
            <w:tr w14:paraId="5F35A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9" w:type="pct"/>
                  <w:vMerge w:val="continue"/>
                  <w:vAlign w:val="center"/>
                </w:tcPr>
                <w:p w14:paraId="3FE4ED71">
                  <w:pPr>
                    <w:jc w:val="center"/>
                    <w:rPr>
                      <w:szCs w:val="21"/>
                      <w:highlight w:val="yellow"/>
                    </w:rPr>
                  </w:pPr>
                </w:p>
              </w:tc>
              <w:tc>
                <w:tcPr>
                  <w:tcW w:w="1047" w:type="pct"/>
                  <w:vAlign w:val="center"/>
                </w:tcPr>
                <w:p w14:paraId="4C75D0E1">
                  <w:pPr>
                    <w:jc w:val="center"/>
                    <w:rPr>
                      <w:szCs w:val="21"/>
                    </w:rPr>
                  </w:pPr>
                  <w:r>
                    <w:rPr>
                      <w:rFonts w:hint="eastAsia"/>
                      <w:szCs w:val="21"/>
                    </w:rPr>
                    <w:t>柴油</w:t>
                  </w:r>
                </w:p>
              </w:tc>
              <w:tc>
                <w:tcPr>
                  <w:tcW w:w="1534" w:type="pct"/>
                  <w:vAlign w:val="center"/>
                </w:tcPr>
                <w:p w14:paraId="5EDB36DB">
                  <w:pPr>
                    <w:jc w:val="center"/>
                    <w:rPr>
                      <w:szCs w:val="21"/>
                    </w:rPr>
                  </w:pPr>
                  <w:r>
                    <w:rPr>
                      <w:rFonts w:hint="eastAsia"/>
                      <w:szCs w:val="21"/>
                    </w:rPr>
                    <w:t>11t</w:t>
                  </w:r>
                </w:p>
              </w:tc>
              <w:tc>
                <w:tcPr>
                  <w:tcW w:w="1808" w:type="pct"/>
                  <w:vAlign w:val="center"/>
                </w:tcPr>
                <w:p w14:paraId="1AD457B6">
                  <w:pPr>
                    <w:jc w:val="center"/>
                    <w:rPr>
                      <w:szCs w:val="21"/>
                    </w:rPr>
                  </w:pPr>
                  <w:r>
                    <w:rPr>
                      <w:rFonts w:hint="eastAsia"/>
                      <w:szCs w:val="21"/>
                    </w:rPr>
                    <w:t>外购</w:t>
                  </w:r>
                </w:p>
              </w:tc>
            </w:tr>
            <w:tr w14:paraId="04B03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9" w:type="pct"/>
                  <w:vMerge w:val="continue"/>
                  <w:vAlign w:val="center"/>
                </w:tcPr>
                <w:p w14:paraId="28557D14">
                  <w:pPr>
                    <w:jc w:val="center"/>
                    <w:rPr>
                      <w:szCs w:val="21"/>
                      <w:highlight w:val="yellow"/>
                    </w:rPr>
                  </w:pPr>
                </w:p>
              </w:tc>
              <w:tc>
                <w:tcPr>
                  <w:tcW w:w="1047" w:type="pct"/>
                  <w:vAlign w:val="center"/>
                </w:tcPr>
                <w:p w14:paraId="72AC3151">
                  <w:pPr>
                    <w:jc w:val="center"/>
                    <w:rPr>
                      <w:szCs w:val="21"/>
                    </w:rPr>
                  </w:pPr>
                  <w:r>
                    <w:rPr>
                      <w:rFonts w:hint="eastAsia"/>
                      <w:szCs w:val="21"/>
                    </w:rPr>
                    <w:t>汽油</w:t>
                  </w:r>
                </w:p>
              </w:tc>
              <w:tc>
                <w:tcPr>
                  <w:tcW w:w="1534" w:type="pct"/>
                  <w:vAlign w:val="center"/>
                </w:tcPr>
                <w:p w14:paraId="52ECF473">
                  <w:pPr>
                    <w:jc w:val="center"/>
                    <w:rPr>
                      <w:szCs w:val="21"/>
                    </w:rPr>
                  </w:pPr>
                  <w:r>
                    <w:rPr>
                      <w:rFonts w:hint="eastAsia"/>
                      <w:szCs w:val="21"/>
                    </w:rPr>
                    <w:t>6t</w:t>
                  </w:r>
                </w:p>
              </w:tc>
              <w:tc>
                <w:tcPr>
                  <w:tcW w:w="1808" w:type="pct"/>
                  <w:vAlign w:val="center"/>
                </w:tcPr>
                <w:p w14:paraId="676ABBB6">
                  <w:pPr>
                    <w:jc w:val="center"/>
                    <w:rPr>
                      <w:szCs w:val="21"/>
                    </w:rPr>
                  </w:pPr>
                  <w:r>
                    <w:rPr>
                      <w:rFonts w:hint="eastAsia"/>
                      <w:szCs w:val="21"/>
                    </w:rPr>
                    <w:t>外购</w:t>
                  </w:r>
                </w:p>
              </w:tc>
            </w:tr>
          </w:tbl>
          <w:p w14:paraId="763F84DD">
            <w:pPr>
              <w:pStyle w:val="21"/>
              <w:keepNext/>
              <w:keepLines/>
              <w:widowControl w:val="0"/>
              <w:numPr>
                <w:ilvl w:val="1"/>
                <w:numId w:val="0"/>
              </w:numPr>
              <w:tabs>
                <w:tab w:val="left" w:pos="0"/>
              </w:tabs>
              <w:spacing w:beforeAutospacing="0" w:afterAutospacing="0" w:line="440" w:lineRule="exact"/>
              <w:ind w:firstLine="482" w:firstLineChars="200"/>
              <w:jc w:val="both"/>
              <w:outlineLvl w:val="1"/>
              <w:rPr>
                <w:rFonts w:ascii="Times New Roman" w:hAnsi="Times New Roman"/>
                <w:b/>
                <w:szCs w:val="20"/>
              </w:rPr>
            </w:pPr>
            <w:r>
              <w:rPr>
                <w:rFonts w:hint="eastAsia" w:ascii="Times New Roman" w:hAnsi="Times New Roman"/>
                <w:b/>
                <w:szCs w:val="20"/>
              </w:rPr>
              <w:t>主要原辅料理化性质：</w:t>
            </w:r>
          </w:p>
          <w:p w14:paraId="7DD9115C">
            <w:pPr>
              <w:pStyle w:val="21"/>
              <w:keepNext/>
              <w:keepLines/>
              <w:widowControl w:val="0"/>
              <w:numPr>
                <w:ilvl w:val="1"/>
                <w:numId w:val="0"/>
              </w:numPr>
              <w:tabs>
                <w:tab w:val="left" w:pos="0"/>
              </w:tabs>
              <w:spacing w:beforeAutospacing="0" w:afterAutospacing="0" w:line="440" w:lineRule="exact"/>
              <w:ind w:firstLine="480" w:firstLineChars="200"/>
              <w:jc w:val="both"/>
              <w:outlineLvl w:val="1"/>
              <w:rPr>
                <w:rFonts w:ascii="Times New Roman" w:hAnsi="Times New Roman"/>
                <w:szCs w:val="20"/>
              </w:rPr>
            </w:pPr>
            <w:r>
              <w:rPr>
                <w:rFonts w:hint="eastAsia" w:ascii="Times New Roman" w:hAnsi="Times New Roman"/>
                <w:bCs/>
                <w:szCs w:val="20"/>
              </w:rPr>
              <w:t>柴油：</w:t>
            </w:r>
            <w:r>
              <w:rPr>
                <w:rFonts w:hint="eastAsia" w:ascii="Times New Roman" w:hAnsi="Times New Roman"/>
                <w:szCs w:val="20"/>
              </w:rPr>
              <w:t>稍有粘性的棕色液体，不溶于水，溶于醇等溶剂，易燃，具窒息性。其蒸气与空气可形成爆炸性混合物，遇明火、高热能引起燃烧爆炸。与氧化剂可发生反应。流速过快，容易产生和积聚静电。其蒸气比空气重，能在较低处扩散到相当远的地方，遇火源会着火回燃。若遇高热，容器内压增大，有开裂和爆炸的危险，产生有害燃烧产物：一氧化碳、二氧化碳。</w:t>
            </w:r>
          </w:p>
          <w:p w14:paraId="0B7BF907">
            <w:pPr>
              <w:pStyle w:val="21"/>
              <w:keepNext/>
              <w:keepLines/>
              <w:widowControl w:val="0"/>
              <w:numPr>
                <w:ilvl w:val="1"/>
                <w:numId w:val="0"/>
              </w:numPr>
              <w:tabs>
                <w:tab w:val="left" w:pos="0"/>
              </w:tabs>
              <w:spacing w:beforeAutospacing="0" w:afterAutospacing="0" w:line="440" w:lineRule="exact"/>
              <w:ind w:firstLine="480" w:firstLineChars="200"/>
              <w:jc w:val="both"/>
              <w:outlineLvl w:val="1"/>
              <w:rPr>
                <w:rFonts w:ascii="Times New Roman" w:hAnsi="Times New Roman"/>
                <w:szCs w:val="20"/>
              </w:rPr>
            </w:pPr>
            <w:r>
              <w:rPr>
                <w:rFonts w:hint="eastAsia" w:ascii="Times New Roman" w:hAnsi="Times New Roman"/>
                <w:bCs/>
                <w:szCs w:val="20"/>
              </w:rPr>
              <w:t>汽油：轻质石油馏分经过精制处理后得到的透明或半透明、易挥发、可燃的烃类混合物，可用作燃料。外观为透明液体，可燃，主要成分为C5～C12脂肪烃和环烷烃，以及少量芳香烃，具有较高的辛烷值和良好的抗爆性。</w:t>
            </w:r>
          </w:p>
          <w:p w14:paraId="2E0D25BC">
            <w:pPr>
              <w:pStyle w:val="4"/>
              <w:numPr>
                <w:ilvl w:val="0"/>
                <w:numId w:val="22"/>
              </w:numPr>
            </w:pPr>
            <w:r>
              <w:rPr>
                <w:rFonts w:hint="eastAsia"/>
              </w:rPr>
              <w:t>公用工程</w:t>
            </w:r>
          </w:p>
          <w:p w14:paraId="496D6CDF">
            <w:pPr>
              <w:spacing w:line="440" w:lineRule="exact"/>
              <w:ind w:firstLine="482" w:firstLineChars="200"/>
              <w:rPr>
                <w:b/>
                <w:bCs/>
                <w:sz w:val="24"/>
              </w:rPr>
            </w:pPr>
            <w:r>
              <w:rPr>
                <w:rFonts w:hint="eastAsia"/>
                <w:b/>
                <w:bCs/>
                <w:sz w:val="24"/>
              </w:rPr>
              <w:t>（1）供电</w:t>
            </w:r>
          </w:p>
          <w:p w14:paraId="05F67D1C">
            <w:pPr>
              <w:pStyle w:val="69"/>
              <w:spacing w:line="440" w:lineRule="exact"/>
              <w:rPr>
                <w:color w:val="auto"/>
                <w:szCs w:val="22"/>
              </w:rPr>
            </w:pPr>
            <w:r>
              <w:rPr>
                <w:rFonts w:hint="eastAsia"/>
                <w:color w:val="auto"/>
                <w:szCs w:val="22"/>
              </w:rPr>
              <w:t>工程所在地电力较丰富，在工程区附近已架设有10kV的供电网络，施工期用电有保证。</w:t>
            </w:r>
          </w:p>
          <w:p w14:paraId="5C2A4355">
            <w:pPr>
              <w:spacing w:line="440" w:lineRule="exact"/>
              <w:ind w:firstLine="482" w:firstLineChars="200"/>
              <w:rPr>
                <w:b/>
                <w:bCs/>
                <w:sz w:val="24"/>
              </w:rPr>
            </w:pPr>
            <w:r>
              <w:rPr>
                <w:rFonts w:hint="eastAsia"/>
                <w:b/>
                <w:bCs/>
                <w:sz w:val="24"/>
              </w:rPr>
              <w:t>（2）供水</w:t>
            </w:r>
          </w:p>
          <w:p w14:paraId="5C65FB81">
            <w:pPr>
              <w:pStyle w:val="69"/>
              <w:spacing w:line="440" w:lineRule="exact"/>
              <w:rPr>
                <w:color w:val="auto"/>
                <w:szCs w:val="22"/>
              </w:rPr>
            </w:pPr>
            <w:r>
              <w:rPr>
                <w:rFonts w:hint="eastAsia"/>
                <w:color w:val="auto"/>
                <w:szCs w:val="22"/>
              </w:rPr>
              <w:t>施工生产用水可直接抽取河水，生活用水可利用城镇自来水，水源有保证。</w:t>
            </w:r>
          </w:p>
          <w:p w14:paraId="4F6E65B8">
            <w:pPr>
              <w:spacing w:line="440" w:lineRule="exact"/>
              <w:ind w:firstLine="482" w:firstLineChars="200"/>
              <w:rPr>
                <w:b/>
                <w:bCs/>
                <w:sz w:val="24"/>
              </w:rPr>
            </w:pPr>
            <w:r>
              <w:rPr>
                <w:rFonts w:hint="eastAsia"/>
                <w:b/>
                <w:bCs/>
                <w:sz w:val="24"/>
              </w:rPr>
              <w:t>（3）机修</w:t>
            </w:r>
          </w:p>
          <w:p w14:paraId="59412639">
            <w:pPr>
              <w:pStyle w:val="69"/>
              <w:spacing w:line="440" w:lineRule="exact"/>
              <w:rPr>
                <w:color w:val="auto"/>
              </w:rPr>
            </w:pPr>
            <w:r>
              <w:rPr>
                <w:rFonts w:hint="eastAsia"/>
                <w:color w:val="auto"/>
              </w:rPr>
              <w:t>本工程位于大英县金元镇，生活物资供应有保障，城区具有一定的机械及汽车修配能力，能够承担本工程施工期汽修、机修任务。因此本项目机修产生废油由维修单位处理，本项目不暂存危险废物。</w:t>
            </w:r>
          </w:p>
          <w:p w14:paraId="33644581">
            <w:pPr>
              <w:pStyle w:val="4"/>
              <w:numPr>
                <w:ilvl w:val="0"/>
                <w:numId w:val="22"/>
              </w:numPr>
            </w:pPr>
            <w:r>
              <w:rPr>
                <w:rFonts w:hint="eastAsia"/>
              </w:rPr>
              <w:t>主要工程设计方案</w:t>
            </w:r>
          </w:p>
          <w:p w14:paraId="28CB35D0">
            <w:pPr>
              <w:pStyle w:val="4"/>
              <w:numPr>
                <w:ilvl w:val="1"/>
                <w:numId w:val="22"/>
              </w:numPr>
            </w:pPr>
            <w:r>
              <w:rPr>
                <w:rFonts w:hint="eastAsia"/>
              </w:rPr>
              <w:t>工程等级与标准</w:t>
            </w:r>
          </w:p>
          <w:p w14:paraId="16DC3F23">
            <w:pPr>
              <w:pStyle w:val="69"/>
              <w:spacing w:line="440" w:lineRule="exact"/>
              <w:rPr>
                <w:color w:val="auto"/>
              </w:rPr>
            </w:pPr>
            <w:r>
              <w:rPr>
                <w:rFonts w:hint="eastAsia"/>
                <w:color w:val="auto"/>
              </w:rPr>
              <w:t>1、防洪标准</w:t>
            </w:r>
          </w:p>
          <w:p w14:paraId="1A6EDBA3">
            <w:pPr>
              <w:pStyle w:val="69"/>
              <w:spacing w:line="440" w:lineRule="exact"/>
              <w:rPr>
                <w:color w:val="auto"/>
              </w:rPr>
            </w:pPr>
            <w:r>
              <w:rPr>
                <w:rFonts w:hint="eastAsia"/>
                <w:color w:val="auto"/>
              </w:rPr>
              <w:t>根据《防洪标准》（GB50201-2014）、《水利水电工程等级划分及洪水标准》（SL252-2017）相关规定，结合当地的社会经济、耕地情况、常住人口及当量经济规模，确定本工程河段防洪标准为10年一遇。整治加固段为基础防冲加固，不设防洪标准；改建水闸洪水设计标准为10年一遇，校核标准为30年一遇，消能防冲设计标准为10年一遇。</w:t>
            </w:r>
          </w:p>
          <w:p w14:paraId="29ECBF5A">
            <w:pPr>
              <w:pStyle w:val="69"/>
              <w:spacing w:line="440" w:lineRule="exact"/>
              <w:rPr>
                <w:color w:val="auto"/>
              </w:rPr>
            </w:pPr>
            <w:r>
              <w:rPr>
                <w:rFonts w:hint="eastAsia"/>
                <w:color w:val="auto"/>
              </w:rPr>
              <w:t>根据《灌溉与排水工程设计标准》GB50288-2018及《治涝标准》（SL723-2016）的规定，工程区常住人口小于20万人，设计暴雨重现期为5～10年，结合保护区现状本次排涝设计暴雨重现期取值为5年一遇（P=20%）。</w:t>
            </w:r>
          </w:p>
          <w:p w14:paraId="7A75AFF1">
            <w:pPr>
              <w:pStyle w:val="69"/>
              <w:spacing w:line="440" w:lineRule="exact"/>
              <w:rPr>
                <w:color w:val="auto"/>
              </w:rPr>
            </w:pPr>
            <w:r>
              <w:rPr>
                <w:rFonts w:hint="eastAsia"/>
                <w:color w:val="auto"/>
              </w:rPr>
              <w:t>2、工程及主要建筑物级别</w:t>
            </w:r>
          </w:p>
          <w:p w14:paraId="0FEB9F00">
            <w:pPr>
              <w:pStyle w:val="69"/>
              <w:spacing w:line="440" w:lineRule="exact"/>
              <w:rPr>
                <w:color w:val="auto"/>
              </w:rPr>
            </w:pPr>
            <w:r>
              <w:rPr>
                <w:rFonts w:hint="eastAsia"/>
                <w:color w:val="auto"/>
              </w:rPr>
              <w:t>根据《水利水电工程等级划分及洪水标准》（SL252-2017），本工程建筑物级别为5级，主要建筑物级别为5级，次要建筑物及临时建筑物为5级。</w:t>
            </w:r>
          </w:p>
          <w:p w14:paraId="5D3F6C95">
            <w:pPr>
              <w:pStyle w:val="4"/>
              <w:numPr>
                <w:ilvl w:val="1"/>
                <w:numId w:val="22"/>
              </w:numPr>
            </w:pPr>
            <w:r>
              <w:rPr>
                <w:rFonts w:hint="eastAsia"/>
              </w:rPr>
              <w:t>工程总体布局</w:t>
            </w:r>
          </w:p>
          <w:p w14:paraId="65358910">
            <w:pPr>
              <w:pStyle w:val="69"/>
              <w:spacing w:line="440" w:lineRule="exact"/>
              <w:rPr>
                <w:color w:val="auto"/>
              </w:rPr>
            </w:pPr>
            <w:r>
              <w:rPr>
                <w:rFonts w:hint="eastAsia"/>
                <w:color w:val="auto"/>
              </w:rPr>
              <w:t>大英县金水河金元场镇山洪沟治理工程建设内容为：综合治理河道长度730.06m（其中金水河665.06m，胜利溪65.0m），起点为便民桥，终点为金元堰；整治加固护岸3段共计1087.46m（其中左一521.00m、右一66.46m、右二500.00m）；堰改闸1座，拆除阻水危桥1座，拆除低堰2座，整治排水涵管（洞）9处，新建下河梯步10处。</w:t>
            </w:r>
          </w:p>
          <w:p w14:paraId="51D80B18">
            <w:pPr>
              <w:pStyle w:val="4"/>
              <w:numPr>
                <w:ilvl w:val="1"/>
                <w:numId w:val="22"/>
              </w:numPr>
            </w:pPr>
            <w:r>
              <w:rPr>
                <w:rFonts w:hint="eastAsia"/>
              </w:rPr>
              <w:t>主要建筑结构设计</w:t>
            </w:r>
          </w:p>
          <w:p w14:paraId="682E8137">
            <w:pPr>
              <w:pStyle w:val="69"/>
              <w:spacing w:line="440" w:lineRule="exact"/>
              <w:rPr>
                <w:color w:val="auto"/>
              </w:rPr>
            </w:pPr>
            <w:r>
              <w:rPr>
                <w:rFonts w:hint="eastAsia"/>
                <w:color w:val="auto"/>
              </w:rPr>
              <w:t>1、堤身结构</w:t>
            </w:r>
          </w:p>
          <w:p w14:paraId="5B201197">
            <w:pPr>
              <w:pStyle w:val="69"/>
              <w:spacing w:line="440" w:lineRule="exact"/>
              <w:rPr>
                <w:color w:val="auto"/>
              </w:rPr>
            </w:pPr>
            <w:r>
              <w:rPr>
                <w:rFonts w:hint="eastAsia"/>
                <w:color w:val="auto"/>
              </w:rPr>
              <w:t>拆除现状已建破损且不达标面板，重新浇筑面板进行加固，并在水闸正常蓄水311.05m+1.0m处设置护脚平台，平台宽1.5m，平台以下为砼面板护坡，面板坡比为1:1.75，砼面板与护脚平台结构一致，采用0.2m厚C25砼浇筑，下部设厚5cmM7.5水泥砂浆垫层，面板底部设置C25砼趾墙，趾墙底宽0.8m，高0.6m。面板设置排水孔，间排距1.5m，呈梅花形布置，采用预埋PVC排水管，管径50mm；面板、护脚平台、趾墙间隔5m设一沉降缝，缝宽2cm，用聚乙烯泡沫板填塞；趾墙基础采用抛石挤淤+砂砾石垫层进行处理，抛石厚度0.5m，宽1.3m，抛石采用大卵石，大卵石粒径20～30cm，抗压强度≥30Mpa，相对密度≥0.65，抛石挤淤后表层铺设10cm砂砾石垫层，基础经处理后承载力需大于100Kpa。</w:t>
            </w:r>
          </w:p>
          <w:p w14:paraId="784FBC4C">
            <w:pPr>
              <w:pStyle w:val="69"/>
              <w:spacing w:line="240" w:lineRule="auto"/>
              <w:ind w:firstLine="0" w:firstLineChars="0"/>
              <w:rPr>
                <w:color w:val="auto"/>
              </w:rPr>
            </w:pPr>
            <w:r>
              <w:rPr>
                <w:color w:val="auto"/>
              </w:rPr>
              <w:drawing>
                <wp:inline distT="0" distB="0" distL="114300" distR="114300">
                  <wp:extent cx="5242560" cy="1683385"/>
                  <wp:effectExtent l="0" t="0" r="0" b="0"/>
                  <wp:docPr id="17" name="图片 17" descr="施工导流围堰断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施工导流围堰断面图"/>
                          <pic:cNvPicPr>
                            <a:picLocks noChangeAspect="1"/>
                          </pic:cNvPicPr>
                        </pic:nvPicPr>
                        <pic:blipFill>
                          <a:blip r:embed="rId13"/>
                          <a:srcRect t="29417" b="30447"/>
                          <a:stretch>
                            <a:fillRect/>
                          </a:stretch>
                        </pic:blipFill>
                        <pic:spPr>
                          <a:xfrm>
                            <a:off x="0" y="0"/>
                            <a:ext cx="5242560" cy="1683385"/>
                          </a:xfrm>
                          <a:prstGeom prst="rect">
                            <a:avLst/>
                          </a:prstGeom>
                        </pic:spPr>
                      </pic:pic>
                    </a:graphicData>
                  </a:graphic>
                </wp:inline>
              </w:drawing>
            </w:r>
          </w:p>
          <w:p w14:paraId="25F7A5C6">
            <w:pPr>
              <w:pStyle w:val="44"/>
              <w:spacing w:after="156"/>
            </w:pPr>
            <w:r>
              <w:rPr>
                <w:rFonts w:hint="eastAsia"/>
              </w:rPr>
              <w:t>导流围堰断面图</w:t>
            </w:r>
          </w:p>
          <w:p w14:paraId="289F61A4">
            <w:pPr>
              <w:pStyle w:val="69"/>
              <w:spacing w:line="440" w:lineRule="exact"/>
              <w:rPr>
                <w:color w:val="auto"/>
              </w:rPr>
            </w:pPr>
            <w:r>
              <w:rPr>
                <w:rFonts w:hint="eastAsia"/>
                <w:color w:val="auto"/>
              </w:rPr>
              <w:t>2、堤身填筑</w:t>
            </w:r>
          </w:p>
          <w:p w14:paraId="057199B6">
            <w:pPr>
              <w:pStyle w:val="69"/>
              <w:spacing w:line="440" w:lineRule="exact"/>
              <w:rPr>
                <w:color w:val="auto"/>
              </w:rPr>
            </w:pPr>
            <w:r>
              <w:rPr>
                <w:rFonts w:hint="eastAsia"/>
                <w:color w:val="auto"/>
              </w:rPr>
              <w:t>由于该段堤身填筑料需求较小且均为坡面填筑，不易压实，故本次堤身局部回填采用外购砂砾石进行堤身填筑。按GB50286-2013《堤防工程设计规范》的规定并参照同类工程确定碾压砂砾石堤身的填筑标准为：压实相对密度≥0.60，碾压指标由施工现场碾压试验确定。</w:t>
            </w:r>
          </w:p>
          <w:p w14:paraId="72229961">
            <w:pPr>
              <w:pStyle w:val="69"/>
              <w:spacing w:line="240" w:lineRule="auto"/>
              <w:ind w:firstLine="0" w:firstLineChars="0"/>
              <w:rPr>
                <w:color w:val="auto"/>
              </w:rPr>
            </w:pPr>
            <w:r>
              <w:rPr>
                <w:color w:val="auto"/>
              </w:rPr>
              <w:drawing>
                <wp:inline distT="0" distB="0" distL="114300" distR="114300">
                  <wp:extent cx="5242560" cy="4194175"/>
                  <wp:effectExtent l="0" t="0" r="15240" b="15875"/>
                  <wp:docPr id="11" name="图片 11" descr="网格护坡展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网格护坡展开图"/>
                          <pic:cNvPicPr>
                            <a:picLocks noChangeAspect="1"/>
                          </pic:cNvPicPr>
                        </pic:nvPicPr>
                        <pic:blipFill>
                          <a:blip r:embed="rId14"/>
                          <a:stretch>
                            <a:fillRect/>
                          </a:stretch>
                        </pic:blipFill>
                        <pic:spPr>
                          <a:xfrm>
                            <a:off x="0" y="0"/>
                            <a:ext cx="5242560" cy="4194175"/>
                          </a:xfrm>
                          <a:prstGeom prst="rect">
                            <a:avLst/>
                          </a:prstGeom>
                        </pic:spPr>
                      </pic:pic>
                    </a:graphicData>
                  </a:graphic>
                </wp:inline>
              </w:drawing>
            </w:r>
          </w:p>
          <w:p w14:paraId="34631C45">
            <w:pPr>
              <w:pStyle w:val="44"/>
              <w:spacing w:after="156"/>
            </w:pPr>
            <w:r>
              <w:rPr>
                <w:rFonts w:hint="eastAsia"/>
              </w:rPr>
              <w:t>网格护坡展开图</w:t>
            </w:r>
          </w:p>
          <w:p w14:paraId="59404A9F">
            <w:pPr>
              <w:pStyle w:val="69"/>
              <w:spacing w:line="440" w:lineRule="exact"/>
              <w:rPr>
                <w:color w:val="auto"/>
              </w:rPr>
            </w:pPr>
            <w:r>
              <w:rPr>
                <w:rFonts w:hint="eastAsia"/>
                <w:color w:val="auto"/>
              </w:rPr>
              <w:t>3、河床护底</w:t>
            </w:r>
          </w:p>
          <w:p w14:paraId="127BA183">
            <w:pPr>
              <w:pStyle w:val="69"/>
              <w:spacing w:line="440" w:lineRule="exact"/>
              <w:rPr>
                <w:color w:val="auto"/>
              </w:rPr>
            </w:pPr>
            <w:r>
              <w:rPr>
                <w:rFonts w:hint="eastAsia"/>
                <w:color w:val="auto"/>
              </w:rPr>
              <w:t>由于工程河段断面狭窄，加之河道右岸房屋临河而建，无开挖条件，经综合考虑，为避免施工开挖影响房屋安全，本次拟采用厚0.5m格宾石笼对河床进行护底，以保证基础抗冲要求。格宾石笼采用大卵石装填，石笼尺寸2.0×1.0×0.5m（长×宽×高），石笼网孔型号8×10cm，其中网面钢丝直径≥2.7mm、边段钢丝直径≥3.4mm，绑扎钢丝直径≥2.2mm。</w:t>
            </w:r>
          </w:p>
          <w:p w14:paraId="2BEFD9B6">
            <w:pPr>
              <w:pStyle w:val="69"/>
              <w:spacing w:line="440" w:lineRule="exact"/>
              <w:rPr>
                <w:color w:val="auto"/>
              </w:rPr>
            </w:pPr>
            <w:r>
              <w:rPr>
                <w:rFonts w:hint="eastAsia"/>
                <w:color w:val="auto"/>
              </w:rPr>
              <w:t>桩号JY0+850.00～JY1+000.00（金元闸铺盖前缘）该段上部面板完好，但基础存在埋深不足现象，故本次采用格宾石笼对其进行护底处理。</w:t>
            </w:r>
          </w:p>
          <w:p w14:paraId="2B7FDAA8">
            <w:pPr>
              <w:pStyle w:val="69"/>
              <w:spacing w:line="240" w:lineRule="auto"/>
              <w:ind w:firstLine="0" w:firstLineChars="0"/>
              <w:rPr>
                <w:color w:val="auto"/>
              </w:rPr>
            </w:pPr>
            <w:r>
              <w:rPr>
                <w:color w:val="auto"/>
              </w:rPr>
              <w:drawing>
                <wp:inline distT="0" distB="0" distL="114300" distR="114300">
                  <wp:extent cx="5242560" cy="4194175"/>
                  <wp:effectExtent l="0" t="0" r="15240" b="15875"/>
                  <wp:docPr id="16" name="图片 16" descr="格宾石笼护底平面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格宾石笼护底平面示意图"/>
                          <pic:cNvPicPr>
                            <a:picLocks noChangeAspect="1"/>
                          </pic:cNvPicPr>
                        </pic:nvPicPr>
                        <pic:blipFill>
                          <a:blip r:embed="rId15"/>
                          <a:stretch>
                            <a:fillRect/>
                          </a:stretch>
                        </pic:blipFill>
                        <pic:spPr>
                          <a:xfrm>
                            <a:off x="0" y="0"/>
                            <a:ext cx="5242560" cy="4194175"/>
                          </a:xfrm>
                          <a:prstGeom prst="rect">
                            <a:avLst/>
                          </a:prstGeom>
                        </pic:spPr>
                      </pic:pic>
                    </a:graphicData>
                  </a:graphic>
                </wp:inline>
              </w:drawing>
            </w:r>
          </w:p>
          <w:p w14:paraId="62F43A11">
            <w:pPr>
              <w:pStyle w:val="44"/>
              <w:spacing w:after="156"/>
            </w:pPr>
            <w:r>
              <w:rPr>
                <w:rFonts w:hint="eastAsia"/>
              </w:rPr>
              <w:t>格宾石笼平面图</w:t>
            </w:r>
          </w:p>
          <w:p w14:paraId="4E64929D">
            <w:pPr>
              <w:pStyle w:val="69"/>
              <w:spacing w:line="440" w:lineRule="exact"/>
              <w:rPr>
                <w:color w:val="auto"/>
              </w:rPr>
            </w:pPr>
            <w:r>
              <w:rPr>
                <w:rFonts w:hint="eastAsia"/>
                <w:color w:val="auto"/>
              </w:rPr>
              <w:t>4、水闸结构</w:t>
            </w:r>
          </w:p>
          <w:p w14:paraId="03597538">
            <w:pPr>
              <w:pStyle w:val="69"/>
              <w:spacing w:line="440" w:lineRule="exact"/>
              <w:rPr>
                <w:color w:val="auto"/>
              </w:rPr>
            </w:pPr>
            <w:r>
              <w:rPr>
                <w:rFonts w:hint="eastAsia"/>
                <w:color w:val="auto"/>
              </w:rPr>
              <w:t>改建金元闸为单孔钢坝闸，总净宽16.00m，挡水高程为311.05m。闸室采用宽顶堰开敞式结构，底板顺水流方向长度为10.00m，宽16m，底板厚1.0m，闸室底板上游侧高程为309.55m，闸室底板下游侧高程为308.85m，闸室顶高程为314.0m；闸室上游设置C30钢筋混凝土铺盖，高程为308.85～309.55m，顺水流方向长14.50m，C30钢筋混凝土厚0.40～1.1m，铺盖下部设10cm厚C20砼垫层；闸室下游设置钢筋混凝土下挖式消力池，消力池段总长8.5m（斜段2.0m，水平段6.5m），池深0.7m，采用C30钢筋混凝土浇筑，上游与闸室衔接，斜坡段长度2.00m，斜坡段坡比1:4，顶高程由308.85m渐变至池底308.35m，水平段长6.50m，尾部设0.50m宽齿坎与下游河道衔接，消力池底部设置反滤层和排水孔，齿坎下游设置长18.50m大卵石防冲，大卵石厚度0.5m。</w:t>
            </w:r>
          </w:p>
          <w:p w14:paraId="19F29334">
            <w:pPr>
              <w:pStyle w:val="69"/>
              <w:spacing w:line="240" w:lineRule="auto"/>
              <w:ind w:firstLine="0" w:firstLineChars="0"/>
              <w:rPr>
                <w:color w:val="auto"/>
              </w:rPr>
            </w:pPr>
            <w:r>
              <w:rPr>
                <w:rFonts w:hint="eastAsia"/>
                <w:color w:val="auto"/>
              </w:rPr>
              <w:drawing>
                <wp:inline distT="0" distB="0" distL="114300" distR="114300">
                  <wp:extent cx="5242560" cy="1562735"/>
                  <wp:effectExtent l="0" t="0" r="0" b="0"/>
                  <wp:docPr id="15" name="图片 15" descr="金元闸设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金元闸设计图"/>
                          <pic:cNvPicPr>
                            <a:picLocks noChangeAspect="1"/>
                          </pic:cNvPicPr>
                        </pic:nvPicPr>
                        <pic:blipFill>
                          <a:blip r:embed="rId16"/>
                          <a:srcRect t="31628" b="31113"/>
                          <a:stretch>
                            <a:fillRect/>
                          </a:stretch>
                        </pic:blipFill>
                        <pic:spPr>
                          <a:xfrm>
                            <a:off x="0" y="0"/>
                            <a:ext cx="5242560" cy="1562735"/>
                          </a:xfrm>
                          <a:prstGeom prst="rect">
                            <a:avLst/>
                          </a:prstGeom>
                        </pic:spPr>
                      </pic:pic>
                    </a:graphicData>
                  </a:graphic>
                </wp:inline>
              </w:drawing>
            </w:r>
          </w:p>
          <w:p w14:paraId="0A05EBAA">
            <w:pPr>
              <w:pStyle w:val="44"/>
              <w:spacing w:after="156"/>
            </w:pPr>
            <w:r>
              <w:rPr>
                <w:rFonts w:hint="eastAsia"/>
              </w:rPr>
              <w:t>水闸结构设计图</w:t>
            </w:r>
          </w:p>
          <w:p w14:paraId="202E8DF6">
            <w:pPr>
              <w:pStyle w:val="69"/>
              <w:spacing w:line="440" w:lineRule="exact"/>
              <w:rPr>
                <w:color w:val="auto"/>
              </w:rPr>
            </w:pPr>
            <w:r>
              <w:rPr>
                <w:rFonts w:hint="eastAsia"/>
                <w:color w:val="auto"/>
              </w:rPr>
              <w:t>5、机电及金属结构</w:t>
            </w:r>
          </w:p>
          <w:p w14:paraId="3508C87F">
            <w:pPr>
              <w:pStyle w:val="69"/>
              <w:spacing w:line="440" w:lineRule="exact"/>
              <w:rPr>
                <w:color w:val="auto"/>
              </w:rPr>
            </w:pPr>
            <w:r>
              <w:rPr>
                <w:rFonts w:hint="eastAsia"/>
                <w:color w:val="auto"/>
              </w:rPr>
              <w:t>本工程1座拦河闸宽度为16.0m，挡水高度为1.5m。适合于本工程的闸门型式有钢坝（底轴驱动式翻板闸门）、气盾坝、橡胶坝。橡胶坝投资最省，但坝袋坚固性和抗磨性能差，容易受到有尖角物体的刺破和滚石等物体的损坏，且塌坝时间较长，运行费用较高。气盾坝投资较省，结合了钢闸门和橡胶坝的优点，但坝面后要设置坝袋，坝袋坚固性存在隐患，且塌坝时间较长，运行费用较高。钢坝投资较高，但运行维护费用较低；可手动塌坝，安全性较高。</w:t>
            </w:r>
          </w:p>
          <w:p w14:paraId="2D007778">
            <w:pPr>
              <w:pStyle w:val="69"/>
              <w:spacing w:line="440" w:lineRule="exact"/>
              <w:rPr>
                <w:color w:val="auto"/>
              </w:rPr>
            </w:pPr>
            <w:r>
              <w:rPr>
                <w:rFonts w:hint="eastAsia"/>
                <w:color w:val="auto"/>
              </w:rPr>
              <w:t>综合考虑，拦河闸工作门闸门型式采用钢坝，共1扇，孔口宽度16.0m，门叶高度1.5m。底轴驱动式翻板闸门由闸门门叶、底轴、铰座、防水套、止水、驱动装置、锁定装置、电控系统等部件组成。电、机、液一体化联动的驱动装置布置于闸门一侧的驱动室内。电气程序控制驱动装置液压系统，液压驱动装置启动后传送给机械结构部位拐臂旋转，拐臂联合底轴、闸门作扇形转动，带动固联在底转轴上的闸门开启放水或关闭蓄水，并配置锁定装置在闸开启或关闭设定角度液压上锁。</w:t>
            </w:r>
          </w:p>
          <w:p w14:paraId="05F40D71">
            <w:pPr>
              <w:pStyle w:val="69"/>
              <w:spacing w:line="440" w:lineRule="exact"/>
              <w:rPr>
                <w:color w:val="auto"/>
              </w:rPr>
            </w:pPr>
            <w:r>
              <w:rPr>
                <w:rFonts w:hint="eastAsia"/>
                <w:color w:val="auto"/>
              </w:rPr>
              <w:t>拦河闸底轴驱动式翻板闸门门叶为纵梁结构，上游止水，分段制造和运输。门顶设破水装置，消除负压，下游设置搁门器，门叶全开后搁置在搁门器上，减小震动对结构的影响。门叶底部设传动系统一套，传动系统包括底轴、拐臂、防水套、铰座和轴承。设有多角度机械锁定装置，可在设定角度长时间蓄水。</w:t>
            </w:r>
          </w:p>
          <w:p w14:paraId="7EB4492A">
            <w:pPr>
              <w:pStyle w:val="69"/>
              <w:spacing w:line="440" w:lineRule="exact"/>
              <w:rPr>
                <w:color w:val="auto"/>
              </w:rPr>
            </w:pPr>
            <w:r>
              <w:rPr>
                <w:rFonts w:hint="eastAsia"/>
                <w:color w:val="auto"/>
              </w:rPr>
              <w:t>拦河闸操作方式为动水启闭，可局部开启。启闭机采用集成式液压启闭机，容量为1×630kN，配套电机功率11kW。启闭机置于闸墩右侧启闭机室内，启闭机可在现地和远方控制。同时配置失电应急液控启闭装置保证极端情况下闸门启闭。</w:t>
            </w:r>
          </w:p>
          <w:p w14:paraId="6567DB66">
            <w:pPr>
              <w:pStyle w:val="4"/>
              <w:numPr>
                <w:ilvl w:val="0"/>
                <w:numId w:val="22"/>
              </w:numPr>
            </w:pPr>
            <w:r>
              <w:rPr>
                <w:rFonts w:hint="eastAsia"/>
              </w:rPr>
              <w:t>水平衡</w:t>
            </w:r>
          </w:p>
          <w:p w14:paraId="5C58BDBB">
            <w:pPr>
              <w:pStyle w:val="36"/>
              <w:ind w:firstLine="480"/>
              <w:rPr>
                <w:rFonts w:hint="default"/>
              </w:rPr>
            </w:pPr>
            <w:r>
              <w:t>本项目用水主要为施工期生产降尘用水和员工生活用水。</w:t>
            </w:r>
          </w:p>
          <w:p w14:paraId="53739B6E">
            <w:pPr>
              <w:pStyle w:val="36"/>
              <w:ind w:firstLine="480"/>
              <w:rPr>
                <w:rFonts w:hint="default"/>
              </w:rPr>
            </w:pPr>
            <w:r>
              <w:t>本项目用水情况如下图和表。</w:t>
            </w:r>
          </w:p>
          <w:p w14:paraId="151EA567">
            <w:pPr>
              <w:pStyle w:val="43"/>
              <w:spacing w:before="156"/>
              <w:rPr>
                <w:bCs/>
              </w:rPr>
            </w:pPr>
            <w:r>
              <w:rPr>
                <w:rFonts w:hint="eastAsia"/>
                <w:bCs/>
              </w:rPr>
              <w:t>本项目用水情况一览表  单位：m</w:t>
            </w:r>
            <w:r>
              <w:rPr>
                <w:rFonts w:hint="eastAsia"/>
                <w:bCs/>
                <w:vertAlign w:val="superscript"/>
              </w:rPr>
              <w:t>3</w:t>
            </w:r>
            <w:r>
              <w:rPr>
                <w:rFonts w:hint="eastAsia"/>
                <w:bCs/>
              </w:rPr>
              <w:t>/d</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5"/>
              <w:gridCol w:w="1148"/>
              <w:gridCol w:w="2062"/>
              <w:gridCol w:w="2062"/>
            </w:tblGrid>
            <w:tr w14:paraId="3BE01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3" w:type="dxa"/>
                  <w:gridSpan w:val="2"/>
                  <w:vAlign w:val="center"/>
                </w:tcPr>
                <w:p w14:paraId="53BC1D1C">
                  <w:pPr>
                    <w:pStyle w:val="55"/>
                    <w:rPr>
                      <w:rFonts w:hint="default" w:cs="Times New Roman"/>
                      <w:b/>
                      <w:bCs/>
                    </w:rPr>
                  </w:pPr>
                  <w:r>
                    <w:rPr>
                      <w:rFonts w:cs="Times New Roman"/>
                      <w:b/>
                      <w:bCs/>
                    </w:rPr>
                    <w:t>物料输入</w:t>
                  </w:r>
                </w:p>
              </w:tc>
              <w:tc>
                <w:tcPr>
                  <w:tcW w:w="4124" w:type="dxa"/>
                  <w:gridSpan w:val="2"/>
                  <w:vAlign w:val="center"/>
                </w:tcPr>
                <w:p w14:paraId="72B599F4">
                  <w:pPr>
                    <w:pStyle w:val="55"/>
                    <w:rPr>
                      <w:rFonts w:hint="default" w:cs="Times New Roman"/>
                      <w:b/>
                      <w:bCs/>
                    </w:rPr>
                  </w:pPr>
                  <w:r>
                    <w:rPr>
                      <w:rFonts w:cs="Times New Roman"/>
                      <w:b/>
                      <w:bCs/>
                    </w:rPr>
                    <w:t>物料输出</w:t>
                  </w:r>
                </w:p>
              </w:tc>
            </w:tr>
            <w:tr w14:paraId="72898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5" w:type="dxa"/>
                  <w:vAlign w:val="center"/>
                </w:tcPr>
                <w:p w14:paraId="1FCE1004">
                  <w:pPr>
                    <w:pStyle w:val="55"/>
                    <w:rPr>
                      <w:rFonts w:hint="default" w:cs="Times New Roman"/>
                      <w:b/>
                      <w:bCs/>
                    </w:rPr>
                  </w:pPr>
                  <w:r>
                    <w:rPr>
                      <w:rFonts w:cs="Times New Roman"/>
                      <w:b/>
                      <w:bCs/>
                    </w:rPr>
                    <w:t>物料名称</w:t>
                  </w:r>
                </w:p>
              </w:tc>
              <w:tc>
                <w:tcPr>
                  <w:tcW w:w="1148" w:type="dxa"/>
                  <w:vAlign w:val="center"/>
                </w:tcPr>
                <w:p w14:paraId="3F492A0B">
                  <w:pPr>
                    <w:pStyle w:val="55"/>
                    <w:rPr>
                      <w:rFonts w:hint="default" w:cs="Times New Roman"/>
                      <w:b/>
                      <w:bCs/>
                    </w:rPr>
                  </w:pPr>
                  <w:r>
                    <w:rPr>
                      <w:rFonts w:cs="Times New Roman"/>
                      <w:b/>
                      <w:bCs/>
                    </w:rPr>
                    <w:t>输入量</w:t>
                  </w:r>
                </w:p>
              </w:tc>
              <w:tc>
                <w:tcPr>
                  <w:tcW w:w="2062" w:type="dxa"/>
                  <w:vAlign w:val="center"/>
                </w:tcPr>
                <w:p w14:paraId="74DEB17F">
                  <w:pPr>
                    <w:pStyle w:val="55"/>
                    <w:rPr>
                      <w:rFonts w:hint="default" w:cs="Times New Roman"/>
                      <w:b/>
                      <w:bCs/>
                    </w:rPr>
                  </w:pPr>
                  <w:r>
                    <w:rPr>
                      <w:rFonts w:cs="Times New Roman"/>
                      <w:b/>
                      <w:bCs/>
                    </w:rPr>
                    <w:t>物料名称</w:t>
                  </w:r>
                </w:p>
              </w:tc>
              <w:tc>
                <w:tcPr>
                  <w:tcW w:w="2062" w:type="dxa"/>
                  <w:vAlign w:val="center"/>
                </w:tcPr>
                <w:p w14:paraId="1E4C5C9C">
                  <w:pPr>
                    <w:pStyle w:val="55"/>
                    <w:rPr>
                      <w:rFonts w:hint="default" w:cs="Times New Roman"/>
                      <w:b/>
                      <w:bCs/>
                    </w:rPr>
                  </w:pPr>
                  <w:r>
                    <w:rPr>
                      <w:rFonts w:cs="Times New Roman"/>
                      <w:b/>
                      <w:bCs/>
                    </w:rPr>
                    <w:t>输出量</w:t>
                  </w:r>
                </w:p>
              </w:tc>
            </w:tr>
            <w:tr w14:paraId="7A467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2975" w:type="dxa"/>
                  <w:vMerge w:val="restart"/>
                  <w:vAlign w:val="center"/>
                </w:tcPr>
                <w:p w14:paraId="225BE894">
                  <w:pPr>
                    <w:pStyle w:val="55"/>
                    <w:rPr>
                      <w:rFonts w:hint="default" w:cs="Times New Roman"/>
                    </w:rPr>
                  </w:pPr>
                  <w:r>
                    <w:rPr>
                      <w:rFonts w:cs="Times New Roman"/>
                    </w:rPr>
                    <w:t>生活用水</w:t>
                  </w:r>
                </w:p>
              </w:tc>
              <w:tc>
                <w:tcPr>
                  <w:tcW w:w="1148" w:type="dxa"/>
                  <w:vMerge w:val="restart"/>
                  <w:vAlign w:val="center"/>
                </w:tcPr>
                <w:p w14:paraId="3AF6421E">
                  <w:pPr>
                    <w:pStyle w:val="55"/>
                    <w:rPr>
                      <w:rFonts w:hint="default" w:cs="Times New Roman"/>
                    </w:rPr>
                  </w:pPr>
                  <w:r>
                    <w:rPr>
                      <w:rFonts w:cs="Times New Roman"/>
                    </w:rPr>
                    <w:t>16</w:t>
                  </w:r>
                </w:p>
              </w:tc>
              <w:tc>
                <w:tcPr>
                  <w:tcW w:w="2062" w:type="dxa"/>
                  <w:vAlign w:val="center"/>
                </w:tcPr>
                <w:p w14:paraId="14535643">
                  <w:pPr>
                    <w:pStyle w:val="55"/>
                    <w:rPr>
                      <w:rFonts w:hint="default" w:cs="Times New Roman"/>
                    </w:rPr>
                  </w:pPr>
                  <w:r>
                    <w:rPr>
                      <w:rFonts w:cs="Times New Roman"/>
                    </w:rPr>
                    <w:t>生活污水</w:t>
                  </w:r>
                </w:p>
              </w:tc>
              <w:tc>
                <w:tcPr>
                  <w:tcW w:w="2062" w:type="dxa"/>
                  <w:vAlign w:val="center"/>
                </w:tcPr>
                <w:p w14:paraId="5C210841">
                  <w:pPr>
                    <w:pStyle w:val="55"/>
                    <w:rPr>
                      <w:rFonts w:hint="default" w:cs="Times New Roman"/>
                    </w:rPr>
                  </w:pPr>
                  <w:r>
                    <w:rPr>
                      <w:rFonts w:cs="Times New Roman"/>
                    </w:rPr>
                    <w:t>13.6</w:t>
                  </w:r>
                </w:p>
              </w:tc>
            </w:tr>
            <w:tr w14:paraId="1841C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2975" w:type="dxa"/>
                  <w:vMerge w:val="continue"/>
                  <w:vAlign w:val="center"/>
                </w:tcPr>
                <w:p w14:paraId="7D3B3AD1">
                  <w:pPr>
                    <w:pStyle w:val="55"/>
                    <w:rPr>
                      <w:rFonts w:hint="default"/>
                    </w:rPr>
                  </w:pPr>
                </w:p>
              </w:tc>
              <w:tc>
                <w:tcPr>
                  <w:tcW w:w="1148" w:type="dxa"/>
                  <w:vMerge w:val="continue"/>
                  <w:vAlign w:val="center"/>
                </w:tcPr>
                <w:p w14:paraId="644C706A">
                  <w:pPr>
                    <w:pStyle w:val="55"/>
                    <w:rPr>
                      <w:rFonts w:hint="default"/>
                    </w:rPr>
                  </w:pPr>
                </w:p>
              </w:tc>
              <w:tc>
                <w:tcPr>
                  <w:tcW w:w="2062" w:type="dxa"/>
                  <w:vAlign w:val="center"/>
                </w:tcPr>
                <w:p w14:paraId="63818286">
                  <w:pPr>
                    <w:pStyle w:val="55"/>
                    <w:rPr>
                      <w:rFonts w:hint="default" w:cs="Times New Roman"/>
                    </w:rPr>
                  </w:pPr>
                  <w:r>
                    <w:rPr>
                      <w:rFonts w:cs="Times New Roman"/>
                    </w:rPr>
                    <w:t>蒸发损耗</w:t>
                  </w:r>
                </w:p>
              </w:tc>
              <w:tc>
                <w:tcPr>
                  <w:tcW w:w="2062" w:type="dxa"/>
                  <w:vAlign w:val="center"/>
                </w:tcPr>
                <w:p w14:paraId="7A793DB8">
                  <w:pPr>
                    <w:pStyle w:val="55"/>
                    <w:rPr>
                      <w:rFonts w:hint="default" w:cs="Times New Roman"/>
                    </w:rPr>
                  </w:pPr>
                  <w:r>
                    <w:rPr>
                      <w:rFonts w:cs="Times New Roman"/>
                    </w:rPr>
                    <w:t>2.4</w:t>
                  </w:r>
                </w:p>
              </w:tc>
            </w:tr>
            <w:tr w14:paraId="323E5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5" w:type="dxa"/>
                  <w:vAlign w:val="center"/>
                </w:tcPr>
                <w:p w14:paraId="2DF19D6F">
                  <w:pPr>
                    <w:pStyle w:val="55"/>
                    <w:rPr>
                      <w:rFonts w:hint="default" w:cs="Times New Roman"/>
                    </w:rPr>
                  </w:pPr>
                  <w:r>
                    <w:rPr>
                      <w:rFonts w:cs="Times New Roman"/>
                    </w:rPr>
                    <w:t>表土临时堆场洒水降尘用水</w:t>
                  </w:r>
                </w:p>
              </w:tc>
              <w:tc>
                <w:tcPr>
                  <w:tcW w:w="1148" w:type="dxa"/>
                  <w:vAlign w:val="center"/>
                </w:tcPr>
                <w:p w14:paraId="29317774">
                  <w:pPr>
                    <w:pStyle w:val="55"/>
                    <w:rPr>
                      <w:rFonts w:hint="default" w:cs="Times New Roman"/>
                    </w:rPr>
                  </w:pPr>
                  <w:r>
                    <w:rPr>
                      <w:rFonts w:cs="Times New Roman"/>
                    </w:rPr>
                    <w:t>2</w:t>
                  </w:r>
                </w:p>
              </w:tc>
              <w:tc>
                <w:tcPr>
                  <w:tcW w:w="2062" w:type="dxa"/>
                  <w:vAlign w:val="center"/>
                </w:tcPr>
                <w:p w14:paraId="69C06598">
                  <w:pPr>
                    <w:pStyle w:val="55"/>
                    <w:rPr>
                      <w:rFonts w:hint="default" w:cs="Times New Roman"/>
                    </w:rPr>
                  </w:pPr>
                  <w:r>
                    <w:rPr>
                      <w:rFonts w:cs="Times New Roman"/>
                    </w:rPr>
                    <w:t>蒸发损耗</w:t>
                  </w:r>
                </w:p>
              </w:tc>
              <w:tc>
                <w:tcPr>
                  <w:tcW w:w="2062" w:type="dxa"/>
                  <w:vAlign w:val="center"/>
                </w:tcPr>
                <w:p w14:paraId="15066ADD">
                  <w:pPr>
                    <w:pStyle w:val="55"/>
                    <w:rPr>
                      <w:rFonts w:hint="default" w:cs="Times New Roman"/>
                    </w:rPr>
                  </w:pPr>
                  <w:r>
                    <w:rPr>
                      <w:rFonts w:cs="Times New Roman"/>
                    </w:rPr>
                    <w:t>2</w:t>
                  </w:r>
                </w:p>
              </w:tc>
            </w:tr>
            <w:tr w14:paraId="15BCA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5" w:type="dxa"/>
                  <w:vAlign w:val="center"/>
                </w:tcPr>
                <w:p w14:paraId="1B9BF777">
                  <w:pPr>
                    <w:pStyle w:val="55"/>
                    <w:rPr>
                      <w:rFonts w:hint="default" w:cs="Times New Roman"/>
                    </w:rPr>
                  </w:pPr>
                  <w:r>
                    <w:rPr>
                      <w:rFonts w:cs="Times New Roman"/>
                    </w:rPr>
                    <w:t>道路降尘用水</w:t>
                  </w:r>
                </w:p>
              </w:tc>
              <w:tc>
                <w:tcPr>
                  <w:tcW w:w="1148" w:type="dxa"/>
                  <w:vAlign w:val="center"/>
                </w:tcPr>
                <w:p w14:paraId="49714102">
                  <w:pPr>
                    <w:pStyle w:val="55"/>
                    <w:rPr>
                      <w:rFonts w:hint="default" w:cs="Times New Roman"/>
                    </w:rPr>
                  </w:pPr>
                  <w:r>
                    <w:rPr>
                      <w:rFonts w:cs="Times New Roman"/>
                    </w:rPr>
                    <w:t>16</w:t>
                  </w:r>
                </w:p>
              </w:tc>
              <w:tc>
                <w:tcPr>
                  <w:tcW w:w="2062" w:type="dxa"/>
                  <w:vAlign w:val="center"/>
                </w:tcPr>
                <w:p w14:paraId="18D7CD16">
                  <w:pPr>
                    <w:pStyle w:val="55"/>
                    <w:rPr>
                      <w:rFonts w:hint="default" w:cs="Times New Roman"/>
                    </w:rPr>
                  </w:pPr>
                  <w:r>
                    <w:rPr>
                      <w:rFonts w:cs="Times New Roman"/>
                    </w:rPr>
                    <w:t>蒸发损耗</w:t>
                  </w:r>
                </w:p>
              </w:tc>
              <w:tc>
                <w:tcPr>
                  <w:tcW w:w="2062" w:type="dxa"/>
                  <w:vAlign w:val="center"/>
                </w:tcPr>
                <w:p w14:paraId="29E372ED">
                  <w:pPr>
                    <w:pStyle w:val="55"/>
                    <w:rPr>
                      <w:rFonts w:hint="default" w:cs="Times New Roman"/>
                    </w:rPr>
                  </w:pPr>
                  <w:r>
                    <w:rPr>
                      <w:rFonts w:cs="Times New Roman"/>
                    </w:rPr>
                    <w:t>16</w:t>
                  </w:r>
                </w:p>
              </w:tc>
            </w:tr>
            <w:tr w14:paraId="3AB63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5" w:type="dxa"/>
                  <w:vAlign w:val="center"/>
                </w:tcPr>
                <w:p w14:paraId="028C1F30">
                  <w:pPr>
                    <w:pStyle w:val="55"/>
                    <w:rPr>
                      <w:rFonts w:hint="default" w:cs="Times New Roman"/>
                    </w:rPr>
                  </w:pPr>
                  <w:r>
                    <w:rPr>
                      <w:rFonts w:cs="Times New Roman"/>
                    </w:rPr>
                    <w:t>施工场地洒水降尘用水</w:t>
                  </w:r>
                </w:p>
              </w:tc>
              <w:tc>
                <w:tcPr>
                  <w:tcW w:w="1148" w:type="dxa"/>
                  <w:vAlign w:val="center"/>
                </w:tcPr>
                <w:p w14:paraId="549526F0">
                  <w:pPr>
                    <w:pStyle w:val="55"/>
                    <w:rPr>
                      <w:rFonts w:hint="default" w:cs="Times New Roman"/>
                    </w:rPr>
                  </w:pPr>
                  <w:r>
                    <w:rPr>
                      <w:rFonts w:cs="Times New Roman"/>
                    </w:rPr>
                    <w:t>1</w:t>
                  </w:r>
                </w:p>
              </w:tc>
              <w:tc>
                <w:tcPr>
                  <w:tcW w:w="2062" w:type="dxa"/>
                  <w:vAlign w:val="center"/>
                </w:tcPr>
                <w:p w14:paraId="7903AF5C">
                  <w:pPr>
                    <w:pStyle w:val="55"/>
                    <w:rPr>
                      <w:rFonts w:hint="default" w:cs="Times New Roman"/>
                    </w:rPr>
                  </w:pPr>
                  <w:r>
                    <w:rPr>
                      <w:rFonts w:cs="Times New Roman"/>
                    </w:rPr>
                    <w:t>蒸发损耗</w:t>
                  </w:r>
                </w:p>
              </w:tc>
              <w:tc>
                <w:tcPr>
                  <w:tcW w:w="2062" w:type="dxa"/>
                  <w:vAlign w:val="center"/>
                </w:tcPr>
                <w:p w14:paraId="1D6B5C07">
                  <w:pPr>
                    <w:pStyle w:val="55"/>
                    <w:rPr>
                      <w:rFonts w:hint="default" w:cs="Times New Roman"/>
                    </w:rPr>
                  </w:pPr>
                  <w:r>
                    <w:rPr>
                      <w:rFonts w:cs="Times New Roman"/>
                    </w:rPr>
                    <w:t>1</w:t>
                  </w:r>
                </w:p>
              </w:tc>
            </w:tr>
            <w:tr w14:paraId="43BA9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5" w:type="dxa"/>
                  <w:vAlign w:val="center"/>
                </w:tcPr>
                <w:p w14:paraId="7BB1F73E">
                  <w:pPr>
                    <w:pStyle w:val="55"/>
                    <w:rPr>
                      <w:rFonts w:hint="default" w:cs="Times New Roman"/>
                    </w:rPr>
                  </w:pPr>
                  <w:r>
                    <w:rPr>
                      <w:rFonts w:cs="Times New Roman"/>
                    </w:rPr>
                    <w:t>土石方开挖、装卸降尘用水</w:t>
                  </w:r>
                </w:p>
              </w:tc>
              <w:tc>
                <w:tcPr>
                  <w:tcW w:w="1148" w:type="dxa"/>
                  <w:vAlign w:val="center"/>
                </w:tcPr>
                <w:p w14:paraId="7566F2FE">
                  <w:pPr>
                    <w:pStyle w:val="55"/>
                    <w:rPr>
                      <w:rFonts w:hint="default" w:cs="Times New Roman"/>
                    </w:rPr>
                  </w:pPr>
                  <w:r>
                    <w:rPr>
                      <w:rFonts w:cs="Times New Roman"/>
                    </w:rPr>
                    <w:t>24</w:t>
                  </w:r>
                </w:p>
              </w:tc>
              <w:tc>
                <w:tcPr>
                  <w:tcW w:w="2062" w:type="dxa"/>
                  <w:vAlign w:val="center"/>
                </w:tcPr>
                <w:p w14:paraId="0984E2A7">
                  <w:pPr>
                    <w:pStyle w:val="55"/>
                    <w:rPr>
                      <w:rFonts w:hint="default" w:cs="Times New Roman"/>
                    </w:rPr>
                  </w:pPr>
                  <w:r>
                    <w:rPr>
                      <w:rFonts w:cs="Times New Roman"/>
                    </w:rPr>
                    <w:t>蒸发损耗</w:t>
                  </w:r>
                </w:p>
              </w:tc>
              <w:tc>
                <w:tcPr>
                  <w:tcW w:w="2062" w:type="dxa"/>
                  <w:vAlign w:val="center"/>
                </w:tcPr>
                <w:p w14:paraId="49F7D531">
                  <w:pPr>
                    <w:pStyle w:val="55"/>
                    <w:rPr>
                      <w:rFonts w:hint="default" w:cs="Times New Roman"/>
                    </w:rPr>
                  </w:pPr>
                  <w:r>
                    <w:rPr>
                      <w:rFonts w:cs="Times New Roman"/>
                    </w:rPr>
                    <w:t>24</w:t>
                  </w:r>
                </w:p>
              </w:tc>
            </w:tr>
            <w:tr w14:paraId="2FC05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2975" w:type="dxa"/>
                  <w:vMerge w:val="restart"/>
                  <w:vAlign w:val="center"/>
                </w:tcPr>
                <w:p w14:paraId="697E3964">
                  <w:pPr>
                    <w:pStyle w:val="55"/>
                    <w:rPr>
                      <w:rFonts w:hint="default" w:cs="Times New Roman"/>
                    </w:rPr>
                  </w:pPr>
                  <w:r>
                    <w:rPr>
                      <w:rFonts w:cs="Times New Roman"/>
                    </w:rPr>
                    <w:t>车辆冲洗用水</w:t>
                  </w:r>
                </w:p>
              </w:tc>
              <w:tc>
                <w:tcPr>
                  <w:tcW w:w="1148" w:type="dxa"/>
                  <w:vMerge w:val="restart"/>
                  <w:vAlign w:val="center"/>
                </w:tcPr>
                <w:p w14:paraId="2A6CAB2A">
                  <w:pPr>
                    <w:pStyle w:val="55"/>
                    <w:rPr>
                      <w:rFonts w:hint="default" w:cs="Times New Roman"/>
                    </w:rPr>
                  </w:pPr>
                  <w:r>
                    <w:rPr>
                      <w:rFonts w:cs="Times New Roman"/>
                    </w:rPr>
                    <w:t>0.23</w:t>
                  </w:r>
                </w:p>
              </w:tc>
              <w:tc>
                <w:tcPr>
                  <w:tcW w:w="2062" w:type="dxa"/>
                  <w:vAlign w:val="center"/>
                </w:tcPr>
                <w:p w14:paraId="25EF2B13">
                  <w:pPr>
                    <w:pStyle w:val="55"/>
                    <w:rPr>
                      <w:rFonts w:hint="default" w:cs="Times New Roman"/>
                    </w:rPr>
                  </w:pPr>
                  <w:r>
                    <w:rPr>
                      <w:rFonts w:cs="Times New Roman"/>
                    </w:rPr>
                    <w:t>沉淀池处理后回用</w:t>
                  </w:r>
                </w:p>
              </w:tc>
              <w:tc>
                <w:tcPr>
                  <w:tcW w:w="2062" w:type="dxa"/>
                  <w:vAlign w:val="center"/>
                </w:tcPr>
                <w:p w14:paraId="63542FF2">
                  <w:pPr>
                    <w:pStyle w:val="55"/>
                    <w:rPr>
                      <w:rFonts w:hint="default" w:cs="Times New Roman"/>
                    </w:rPr>
                  </w:pPr>
                  <w:r>
                    <w:rPr>
                      <w:rFonts w:cs="Times New Roman"/>
                    </w:rPr>
                    <w:t>0.18</w:t>
                  </w:r>
                </w:p>
              </w:tc>
            </w:tr>
            <w:tr w14:paraId="6DAC0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2975" w:type="dxa"/>
                  <w:vMerge w:val="continue"/>
                  <w:vAlign w:val="center"/>
                </w:tcPr>
                <w:p w14:paraId="0017745E">
                  <w:pPr>
                    <w:pStyle w:val="55"/>
                    <w:rPr>
                      <w:rFonts w:hint="default"/>
                    </w:rPr>
                  </w:pPr>
                </w:p>
              </w:tc>
              <w:tc>
                <w:tcPr>
                  <w:tcW w:w="1148" w:type="dxa"/>
                  <w:vMerge w:val="continue"/>
                  <w:vAlign w:val="center"/>
                </w:tcPr>
                <w:p w14:paraId="1ED7F8DE">
                  <w:pPr>
                    <w:pStyle w:val="55"/>
                    <w:rPr>
                      <w:rFonts w:hint="default"/>
                    </w:rPr>
                  </w:pPr>
                </w:p>
              </w:tc>
              <w:tc>
                <w:tcPr>
                  <w:tcW w:w="2062" w:type="dxa"/>
                  <w:vAlign w:val="center"/>
                </w:tcPr>
                <w:p w14:paraId="5E731166">
                  <w:pPr>
                    <w:pStyle w:val="55"/>
                    <w:rPr>
                      <w:rFonts w:hint="default" w:cs="Times New Roman"/>
                    </w:rPr>
                  </w:pPr>
                  <w:r>
                    <w:rPr>
                      <w:rFonts w:cs="Times New Roman"/>
                    </w:rPr>
                    <w:t>蒸发损耗</w:t>
                  </w:r>
                </w:p>
              </w:tc>
              <w:tc>
                <w:tcPr>
                  <w:tcW w:w="2062" w:type="dxa"/>
                  <w:vAlign w:val="center"/>
                </w:tcPr>
                <w:p w14:paraId="7F6F58BB">
                  <w:pPr>
                    <w:pStyle w:val="55"/>
                    <w:rPr>
                      <w:rFonts w:hint="default" w:cs="Times New Roman"/>
                    </w:rPr>
                  </w:pPr>
                  <w:r>
                    <w:rPr>
                      <w:rFonts w:cs="Times New Roman"/>
                    </w:rPr>
                    <w:t>0.05</w:t>
                  </w:r>
                </w:p>
              </w:tc>
            </w:tr>
            <w:tr w14:paraId="39B83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5" w:type="dxa"/>
                  <w:vAlign w:val="center"/>
                </w:tcPr>
                <w:p w14:paraId="7B8627C5">
                  <w:pPr>
                    <w:pStyle w:val="55"/>
                    <w:rPr>
                      <w:rFonts w:hint="default" w:cs="Times New Roman"/>
                    </w:rPr>
                  </w:pPr>
                  <w:r>
                    <w:rPr>
                      <w:rFonts w:cs="Times New Roman"/>
                    </w:rPr>
                    <w:t>合计</w:t>
                  </w:r>
                </w:p>
              </w:tc>
              <w:tc>
                <w:tcPr>
                  <w:tcW w:w="1148" w:type="dxa"/>
                  <w:vAlign w:val="center"/>
                </w:tcPr>
                <w:p w14:paraId="64B0AB12">
                  <w:pPr>
                    <w:pStyle w:val="55"/>
                    <w:rPr>
                      <w:rFonts w:hint="default" w:eastAsia="宋体" w:cs="Times New Roman"/>
                      <w:lang w:val="en-US" w:eastAsia="zh-CN"/>
                    </w:rPr>
                  </w:pPr>
                  <w:r>
                    <w:rPr>
                      <w:rFonts w:hint="eastAsia" w:cs="Times New Roman"/>
                      <w:lang w:val="en-US" w:eastAsia="zh-CN"/>
                    </w:rPr>
                    <w:t>59.05</w:t>
                  </w:r>
                </w:p>
              </w:tc>
              <w:tc>
                <w:tcPr>
                  <w:tcW w:w="2062" w:type="dxa"/>
                  <w:vAlign w:val="center"/>
                </w:tcPr>
                <w:p w14:paraId="689FD124">
                  <w:pPr>
                    <w:pStyle w:val="55"/>
                    <w:rPr>
                      <w:rFonts w:hint="default" w:cs="Times New Roman"/>
                    </w:rPr>
                  </w:pPr>
                  <w:r>
                    <w:rPr>
                      <w:rFonts w:cs="Times New Roman"/>
                    </w:rPr>
                    <w:t>合计</w:t>
                  </w:r>
                </w:p>
              </w:tc>
              <w:tc>
                <w:tcPr>
                  <w:tcW w:w="2062" w:type="dxa"/>
                  <w:vAlign w:val="center"/>
                </w:tcPr>
                <w:p w14:paraId="562738BB">
                  <w:pPr>
                    <w:pStyle w:val="55"/>
                    <w:rPr>
                      <w:rFonts w:hint="default" w:eastAsia="宋体" w:cs="Times New Roman"/>
                      <w:lang w:val="en-US" w:eastAsia="zh-CN"/>
                    </w:rPr>
                  </w:pPr>
                  <w:r>
                    <w:rPr>
                      <w:rFonts w:hint="eastAsia" w:cs="Times New Roman"/>
                      <w:lang w:val="en-US" w:eastAsia="zh-CN"/>
                    </w:rPr>
                    <w:t>59.05</w:t>
                  </w:r>
                </w:p>
              </w:tc>
            </w:tr>
          </w:tbl>
          <w:p w14:paraId="6A6042B0">
            <w:pPr>
              <w:pStyle w:val="40"/>
              <w:spacing w:before="156"/>
              <w:rPr>
                <w:rFonts w:hint="default"/>
              </w:rPr>
            </w:pPr>
            <w:r>
              <w:drawing>
                <wp:inline distT="0" distB="0" distL="114300" distR="114300">
                  <wp:extent cx="4278630" cy="5193665"/>
                  <wp:effectExtent l="0" t="0" r="0" b="0"/>
                  <wp:docPr id="3" name="ECB019B1-382A-4266-B25C-5B523AA43C14-1" descr="C:/Users/Administrator/AppData/Local/Temp/wps.xHPdnB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1" descr="C:/Users/Administrator/AppData/Local/Temp/wps.xHPdnBwps"/>
                          <pic:cNvPicPr>
                            <a:picLocks noChangeAspect="1"/>
                          </pic:cNvPicPr>
                        </pic:nvPicPr>
                        <pic:blipFill>
                          <a:blip r:embed="rId17"/>
                          <a:stretch>
                            <a:fillRect/>
                          </a:stretch>
                        </pic:blipFill>
                        <pic:spPr>
                          <a:xfrm>
                            <a:off x="0" y="0"/>
                            <a:ext cx="4278630" cy="5193665"/>
                          </a:xfrm>
                          <a:prstGeom prst="rect">
                            <a:avLst/>
                          </a:prstGeom>
                        </pic:spPr>
                      </pic:pic>
                    </a:graphicData>
                  </a:graphic>
                </wp:inline>
              </w:drawing>
            </w:r>
          </w:p>
          <w:p w14:paraId="09EB41DE">
            <w:pPr>
              <w:pStyle w:val="44"/>
              <w:spacing w:after="156"/>
            </w:pPr>
            <w:r>
              <w:rPr>
                <w:rFonts w:hint="eastAsia"/>
                <w:bCs/>
              </w:rPr>
              <w:t>本项目水平衡图（单位：m</w:t>
            </w:r>
            <w:r>
              <w:rPr>
                <w:rFonts w:hint="eastAsia"/>
                <w:bCs/>
                <w:vertAlign w:val="superscript"/>
              </w:rPr>
              <w:t>3</w:t>
            </w:r>
            <w:r>
              <w:rPr>
                <w:rFonts w:hint="eastAsia"/>
                <w:bCs/>
              </w:rPr>
              <w:t>/d）</w:t>
            </w:r>
          </w:p>
          <w:p w14:paraId="214A92A7">
            <w:pPr>
              <w:pStyle w:val="4"/>
              <w:numPr>
                <w:ilvl w:val="0"/>
                <w:numId w:val="22"/>
              </w:numPr>
              <w:spacing w:line="440" w:lineRule="exact"/>
            </w:pPr>
            <w:r>
              <w:rPr>
                <w:rFonts w:hint="eastAsia"/>
              </w:rPr>
              <w:t>土石方平衡</w:t>
            </w:r>
          </w:p>
          <w:p w14:paraId="44E8E291">
            <w:pPr>
              <w:pStyle w:val="36"/>
              <w:ind w:firstLine="480"/>
              <w:rPr>
                <w:rFonts w:hint="default"/>
              </w:rPr>
            </w:pPr>
            <w:r>
              <w:t>施工进行前需对占地范围内耕地等进行表土剥离，剥离厚度约30cm，共剥离表土0.15万m</w:t>
            </w:r>
            <w:r>
              <w:rPr>
                <w:vertAlign w:val="superscript"/>
              </w:rPr>
              <w:t>3</w:t>
            </w:r>
            <w:r>
              <w:t>，堆放于施工场地内表土临时堆场，全部用于后期绿化覆土。</w:t>
            </w:r>
          </w:p>
          <w:p w14:paraId="35489C9C">
            <w:pPr>
              <w:pStyle w:val="36"/>
              <w:ind w:firstLine="480"/>
              <w:rPr>
                <w:rFonts w:hint="default"/>
              </w:rPr>
            </w:pPr>
            <w:r>
              <w:t>本项目土石方开挖总量</w:t>
            </w:r>
            <w:r>
              <w:rPr>
                <w:rFonts w:hint="eastAsia"/>
                <w:lang w:eastAsia="zh-CN"/>
              </w:rPr>
              <w:t>约</w:t>
            </w:r>
            <w:r>
              <w:t>0.8万m</w:t>
            </w:r>
            <w:r>
              <w:rPr>
                <w:vertAlign w:val="superscript"/>
              </w:rPr>
              <w:t>3</w:t>
            </w:r>
            <w:r>
              <w:t>（含表土0.15万m</w:t>
            </w:r>
            <w:r>
              <w:rPr>
                <w:vertAlign w:val="superscript"/>
              </w:rPr>
              <w:t>3</w:t>
            </w:r>
            <w:r>
              <w:t>），回填土石方总量</w:t>
            </w:r>
            <w:r>
              <w:rPr>
                <w:rFonts w:hint="eastAsia"/>
                <w:lang w:eastAsia="zh-CN"/>
              </w:rPr>
              <w:t>约</w:t>
            </w:r>
            <w:r>
              <w:t>0.32万m</w:t>
            </w:r>
            <w:r>
              <w:rPr>
                <w:vertAlign w:val="superscript"/>
              </w:rPr>
              <w:t>3</w:t>
            </w:r>
            <w:r>
              <w:t>（</w:t>
            </w:r>
            <w:r>
              <w:rPr>
                <w:rFonts w:hint="eastAsia"/>
                <w:lang w:eastAsia="zh-CN"/>
              </w:rPr>
              <w:t>土石方回填和土石方填筑，包含表土</w:t>
            </w:r>
            <w:r>
              <w:t>0.15万m</w:t>
            </w:r>
            <w:r>
              <w:rPr>
                <w:vertAlign w:val="superscript"/>
              </w:rPr>
              <w:t>3</w:t>
            </w:r>
            <w:r>
              <w:t>），项目区内</w:t>
            </w:r>
            <w:r>
              <w:rPr>
                <w:rFonts w:hint="eastAsia"/>
                <w:lang w:eastAsia="zh-CN"/>
              </w:rPr>
              <w:t>开挖河道内土石方为淤泥，项目区内</w:t>
            </w:r>
            <w:r>
              <w:t>土石方调配调用后，余方</w:t>
            </w:r>
            <w:r>
              <w:rPr>
                <w:rFonts w:hint="eastAsia"/>
                <w:lang w:eastAsia="zh-CN"/>
              </w:rPr>
              <w:t>约</w:t>
            </w:r>
            <w:r>
              <w:t>0.48万m</w:t>
            </w:r>
            <w:r>
              <w:rPr>
                <w:vertAlign w:val="superscript"/>
              </w:rPr>
              <w:t>3</w:t>
            </w:r>
            <w:r>
              <w:t>（</w:t>
            </w:r>
            <w:r>
              <w:rPr>
                <w:rFonts w:hint="eastAsia"/>
                <w:lang w:eastAsia="zh-CN"/>
              </w:rPr>
              <w:t>均</w:t>
            </w:r>
            <w:r>
              <w:t>为河底的淤泥）集中运往金元镇附近田地综合利用。余方中的淤泥饱含有机物，有利于植物生长，可改良农田面积为0.8hm</w:t>
            </w:r>
            <w:r>
              <w:rPr>
                <w:vertAlign w:val="superscript"/>
              </w:rPr>
              <w:t>2</w:t>
            </w:r>
            <w:r>
              <w:t>。</w:t>
            </w:r>
          </w:p>
          <w:p w14:paraId="3DACCE89">
            <w:pPr>
              <w:pStyle w:val="43"/>
              <w:spacing w:before="156"/>
              <w:rPr>
                <w:bCs/>
              </w:rPr>
            </w:pPr>
            <w:r>
              <w:rPr>
                <w:rFonts w:hint="eastAsia"/>
                <w:bCs/>
              </w:rPr>
              <w:t>本项目工程土石方平衡表</w:t>
            </w:r>
            <w:r>
              <w:rPr>
                <w:rFonts w:hint="eastAsia"/>
                <w:sz w:val="21"/>
                <w:szCs w:val="21"/>
              </w:rPr>
              <w:t>（m</w:t>
            </w:r>
            <w:r>
              <w:rPr>
                <w:rFonts w:hint="eastAsia"/>
                <w:sz w:val="21"/>
                <w:szCs w:val="21"/>
                <w:vertAlign w:val="superscript"/>
              </w:rPr>
              <w:t>3</w:t>
            </w:r>
            <w:r>
              <w:rPr>
                <w:rFonts w:hint="eastAsia"/>
                <w:sz w:val="21"/>
                <w:szCs w:val="21"/>
              </w:rPr>
              <w:t>）</w:t>
            </w:r>
          </w:p>
          <w:tbl>
            <w:tblPr>
              <w:tblStyle w:val="10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99"/>
              <w:gridCol w:w="2302"/>
              <w:gridCol w:w="1425"/>
              <w:gridCol w:w="1109"/>
              <w:gridCol w:w="1211"/>
              <w:gridCol w:w="1211"/>
            </w:tblGrid>
            <w:tr w14:paraId="55E0DF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tblHeader/>
                <w:jc w:val="center"/>
              </w:trPr>
              <w:tc>
                <w:tcPr>
                  <w:tcW w:w="604" w:type="pct"/>
                  <w:noWrap/>
                  <w:vAlign w:val="center"/>
                </w:tcPr>
                <w:p w14:paraId="297C2AA6">
                  <w:pPr>
                    <w:pStyle w:val="103"/>
                    <w:rPr>
                      <w:sz w:val="21"/>
                      <w:szCs w:val="21"/>
                    </w:rPr>
                  </w:pPr>
                  <w:r>
                    <w:rPr>
                      <w:rFonts w:hint="eastAsia"/>
                      <w:sz w:val="21"/>
                      <w:szCs w:val="21"/>
                    </w:rPr>
                    <w:t>序号</w:t>
                  </w:r>
                </w:p>
              </w:tc>
              <w:tc>
                <w:tcPr>
                  <w:tcW w:w="1393" w:type="pct"/>
                  <w:noWrap/>
                  <w:vAlign w:val="center"/>
                </w:tcPr>
                <w:p w14:paraId="1B7CE3B8">
                  <w:pPr>
                    <w:pStyle w:val="103"/>
                    <w:rPr>
                      <w:sz w:val="21"/>
                      <w:szCs w:val="21"/>
                    </w:rPr>
                  </w:pPr>
                  <w:r>
                    <w:rPr>
                      <w:rFonts w:hint="eastAsia"/>
                      <w:sz w:val="21"/>
                      <w:szCs w:val="21"/>
                    </w:rPr>
                    <w:t>项目</w:t>
                  </w:r>
                </w:p>
              </w:tc>
              <w:tc>
                <w:tcPr>
                  <w:tcW w:w="862" w:type="pct"/>
                  <w:vAlign w:val="center"/>
                </w:tcPr>
                <w:p w14:paraId="2138D347">
                  <w:pPr>
                    <w:pStyle w:val="103"/>
                    <w:rPr>
                      <w:sz w:val="21"/>
                      <w:szCs w:val="21"/>
                    </w:rPr>
                  </w:pPr>
                  <w:r>
                    <w:rPr>
                      <w:rFonts w:hint="eastAsia"/>
                      <w:sz w:val="21"/>
                      <w:szCs w:val="21"/>
                    </w:rPr>
                    <w:t>土石方明挖</w:t>
                  </w:r>
                </w:p>
              </w:tc>
              <w:tc>
                <w:tcPr>
                  <w:tcW w:w="671" w:type="pct"/>
                  <w:vAlign w:val="center"/>
                </w:tcPr>
                <w:p w14:paraId="1C0DFE92">
                  <w:pPr>
                    <w:pStyle w:val="103"/>
                    <w:rPr>
                      <w:sz w:val="21"/>
                      <w:szCs w:val="21"/>
                    </w:rPr>
                  </w:pPr>
                  <w:r>
                    <w:rPr>
                      <w:rFonts w:hint="eastAsia"/>
                      <w:sz w:val="21"/>
                      <w:szCs w:val="21"/>
                    </w:rPr>
                    <w:t>土石方回填</w:t>
                  </w:r>
                </w:p>
              </w:tc>
              <w:tc>
                <w:tcPr>
                  <w:tcW w:w="733" w:type="pct"/>
                  <w:vAlign w:val="center"/>
                </w:tcPr>
                <w:p w14:paraId="5FEBEE38">
                  <w:pPr>
                    <w:pStyle w:val="103"/>
                    <w:rPr>
                      <w:sz w:val="21"/>
                      <w:szCs w:val="21"/>
                    </w:rPr>
                  </w:pPr>
                  <w:r>
                    <w:rPr>
                      <w:rFonts w:hint="eastAsia"/>
                      <w:sz w:val="21"/>
                      <w:szCs w:val="21"/>
                    </w:rPr>
                    <w:t>土石方填筑</w:t>
                  </w:r>
                </w:p>
              </w:tc>
              <w:tc>
                <w:tcPr>
                  <w:tcW w:w="733" w:type="pct"/>
                  <w:vAlign w:val="center"/>
                </w:tcPr>
                <w:p w14:paraId="5576AAC9">
                  <w:pPr>
                    <w:pStyle w:val="103"/>
                    <w:rPr>
                      <w:rFonts w:hint="eastAsia" w:eastAsia="宋体"/>
                      <w:sz w:val="21"/>
                      <w:szCs w:val="21"/>
                      <w:lang w:eastAsia="zh-CN"/>
                    </w:rPr>
                  </w:pPr>
                  <w:r>
                    <w:rPr>
                      <w:rFonts w:hint="eastAsia"/>
                      <w:sz w:val="21"/>
                      <w:szCs w:val="21"/>
                      <w:lang w:eastAsia="zh-CN"/>
                    </w:rPr>
                    <w:t>剩余土石方</w:t>
                  </w:r>
                </w:p>
              </w:tc>
            </w:tr>
            <w:tr w14:paraId="23D593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tblHeader/>
                <w:jc w:val="center"/>
              </w:trPr>
              <w:tc>
                <w:tcPr>
                  <w:tcW w:w="604" w:type="pct"/>
                  <w:vAlign w:val="center"/>
                </w:tcPr>
                <w:p w14:paraId="3D12A645">
                  <w:pPr>
                    <w:pStyle w:val="103"/>
                    <w:rPr>
                      <w:b/>
                      <w:bCs/>
                      <w:sz w:val="21"/>
                      <w:szCs w:val="21"/>
                    </w:rPr>
                  </w:pPr>
                  <w:r>
                    <w:rPr>
                      <w:rFonts w:hint="eastAsia"/>
                      <w:b/>
                      <w:bCs/>
                      <w:sz w:val="21"/>
                      <w:szCs w:val="21"/>
                    </w:rPr>
                    <w:t>一</w:t>
                  </w:r>
                </w:p>
              </w:tc>
              <w:tc>
                <w:tcPr>
                  <w:tcW w:w="1393" w:type="pct"/>
                  <w:vAlign w:val="center"/>
                </w:tcPr>
                <w:p w14:paraId="0F81782A">
                  <w:pPr>
                    <w:pStyle w:val="103"/>
                    <w:rPr>
                      <w:b/>
                      <w:bCs/>
                      <w:sz w:val="21"/>
                      <w:szCs w:val="21"/>
                    </w:rPr>
                  </w:pPr>
                  <w:r>
                    <w:rPr>
                      <w:rFonts w:hint="eastAsia"/>
                      <w:b/>
                      <w:bCs/>
                      <w:sz w:val="21"/>
                      <w:szCs w:val="21"/>
                    </w:rPr>
                    <w:t>护岸工程</w:t>
                  </w:r>
                </w:p>
              </w:tc>
              <w:tc>
                <w:tcPr>
                  <w:tcW w:w="862" w:type="pct"/>
                  <w:vAlign w:val="center"/>
                </w:tcPr>
                <w:p w14:paraId="74EBA797">
                  <w:pPr>
                    <w:pStyle w:val="103"/>
                    <w:rPr>
                      <w:b/>
                      <w:bCs/>
                      <w:sz w:val="21"/>
                      <w:szCs w:val="21"/>
                    </w:rPr>
                  </w:pPr>
                  <w:r>
                    <w:rPr>
                      <w:rFonts w:hint="eastAsia"/>
                      <w:b/>
                      <w:bCs/>
                      <w:sz w:val="21"/>
                      <w:szCs w:val="21"/>
                    </w:rPr>
                    <w:t>4681.00</w:t>
                  </w:r>
                </w:p>
              </w:tc>
              <w:tc>
                <w:tcPr>
                  <w:tcW w:w="671" w:type="pct"/>
                  <w:vAlign w:val="center"/>
                </w:tcPr>
                <w:p w14:paraId="0F893EE0">
                  <w:pPr>
                    <w:pStyle w:val="103"/>
                    <w:rPr>
                      <w:b/>
                      <w:bCs/>
                      <w:sz w:val="21"/>
                      <w:szCs w:val="21"/>
                    </w:rPr>
                  </w:pPr>
                  <w:r>
                    <w:rPr>
                      <w:rFonts w:hint="eastAsia"/>
                      <w:b/>
                      <w:bCs/>
                      <w:sz w:val="21"/>
                      <w:szCs w:val="21"/>
                    </w:rPr>
                    <w:t>1368.00</w:t>
                  </w:r>
                </w:p>
              </w:tc>
              <w:tc>
                <w:tcPr>
                  <w:tcW w:w="733" w:type="pct"/>
                  <w:noWrap/>
                  <w:vAlign w:val="center"/>
                </w:tcPr>
                <w:p w14:paraId="1F3DC3F6">
                  <w:pPr>
                    <w:pStyle w:val="103"/>
                    <w:rPr>
                      <w:rFonts w:hint="eastAsia" w:eastAsia="宋体"/>
                      <w:b/>
                      <w:bCs/>
                      <w:sz w:val="21"/>
                      <w:szCs w:val="21"/>
                      <w:lang w:val="en-US" w:eastAsia="zh-CN"/>
                    </w:rPr>
                  </w:pPr>
                  <w:r>
                    <w:rPr>
                      <w:rFonts w:hint="eastAsia"/>
                      <w:b/>
                      <w:bCs/>
                      <w:sz w:val="21"/>
                      <w:szCs w:val="21"/>
                      <w:lang w:val="en-US" w:eastAsia="zh-CN"/>
                    </w:rPr>
                    <w:t>0</w:t>
                  </w:r>
                </w:p>
              </w:tc>
              <w:tc>
                <w:tcPr>
                  <w:tcW w:w="733" w:type="pct"/>
                  <w:noWrap/>
                  <w:vAlign w:val="center"/>
                </w:tcPr>
                <w:p w14:paraId="147A778A">
                  <w:pPr>
                    <w:pStyle w:val="103"/>
                    <w:rPr>
                      <w:rFonts w:hint="default" w:eastAsia="宋体"/>
                      <w:b/>
                      <w:bCs/>
                      <w:sz w:val="21"/>
                      <w:szCs w:val="21"/>
                      <w:lang w:val="en-US" w:eastAsia="zh-CN"/>
                    </w:rPr>
                  </w:pPr>
                  <w:r>
                    <w:rPr>
                      <w:rFonts w:hint="eastAsia"/>
                      <w:b/>
                      <w:bCs/>
                      <w:sz w:val="21"/>
                      <w:szCs w:val="21"/>
                      <w:lang w:val="en-US" w:eastAsia="zh-CN"/>
                    </w:rPr>
                    <w:t>3313</w:t>
                  </w:r>
                </w:p>
              </w:tc>
            </w:tr>
            <w:tr w14:paraId="3780F7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tblHeader/>
                <w:jc w:val="center"/>
              </w:trPr>
              <w:tc>
                <w:tcPr>
                  <w:tcW w:w="604" w:type="pct"/>
                  <w:vAlign w:val="center"/>
                </w:tcPr>
                <w:p w14:paraId="7573B618">
                  <w:pPr>
                    <w:pStyle w:val="103"/>
                    <w:rPr>
                      <w:sz w:val="21"/>
                      <w:szCs w:val="21"/>
                    </w:rPr>
                  </w:pPr>
                  <w:r>
                    <w:rPr>
                      <w:rFonts w:hint="eastAsia"/>
                      <w:sz w:val="21"/>
                      <w:szCs w:val="21"/>
                    </w:rPr>
                    <w:t>(一)</w:t>
                  </w:r>
                </w:p>
              </w:tc>
              <w:tc>
                <w:tcPr>
                  <w:tcW w:w="1393" w:type="pct"/>
                  <w:vAlign w:val="center"/>
                </w:tcPr>
                <w:p w14:paraId="731DAF33">
                  <w:pPr>
                    <w:pStyle w:val="103"/>
                    <w:rPr>
                      <w:sz w:val="21"/>
                      <w:szCs w:val="21"/>
                    </w:rPr>
                  </w:pPr>
                  <w:r>
                    <w:rPr>
                      <w:rFonts w:hint="eastAsia"/>
                      <w:sz w:val="21"/>
                      <w:szCs w:val="21"/>
                      <w:lang w:eastAsia="zh-CN"/>
                    </w:rPr>
                    <w:t>河道清淤、边坡修复</w:t>
                  </w:r>
                </w:p>
              </w:tc>
              <w:tc>
                <w:tcPr>
                  <w:tcW w:w="862" w:type="pct"/>
                  <w:vAlign w:val="center"/>
                </w:tcPr>
                <w:p w14:paraId="0C46D582">
                  <w:pPr>
                    <w:pStyle w:val="103"/>
                    <w:rPr>
                      <w:rFonts w:hint="eastAsia"/>
                      <w:sz w:val="21"/>
                      <w:szCs w:val="21"/>
                    </w:rPr>
                  </w:pPr>
                  <w:r>
                    <w:rPr>
                      <w:rFonts w:hint="eastAsia"/>
                      <w:sz w:val="21"/>
                      <w:szCs w:val="21"/>
                    </w:rPr>
                    <w:t>4681.00</w:t>
                  </w:r>
                </w:p>
                <w:p w14:paraId="54D73ABA">
                  <w:pPr>
                    <w:pStyle w:val="103"/>
                    <w:rPr>
                      <w:rFonts w:hint="eastAsia" w:eastAsia="宋体"/>
                      <w:sz w:val="21"/>
                      <w:szCs w:val="21"/>
                      <w:lang w:eastAsia="zh-CN"/>
                    </w:rPr>
                  </w:pPr>
                  <w:r>
                    <w:rPr>
                      <w:rFonts w:hint="eastAsia"/>
                      <w:sz w:val="21"/>
                      <w:szCs w:val="21"/>
                      <w:lang w:eastAsia="zh-CN"/>
                    </w:rPr>
                    <w:t>（均为淤泥）</w:t>
                  </w:r>
                </w:p>
              </w:tc>
              <w:tc>
                <w:tcPr>
                  <w:tcW w:w="671" w:type="pct"/>
                  <w:vAlign w:val="center"/>
                </w:tcPr>
                <w:p w14:paraId="5FF4CD81">
                  <w:pPr>
                    <w:pStyle w:val="103"/>
                    <w:rPr>
                      <w:rFonts w:hint="eastAsia" w:eastAsia="宋体"/>
                      <w:sz w:val="21"/>
                      <w:szCs w:val="21"/>
                      <w:lang w:eastAsia="zh-CN"/>
                    </w:rPr>
                  </w:pPr>
                  <w:r>
                    <w:rPr>
                      <w:rFonts w:hint="eastAsia"/>
                      <w:sz w:val="21"/>
                      <w:szCs w:val="21"/>
                    </w:rPr>
                    <w:t>1368.00</w:t>
                  </w:r>
                </w:p>
              </w:tc>
              <w:tc>
                <w:tcPr>
                  <w:tcW w:w="733" w:type="pct"/>
                  <w:noWrap/>
                  <w:vAlign w:val="center"/>
                </w:tcPr>
                <w:p w14:paraId="4D7CC932">
                  <w:pPr>
                    <w:pStyle w:val="103"/>
                    <w:rPr>
                      <w:rFonts w:hint="eastAsia" w:eastAsia="宋体"/>
                      <w:sz w:val="21"/>
                      <w:szCs w:val="21"/>
                      <w:lang w:val="en-US" w:eastAsia="zh-CN"/>
                    </w:rPr>
                  </w:pPr>
                  <w:r>
                    <w:rPr>
                      <w:rFonts w:hint="eastAsia"/>
                      <w:sz w:val="21"/>
                      <w:szCs w:val="21"/>
                      <w:lang w:val="en-US" w:eastAsia="zh-CN"/>
                    </w:rPr>
                    <w:t>0</w:t>
                  </w:r>
                </w:p>
              </w:tc>
              <w:tc>
                <w:tcPr>
                  <w:tcW w:w="733" w:type="pct"/>
                  <w:noWrap/>
                  <w:vAlign w:val="center"/>
                </w:tcPr>
                <w:p w14:paraId="7B5CB2B7">
                  <w:pPr>
                    <w:pStyle w:val="103"/>
                    <w:rPr>
                      <w:rFonts w:hint="default" w:eastAsia="宋体"/>
                      <w:sz w:val="21"/>
                      <w:szCs w:val="21"/>
                      <w:lang w:val="en-US" w:eastAsia="zh-CN"/>
                    </w:rPr>
                  </w:pPr>
                  <w:r>
                    <w:rPr>
                      <w:rFonts w:hint="eastAsia"/>
                      <w:sz w:val="21"/>
                      <w:szCs w:val="21"/>
                      <w:lang w:val="en-US" w:eastAsia="zh-CN"/>
                    </w:rPr>
                    <w:t>3313</w:t>
                  </w:r>
                </w:p>
              </w:tc>
            </w:tr>
            <w:tr w14:paraId="77A848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tblHeader/>
                <w:jc w:val="center"/>
              </w:trPr>
              <w:tc>
                <w:tcPr>
                  <w:tcW w:w="604" w:type="pct"/>
                  <w:vAlign w:val="center"/>
                </w:tcPr>
                <w:p w14:paraId="64C30254">
                  <w:pPr>
                    <w:pStyle w:val="103"/>
                    <w:rPr>
                      <w:b/>
                      <w:bCs/>
                      <w:sz w:val="21"/>
                      <w:szCs w:val="21"/>
                    </w:rPr>
                  </w:pPr>
                  <w:r>
                    <w:rPr>
                      <w:rFonts w:hint="eastAsia"/>
                      <w:b/>
                      <w:bCs/>
                      <w:sz w:val="21"/>
                      <w:szCs w:val="21"/>
                    </w:rPr>
                    <w:t>二</w:t>
                  </w:r>
                </w:p>
              </w:tc>
              <w:tc>
                <w:tcPr>
                  <w:tcW w:w="1393" w:type="pct"/>
                  <w:vAlign w:val="center"/>
                </w:tcPr>
                <w:p w14:paraId="283D2CC1">
                  <w:pPr>
                    <w:pStyle w:val="103"/>
                    <w:rPr>
                      <w:b/>
                      <w:bCs/>
                      <w:sz w:val="21"/>
                      <w:szCs w:val="21"/>
                    </w:rPr>
                  </w:pPr>
                  <w:r>
                    <w:rPr>
                      <w:rFonts w:hint="eastAsia"/>
                      <w:b/>
                      <w:bCs/>
                      <w:sz w:val="21"/>
                      <w:szCs w:val="21"/>
                    </w:rPr>
                    <w:t>金元闸</w:t>
                  </w:r>
                </w:p>
              </w:tc>
              <w:tc>
                <w:tcPr>
                  <w:tcW w:w="862" w:type="pct"/>
                  <w:vAlign w:val="center"/>
                </w:tcPr>
                <w:p w14:paraId="4DEAB297">
                  <w:pPr>
                    <w:pStyle w:val="103"/>
                    <w:rPr>
                      <w:b/>
                      <w:bCs/>
                      <w:sz w:val="21"/>
                      <w:szCs w:val="21"/>
                    </w:rPr>
                  </w:pPr>
                  <w:r>
                    <w:rPr>
                      <w:rFonts w:hint="eastAsia"/>
                      <w:b/>
                      <w:bCs/>
                      <w:sz w:val="21"/>
                      <w:szCs w:val="21"/>
                    </w:rPr>
                    <w:t>3292.00</w:t>
                  </w:r>
                </w:p>
              </w:tc>
              <w:tc>
                <w:tcPr>
                  <w:tcW w:w="671" w:type="pct"/>
                  <w:vAlign w:val="center"/>
                </w:tcPr>
                <w:p w14:paraId="3FD239D3">
                  <w:pPr>
                    <w:pStyle w:val="103"/>
                    <w:rPr>
                      <w:b/>
                      <w:bCs/>
                      <w:sz w:val="21"/>
                      <w:szCs w:val="21"/>
                    </w:rPr>
                  </w:pPr>
                  <w:r>
                    <w:rPr>
                      <w:rFonts w:hint="eastAsia"/>
                      <w:b/>
                      <w:bCs/>
                      <w:sz w:val="21"/>
                      <w:szCs w:val="21"/>
                    </w:rPr>
                    <w:t>747.00</w:t>
                  </w:r>
                </w:p>
              </w:tc>
              <w:tc>
                <w:tcPr>
                  <w:tcW w:w="733" w:type="pct"/>
                  <w:vAlign w:val="center"/>
                </w:tcPr>
                <w:p w14:paraId="7F012DDD">
                  <w:pPr>
                    <w:pStyle w:val="103"/>
                    <w:rPr>
                      <w:b/>
                      <w:bCs/>
                      <w:sz w:val="21"/>
                      <w:szCs w:val="21"/>
                    </w:rPr>
                  </w:pPr>
                  <w:r>
                    <w:rPr>
                      <w:rFonts w:hint="eastAsia"/>
                      <w:b/>
                      <w:bCs/>
                      <w:sz w:val="21"/>
                      <w:szCs w:val="21"/>
                    </w:rPr>
                    <w:t>1105.00</w:t>
                  </w:r>
                </w:p>
              </w:tc>
              <w:tc>
                <w:tcPr>
                  <w:tcW w:w="733" w:type="pct"/>
                  <w:vAlign w:val="center"/>
                </w:tcPr>
                <w:p w14:paraId="21305EDF">
                  <w:pPr>
                    <w:pStyle w:val="103"/>
                    <w:rPr>
                      <w:rFonts w:hint="default" w:eastAsia="宋体"/>
                      <w:b/>
                      <w:bCs/>
                      <w:sz w:val="21"/>
                      <w:szCs w:val="21"/>
                      <w:lang w:val="en-US" w:eastAsia="zh-CN"/>
                    </w:rPr>
                  </w:pPr>
                  <w:r>
                    <w:rPr>
                      <w:rFonts w:hint="eastAsia"/>
                      <w:b/>
                      <w:bCs/>
                      <w:sz w:val="21"/>
                      <w:szCs w:val="21"/>
                      <w:lang w:val="en-US" w:eastAsia="zh-CN"/>
                    </w:rPr>
                    <w:t>1440</w:t>
                  </w:r>
                </w:p>
              </w:tc>
            </w:tr>
            <w:tr w14:paraId="36A201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tblHeader/>
                <w:jc w:val="center"/>
              </w:trPr>
              <w:tc>
                <w:tcPr>
                  <w:tcW w:w="604" w:type="pct"/>
                  <w:vAlign w:val="center"/>
                </w:tcPr>
                <w:p w14:paraId="7AB95C54">
                  <w:pPr>
                    <w:pStyle w:val="103"/>
                    <w:rPr>
                      <w:sz w:val="21"/>
                      <w:szCs w:val="21"/>
                    </w:rPr>
                  </w:pPr>
                  <w:r>
                    <w:rPr>
                      <w:rFonts w:hint="eastAsia"/>
                      <w:sz w:val="21"/>
                      <w:szCs w:val="21"/>
                    </w:rPr>
                    <w:t>(一)</w:t>
                  </w:r>
                </w:p>
              </w:tc>
              <w:tc>
                <w:tcPr>
                  <w:tcW w:w="1393" w:type="pct"/>
                  <w:vAlign w:val="center"/>
                </w:tcPr>
                <w:p w14:paraId="34180006">
                  <w:pPr>
                    <w:pStyle w:val="103"/>
                    <w:rPr>
                      <w:sz w:val="21"/>
                      <w:szCs w:val="21"/>
                    </w:rPr>
                  </w:pPr>
                  <w:r>
                    <w:rPr>
                      <w:rFonts w:hint="eastAsia"/>
                      <w:sz w:val="21"/>
                      <w:szCs w:val="21"/>
                    </w:rPr>
                    <w:t>闸室段</w:t>
                  </w:r>
                </w:p>
              </w:tc>
              <w:tc>
                <w:tcPr>
                  <w:tcW w:w="862" w:type="pct"/>
                  <w:vAlign w:val="center"/>
                </w:tcPr>
                <w:p w14:paraId="17C5A340">
                  <w:pPr>
                    <w:pStyle w:val="103"/>
                    <w:rPr>
                      <w:sz w:val="21"/>
                      <w:szCs w:val="21"/>
                    </w:rPr>
                  </w:pPr>
                  <w:r>
                    <w:rPr>
                      <w:rFonts w:hint="eastAsia"/>
                      <w:sz w:val="21"/>
                      <w:szCs w:val="21"/>
                    </w:rPr>
                    <w:t>2125.00</w:t>
                  </w:r>
                  <w:r>
                    <w:rPr>
                      <w:rFonts w:hint="eastAsia"/>
                      <w:sz w:val="21"/>
                      <w:szCs w:val="21"/>
                      <w:lang w:eastAsia="zh-CN"/>
                    </w:rPr>
                    <w:t>（</w:t>
                  </w:r>
                  <w:r>
                    <w:rPr>
                      <w:rFonts w:hint="eastAsia"/>
                      <w:sz w:val="21"/>
                      <w:szCs w:val="21"/>
                      <w:lang w:val="en-US" w:eastAsia="zh-CN"/>
                    </w:rPr>
                    <w:t>100m</w:t>
                  </w:r>
                  <w:r>
                    <w:rPr>
                      <w:rFonts w:hint="eastAsia"/>
                      <w:sz w:val="21"/>
                      <w:szCs w:val="21"/>
                      <w:vertAlign w:val="superscript"/>
                      <w:lang w:val="en-US" w:eastAsia="zh-CN"/>
                    </w:rPr>
                    <w:t>3</w:t>
                  </w:r>
                  <w:r>
                    <w:rPr>
                      <w:rFonts w:hint="eastAsia"/>
                      <w:sz w:val="21"/>
                      <w:szCs w:val="21"/>
                      <w:lang w:eastAsia="zh-CN"/>
                    </w:rPr>
                    <w:t>为淤泥）</w:t>
                  </w:r>
                </w:p>
              </w:tc>
              <w:tc>
                <w:tcPr>
                  <w:tcW w:w="671" w:type="pct"/>
                  <w:noWrap/>
                  <w:vAlign w:val="center"/>
                </w:tcPr>
                <w:p w14:paraId="14148327">
                  <w:pPr>
                    <w:pStyle w:val="103"/>
                    <w:rPr>
                      <w:rFonts w:hint="eastAsia" w:eastAsia="宋体"/>
                      <w:sz w:val="21"/>
                      <w:szCs w:val="21"/>
                      <w:lang w:val="en-US" w:eastAsia="zh-CN"/>
                    </w:rPr>
                  </w:pPr>
                  <w:r>
                    <w:rPr>
                      <w:rFonts w:hint="eastAsia"/>
                      <w:sz w:val="21"/>
                      <w:szCs w:val="21"/>
                      <w:lang w:val="en-US" w:eastAsia="zh-CN"/>
                    </w:rPr>
                    <w:t>0</w:t>
                  </w:r>
                </w:p>
              </w:tc>
              <w:tc>
                <w:tcPr>
                  <w:tcW w:w="733" w:type="pct"/>
                  <w:vAlign w:val="center"/>
                </w:tcPr>
                <w:p w14:paraId="71F82BC8">
                  <w:pPr>
                    <w:pStyle w:val="103"/>
                    <w:rPr>
                      <w:sz w:val="21"/>
                      <w:szCs w:val="21"/>
                    </w:rPr>
                  </w:pPr>
                  <w:r>
                    <w:rPr>
                      <w:rFonts w:hint="eastAsia"/>
                      <w:sz w:val="21"/>
                      <w:szCs w:val="21"/>
                    </w:rPr>
                    <w:t>1105.00</w:t>
                  </w:r>
                </w:p>
              </w:tc>
              <w:tc>
                <w:tcPr>
                  <w:tcW w:w="733" w:type="pct"/>
                  <w:vAlign w:val="center"/>
                </w:tcPr>
                <w:p w14:paraId="3F47C430">
                  <w:pPr>
                    <w:pStyle w:val="103"/>
                    <w:rPr>
                      <w:rFonts w:hint="default" w:eastAsia="宋体"/>
                      <w:sz w:val="21"/>
                      <w:szCs w:val="21"/>
                      <w:lang w:val="en-US" w:eastAsia="zh-CN"/>
                    </w:rPr>
                  </w:pPr>
                  <w:r>
                    <w:rPr>
                      <w:rFonts w:hint="eastAsia"/>
                      <w:sz w:val="21"/>
                      <w:szCs w:val="21"/>
                      <w:lang w:val="en-US" w:eastAsia="zh-CN"/>
                    </w:rPr>
                    <w:t>1020</w:t>
                  </w:r>
                </w:p>
              </w:tc>
            </w:tr>
            <w:tr w14:paraId="1EC12F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tblHeader/>
                <w:jc w:val="center"/>
              </w:trPr>
              <w:tc>
                <w:tcPr>
                  <w:tcW w:w="604" w:type="pct"/>
                  <w:vAlign w:val="center"/>
                </w:tcPr>
                <w:p w14:paraId="22E50816">
                  <w:pPr>
                    <w:pStyle w:val="103"/>
                    <w:rPr>
                      <w:sz w:val="21"/>
                      <w:szCs w:val="21"/>
                    </w:rPr>
                  </w:pPr>
                  <w:r>
                    <w:rPr>
                      <w:rFonts w:hint="eastAsia"/>
                      <w:sz w:val="21"/>
                      <w:szCs w:val="21"/>
                    </w:rPr>
                    <w:t>(二)</w:t>
                  </w:r>
                </w:p>
              </w:tc>
              <w:tc>
                <w:tcPr>
                  <w:tcW w:w="1393" w:type="pct"/>
                  <w:vAlign w:val="center"/>
                </w:tcPr>
                <w:p w14:paraId="4774098F">
                  <w:pPr>
                    <w:pStyle w:val="103"/>
                    <w:rPr>
                      <w:sz w:val="21"/>
                      <w:szCs w:val="21"/>
                    </w:rPr>
                  </w:pPr>
                  <w:r>
                    <w:rPr>
                      <w:rFonts w:hint="eastAsia"/>
                      <w:sz w:val="21"/>
                      <w:szCs w:val="21"/>
                    </w:rPr>
                    <w:t>铺盖</w:t>
                  </w:r>
                </w:p>
              </w:tc>
              <w:tc>
                <w:tcPr>
                  <w:tcW w:w="862" w:type="pct"/>
                  <w:vAlign w:val="center"/>
                </w:tcPr>
                <w:p w14:paraId="499F9D6C">
                  <w:pPr>
                    <w:pStyle w:val="103"/>
                    <w:rPr>
                      <w:sz w:val="21"/>
                      <w:szCs w:val="21"/>
                    </w:rPr>
                  </w:pPr>
                  <w:r>
                    <w:rPr>
                      <w:rFonts w:hint="eastAsia"/>
                      <w:sz w:val="21"/>
                      <w:szCs w:val="21"/>
                    </w:rPr>
                    <w:t>85.00</w:t>
                  </w:r>
                </w:p>
              </w:tc>
              <w:tc>
                <w:tcPr>
                  <w:tcW w:w="671" w:type="pct"/>
                  <w:vAlign w:val="center"/>
                </w:tcPr>
                <w:p w14:paraId="0B671659">
                  <w:pPr>
                    <w:pStyle w:val="103"/>
                    <w:rPr>
                      <w:sz w:val="21"/>
                      <w:szCs w:val="21"/>
                    </w:rPr>
                  </w:pPr>
                  <w:r>
                    <w:rPr>
                      <w:rFonts w:hint="eastAsia"/>
                      <w:sz w:val="21"/>
                      <w:szCs w:val="21"/>
                    </w:rPr>
                    <w:t>29.00</w:t>
                  </w:r>
                </w:p>
              </w:tc>
              <w:tc>
                <w:tcPr>
                  <w:tcW w:w="733" w:type="pct"/>
                  <w:noWrap/>
                  <w:vAlign w:val="center"/>
                </w:tcPr>
                <w:p w14:paraId="0CD10D35">
                  <w:pPr>
                    <w:pStyle w:val="103"/>
                    <w:rPr>
                      <w:rFonts w:hint="eastAsia" w:eastAsia="宋体"/>
                      <w:sz w:val="21"/>
                      <w:szCs w:val="21"/>
                      <w:lang w:val="en-US" w:eastAsia="zh-CN"/>
                    </w:rPr>
                  </w:pPr>
                  <w:r>
                    <w:rPr>
                      <w:rFonts w:hint="eastAsia"/>
                      <w:sz w:val="21"/>
                      <w:szCs w:val="21"/>
                      <w:lang w:val="en-US" w:eastAsia="zh-CN"/>
                    </w:rPr>
                    <w:t>0</w:t>
                  </w:r>
                </w:p>
              </w:tc>
              <w:tc>
                <w:tcPr>
                  <w:tcW w:w="733" w:type="pct"/>
                  <w:noWrap/>
                  <w:vAlign w:val="center"/>
                </w:tcPr>
                <w:p w14:paraId="7F4DE8EB">
                  <w:pPr>
                    <w:pStyle w:val="103"/>
                    <w:rPr>
                      <w:rFonts w:hint="default" w:eastAsia="宋体"/>
                      <w:sz w:val="21"/>
                      <w:szCs w:val="21"/>
                      <w:lang w:val="en-US" w:eastAsia="zh-CN"/>
                    </w:rPr>
                  </w:pPr>
                  <w:r>
                    <w:rPr>
                      <w:rFonts w:hint="eastAsia"/>
                      <w:sz w:val="21"/>
                      <w:szCs w:val="21"/>
                      <w:lang w:val="en-US" w:eastAsia="zh-CN"/>
                    </w:rPr>
                    <w:t>56</w:t>
                  </w:r>
                </w:p>
              </w:tc>
            </w:tr>
            <w:tr w14:paraId="6FC783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tblHeader/>
                <w:jc w:val="center"/>
              </w:trPr>
              <w:tc>
                <w:tcPr>
                  <w:tcW w:w="604" w:type="pct"/>
                  <w:vAlign w:val="center"/>
                </w:tcPr>
                <w:p w14:paraId="1AF64988">
                  <w:pPr>
                    <w:pStyle w:val="103"/>
                    <w:rPr>
                      <w:sz w:val="21"/>
                      <w:szCs w:val="21"/>
                    </w:rPr>
                  </w:pPr>
                  <w:r>
                    <w:rPr>
                      <w:rFonts w:hint="eastAsia"/>
                      <w:sz w:val="21"/>
                      <w:szCs w:val="21"/>
                    </w:rPr>
                    <w:t>(三)</w:t>
                  </w:r>
                </w:p>
              </w:tc>
              <w:tc>
                <w:tcPr>
                  <w:tcW w:w="1393" w:type="pct"/>
                  <w:vAlign w:val="center"/>
                </w:tcPr>
                <w:p w14:paraId="756FA93D">
                  <w:pPr>
                    <w:pStyle w:val="103"/>
                    <w:rPr>
                      <w:sz w:val="21"/>
                      <w:szCs w:val="21"/>
                    </w:rPr>
                  </w:pPr>
                  <w:r>
                    <w:rPr>
                      <w:rFonts w:hint="eastAsia"/>
                      <w:sz w:val="21"/>
                      <w:szCs w:val="21"/>
                    </w:rPr>
                    <w:t>消力池</w:t>
                  </w:r>
                </w:p>
              </w:tc>
              <w:tc>
                <w:tcPr>
                  <w:tcW w:w="862" w:type="pct"/>
                  <w:vAlign w:val="center"/>
                </w:tcPr>
                <w:p w14:paraId="57BC8A43">
                  <w:pPr>
                    <w:pStyle w:val="103"/>
                    <w:rPr>
                      <w:sz w:val="21"/>
                      <w:szCs w:val="21"/>
                    </w:rPr>
                  </w:pPr>
                  <w:r>
                    <w:rPr>
                      <w:rFonts w:hint="eastAsia"/>
                      <w:sz w:val="21"/>
                      <w:szCs w:val="21"/>
                    </w:rPr>
                    <w:t>221.00</w:t>
                  </w:r>
                </w:p>
              </w:tc>
              <w:tc>
                <w:tcPr>
                  <w:tcW w:w="671" w:type="pct"/>
                  <w:vAlign w:val="center"/>
                </w:tcPr>
                <w:p w14:paraId="771104FA">
                  <w:pPr>
                    <w:pStyle w:val="103"/>
                    <w:rPr>
                      <w:sz w:val="21"/>
                      <w:szCs w:val="21"/>
                    </w:rPr>
                  </w:pPr>
                  <w:r>
                    <w:rPr>
                      <w:rFonts w:hint="eastAsia"/>
                      <w:sz w:val="21"/>
                      <w:szCs w:val="21"/>
                    </w:rPr>
                    <w:t>29.00</w:t>
                  </w:r>
                </w:p>
              </w:tc>
              <w:tc>
                <w:tcPr>
                  <w:tcW w:w="733" w:type="pct"/>
                  <w:noWrap/>
                  <w:vAlign w:val="center"/>
                </w:tcPr>
                <w:p w14:paraId="62F8E673">
                  <w:pPr>
                    <w:pStyle w:val="103"/>
                    <w:rPr>
                      <w:rFonts w:hint="eastAsia" w:eastAsia="宋体"/>
                      <w:sz w:val="21"/>
                      <w:szCs w:val="21"/>
                      <w:lang w:val="en-US" w:eastAsia="zh-CN"/>
                    </w:rPr>
                  </w:pPr>
                  <w:r>
                    <w:rPr>
                      <w:rFonts w:hint="eastAsia"/>
                      <w:sz w:val="21"/>
                      <w:szCs w:val="21"/>
                      <w:lang w:val="en-US" w:eastAsia="zh-CN"/>
                    </w:rPr>
                    <w:t>0</w:t>
                  </w:r>
                </w:p>
              </w:tc>
              <w:tc>
                <w:tcPr>
                  <w:tcW w:w="733" w:type="pct"/>
                  <w:noWrap/>
                  <w:vAlign w:val="center"/>
                </w:tcPr>
                <w:p w14:paraId="4B8E74F9">
                  <w:pPr>
                    <w:pStyle w:val="103"/>
                    <w:rPr>
                      <w:rFonts w:hint="default" w:eastAsia="宋体"/>
                      <w:sz w:val="21"/>
                      <w:szCs w:val="21"/>
                      <w:lang w:val="en-US" w:eastAsia="zh-CN"/>
                    </w:rPr>
                  </w:pPr>
                  <w:r>
                    <w:rPr>
                      <w:rFonts w:hint="eastAsia"/>
                      <w:sz w:val="21"/>
                      <w:szCs w:val="21"/>
                      <w:lang w:val="en-US" w:eastAsia="zh-CN"/>
                    </w:rPr>
                    <w:t>192</w:t>
                  </w:r>
                </w:p>
              </w:tc>
            </w:tr>
            <w:tr w14:paraId="516F1B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tblHeader/>
                <w:jc w:val="center"/>
              </w:trPr>
              <w:tc>
                <w:tcPr>
                  <w:tcW w:w="604" w:type="pct"/>
                  <w:vAlign w:val="center"/>
                </w:tcPr>
                <w:p w14:paraId="01810700">
                  <w:pPr>
                    <w:pStyle w:val="103"/>
                    <w:rPr>
                      <w:sz w:val="21"/>
                      <w:szCs w:val="21"/>
                    </w:rPr>
                  </w:pPr>
                  <w:r>
                    <w:rPr>
                      <w:rFonts w:hint="eastAsia"/>
                      <w:sz w:val="21"/>
                      <w:szCs w:val="21"/>
                    </w:rPr>
                    <w:t>(四)</w:t>
                  </w:r>
                </w:p>
              </w:tc>
              <w:tc>
                <w:tcPr>
                  <w:tcW w:w="1393" w:type="pct"/>
                  <w:vAlign w:val="center"/>
                </w:tcPr>
                <w:p w14:paraId="4DF63A22">
                  <w:pPr>
                    <w:pStyle w:val="103"/>
                    <w:rPr>
                      <w:sz w:val="21"/>
                      <w:szCs w:val="21"/>
                    </w:rPr>
                  </w:pPr>
                  <w:r>
                    <w:rPr>
                      <w:rFonts w:hint="eastAsia"/>
                      <w:sz w:val="21"/>
                      <w:szCs w:val="21"/>
                    </w:rPr>
                    <w:t>上、下游连接段</w:t>
                  </w:r>
                </w:p>
              </w:tc>
              <w:tc>
                <w:tcPr>
                  <w:tcW w:w="862" w:type="pct"/>
                  <w:vAlign w:val="center"/>
                </w:tcPr>
                <w:p w14:paraId="7A20FE7D">
                  <w:pPr>
                    <w:pStyle w:val="103"/>
                    <w:rPr>
                      <w:sz w:val="21"/>
                      <w:szCs w:val="21"/>
                    </w:rPr>
                  </w:pPr>
                  <w:r>
                    <w:rPr>
                      <w:rFonts w:hint="eastAsia"/>
                      <w:sz w:val="21"/>
                      <w:szCs w:val="21"/>
                    </w:rPr>
                    <w:t>861.00</w:t>
                  </w:r>
                </w:p>
              </w:tc>
              <w:tc>
                <w:tcPr>
                  <w:tcW w:w="671" w:type="pct"/>
                  <w:vAlign w:val="center"/>
                </w:tcPr>
                <w:p w14:paraId="5ECFEDD4">
                  <w:pPr>
                    <w:pStyle w:val="103"/>
                    <w:rPr>
                      <w:sz w:val="21"/>
                      <w:szCs w:val="21"/>
                    </w:rPr>
                  </w:pPr>
                  <w:r>
                    <w:rPr>
                      <w:rFonts w:hint="eastAsia"/>
                      <w:sz w:val="21"/>
                      <w:szCs w:val="21"/>
                    </w:rPr>
                    <w:t>689.00</w:t>
                  </w:r>
                </w:p>
              </w:tc>
              <w:tc>
                <w:tcPr>
                  <w:tcW w:w="733" w:type="pct"/>
                  <w:noWrap/>
                  <w:vAlign w:val="center"/>
                </w:tcPr>
                <w:p w14:paraId="69E3D7EC">
                  <w:pPr>
                    <w:pStyle w:val="103"/>
                    <w:rPr>
                      <w:rFonts w:hint="eastAsia" w:eastAsia="宋体"/>
                      <w:sz w:val="21"/>
                      <w:szCs w:val="21"/>
                      <w:lang w:val="en-US" w:eastAsia="zh-CN"/>
                    </w:rPr>
                  </w:pPr>
                  <w:r>
                    <w:rPr>
                      <w:rFonts w:hint="eastAsia"/>
                      <w:sz w:val="21"/>
                      <w:szCs w:val="21"/>
                      <w:lang w:val="en-US" w:eastAsia="zh-CN"/>
                    </w:rPr>
                    <w:t>0</w:t>
                  </w:r>
                </w:p>
              </w:tc>
              <w:tc>
                <w:tcPr>
                  <w:tcW w:w="733" w:type="pct"/>
                  <w:noWrap/>
                  <w:vAlign w:val="center"/>
                </w:tcPr>
                <w:p w14:paraId="2DA2264B">
                  <w:pPr>
                    <w:pStyle w:val="103"/>
                    <w:rPr>
                      <w:rFonts w:hint="default" w:eastAsia="宋体"/>
                      <w:sz w:val="21"/>
                      <w:szCs w:val="21"/>
                      <w:lang w:val="en-US" w:eastAsia="zh-CN"/>
                    </w:rPr>
                  </w:pPr>
                  <w:r>
                    <w:rPr>
                      <w:rFonts w:hint="eastAsia"/>
                      <w:sz w:val="21"/>
                      <w:szCs w:val="21"/>
                      <w:lang w:val="en-US" w:eastAsia="zh-CN"/>
                    </w:rPr>
                    <w:t>172</w:t>
                  </w:r>
                </w:p>
              </w:tc>
            </w:tr>
            <w:tr w14:paraId="6440A7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tblHeader/>
                <w:jc w:val="center"/>
              </w:trPr>
              <w:tc>
                <w:tcPr>
                  <w:tcW w:w="604" w:type="pct"/>
                  <w:vAlign w:val="center"/>
                </w:tcPr>
                <w:p w14:paraId="697AA006">
                  <w:pPr>
                    <w:pStyle w:val="103"/>
                    <w:rPr>
                      <w:b/>
                      <w:bCs/>
                      <w:sz w:val="21"/>
                      <w:szCs w:val="21"/>
                    </w:rPr>
                  </w:pPr>
                  <w:r>
                    <w:rPr>
                      <w:rFonts w:hint="eastAsia"/>
                      <w:b/>
                      <w:bCs/>
                      <w:sz w:val="21"/>
                      <w:szCs w:val="21"/>
                    </w:rPr>
                    <w:t>三</w:t>
                  </w:r>
                </w:p>
              </w:tc>
              <w:tc>
                <w:tcPr>
                  <w:tcW w:w="1393" w:type="pct"/>
                  <w:vAlign w:val="center"/>
                </w:tcPr>
                <w:p w14:paraId="205A01AA">
                  <w:pPr>
                    <w:pStyle w:val="103"/>
                    <w:rPr>
                      <w:b/>
                      <w:bCs/>
                      <w:sz w:val="21"/>
                      <w:szCs w:val="21"/>
                    </w:rPr>
                  </w:pPr>
                  <w:r>
                    <w:rPr>
                      <w:rFonts w:hint="eastAsia"/>
                      <w:b/>
                      <w:bCs/>
                      <w:sz w:val="21"/>
                      <w:szCs w:val="21"/>
                    </w:rPr>
                    <w:t>排水涵管（洞）整治</w:t>
                  </w:r>
                </w:p>
              </w:tc>
              <w:tc>
                <w:tcPr>
                  <w:tcW w:w="862" w:type="pct"/>
                  <w:noWrap/>
                  <w:vAlign w:val="center"/>
                </w:tcPr>
                <w:p w14:paraId="37FE976C">
                  <w:pPr>
                    <w:pStyle w:val="103"/>
                    <w:rPr>
                      <w:rFonts w:hint="eastAsia" w:eastAsia="宋体"/>
                      <w:b/>
                      <w:bCs/>
                      <w:sz w:val="21"/>
                      <w:szCs w:val="21"/>
                      <w:lang w:val="en-US" w:eastAsia="zh-CN"/>
                    </w:rPr>
                  </w:pPr>
                  <w:r>
                    <w:rPr>
                      <w:rFonts w:hint="eastAsia"/>
                      <w:b/>
                      <w:bCs/>
                      <w:sz w:val="21"/>
                      <w:szCs w:val="21"/>
                      <w:lang w:val="en-US" w:eastAsia="zh-CN"/>
                    </w:rPr>
                    <w:t>0</w:t>
                  </w:r>
                </w:p>
              </w:tc>
              <w:tc>
                <w:tcPr>
                  <w:tcW w:w="671" w:type="pct"/>
                  <w:noWrap/>
                  <w:vAlign w:val="center"/>
                </w:tcPr>
                <w:p w14:paraId="3D03DAB5">
                  <w:pPr>
                    <w:pStyle w:val="103"/>
                    <w:rPr>
                      <w:rFonts w:hint="eastAsia" w:eastAsia="宋体"/>
                      <w:b/>
                      <w:bCs/>
                      <w:sz w:val="21"/>
                      <w:szCs w:val="21"/>
                      <w:lang w:val="en-US" w:eastAsia="zh-CN"/>
                    </w:rPr>
                  </w:pPr>
                  <w:r>
                    <w:rPr>
                      <w:rFonts w:hint="eastAsia"/>
                      <w:b/>
                      <w:bCs/>
                      <w:sz w:val="21"/>
                      <w:szCs w:val="21"/>
                      <w:lang w:val="en-US" w:eastAsia="zh-CN"/>
                    </w:rPr>
                    <w:t>0</w:t>
                  </w:r>
                </w:p>
              </w:tc>
              <w:tc>
                <w:tcPr>
                  <w:tcW w:w="733" w:type="pct"/>
                  <w:noWrap/>
                  <w:vAlign w:val="center"/>
                </w:tcPr>
                <w:p w14:paraId="57EA2EBD">
                  <w:pPr>
                    <w:pStyle w:val="103"/>
                    <w:rPr>
                      <w:rFonts w:hint="eastAsia" w:eastAsia="宋体"/>
                      <w:b/>
                      <w:bCs/>
                      <w:sz w:val="21"/>
                      <w:szCs w:val="21"/>
                      <w:lang w:val="en-US" w:eastAsia="zh-CN"/>
                    </w:rPr>
                  </w:pPr>
                  <w:r>
                    <w:rPr>
                      <w:rFonts w:hint="eastAsia"/>
                      <w:b/>
                      <w:bCs/>
                      <w:sz w:val="21"/>
                      <w:szCs w:val="21"/>
                      <w:lang w:val="en-US" w:eastAsia="zh-CN"/>
                    </w:rPr>
                    <w:t>0</w:t>
                  </w:r>
                </w:p>
              </w:tc>
              <w:tc>
                <w:tcPr>
                  <w:tcW w:w="733" w:type="pct"/>
                  <w:noWrap/>
                  <w:vAlign w:val="center"/>
                </w:tcPr>
                <w:p w14:paraId="01018241">
                  <w:pPr>
                    <w:pStyle w:val="103"/>
                    <w:rPr>
                      <w:rFonts w:hint="eastAsia" w:eastAsia="宋体"/>
                      <w:b/>
                      <w:bCs/>
                      <w:sz w:val="21"/>
                      <w:szCs w:val="21"/>
                      <w:lang w:val="en-US" w:eastAsia="zh-CN"/>
                    </w:rPr>
                  </w:pPr>
                  <w:r>
                    <w:rPr>
                      <w:rFonts w:hint="eastAsia"/>
                      <w:b/>
                      <w:bCs/>
                      <w:sz w:val="21"/>
                      <w:szCs w:val="21"/>
                      <w:lang w:val="en-US" w:eastAsia="zh-CN"/>
                    </w:rPr>
                    <w:t>0</w:t>
                  </w:r>
                </w:p>
              </w:tc>
            </w:tr>
            <w:tr w14:paraId="260A38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tblHeader/>
                <w:jc w:val="center"/>
              </w:trPr>
              <w:tc>
                <w:tcPr>
                  <w:tcW w:w="604" w:type="pct"/>
                  <w:noWrap/>
                  <w:vAlign w:val="center"/>
                </w:tcPr>
                <w:p w14:paraId="54D55EA0">
                  <w:pPr>
                    <w:pStyle w:val="103"/>
                    <w:rPr>
                      <w:sz w:val="21"/>
                      <w:szCs w:val="21"/>
                    </w:rPr>
                  </w:pPr>
                </w:p>
              </w:tc>
              <w:tc>
                <w:tcPr>
                  <w:tcW w:w="1393" w:type="pct"/>
                  <w:vAlign w:val="center"/>
                </w:tcPr>
                <w:p w14:paraId="189BFE16">
                  <w:pPr>
                    <w:pStyle w:val="103"/>
                    <w:rPr>
                      <w:sz w:val="21"/>
                      <w:szCs w:val="21"/>
                    </w:rPr>
                  </w:pPr>
                  <w:r>
                    <w:rPr>
                      <w:rFonts w:hint="eastAsia"/>
                      <w:sz w:val="21"/>
                      <w:szCs w:val="21"/>
                    </w:rPr>
                    <w:t>合计</w:t>
                  </w:r>
                </w:p>
              </w:tc>
              <w:tc>
                <w:tcPr>
                  <w:tcW w:w="862" w:type="pct"/>
                  <w:vAlign w:val="center"/>
                </w:tcPr>
                <w:p w14:paraId="336F634A">
                  <w:pPr>
                    <w:pStyle w:val="103"/>
                    <w:rPr>
                      <w:rFonts w:hint="eastAsia" w:eastAsia="宋体"/>
                      <w:sz w:val="21"/>
                      <w:szCs w:val="21"/>
                      <w:lang w:val="en-US" w:eastAsia="zh-CN"/>
                    </w:rPr>
                  </w:pPr>
                  <w:r>
                    <w:rPr>
                      <w:rFonts w:hint="eastAsia"/>
                      <w:sz w:val="21"/>
                      <w:szCs w:val="21"/>
                    </w:rPr>
                    <w:t>7973.00</w:t>
                  </w:r>
                  <w:r>
                    <w:rPr>
                      <w:rFonts w:hint="eastAsia"/>
                      <w:sz w:val="21"/>
                      <w:szCs w:val="21"/>
                      <w:lang w:eastAsia="zh-CN"/>
                    </w:rPr>
                    <w:t>（</w:t>
                  </w:r>
                  <w:r>
                    <w:rPr>
                      <w:rFonts w:hint="eastAsia"/>
                      <w:sz w:val="21"/>
                      <w:szCs w:val="21"/>
                      <w:lang w:val="en-US" w:eastAsia="zh-CN"/>
                    </w:rPr>
                    <w:t>4781m</w:t>
                  </w:r>
                  <w:r>
                    <w:rPr>
                      <w:rFonts w:hint="eastAsia"/>
                      <w:sz w:val="21"/>
                      <w:szCs w:val="21"/>
                      <w:vertAlign w:val="superscript"/>
                      <w:lang w:val="en-US" w:eastAsia="zh-CN"/>
                    </w:rPr>
                    <w:t>3</w:t>
                  </w:r>
                  <w:r>
                    <w:rPr>
                      <w:rFonts w:hint="eastAsia"/>
                      <w:sz w:val="21"/>
                      <w:szCs w:val="21"/>
                      <w:vertAlign w:val="baseline"/>
                      <w:lang w:val="en-US" w:eastAsia="zh-CN"/>
                    </w:rPr>
                    <w:t>为淤泥</w:t>
                  </w:r>
                  <w:r>
                    <w:rPr>
                      <w:rFonts w:hint="eastAsia"/>
                      <w:sz w:val="21"/>
                      <w:szCs w:val="21"/>
                      <w:lang w:eastAsia="zh-CN"/>
                    </w:rPr>
                    <w:t>）</w:t>
                  </w:r>
                </w:p>
              </w:tc>
              <w:tc>
                <w:tcPr>
                  <w:tcW w:w="671" w:type="pct"/>
                  <w:vAlign w:val="center"/>
                </w:tcPr>
                <w:p w14:paraId="5340EACB">
                  <w:pPr>
                    <w:pStyle w:val="103"/>
                    <w:rPr>
                      <w:sz w:val="21"/>
                      <w:szCs w:val="21"/>
                    </w:rPr>
                  </w:pPr>
                  <w:r>
                    <w:rPr>
                      <w:rFonts w:hint="eastAsia"/>
                      <w:sz w:val="21"/>
                      <w:szCs w:val="21"/>
                    </w:rPr>
                    <w:t>2115.00</w:t>
                  </w:r>
                </w:p>
              </w:tc>
              <w:tc>
                <w:tcPr>
                  <w:tcW w:w="733" w:type="pct"/>
                  <w:vAlign w:val="center"/>
                </w:tcPr>
                <w:p w14:paraId="7C7C5093">
                  <w:pPr>
                    <w:pStyle w:val="103"/>
                    <w:rPr>
                      <w:sz w:val="21"/>
                      <w:szCs w:val="21"/>
                    </w:rPr>
                  </w:pPr>
                  <w:r>
                    <w:rPr>
                      <w:rFonts w:hint="eastAsia"/>
                      <w:sz w:val="21"/>
                      <w:szCs w:val="21"/>
                    </w:rPr>
                    <w:t>1105.00</w:t>
                  </w:r>
                </w:p>
              </w:tc>
              <w:tc>
                <w:tcPr>
                  <w:tcW w:w="733" w:type="pct"/>
                  <w:vAlign w:val="center"/>
                </w:tcPr>
                <w:p w14:paraId="3921529D">
                  <w:pPr>
                    <w:pStyle w:val="103"/>
                    <w:rPr>
                      <w:rFonts w:hint="default" w:eastAsia="宋体"/>
                      <w:sz w:val="21"/>
                      <w:szCs w:val="21"/>
                      <w:lang w:val="en-US" w:eastAsia="zh-CN"/>
                    </w:rPr>
                  </w:pPr>
                  <w:r>
                    <w:rPr>
                      <w:rFonts w:hint="eastAsia"/>
                      <w:sz w:val="21"/>
                      <w:szCs w:val="21"/>
                      <w:lang w:val="en-US" w:eastAsia="zh-CN"/>
                    </w:rPr>
                    <w:t>4753</w:t>
                  </w:r>
                </w:p>
              </w:tc>
            </w:tr>
          </w:tbl>
          <w:p w14:paraId="5C2E22AD">
            <w:pPr>
              <w:pStyle w:val="44"/>
              <w:numPr>
                <w:ilvl w:val="1"/>
                <w:numId w:val="0"/>
              </w:numPr>
              <w:spacing w:after="156"/>
              <w:jc w:val="both"/>
            </w:pPr>
            <w:r>
              <w:rPr>
                <w:rFonts w:hint="eastAsia"/>
              </w:rPr>
              <w:drawing>
                <wp:inline distT="0" distB="0" distL="114300" distR="114300">
                  <wp:extent cx="5236210" cy="2949575"/>
                  <wp:effectExtent l="0" t="0" r="0" b="0"/>
                  <wp:docPr id="18" name="ECB019B1-382A-4266-B25C-5B523AA43C14-2" descr="C:/Users/Administrator/AppData/Local/Temp/wps.YFGfkX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CB019B1-382A-4266-B25C-5B523AA43C14-2" descr="C:/Users/Administrator/AppData/Local/Temp/wps.YFGfkXwps"/>
                          <pic:cNvPicPr>
                            <a:picLocks noChangeAspect="1"/>
                          </pic:cNvPicPr>
                        </pic:nvPicPr>
                        <pic:blipFill>
                          <a:blip r:embed="rId18"/>
                          <a:stretch>
                            <a:fillRect/>
                          </a:stretch>
                        </pic:blipFill>
                        <pic:spPr>
                          <a:xfrm>
                            <a:off x="0" y="0"/>
                            <a:ext cx="5236210" cy="2949575"/>
                          </a:xfrm>
                          <a:prstGeom prst="rect">
                            <a:avLst/>
                          </a:prstGeom>
                        </pic:spPr>
                      </pic:pic>
                    </a:graphicData>
                  </a:graphic>
                </wp:inline>
              </w:drawing>
            </w:r>
          </w:p>
          <w:p w14:paraId="70F5299A">
            <w:pPr>
              <w:pStyle w:val="44"/>
              <w:spacing w:after="156"/>
            </w:pPr>
            <w:r>
              <w:rPr>
                <w:rFonts w:hint="eastAsia"/>
                <w:bCs/>
              </w:rPr>
              <w:t>本项目土石方平衡流向图（单位：m</w:t>
            </w:r>
            <w:r>
              <w:rPr>
                <w:rFonts w:hint="eastAsia"/>
                <w:bCs/>
                <w:vertAlign w:val="superscript"/>
              </w:rPr>
              <w:t>3</w:t>
            </w:r>
            <w:r>
              <w:rPr>
                <w:rFonts w:hint="eastAsia"/>
                <w:bCs/>
              </w:rPr>
              <w:t>）</w:t>
            </w:r>
          </w:p>
        </w:tc>
      </w:tr>
      <w:tr w14:paraId="795EC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3" w:type="dxa"/>
            <w:tcBorders>
              <w:tl2br w:val="nil"/>
              <w:tr2bl w:val="nil"/>
            </w:tcBorders>
            <w:vAlign w:val="center"/>
          </w:tcPr>
          <w:p w14:paraId="15786021">
            <w:pPr>
              <w:autoSpaceDE w:val="0"/>
              <w:autoSpaceDN w:val="0"/>
              <w:adjustRightInd w:val="0"/>
              <w:snapToGrid w:val="0"/>
              <w:jc w:val="center"/>
              <w:rPr>
                <w:kern w:val="0"/>
                <w:sz w:val="24"/>
              </w:rPr>
            </w:pPr>
            <w:r>
              <w:rPr>
                <w:rFonts w:hint="eastAsia"/>
                <w:kern w:val="0"/>
                <w:sz w:val="24"/>
              </w:rPr>
              <w:t>总平面及现场布置</w:t>
            </w:r>
          </w:p>
        </w:tc>
        <w:tc>
          <w:tcPr>
            <w:tcW w:w="8473" w:type="dxa"/>
            <w:tcBorders>
              <w:tl2br w:val="nil"/>
              <w:tr2bl w:val="nil"/>
            </w:tcBorders>
            <w:vAlign w:val="center"/>
          </w:tcPr>
          <w:p w14:paraId="460C870A">
            <w:pPr>
              <w:pStyle w:val="4"/>
              <w:numPr>
                <w:ilvl w:val="0"/>
                <w:numId w:val="23"/>
              </w:numPr>
            </w:pPr>
            <w:r>
              <w:rPr>
                <w:rFonts w:hint="eastAsia"/>
              </w:rPr>
              <w:t>施工布置</w:t>
            </w:r>
          </w:p>
          <w:p w14:paraId="69A5552F">
            <w:pPr>
              <w:pStyle w:val="36"/>
              <w:ind w:firstLine="480"/>
              <w:rPr>
                <w:rFonts w:hint="default"/>
              </w:rPr>
            </w:pPr>
            <w:r>
              <w:rPr>
                <w:rFonts w:hint="default"/>
              </w:rPr>
              <w:t>（一）施工总布置</w:t>
            </w:r>
            <w:r>
              <w:t>原则</w:t>
            </w:r>
          </w:p>
          <w:p w14:paraId="06C1E204">
            <w:pPr>
              <w:pStyle w:val="36"/>
              <w:ind w:firstLine="480"/>
              <w:rPr>
                <w:rFonts w:hint="default"/>
              </w:rPr>
            </w:pPr>
            <w:r>
              <w:rPr>
                <w:rFonts w:hint="default"/>
              </w:rPr>
              <w:t>（1）因地制宜，有利生产，方便生活，易于管理，安全可靠，经济合理的原则。</w:t>
            </w:r>
          </w:p>
          <w:p w14:paraId="5708632E">
            <w:pPr>
              <w:pStyle w:val="36"/>
              <w:ind w:firstLine="480"/>
              <w:rPr>
                <w:rFonts w:hint="default"/>
              </w:rPr>
            </w:pPr>
            <w:r>
              <w:rPr>
                <w:rFonts w:hint="default"/>
              </w:rPr>
              <w:t>（2）分散与相对集中布置的原则。</w:t>
            </w:r>
          </w:p>
          <w:p w14:paraId="77D1D099">
            <w:pPr>
              <w:pStyle w:val="36"/>
              <w:ind w:firstLine="480"/>
              <w:rPr>
                <w:rFonts w:hint="default"/>
              </w:rPr>
            </w:pPr>
            <w:r>
              <w:rPr>
                <w:rFonts w:hint="default"/>
              </w:rPr>
              <w:t>（3）尽量少占耕地，充分利用荒坡、利用弃渣造地。</w:t>
            </w:r>
          </w:p>
          <w:p w14:paraId="473C6535">
            <w:pPr>
              <w:pStyle w:val="36"/>
              <w:ind w:firstLine="480"/>
              <w:rPr>
                <w:rFonts w:hint="default"/>
              </w:rPr>
            </w:pPr>
            <w:r>
              <w:rPr>
                <w:rFonts w:hint="default"/>
              </w:rPr>
              <w:t>（4）加强环境保护、做好弃渣处理、防止水土流失的原则。</w:t>
            </w:r>
          </w:p>
          <w:p w14:paraId="7303842F">
            <w:pPr>
              <w:pStyle w:val="36"/>
              <w:ind w:firstLine="480"/>
              <w:rPr>
                <w:rFonts w:hint="default"/>
              </w:rPr>
            </w:pPr>
            <w:r>
              <w:rPr>
                <w:rFonts w:hint="default"/>
              </w:rPr>
              <w:t>（二）施工总平面布置</w:t>
            </w:r>
          </w:p>
          <w:p w14:paraId="68F2E86C">
            <w:pPr>
              <w:pStyle w:val="36"/>
              <w:ind w:firstLine="480"/>
              <w:rPr>
                <w:rFonts w:hint="default"/>
              </w:rPr>
            </w:pPr>
            <w:r>
              <w:rPr>
                <w:rFonts w:hint="default"/>
              </w:rPr>
              <w:t>本项目为遂宁市大英县金水河金元场镇山洪沟治理工程，针对</w:t>
            </w:r>
            <w:r>
              <w:t>金元</w:t>
            </w:r>
            <w:r>
              <w:rPr>
                <w:rFonts w:hint="default"/>
              </w:rPr>
              <w:t>镇进行河道整治，项目起点、终点明确，选址建设唯一，项目工程平面布置沿着</w:t>
            </w:r>
            <w:r>
              <w:t>胜利溪和金水</w:t>
            </w:r>
            <w:r>
              <w:rPr>
                <w:rFonts w:hint="default"/>
              </w:rPr>
              <w:t>河自然河岸线进行布置。本工程紧靠金元镇等村居民集中居住区</w:t>
            </w:r>
            <w:r>
              <w:t>，可以</w:t>
            </w:r>
            <w:r>
              <w:rPr>
                <w:rFonts w:hint="default"/>
              </w:rPr>
              <w:t>依托</w:t>
            </w:r>
            <w:r>
              <w:t>金元</w:t>
            </w:r>
            <w:r>
              <w:rPr>
                <w:rFonts w:hint="default"/>
              </w:rPr>
              <w:t>镇现有的机修场所、施工机械维修保养条件和当地提供劳动力资源</w:t>
            </w:r>
            <w:r>
              <w:t>，</w:t>
            </w:r>
            <w:r>
              <w:rPr>
                <w:rFonts w:hint="default"/>
              </w:rPr>
              <w:t>租用附近民房</w:t>
            </w:r>
            <w:r>
              <w:t>和场地作为</w:t>
            </w:r>
            <w:r>
              <w:rPr>
                <w:rFonts w:hint="default"/>
              </w:rPr>
              <w:t>管理用房、生活用房</w:t>
            </w:r>
            <w:r>
              <w:t>、施工场地</w:t>
            </w:r>
            <w:r>
              <w:rPr>
                <w:rFonts w:hint="default"/>
              </w:rPr>
              <w:t>等，尽量减少施工工区系统规模，减少施工占地。</w:t>
            </w:r>
          </w:p>
          <w:p w14:paraId="49CB600F">
            <w:pPr>
              <w:pStyle w:val="4"/>
              <w:numPr>
                <w:ilvl w:val="0"/>
                <w:numId w:val="23"/>
              </w:numPr>
            </w:pPr>
            <w:r>
              <w:rPr>
                <w:rFonts w:hint="eastAsia"/>
              </w:rPr>
              <w:t>施工现场布置</w:t>
            </w:r>
          </w:p>
          <w:p w14:paraId="1A30FDB6">
            <w:pPr>
              <w:pStyle w:val="36"/>
              <w:ind w:firstLine="480"/>
              <w:rPr>
                <w:rFonts w:hint="default"/>
              </w:rPr>
            </w:pPr>
            <w:r>
              <w:t>（一）临时工程</w:t>
            </w:r>
          </w:p>
          <w:p w14:paraId="6481F5EC">
            <w:pPr>
              <w:pStyle w:val="36"/>
              <w:ind w:firstLine="480"/>
              <w:rPr>
                <w:rFonts w:hint="default"/>
              </w:rPr>
            </w:pPr>
            <w:r>
              <w:t>1）施工营地</w:t>
            </w:r>
          </w:p>
          <w:p w14:paraId="68C45186">
            <w:pPr>
              <w:pStyle w:val="36"/>
              <w:ind w:firstLine="480"/>
              <w:rPr>
                <w:rFonts w:hint="default"/>
              </w:rPr>
            </w:pPr>
            <w:r>
              <w:rPr>
                <w:rFonts w:hint="default"/>
              </w:rPr>
              <w:t>本项目建设过程中不设置施工营地，生活办公用房就近租用民房。</w:t>
            </w:r>
          </w:p>
          <w:p w14:paraId="4E786602">
            <w:pPr>
              <w:pStyle w:val="36"/>
              <w:ind w:firstLine="480"/>
              <w:rPr>
                <w:rFonts w:hint="default"/>
              </w:rPr>
            </w:pPr>
            <w:r>
              <w:t>2）施工场地</w:t>
            </w:r>
          </w:p>
          <w:p w14:paraId="7BEE3CE1">
            <w:pPr>
              <w:pStyle w:val="36"/>
              <w:ind w:firstLine="480"/>
              <w:rPr>
                <w:rFonts w:hint="default"/>
              </w:rPr>
            </w:pPr>
            <w:r>
              <w:rPr>
                <w:rFonts w:hint="default"/>
              </w:rPr>
              <w:t>本项目</w:t>
            </w:r>
            <w:r>
              <w:t>通过租用当地村委会闲置的一处空地</w:t>
            </w:r>
            <w:r>
              <w:rPr>
                <w:rFonts w:hint="default"/>
              </w:rPr>
              <w:t>设置施工</w:t>
            </w:r>
            <w:r>
              <w:t>场</w:t>
            </w:r>
            <w:r>
              <w:rPr>
                <w:rFonts w:hint="default"/>
              </w:rPr>
              <w:t>地，主要用于设置</w:t>
            </w:r>
            <w:r>
              <w:t>钢筋加工区</w:t>
            </w:r>
            <w:r>
              <w:rPr>
                <w:rFonts w:hint="default"/>
              </w:rPr>
              <w:t>、材料堆放场、车辆设备停放区、生产区等必要的设施。</w:t>
            </w:r>
          </w:p>
          <w:p w14:paraId="7DA281FD">
            <w:pPr>
              <w:pStyle w:val="36"/>
              <w:ind w:firstLine="480"/>
              <w:rPr>
                <w:rFonts w:hint="default"/>
              </w:rPr>
            </w:pPr>
            <w:r>
              <w:t>3）施工便道</w:t>
            </w:r>
          </w:p>
          <w:p w14:paraId="5E61C9A9">
            <w:pPr>
              <w:pStyle w:val="36"/>
              <w:ind w:firstLine="480"/>
              <w:rPr>
                <w:rFonts w:hint="default"/>
              </w:rPr>
            </w:pPr>
            <w:r>
              <w:t>项目交通以公路运输为主，依托现有已建公路进行运输，所在地交通条件便利，河道沿线存在可以利用道路，工程不额外开辟施工便道。</w:t>
            </w:r>
          </w:p>
          <w:p w14:paraId="688230E2">
            <w:pPr>
              <w:pStyle w:val="36"/>
              <w:ind w:firstLine="480"/>
              <w:rPr>
                <w:rFonts w:hint="default"/>
              </w:rPr>
            </w:pPr>
            <w:r>
              <w:t>4）淤泥堆场</w:t>
            </w:r>
          </w:p>
          <w:p w14:paraId="659A3BCB">
            <w:pPr>
              <w:pStyle w:val="36"/>
              <w:ind w:firstLine="480"/>
              <w:rPr>
                <w:rFonts w:hint="default"/>
              </w:rPr>
            </w:pPr>
            <w:r>
              <w:t>施工进行前对占地范围内耕地进行表土剥离，剥离厚度约30cm，共剥离表土750m</w:t>
            </w:r>
            <w:r>
              <w:rPr>
                <w:vertAlign w:val="superscript"/>
              </w:rPr>
              <w:t>3</w:t>
            </w:r>
            <w:r>
              <w:t>，就近堆放于场地内，全部用于后期绿化覆土。</w:t>
            </w:r>
          </w:p>
          <w:p w14:paraId="68F4D7F3">
            <w:pPr>
              <w:pStyle w:val="36"/>
              <w:ind w:firstLine="480"/>
              <w:rPr>
                <w:rFonts w:hint="default"/>
              </w:rPr>
            </w:pPr>
            <w:r>
              <w:t>本工程土石方开挖总量0.80万m</w:t>
            </w:r>
            <w:r>
              <w:rPr>
                <w:vertAlign w:val="superscript"/>
              </w:rPr>
              <w:t>3</w:t>
            </w:r>
            <w:r>
              <w:t>（自然方，下同），回填总量0.32万m</w:t>
            </w:r>
            <w:r>
              <w:rPr>
                <w:vertAlign w:val="superscript"/>
              </w:rPr>
              <w:t>3</w:t>
            </w:r>
            <w:r>
              <w:t>，通过土石方平衡本工程余方0.48万m</w:t>
            </w:r>
            <w:r>
              <w:rPr>
                <w:vertAlign w:val="superscript"/>
              </w:rPr>
              <w:t>3</w:t>
            </w:r>
            <w:r>
              <w:t>（为河底清淤产生淤泥），余方全部运至施工场地内的淤泥堆场，处理后集中运往金元镇附近田地综合利用。余方中的淤泥饱含有机物，有利于植物生长，可改良农田面积为0.8hm</w:t>
            </w:r>
            <w:r>
              <w:rPr>
                <w:vertAlign w:val="superscript"/>
              </w:rPr>
              <w:t>2</w:t>
            </w:r>
            <w:r>
              <w:t>。</w:t>
            </w:r>
          </w:p>
          <w:p w14:paraId="140D7320">
            <w:pPr>
              <w:pStyle w:val="36"/>
              <w:ind w:firstLine="480"/>
              <w:rPr>
                <w:rFonts w:hint="default"/>
              </w:rPr>
            </w:pPr>
            <w:r>
              <w:t>（二）施工材料</w:t>
            </w:r>
          </w:p>
          <w:p w14:paraId="6306510A">
            <w:pPr>
              <w:pStyle w:val="36"/>
              <w:ind w:firstLine="480"/>
              <w:rPr>
                <w:rFonts w:hint="default"/>
              </w:rPr>
            </w:pPr>
            <w:r>
              <w:t>1）混凝土料</w:t>
            </w:r>
          </w:p>
          <w:p w14:paraId="045FD23D">
            <w:pPr>
              <w:pStyle w:val="36"/>
              <w:ind w:firstLine="480"/>
              <w:rPr>
                <w:rFonts w:hint="default"/>
              </w:rPr>
            </w:pPr>
            <w:r>
              <w:rPr>
                <w:rFonts w:hint="default"/>
              </w:rPr>
              <w:t>本工程所需混凝土料3723m</w:t>
            </w:r>
            <w:r>
              <w:rPr>
                <w:rFonts w:hint="default"/>
                <w:vertAlign w:val="superscript"/>
              </w:rPr>
              <w:t>3</w:t>
            </w:r>
            <w:r>
              <w:rPr>
                <w:rFonts w:hint="default"/>
              </w:rPr>
              <w:t>。本次</w:t>
            </w:r>
            <w:r>
              <w:t>工程</w:t>
            </w:r>
            <w:r>
              <w:rPr>
                <w:rFonts w:hint="default"/>
              </w:rPr>
              <w:t>采用商品砼，据调查可知，在遂宁市大英县购买，综合运距12公里。该地区商品砼大量使用于各类工程建设，满足工程用料需求，交通便利，有公路连通。</w:t>
            </w:r>
          </w:p>
          <w:p w14:paraId="6B112D53">
            <w:pPr>
              <w:pStyle w:val="36"/>
              <w:ind w:firstLine="480"/>
              <w:rPr>
                <w:rFonts w:hint="default"/>
              </w:rPr>
            </w:pPr>
            <w:r>
              <w:t>2）砂砾石、大卵石料</w:t>
            </w:r>
          </w:p>
          <w:p w14:paraId="0D04A7B7">
            <w:pPr>
              <w:pStyle w:val="36"/>
              <w:ind w:firstLine="480"/>
              <w:rPr>
                <w:rFonts w:hint="default"/>
              </w:rPr>
            </w:pPr>
            <w:r>
              <w:rPr>
                <w:rFonts w:hint="default"/>
              </w:rPr>
              <w:t>本工程需求砂砾石2009.54m</w:t>
            </w:r>
            <w:r>
              <w:rPr>
                <w:rFonts w:hint="default"/>
                <w:vertAlign w:val="superscript"/>
              </w:rPr>
              <w:t>3</w:t>
            </w:r>
            <w:r>
              <w:rPr>
                <w:rFonts w:hint="default"/>
              </w:rPr>
              <w:t>，大卵石3306m</w:t>
            </w:r>
            <w:r>
              <w:rPr>
                <w:rFonts w:hint="default"/>
                <w:vertAlign w:val="superscript"/>
              </w:rPr>
              <w:t>3</w:t>
            </w:r>
            <w:r>
              <w:rPr>
                <w:rFonts w:hint="default"/>
              </w:rPr>
              <w:t>，主要用于基础处理、格宾石笼装填。经过调查，通过储量、质量、运距的综合对比，在遂宁市船山区进行购买，储量及质量满足设计及规范要求，交通便利，综合运距40km。</w:t>
            </w:r>
          </w:p>
          <w:p w14:paraId="06A2D3F4">
            <w:pPr>
              <w:pStyle w:val="36"/>
              <w:ind w:firstLine="480"/>
              <w:rPr>
                <w:rFonts w:hint="default"/>
              </w:rPr>
            </w:pPr>
            <w:r>
              <w:t>3）汽油、柴油</w:t>
            </w:r>
          </w:p>
          <w:p w14:paraId="2FA9DB28">
            <w:pPr>
              <w:pStyle w:val="36"/>
              <w:ind w:firstLine="480"/>
              <w:rPr>
                <w:rFonts w:hint="default"/>
              </w:rPr>
            </w:pPr>
            <w:r>
              <w:rPr>
                <w:rFonts w:hint="default"/>
              </w:rPr>
              <w:t>汽油、柴油可在施工区附近场镇的加油站购买。现场不设置汽油、柴油库。</w:t>
            </w:r>
          </w:p>
          <w:p w14:paraId="22496B1E">
            <w:pPr>
              <w:pStyle w:val="36"/>
              <w:ind w:firstLine="480"/>
              <w:rPr>
                <w:rFonts w:hint="default"/>
              </w:rPr>
            </w:pPr>
            <w:r>
              <w:t>（三）施工供水、供电</w:t>
            </w:r>
          </w:p>
          <w:p w14:paraId="759F32B7">
            <w:pPr>
              <w:pStyle w:val="36"/>
              <w:ind w:firstLine="480"/>
              <w:rPr>
                <w:rFonts w:hint="default"/>
              </w:rPr>
            </w:pPr>
            <w:r>
              <w:rPr>
                <w:rFonts w:hint="default"/>
              </w:rPr>
              <w:t>施工供水：施工生产用水可直接抽取河道内的水，配备水泵抽取河水，根据现场生产需要进行布置；生活用水可依托租赁民房的饮自来水。</w:t>
            </w:r>
          </w:p>
          <w:p w14:paraId="776987FE">
            <w:pPr>
              <w:pStyle w:val="36"/>
              <w:ind w:firstLine="480"/>
              <w:rPr>
                <w:rFonts w:hint="default"/>
              </w:rPr>
            </w:pPr>
            <w:r>
              <w:rPr>
                <w:rFonts w:hint="default"/>
              </w:rPr>
              <w:t>施工供电：由当地电网接入，备用柴油发电机作施工用电电源，根据现场生产需要进行布置。</w:t>
            </w:r>
          </w:p>
          <w:p w14:paraId="269322AC">
            <w:pPr>
              <w:pStyle w:val="4"/>
              <w:numPr>
                <w:ilvl w:val="0"/>
                <w:numId w:val="23"/>
              </w:numPr>
            </w:pPr>
            <w:r>
              <w:rPr>
                <w:rFonts w:hint="eastAsia"/>
              </w:rPr>
              <w:t>工程占地</w:t>
            </w:r>
          </w:p>
          <w:p w14:paraId="75A5DCA6">
            <w:pPr>
              <w:pStyle w:val="36"/>
              <w:ind w:firstLine="480"/>
              <w:rPr>
                <w:rFonts w:hint="default"/>
              </w:rPr>
            </w:pPr>
            <w:r>
              <w:rPr>
                <w:rFonts w:hint="default" w:cs="Times New Roman"/>
                <w:color w:val="auto"/>
                <w:highlight w:val="none"/>
                <w:lang w:val="en-US" w:eastAsia="zh-CN"/>
              </w:rPr>
              <w:t>本工程征占用各类土地共计</w:t>
            </w:r>
            <w:r>
              <w:rPr>
                <w:rFonts w:hint="eastAsia" w:cs="Times New Roman"/>
                <w:color w:val="auto"/>
                <w:highlight w:val="none"/>
                <w:lang w:val="en-US" w:eastAsia="zh-CN"/>
              </w:rPr>
              <w:t>15105.94m</w:t>
            </w:r>
            <w:r>
              <w:rPr>
                <w:rFonts w:hint="eastAsia" w:cs="Times New Roman"/>
                <w:color w:val="auto"/>
                <w:highlight w:val="none"/>
                <w:vertAlign w:val="superscript"/>
                <w:lang w:val="en-US" w:eastAsia="zh-CN"/>
              </w:rPr>
              <w:t>2</w:t>
            </w:r>
            <w:r>
              <w:rPr>
                <w:rFonts w:hint="default" w:cs="Times New Roman"/>
                <w:color w:val="auto"/>
                <w:highlight w:val="none"/>
                <w:lang w:val="en-US" w:eastAsia="zh-CN"/>
              </w:rPr>
              <w:t>，其中永久占地</w:t>
            </w:r>
            <w:r>
              <w:rPr>
                <w:rFonts w:hint="eastAsia" w:cs="Times New Roman"/>
                <w:color w:val="auto"/>
                <w:highlight w:val="none"/>
                <w:lang w:val="en-US" w:eastAsia="zh-CN"/>
              </w:rPr>
              <w:t>14041.72m</w:t>
            </w:r>
            <w:r>
              <w:rPr>
                <w:rFonts w:hint="eastAsia" w:cs="Times New Roman"/>
                <w:color w:val="auto"/>
                <w:highlight w:val="none"/>
                <w:vertAlign w:val="superscript"/>
                <w:lang w:val="en-US" w:eastAsia="zh-CN"/>
              </w:rPr>
              <w:t>2</w:t>
            </w:r>
            <w:r>
              <w:rPr>
                <w:rFonts w:hint="default" w:cs="Times New Roman"/>
                <w:color w:val="auto"/>
                <w:highlight w:val="none"/>
                <w:lang w:val="en-US" w:eastAsia="zh-CN"/>
              </w:rPr>
              <w:t>，临时占地</w:t>
            </w:r>
            <w:r>
              <w:rPr>
                <w:rFonts w:hint="eastAsia" w:cs="Times New Roman"/>
                <w:color w:val="auto"/>
                <w:highlight w:val="none"/>
                <w:lang w:val="en-US" w:eastAsia="zh-CN"/>
              </w:rPr>
              <w:t>1064.22m</w:t>
            </w:r>
            <w:r>
              <w:rPr>
                <w:rFonts w:hint="eastAsia" w:cs="Times New Roman"/>
                <w:color w:val="auto"/>
                <w:highlight w:val="none"/>
                <w:vertAlign w:val="superscript"/>
                <w:lang w:val="en-US" w:eastAsia="zh-CN"/>
              </w:rPr>
              <w:t>2</w:t>
            </w:r>
            <w:r>
              <w:rPr>
                <w:rFonts w:hint="default" w:cs="Times New Roman"/>
                <w:color w:val="auto"/>
                <w:highlight w:val="none"/>
                <w:lang w:val="en-US" w:eastAsia="zh-CN"/>
              </w:rPr>
              <w:t>。</w:t>
            </w:r>
            <w:r>
              <w:rPr>
                <w:rFonts w:hint="default"/>
              </w:rPr>
              <w:t>工程占地范围内不涉及基本农田、</w:t>
            </w:r>
            <w:r>
              <w:t>天然林、</w:t>
            </w:r>
            <w:r>
              <w:rPr>
                <w:rFonts w:hint="default"/>
              </w:rPr>
              <w:t>不涉及文物古迹</w:t>
            </w:r>
            <w:r>
              <w:t>等</w:t>
            </w:r>
            <w:r>
              <w:rPr>
                <w:rFonts w:hint="default"/>
              </w:rPr>
              <w:t>。项目土地利用现状如下表。</w:t>
            </w:r>
          </w:p>
          <w:p w14:paraId="770EC709">
            <w:pPr>
              <w:pStyle w:val="43"/>
              <w:spacing w:before="156"/>
              <w:rPr>
                <w:bCs/>
              </w:rPr>
            </w:pPr>
            <w:r>
              <w:rPr>
                <w:rFonts w:hint="eastAsia"/>
                <w:bCs/>
              </w:rPr>
              <w:t>本项目工程占地表</w:t>
            </w:r>
          </w:p>
          <w:tbl>
            <w:tblPr>
              <w:tblStyle w:val="105"/>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31"/>
              <w:gridCol w:w="2129"/>
              <w:gridCol w:w="742"/>
              <w:gridCol w:w="1717"/>
              <w:gridCol w:w="1829"/>
              <w:gridCol w:w="1499"/>
            </w:tblGrid>
            <w:tr w14:paraId="0CA7C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0" w:type="pct"/>
                  <w:vMerge w:val="restart"/>
                  <w:noWrap/>
                  <w:vAlign w:val="center"/>
                </w:tcPr>
                <w:p w14:paraId="5B37EEA4">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序号</w:t>
                  </w:r>
                </w:p>
              </w:tc>
              <w:tc>
                <w:tcPr>
                  <w:tcW w:w="1290" w:type="pct"/>
                  <w:vMerge w:val="restart"/>
                  <w:noWrap/>
                  <w:vAlign w:val="center"/>
                </w:tcPr>
                <w:p w14:paraId="55134BFE">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项目</w:t>
                  </w:r>
                </w:p>
              </w:tc>
              <w:tc>
                <w:tcPr>
                  <w:tcW w:w="449" w:type="pct"/>
                  <w:vMerge w:val="restart"/>
                  <w:noWrap/>
                  <w:vAlign w:val="center"/>
                </w:tcPr>
                <w:p w14:paraId="5401FAF2">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单位</w:t>
                  </w:r>
                </w:p>
              </w:tc>
              <w:tc>
                <w:tcPr>
                  <w:tcW w:w="1040" w:type="pct"/>
                  <w:noWrap/>
                  <w:vAlign w:val="center"/>
                </w:tcPr>
                <w:p w14:paraId="2F5809EA">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永久用地</w:t>
                  </w:r>
                </w:p>
              </w:tc>
              <w:tc>
                <w:tcPr>
                  <w:tcW w:w="1108" w:type="pct"/>
                  <w:noWrap/>
                  <w:vAlign w:val="center"/>
                </w:tcPr>
                <w:p w14:paraId="14CF876B">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临时用地区</w:t>
                  </w:r>
                </w:p>
              </w:tc>
              <w:tc>
                <w:tcPr>
                  <w:tcW w:w="908" w:type="pct"/>
                  <w:vMerge w:val="restart"/>
                  <w:noWrap/>
                  <w:vAlign w:val="center"/>
                </w:tcPr>
                <w:p w14:paraId="2275ECBF">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合计</w:t>
                  </w:r>
                </w:p>
              </w:tc>
            </w:tr>
            <w:tr w14:paraId="63058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0" w:type="pct"/>
                  <w:vMerge w:val="continue"/>
                  <w:vAlign w:val="center"/>
                </w:tcPr>
                <w:p w14:paraId="4674CCF1">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rPr>
                  </w:pPr>
                </w:p>
              </w:tc>
              <w:tc>
                <w:tcPr>
                  <w:tcW w:w="1290" w:type="pct"/>
                  <w:vMerge w:val="continue"/>
                  <w:vAlign w:val="center"/>
                </w:tcPr>
                <w:p w14:paraId="0213041A">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rPr>
                  </w:pPr>
                </w:p>
              </w:tc>
              <w:tc>
                <w:tcPr>
                  <w:tcW w:w="449" w:type="pct"/>
                  <w:vMerge w:val="continue"/>
                  <w:vAlign w:val="center"/>
                </w:tcPr>
                <w:p w14:paraId="2E8E5EEE">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rPr>
                  </w:pPr>
                </w:p>
              </w:tc>
              <w:tc>
                <w:tcPr>
                  <w:tcW w:w="1040" w:type="pct"/>
                  <w:noWrap/>
                  <w:vAlign w:val="center"/>
                </w:tcPr>
                <w:p w14:paraId="1A0422DE">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主体工程</w:t>
                  </w:r>
                </w:p>
              </w:tc>
              <w:tc>
                <w:tcPr>
                  <w:tcW w:w="1108" w:type="pct"/>
                  <w:noWrap/>
                  <w:vAlign w:val="center"/>
                </w:tcPr>
                <w:p w14:paraId="71F46288">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施工临时场地</w:t>
                  </w:r>
                </w:p>
              </w:tc>
              <w:tc>
                <w:tcPr>
                  <w:tcW w:w="908" w:type="pct"/>
                  <w:vMerge w:val="continue"/>
                  <w:noWrap/>
                  <w:vAlign w:val="center"/>
                </w:tcPr>
                <w:p w14:paraId="2FE3D400">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lang w:eastAsia="zh-CN"/>
                    </w:rPr>
                  </w:pPr>
                </w:p>
              </w:tc>
            </w:tr>
            <w:tr w14:paraId="38F8F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0" w:type="pct"/>
                  <w:noWrap/>
                  <w:vAlign w:val="center"/>
                </w:tcPr>
                <w:p w14:paraId="240F8C62">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w:t>
                  </w:r>
                </w:p>
              </w:tc>
              <w:tc>
                <w:tcPr>
                  <w:tcW w:w="1290" w:type="pct"/>
                  <w:noWrap/>
                  <w:vAlign w:val="center"/>
                </w:tcPr>
                <w:p w14:paraId="09C05587">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耕地</w:t>
                  </w:r>
                </w:p>
              </w:tc>
              <w:tc>
                <w:tcPr>
                  <w:tcW w:w="449" w:type="pct"/>
                  <w:noWrap/>
                  <w:vAlign w:val="center"/>
                </w:tcPr>
                <w:p w14:paraId="7F1EE93A">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default" w:ascii="Times New Roman" w:hAnsi="Times New Roman" w:eastAsia="宋体" w:cs="Times New Roman"/>
                      <w:sz w:val="21"/>
                      <w:szCs w:val="21"/>
                      <w:highlight w:val="none"/>
                      <w:vertAlign w:val="superscript"/>
                      <w:lang w:val="en-US" w:eastAsia="zh-CN"/>
                    </w:rPr>
                  </w:pPr>
                  <w:r>
                    <w:rPr>
                      <w:rFonts w:hint="eastAsia" w:ascii="Times New Roman" w:hAnsi="Times New Roman" w:eastAsia="宋体" w:cs="Times New Roman"/>
                      <w:sz w:val="21"/>
                      <w:szCs w:val="21"/>
                      <w:highlight w:val="none"/>
                      <w:lang w:val="en-US" w:eastAsia="zh-CN"/>
                    </w:rPr>
                    <w:t>m</w:t>
                  </w:r>
                  <w:r>
                    <w:rPr>
                      <w:rFonts w:hint="eastAsia" w:ascii="Times New Roman" w:hAnsi="Times New Roman" w:eastAsia="宋体" w:cs="Times New Roman"/>
                      <w:sz w:val="21"/>
                      <w:szCs w:val="21"/>
                      <w:highlight w:val="none"/>
                      <w:vertAlign w:val="superscript"/>
                      <w:lang w:val="en-US" w:eastAsia="zh-CN"/>
                    </w:rPr>
                    <w:t>2</w:t>
                  </w:r>
                </w:p>
              </w:tc>
              <w:tc>
                <w:tcPr>
                  <w:tcW w:w="1040" w:type="pct"/>
                  <w:noWrap/>
                  <w:vAlign w:val="center"/>
                </w:tcPr>
                <w:p w14:paraId="5A04DBC9">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69.25</w:t>
                  </w:r>
                </w:p>
              </w:tc>
              <w:tc>
                <w:tcPr>
                  <w:tcW w:w="1108" w:type="pct"/>
                  <w:noWrap/>
                  <w:vAlign w:val="center"/>
                </w:tcPr>
                <w:p w14:paraId="5B5EFC64">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811.27</w:t>
                  </w:r>
                </w:p>
              </w:tc>
              <w:tc>
                <w:tcPr>
                  <w:tcW w:w="908" w:type="pct"/>
                  <w:noWrap/>
                  <w:vAlign w:val="center"/>
                </w:tcPr>
                <w:p w14:paraId="215A469F">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880.52</w:t>
                  </w:r>
                </w:p>
              </w:tc>
            </w:tr>
            <w:tr w14:paraId="5E1A6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0" w:type="pct"/>
                  <w:noWrap/>
                  <w:vAlign w:val="center"/>
                </w:tcPr>
                <w:p w14:paraId="500436FB">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2</w:t>
                  </w:r>
                </w:p>
              </w:tc>
              <w:tc>
                <w:tcPr>
                  <w:tcW w:w="1290" w:type="pct"/>
                  <w:noWrap/>
                  <w:vAlign w:val="center"/>
                </w:tcPr>
                <w:p w14:paraId="5E9AFB1D">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林地</w:t>
                  </w:r>
                </w:p>
              </w:tc>
              <w:tc>
                <w:tcPr>
                  <w:tcW w:w="449" w:type="pct"/>
                  <w:noWrap/>
                  <w:vAlign w:val="center"/>
                </w:tcPr>
                <w:p w14:paraId="1065C2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m</w:t>
                  </w:r>
                  <w:r>
                    <w:rPr>
                      <w:rFonts w:hint="eastAsia" w:ascii="Times New Roman" w:hAnsi="Times New Roman" w:eastAsia="宋体" w:cs="Times New Roman"/>
                      <w:sz w:val="21"/>
                      <w:szCs w:val="21"/>
                      <w:highlight w:val="none"/>
                      <w:vertAlign w:val="superscript"/>
                      <w:lang w:val="en-US" w:eastAsia="zh-CN"/>
                    </w:rPr>
                    <w:t>2</w:t>
                  </w:r>
                </w:p>
              </w:tc>
              <w:tc>
                <w:tcPr>
                  <w:tcW w:w="1040" w:type="pct"/>
                  <w:noWrap/>
                  <w:vAlign w:val="center"/>
                </w:tcPr>
                <w:p w14:paraId="7EC15991">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3516.85</w:t>
                  </w:r>
                </w:p>
              </w:tc>
              <w:tc>
                <w:tcPr>
                  <w:tcW w:w="1108" w:type="pct"/>
                  <w:noWrap/>
                  <w:vAlign w:val="center"/>
                </w:tcPr>
                <w:p w14:paraId="261BF52D">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0</w:t>
                  </w:r>
                </w:p>
              </w:tc>
              <w:tc>
                <w:tcPr>
                  <w:tcW w:w="908" w:type="pct"/>
                  <w:noWrap/>
                  <w:vAlign w:val="center"/>
                </w:tcPr>
                <w:p w14:paraId="0AF9BD1A">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3516.85</w:t>
                  </w:r>
                </w:p>
              </w:tc>
            </w:tr>
            <w:tr w14:paraId="071CE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0" w:type="pct"/>
                  <w:noWrap/>
                  <w:vAlign w:val="center"/>
                </w:tcPr>
                <w:p w14:paraId="13B8ADF7">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3</w:t>
                  </w:r>
                </w:p>
              </w:tc>
              <w:tc>
                <w:tcPr>
                  <w:tcW w:w="1290" w:type="pct"/>
                  <w:noWrap/>
                  <w:vAlign w:val="center"/>
                </w:tcPr>
                <w:p w14:paraId="09B264A3">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交通运输用地</w:t>
                  </w:r>
                </w:p>
              </w:tc>
              <w:tc>
                <w:tcPr>
                  <w:tcW w:w="449" w:type="pct"/>
                  <w:noWrap/>
                  <w:vAlign w:val="center"/>
                </w:tcPr>
                <w:p w14:paraId="73AE1A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m</w:t>
                  </w:r>
                  <w:r>
                    <w:rPr>
                      <w:rFonts w:hint="eastAsia" w:ascii="Times New Roman" w:hAnsi="Times New Roman" w:eastAsia="宋体" w:cs="Times New Roman"/>
                      <w:sz w:val="21"/>
                      <w:szCs w:val="21"/>
                      <w:highlight w:val="none"/>
                      <w:vertAlign w:val="superscript"/>
                      <w:lang w:val="en-US" w:eastAsia="zh-CN"/>
                    </w:rPr>
                    <w:t>2</w:t>
                  </w:r>
                </w:p>
              </w:tc>
              <w:tc>
                <w:tcPr>
                  <w:tcW w:w="1040" w:type="pct"/>
                  <w:noWrap/>
                  <w:vAlign w:val="center"/>
                </w:tcPr>
                <w:p w14:paraId="32EB8AE4">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200.62</w:t>
                  </w:r>
                </w:p>
              </w:tc>
              <w:tc>
                <w:tcPr>
                  <w:tcW w:w="1108" w:type="pct"/>
                  <w:noWrap/>
                  <w:vAlign w:val="center"/>
                </w:tcPr>
                <w:p w14:paraId="1988748A">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0</w:t>
                  </w:r>
                </w:p>
              </w:tc>
              <w:tc>
                <w:tcPr>
                  <w:tcW w:w="908" w:type="pct"/>
                  <w:noWrap/>
                  <w:vAlign w:val="center"/>
                </w:tcPr>
                <w:p w14:paraId="64A1DEF0">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200.62</w:t>
                  </w:r>
                </w:p>
              </w:tc>
            </w:tr>
            <w:tr w14:paraId="7E55E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0" w:type="pct"/>
                  <w:noWrap/>
                  <w:vAlign w:val="center"/>
                </w:tcPr>
                <w:p w14:paraId="7B849013">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4</w:t>
                  </w:r>
                </w:p>
              </w:tc>
              <w:tc>
                <w:tcPr>
                  <w:tcW w:w="1290" w:type="pct"/>
                  <w:noWrap/>
                  <w:vAlign w:val="center"/>
                </w:tcPr>
                <w:p w14:paraId="00F0E812">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水域及水利设施用地</w:t>
                  </w:r>
                </w:p>
              </w:tc>
              <w:tc>
                <w:tcPr>
                  <w:tcW w:w="449" w:type="pct"/>
                  <w:noWrap/>
                  <w:vAlign w:val="center"/>
                </w:tcPr>
                <w:p w14:paraId="731362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m</w:t>
                  </w:r>
                  <w:r>
                    <w:rPr>
                      <w:rFonts w:hint="eastAsia" w:ascii="Times New Roman" w:hAnsi="Times New Roman" w:eastAsia="宋体" w:cs="Times New Roman"/>
                      <w:sz w:val="21"/>
                      <w:szCs w:val="21"/>
                      <w:highlight w:val="none"/>
                      <w:vertAlign w:val="superscript"/>
                      <w:lang w:val="en-US" w:eastAsia="zh-CN"/>
                    </w:rPr>
                    <w:t>2</w:t>
                  </w:r>
                </w:p>
              </w:tc>
              <w:tc>
                <w:tcPr>
                  <w:tcW w:w="1040" w:type="pct"/>
                  <w:noWrap/>
                  <w:vAlign w:val="center"/>
                </w:tcPr>
                <w:p w14:paraId="34C93DE2">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9631.95</w:t>
                  </w:r>
                </w:p>
              </w:tc>
              <w:tc>
                <w:tcPr>
                  <w:tcW w:w="1108" w:type="pct"/>
                  <w:noWrap/>
                  <w:vAlign w:val="center"/>
                </w:tcPr>
                <w:p w14:paraId="42284862">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0</w:t>
                  </w:r>
                </w:p>
              </w:tc>
              <w:tc>
                <w:tcPr>
                  <w:tcW w:w="908" w:type="pct"/>
                  <w:noWrap/>
                  <w:vAlign w:val="center"/>
                </w:tcPr>
                <w:p w14:paraId="7865257A">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9631.95</w:t>
                  </w:r>
                </w:p>
              </w:tc>
            </w:tr>
            <w:tr w14:paraId="4861C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0" w:type="pct"/>
                  <w:noWrap/>
                  <w:vAlign w:val="center"/>
                </w:tcPr>
                <w:p w14:paraId="77F2E3BD">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5</w:t>
                  </w:r>
                </w:p>
              </w:tc>
              <w:tc>
                <w:tcPr>
                  <w:tcW w:w="1290" w:type="pct"/>
                  <w:noWrap/>
                  <w:vAlign w:val="center"/>
                </w:tcPr>
                <w:p w14:paraId="75806920">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其他土地</w:t>
                  </w:r>
                </w:p>
              </w:tc>
              <w:tc>
                <w:tcPr>
                  <w:tcW w:w="449" w:type="pct"/>
                  <w:noWrap/>
                  <w:vAlign w:val="center"/>
                </w:tcPr>
                <w:p w14:paraId="4E23FE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m</w:t>
                  </w:r>
                  <w:r>
                    <w:rPr>
                      <w:rFonts w:hint="eastAsia" w:ascii="Times New Roman" w:hAnsi="Times New Roman" w:eastAsia="宋体" w:cs="Times New Roman"/>
                      <w:sz w:val="21"/>
                      <w:szCs w:val="21"/>
                      <w:highlight w:val="none"/>
                      <w:vertAlign w:val="superscript"/>
                      <w:lang w:val="en-US" w:eastAsia="zh-CN"/>
                    </w:rPr>
                    <w:t>2</w:t>
                  </w:r>
                </w:p>
              </w:tc>
              <w:tc>
                <w:tcPr>
                  <w:tcW w:w="1040" w:type="pct"/>
                  <w:noWrap/>
                  <w:vAlign w:val="center"/>
                </w:tcPr>
                <w:p w14:paraId="3CC2D308">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623.05</w:t>
                  </w:r>
                </w:p>
              </w:tc>
              <w:tc>
                <w:tcPr>
                  <w:tcW w:w="1108" w:type="pct"/>
                  <w:noWrap/>
                  <w:vAlign w:val="center"/>
                </w:tcPr>
                <w:p w14:paraId="2F2C7C0E">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252.95</w:t>
                  </w:r>
                </w:p>
              </w:tc>
              <w:tc>
                <w:tcPr>
                  <w:tcW w:w="908" w:type="pct"/>
                  <w:noWrap/>
                  <w:vAlign w:val="center"/>
                </w:tcPr>
                <w:p w14:paraId="11A836FC">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876.00</w:t>
                  </w:r>
                </w:p>
              </w:tc>
            </w:tr>
            <w:tr w14:paraId="79E3F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0" w:type="pct"/>
                  <w:shd w:val="clear" w:color="auto" w:fill="auto"/>
                  <w:noWrap/>
                  <w:vAlign w:val="center"/>
                </w:tcPr>
                <w:p w14:paraId="559C4AE0">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baseline"/>
                    <w:rPr>
                      <w:rFonts w:hint="eastAsia" w:ascii="Times New Roman" w:hAnsi="Times New Roman" w:eastAsia="宋体" w:cs="Times New Roman"/>
                      <w:kern w:val="0"/>
                      <w:sz w:val="21"/>
                      <w:szCs w:val="21"/>
                      <w:highlight w:val="none"/>
                      <w:lang w:val="en-US" w:eastAsia="zh-CN" w:bidi="ar-SA"/>
                    </w:rPr>
                  </w:pPr>
                </w:p>
              </w:tc>
              <w:tc>
                <w:tcPr>
                  <w:tcW w:w="1290" w:type="pct"/>
                  <w:shd w:val="clear" w:color="auto" w:fill="auto"/>
                  <w:noWrap/>
                  <w:vAlign w:val="center"/>
                </w:tcPr>
                <w:p w14:paraId="76AC7507">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baseline"/>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sz w:val="21"/>
                      <w:szCs w:val="21"/>
                      <w:highlight w:val="none"/>
                      <w:lang w:eastAsia="zh-CN"/>
                    </w:rPr>
                    <w:t>占用</w:t>
                  </w:r>
                  <w:r>
                    <w:rPr>
                      <w:rFonts w:hint="eastAsia" w:ascii="Times New Roman" w:hAnsi="Times New Roman" w:eastAsia="宋体" w:cs="Times New Roman"/>
                      <w:sz w:val="21"/>
                      <w:szCs w:val="21"/>
                      <w:highlight w:val="none"/>
                    </w:rPr>
                    <w:t>土地面积</w:t>
                  </w:r>
                </w:p>
              </w:tc>
              <w:tc>
                <w:tcPr>
                  <w:tcW w:w="449" w:type="pct"/>
                  <w:shd w:val="clear" w:color="auto" w:fill="auto"/>
                  <w:noWrap/>
                  <w:vAlign w:val="center"/>
                </w:tcPr>
                <w:p w14:paraId="510A87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baseline"/>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m</w:t>
                  </w:r>
                  <w:r>
                    <w:rPr>
                      <w:rFonts w:hint="eastAsia" w:ascii="Times New Roman" w:hAnsi="Times New Roman" w:eastAsia="宋体" w:cs="Times New Roman"/>
                      <w:sz w:val="21"/>
                      <w:szCs w:val="21"/>
                      <w:highlight w:val="none"/>
                      <w:vertAlign w:val="superscript"/>
                      <w:lang w:val="en-US" w:eastAsia="zh-CN"/>
                    </w:rPr>
                    <w:t>2</w:t>
                  </w:r>
                </w:p>
              </w:tc>
              <w:tc>
                <w:tcPr>
                  <w:tcW w:w="1040" w:type="pct"/>
                  <w:shd w:val="clear" w:color="auto" w:fill="auto"/>
                  <w:noWrap/>
                  <w:vAlign w:val="center"/>
                </w:tcPr>
                <w:p w14:paraId="333B392F">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baseline"/>
                    <w:rPr>
                      <w:rFonts w:hint="eastAsia" w:ascii="Times New Roman" w:hAnsi="Times New Roman" w:eastAsia="宋体" w:cs="Times New Roman"/>
                      <w:kern w:val="0"/>
                      <w:sz w:val="21"/>
                      <w:szCs w:val="21"/>
                      <w:highlight w:val="none"/>
                      <w:lang w:val="en-US" w:eastAsia="zh-CN" w:bidi="ar-SA"/>
                    </w:rPr>
                  </w:pPr>
                  <w:r>
                    <w:rPr>
                      <w:rFonts w:hint="eastAsia" w:cs="Times New Roman"/>
                      <w:kern w:val="0"/>
                      <w:sz w:val="21"/>
                      <w:szCs w:val="21"/>
                      <w:highlight w:val="none"/>
                      <w:lang w:val="en-US" w:eastAsia="zh-CN" w:bidi="ar-SA"/>
                    </w:rPr>
                    <w:t>14041.72</w:t>
                  </w:r>
                </w:p>
              </w:tc>
              <w:tc>
                <w:tcPr>
                  <w:tcW w:w="1108" w:type="pct"/>
                  <w:shd w:val="clear" w:color="auto" w:fill="auto"/>
                  <w:noWrap/>
                  <w:vAlign w:val="center"/>
                </w:tcPr>
                <w:p w14:paraId="65AE54D1">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baseline"/>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bidi="ar-SA"/>
                    </w:rPr>
                    <w:t>1064.22</w:t>
                  </w:r>
                </w:p>
              </w:tc>
              <w:tc>
                <w:tcPr>
                  <w:tcW w:w="908" w:type="pct"/>
                  <w:shd w:val="clear" w:color="auto" w:fill="auto"/>
                  <w:noWrap/>
                  <w:vAlign w:val="center"/>
                </w:tcPr>
                <w:p w14:paraId="107027CF">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baseline"/>
                    <w:rPr>
                      <w:rFonts w:hint="default" w:ascii="Times New Roman" w:hAnsi="Times New Roman" w:eastAsia="宋体" w:cs="Times New Roman"/>
                      <w:kern w:val="0"/>
                      <w:sz w:val="21"/>
                      <w:szCs w:val="21"/>
                      <w:highlight w:val="none"/>
                      <w:lang w:val="en-US" w:eastAsia="zh-CN" w:bidi="ar-SA"/>
                    </w:rPr>
                  </w:pPr>
                  <w:r>
                    <w:rPr>
                      <w:rFonts w:hint="eastAsia" w:cs="Times New Roman"/>
                      <w:kern w:val="0"/>
                      <w:sz w:val="21"/>
                      <w:szCs w:val="21"/>
                      <w:highlight w:val="none"/>
                      <w:lang w:val="en-US" w:eastAsia="zh-CN" w:bidi="ar-SA"/>
                    </w:rPr>
                    <w:t>15105.94</w:t>
                  </w:r>
                </w:p>
              </w:tc>
            </w:tr>
          </w:tbl>
          <w:p w14:paraId="22C4F7AF">
            <w:pPr>
              <w:pStyle w:val="36"/>
              <w:ind w:firstLine="480"/>
              <w:rPr>
                <w:rFonts w:hint="default"/>
              </w:rPr>
            </w:pPr>
            <w:r>
              <w:rPr>
                <w:rFonts w:hint="default"/>
              </w:rPr>
              <w:t>根据项目建设临时用地的实际情况，各项技术指标参照《土地开发整理项目规划设计规范》（TD/T1012-2016）、《土地复垦规定》及相应行业标准确定的具体标准，按照“宜林则林，宜耕则耕”的原则，对本工程临时征用土地进行适宜性恢复。项目工程结束后，需对临时用地地面施工场区及其他设备进行拆除和清理，对一些地表设施进行拆除，清除有碍或影响占地功能恢复的所有障碍物，使施工场区恢复至使用前的功能。对不具备植被恢复条件的临时占地区域进行平整，再利用表土实施覆盖、压实平整。通过人工整平等措施后，使受损坏的土地恢复到可开发利用状态。项目完成施工后对临时占地区域务必进行清理及恢复。</w:t>
            </w:r>
          </w:p>
        </w:tc>
      </w:tr>
      <w:tr w14:paraId="741BC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3" w:type="dxa"/>
            <w:tcBorders>
              <w:tl2br w:val="nil"/>
              <w:tr2bl w:val="nil"/>
            </w:tcBorders>
            <w:vAlign w:val="center"/>
          </w:tcPr>
          <w:p w14:paraId="4435D4C9">
            <w:pPr>
              <w:autoSpaceDE w:val="0"/>
              <w:autoSpaceDN w:val="0"/>
              <w:adjustRightInd w:val="0"/>
              <w:snapToGrid w:val="0"/>
              <w:jc w:val="center"/>
              <w:rPr>
                <w:kern w:val="0"/>
                <w:sz w:val="24"/>
              </w:rPr>
            </w:pPr>
            <w:r>
              <w:rPr>
                <w:rFonts w:hint="eastAsia"/>
                <w:kern w:val="0"/>
                <w:sz w:val="24"/>
              </w:rPr>
              <w:t>施工方案</w:t>
            </w:r>
          </w:p>
        </w:tc>
        <w:tc>
          <w:tcPr>
            <w:tcW w:w="8473" w:type="dxa"/>
            <w:tcBorders>
              <w:tl2br w:val="nil"/>
              <w:tr2bl w:val="nil"/>
            </w:tcBorders>
            <w:vAlign w:val="center"/>
          </w:tcPr>
          <w:p w14:paraId="6030F510">
            <w:pPr>
              <w:pStyle w:val="4"/>
              <w:numPr>
                <w:ilvl w:val="0"/>
                <w:numId w:val="24"/>
              </w:numPr>
            </w:pPr>
            <w:r>
              <w:rPr>
                <w:rFonts w:hint="eastAsia"/>
              </w:rPr>
              <w:t>施工组织设计</w:t>
            </w:r>
          </w:p>
          <w:p w14:paraId="5136630B">
            <w:pPr>
              <w:pStyle w:val="36"/>
              <w:ind w:firstLine="480"/>
              <w:rPr>
                <w:rFonts w:hint="default"/>
              </w:rPr>
            </w:pPr>
            <w:r>
              <w:t>（一）施工条件</w:t>
            </w:r>
          </w:p>
          <w:p w14:paraId="2E827CFB">
            <w:pPr>
              <w:pStyle w:val="36"/>
              <w:ind w:firstLine="480"/>
              <w:rPr>
                <w:rFonts w:hint="default"/>
              </w:rPr>
            </w:pPr>
            <w:r>
              <w:t>1、交通条件</w:t>
            </w:r>
          </w:p>
          <w:p w14:paraId="5F0176CF">
            <w:pPr>
              <w:pStyle w:val="36"/>
              <w:ind w:firstLine="480"/>
              <w:rPr>
                <w:rFonts w:hint="default"/>
              </w:rPr>
            </w:pPr>
            <w:r>
              <w:t>1）对外交通</w:t>
            </w:r>
          </w:p>
          <w:p w14:paraId="5637C3EE">
            <w:pPr>
              <w:pStyle w:val="36"/>
              <w:ind w:firstLine="480"/>
              <w:rPr>
                <w:rFonts w:hint="default"/>
              </w:rPr>
            </w:pPr>
            <w:r>
              <w:t>金元镇隶属于四川省遂宁市大英县，地处大英县东南部，东接安居区常理乡，南连天保镇，西接蓬莱镇，北邻隆盛镇，距大英县中心城区约15公里，金元镇至大英县城区有三级公路—红金路，截至2011年，金元镇境内三级公路总长23km，公路村村通普及率为90%，交通便利。</w:t>
            </w:r>
          </w:p>
          <w:p w14:paraId="34646E68">
            <w:pPr>
              <w:pStyle w:val="36"/>
              <w:ind w:firstLine="480"/>
              <w:rPr>
                <w:rFonts w:hint="default"/>
              </w:rPr>
            </w:pPr>
            <w:r>
              <w:t>2）场内交通</w:t>
            </w:r>
          </w:p>
          <w:p w14:paraId="0BEC69AB">
            <w:pPr>
              <w:pStyle w:val="36"/>
              <w:ind w:firstLine="480"/>
              <w:rPr>
                <w:rFonts w:hint="default"/>
              </w:rPr>
            </w:pPr>
            <w:r>
              <w:t>场内交通以公路运输为主，充分依托现有对外公路，河道沿线存在可以利用道路，道路接施工作业面、施工场地、生活区等，工程不额外开辟施工便道。</w:t>
            </w:r>
          </w:p>
          <w:p w14:paraId="079E8F74">
            <w:pPr>
              <w:pStyle w:val="36"/>
              <w:ind w:firstLine="480"/>
              <w:rPr>
                <w:rFonts w:hint="default"/>
              </w:rPr>
            </w:pPr>
            <w:r>
              <w:t>2、水电供应条件</w:t>
            </w:r>
          </w:p>
          <w:p w14:paraId="68F20FCF">
            <w:pPr>
              <w:pStyle w:val="36"/>
              <w:ind w:firstLine="480"/>
              <w:rPr>
                <w:rFonts w:hint="default"/>
              </w:rPr>
            </w:pPr>
            <w:r>
              <w:t>工程所在地电力较丰富，在工程区附近已架设有10kV的供电网络，施工期用电有保证。</w:t>
            </w:r>
          </w:p>
          <w:p w14:paraId="29555AA8">
            <w:pPr>
              <w:pStyle w:val="36"/>
              <w:ind w:firstLine="480"/>
              <w:rPr>
                <w:rFonts w:hint="default"/>
              </w:rPr>
            </w:pPr>
            <w:r>
              <w:t>施工生产用水可直接抽取河水，生活用水可利用城镇自来水，水源有保证。</w:t>
            </w:r>
          </w:p>
          <w:p w14:paraId="4A83AC6F">
            <w:pPr>
              <w:pStyle w:val="36"/>
              <w:ind w:firstLine="480"/>
              <w:rPr>
                <w:rFonts w:hint="default"/>
              </w:rPr>
            </w:pPr>
            <w:r>
              <w:t>（二）施工分区</w:t>
            </w:r>
          </w:p>
          <w:p w14:paraId="387AEA27">
            <w:pPr>
              <w:pStyle w:val="36"/>
              <w:ind w:firstLine="480"/>
              <w:rPr>
                <w:rFonts w:hint="default"/>
              </w:rPr>
            </w:pPr>
            <w:r>
              <w:t>大英县金水河金元场镇山洪沟治理工程综合治理河道长度953.87m（其中金水河288.81m，胜利溪665.06m），施工战线较短，施工场地通过租赁村委会闲置空地设置。工区内布置相应的施工临时设施，供水、供电、场内交通以及仓库等。项目混凝土采用商品砼，砼水平运输主要采用自卸汽车或水泥罐车等运输；砼垂直运输浇筑采用溜槽入仓，对斜坡式堤防是先填筑堤身在进行面板浇筑，砼入仓同样采用简易溜槽入仓，施工场地内不设置搅拌站等混凝土相关设施。</w:t>
            </w:r>
          </w:p>
          <w:p w14:paraId="5E75AD1D">
            <w:pPr>
              <w:pStyle w:val="4"/>
              <w:numPr>
                <w:ilvl w:val="0"/>
                <w:numId w:val="24"/>
              </w:numPr>
            </w:pPr>
            <w:r>
              <w:rPr>
                <w:rFonts w:hint="eastAsia"/>
              </w:rPr>
              <w:t>施工期</w:t>
            </w:r>
            <w:r>
              <w:t>工艺流程及产污环节</w:t>
            </w:r>
          </w:p>
          <w:p w14:paraId="637F0E4B">
            <w:pPr>
              <w:pStyle w:val="4"/>
              <w:numPr>
                <w:ilvl w:val="1"/>
                <w:numId w:val="24"/>
              </w:numPr>
            </w:pPr>
            <w:r>
              <w:rPr>
                <w:rFonts w:hint="eastAsia"/>
              </w:rPr>
              <w:t>施工期</w:t>
            </w:r>
            <w:r>
              <w:t>工艺流程及产污环节</w:t>
            </w:r>
          </w:p>
          <w:p w14:paraId="1C544E81">
            <w:pPr>
              <w:pStyle w:val="36"/>
              <w:ind w:firstLine="480"/>
              <w:rPr>
                <w:rFonts w:hint="default"/>
              </w:rPr>
            </w:pPr>
            <w:r>
              <w:t>本项目施工期工艺流程</w:t>
            </w:r>
            <w:r>
              <w:rPr>
                <w:rFonts w:hint="default"/>
              </w:rPr>
              <w:t>具体见</w:t>
            </w:r>
            <w:r>
              <w:t>下</w:t>
            </w:r>
            <w:r>
              <w:rPr>
                <w:rFonts w:hint="default"/>
              </w:rPr>
              <w:t>图</w:t>
            </w:r>
            <w:r>
              <w:t>。</w:t>
            </w:r>
          </w:p>
          <w:p w14:paraId="69547CFC">
            <w:pPr>
              <w:pStyle w:val="11"/>
              <w:jc w:val="center"/>
              <w:rPr>
                <w:sz w:val="24"/>
              </w:rPr>
            </w:pPr>
            <w:r>
              <w:rPr>
                <w:rFonts w:hint="eastAsia"/>
                <w:sz w:val="24"/>
              </w:rPr>
              <w:drawing>
                <wp:inline distT="0" distB="0" distL="114300" distR="114300">
                  <wp:extent cx="5235575" cy="1849755"/>
                  <wp:effectExtent l="0" t="0" r="0" b="0"/>
                  <wp:docPr id="19" name="ECB019B1-382A-4266-B25C-5B523AA43C14-3" descr="C:/Users/Administrator/AppData/Local/Temp/wps.iQgmYU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CB019B1-382A-4266-B25C-5B523AA43C14-3" descr="C:/Users/Administrator/AppData/Local/Temp/wps.iQgmYUwps"/>
                          <pic:cNvPicPr>
                            <a:picLocks noChangeAspect="1"/>
                          </pic:cNvPicPr>
                        </pic:nvPicPr>
                        <pic:blipFill>
                          <a:blip r:embed="rId19"/>
                          <a:stretch>
                            <a:fillRect/>
                          </a:stretch>
                        </pic:blipFill>
                        <pic:spPr>
                          <a:xfrm>
                            <a:off x="0" y="0"/>
                            <a:ext cx="5235575" cy="1849755"/>
                          </a:xfrm>
                          <a:prstGeom prst="rect">
                            <a:avLst/>
                          </a:prstGeom>
                        </pic:spPr>
                      </pic:pic>
                    </a:graphicData>
                  </a:graphic>
                </wp:inline>
              </w:drawing>
            </w:r>
          </w:p>
          <w:p w14:paraId="694BAC61">
            <w:pPr>
              <w:pStyle w:val="44"/>
              <w:spacing w:after="156"/>
            </w:pPr>
            <w:r>
              <w:rPr>
                <w:rFonts w:hint="eastAsia"/>
              </w:rPr>
              <w:t>项目</w:t>
            </w:r>
            <w:r>
              <w:t>施工工艺及产污环节示意图</w:t>
            </w:r>
          </w:p>
          <w:p w14:paraId="17210777">
            <w:pPr>
              <w:pStyle w:val="11"/>
              <w:spacing w:line="440" w:lineRule="exact"/>
              <w:ind w:firstLine="480" w:firstLineChars="200"/>
              <w:rPr>
                <w:sz w:val="24"/>
                <w:szCs w:val="24"/>
              </w:rPr>
            </w:pPr>
            <w:r>
              <w:rPr>
                <w:rFonts w:hint="eastAsia"/>
                <w:sz w:val="24"/>
                <w:szCs w:val="24"/>
              </w:rPr>
              <w:t>施工工艺简述：</w:t>
            </w:r>
          </w:p>
          <w:p w14:paraId="69282E3B">
            <w:pPr>
              <w:pStyle w:val="11"/>
              <w:spacing w:line="440" w:lineRule="exact"/>
              <w:ind w:firstLine="480" w:firstLineChars="200"/>
              <w:rPr>
                <w:sz w:val="24"/>
                <w:szCs w:val="24"/>
              </w:rPr>
            </w:pPr>
            <w:r>
              <w:rPr>
                <w:rFonts w:hint="eastAsia"/>
                <w:sz w:val="24"/>
                <w:szCs w:val="24"/>
              </w:rPr>
              <w:t>（1）设置围堰</w:t>
            </w:r>
          </w:p>
          <w:p w14:paraId="45826AA5">
            <w:pPr>
              <w:pStyle w:val="11"/>
              <w:spacing w:line="440" w:lineRule="exact"/>
              <w:ind w:firstLine="480" w:firstLineChars="200"/>
              <w:rPr>
                <w:sz w:val="24"/>
                <w:szCs w:val="24"/>
              </w:rPr>
            </w:pPr>
            <w:r>
              <w:rPr>
                <w:rFonts w:hint="eastAsia"/>
                <w:sz w:val="24"/>
                <w:szCs w:val="24"/>
              </w:rPr>
              <w:t>在项目上游设置土石围堰，截断上游来水，分段导流。</w:t>
            </w:r>
            <w:r>
              <w:rPr>
                <w:sz w:val="24"/>
                <w:szCs w:val="24"/>
              </w:rPr>
              <w:t>便民桥以下导流方式采用DN400PE管导流</w:t>
            </w:r>
            <w:r>
              <w:rPr>
                <w:rFonts w:hint="eastAsia"/>
                <w:sz w:val="24"/>
                <w:szCs w:val="24"/>
              </w:rPr>
              <w:t>，</w:t>
            </w:r>
            <w:r>
              <w:rPr>
                <w:sz w:val="24"/>
                <w:szCs w:val="24"/>
              </w:rPr>
              <w:t>采用分段填筑横向围堰封闭河段河床后抽排水的方式进行施工导流，施工导流围堰采用开挖的土石填筑围堰，</w:t>
            </w:r>
            <w:r>
              <w:rPr>
                <w:rFonts w:hint="eastAsia"/>
                <w:sz w:val="24"/>
                <w:szCs w:val="24"/>
              </w:rPr>
              <w:t>断流后上游来水利用管道导流至下游。</w:t>
            </w:r>
          </w:p>
          <w:p w14:paraId="37421448">
            <w:pPr>
              <w:pStyle w:val="11"/>
              <w:spacing w:line="440" w:lineRule="exact"/>
              <w:ind w:firstLine="480" w:firstLineChars="200"/>
              <w:rPr>
                <w:sz w:val="24"/>
                <w:szCs w:val="24"/>
              </w:rPr>
            </w:pPr>
            <w:r>
              <w:rPr>
                <w:rFonts w:hint="eastAsia"/>
                <w:sz w:val="24"/>
                <w:szCs w:val="24"/>
              </w:rPr>
              <w:t>（2）施工导流</w:t>
            </w:r>
          </w:p>
          <w:p w14:paraId="7D10EDE9">
            <w:pPr>
              <w:pStyle w:val="11"/>
              <w:spacing w:line="440" w:lineRule="exact"/>
              <w:ind w:firstLine="480" w:firstLineChars="200"/>
              <w:rPr>
                <w:sz w:val="24"/>
                <w:szCs w:val="24"/>
              </w:rPr>
            </w:pPr>
            <w:r>
              <w:rPr>
                <w:rFonts w:hint="eastAsia"/>
                <w:sz w:val="24"/>
                <w:szCs w:val="24"/>
              </w:rPr>
              <w:t>1）导流标准</w:t>
            </w:r>
          </w:p>
          <w:p w14:paraId="0D840918">
            <w:pPr>
              <w:pStyle w:val="11"/>
              <w:spacing w:line="440" w:lineRule="exact"/>
              <w:ind w:firstLine="480" w:firstLineChars="200"/>
              <w:rPr>
                <w:sz w:val="24"/>
                <w:szCs w:val="24"/>
              </w:rPr>
            </w:pPr>
            <w:r>
              <w:rPr>
                <w:rFonts w:hint="eastAsia"/>
                <w:sz w:val="24"/>
                <w:szCs w:val="24"/>
              </w:rPr>
              <w:t>大英县金水河金元场镇山洪沟治理工程洪水标准为10年一遇，相应的堤防工程级别为5级。根据SL252–2017《水利水电工程等级划分及洪水标准》规定，保护对象为5级永久性水工建筑物，施工导流建筑物为5级，采用土石围堰，导流标准为5～10年一遇，本工程选择导流标准为5年一遇设计洪水。</w:t>
            </w:r>
          </w:p>
          <w:p w14:paraId="1D5DA487">
            <w:pPr>
              <w:pStyle w:val="11"/>
              <w:spacing w:line="440" w:lineRule="exact"/>
              <w:ind w:firstLine="480" w:firstLineChars="200"/>
              <w:rPr>
                <w:sz w:val="24"/>
                <w:szCs w:val="24"/>
              </w:rPr>
            </w:pPr>
            <w:r>
              <w:rPr>
                <w:rFonts w:hint="eastAsia"/>
                <w:sz w:val="24"/>
                <w:szCs w:val="24"/>
              </w:rPr>
              <w:t>2）导流时段</w:t>
            </w:r>
          </w:p>
          <w:p w14:paraId="2C7D9B79">
            <w:pPr>
              <w:pStyle w:val="11"/>
              <w:spacing w:line="440" w:lineRule="exact"/>
              <w:ind w:firstLine="480" w:firstLineChars="200"/>
              <w:rPr>
                <w:sz w:val="24"/>
                <w:szCs w:val="24"/>
              </w:rPr>
            </w:pPr>
            <w:r>
              <w:rPr>
                <w:rFonts w:hint="eastAsia"/>
                <w:sz w:val="24"/>
                <w:szCs w:val="24"/>
              </w:rPr>
              <w:t>根据工程实际情况，结合分期洪水成果，工程导流时段11月～次年4月，根据水文提供的分期洪水见下表。</w:t>
            </w:r>
          </w:p>
          <w:p w14:paraId="69C22EEC">
            <w:pPr>
              <w:pStyle w:val="43"/>
              <w:spacing w:before="156"/>
              <w:rPr>
                <w:bCs/>
              </w:rPr>
            </w:pPr>
            <w:r>
              <w:rPr>
                <w:rFonts w:hint="eastAsia"/>
                <w:bCs/>
              </w:rPr>
              <w:t>工程河段处分期设计洪水成果表</w:t>
            </w:r>
          </w:p>
          <w:tbl>
            <w:tblPr>
              <w:tblStyle w:val="26"/>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405"/>
              <w:gridCol w:w="1736"/>
              <w:gridCol w:w="1371"/>
              <w:gridCol w:w="1371"/>
              <w:gridCol w:w="1374"/>
            </w:tblGrid>
            <w:tr w14:paraId="61D27DF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1456" w:type="pct"/>
                  <w:vMerge w:val="restart"/>
                  <w:noWrap/>
                  <w:vAlign w:val="center"/>
                </w:tcPr>
                <w:p w14:paraId="598EF5E4">
                  <w:pPr>
                    <w:pStyle w:val="103"/>
                    <w:spacing w:line="320" w:lineRule="exact"/>
                    <w:rPr>
                      <w:sz w:val="21"/>
                      <w:szCs w:val="21"/>
                    </w:rPr>
                  </w:pPr>
                  <w:r>
                    <w:rPr>
                      <w:rFonts w:hint="eastAsia"/>
                      <w:sz w:val="21"/>
                      <w:szCs w:val="21"/>
                    </w:rPr>
                    <w:t>河段</w:t>
                  </w:r>
                </w:p>
              </w:tc>
              <w:tc>
                <w:tcPr>
                  <w:tcW w:w="1051" w:type="pct"/>
                  <w:vMerge w:val="restart"/>
                  <w:noWrap/>
                  <w:vAlign w:val="center"/>
                </w:tcPr>
                <w:p w14:paraId="5C7C03B8">
                  <w:pPr>
                    <w:pStyle w:val="103"/>
                    <w:spacing w:line="320" w:lineRule="exact"/>
                    <w:rPr>
                      <w:sz w:val="21"/>
                      <w:szCs w:val="21"/>
                    </w:rPr>
                  </w:pPr>
                  <w:r>
                    <w:rPr>
                      <w:rFonts w:hint="eastAsia"/>
                      <w:sz w:val="21"/>
                      <w:szCs w:val="21"/>
                    </w:rPr>
                    <w:t>分期时段</w:t>
                  </w:r>
                </w:p>
              </w:tc>
              <w:tc>
                <w:tcPr>
                  <w:tcW w:w="2492" w:type="pct"/>
                  <w:gridSpan w:val="3"/>
                  <w:noWrap/>
                  <w:vAlign w:val="center"/>
                </w:tcPr>
                <w:p w14:paraId="1CA78628">
                  <w:pPr>
                    <w:pStyle w:val="103"/>
                    <w:spacing w:line="320" w:lineRule="exact"/>
                    <w:rPr>
                      <w:sz w:val="21"/>
                      <w:szCs w:val="21"/>
                    </w:rPr>
                  </w:pPr>
                  <w:r>
                    <w:rPr>
                      <w:rFonts w:hint="eastAsia"/>
                      <w:sz w:val="21"/>
                      <w:szCs w:val="21"/>
                    </w:rPr>
                    <w:t>设计洪峰流量（m</w:t>
                  </w:r>
                  <w:r>
                    <w:rPr>
                      <w:rFonts w:hint="eastAsia"/>
                      <w:sz w:val="21"/>
                      <w:szCs w:val="21"/>
                      <w:vertAlign w:val="superscript"/>
                    </w:rPr>
                    <w:t>3</w:t>
                  </w:r>
                  <w:r>
                    <w:rPr>
                      <w:rFonts w:hint="eastAsia"/>
                      <w:sz w:val="21"/>
                      <w:szCs w:val="21"/>
                    </w:rPr>
                    <w:t>/s)</w:t>
                  </w:r>
                </w:p>
              </w:tc>
            </w:tr>
            <w:tr w14:paraId="70D9261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1456" w:type="pct"/>
                  <w:vMerge w:val="continue"/>
                  <w:vAlign w:val="center"/>
                </w:tcPr>
                <w:p w14:paraId="6337CAAB">
                  <w:pPr>
                    <w:pStyle w:val="103"/>
                    <w:spacing w:line="320" w:lineRule="exact"/>
                    <w:rPr>
                      <w:sz w:val="21"/>
                      <w:szCs w:val="21"/>
                    </w:rPr>
                  </w:pPr>
                </w:p>
              </w:tc>
              <w:tc>
                <w:tcPr>
                  <w:tcW w:w="1051" w:type="pct"/>
                  <w:vMerge w:val="continue"/>
                  <w:vAlign w:val="center"/>
                </w:tcPr>
                <w:p w14:paraId="6E66DCB5">
                  <w:pPr>
                    <w:pStyle w:val="103"/>
                    <w:spacing w:line="320" w:lineRule="exact"/>
                    <w:rPr>
                      <w:sz w:val="21"/>
                      <w:szCs w:val="21"/>
                    </w:rPr>
                  </w:pPr>
                </w:p>
              </w:tc>
              <w:tc>
                <w:tcPr>
                  <w:tcW w:w="830" w:type="pct"/>
                  <w:noWrap/>
                  <w:vAlign w:val="center"/>
                </w:tcPr>
                <w:p w14:paraId="7B2DFCBE">
                  <w:pPr>
                    <w:pStyle w:val="103"/>
                    <w:spacing w:line="320" w:lineRule="exact"/>
                    <w:rPr>
                      <w:sz w:val="21"/>
                      <w:szCs w:val="21"/>
                    </w:rPr>
                  </w:pPr>
                  <w:r>
                    <w:rPr>
                      <w:rFonts w:hint="eastAsia"/>
                      <w:sz w:val="21"/>
                      <w:szCs w:val="21"/>
                    </w:rPr>
                    <w:t>p=10%</w:t>
                  </w:r>
                </w:p>
              </w:tc>
              <w:tc>
                <w:tcPr>
                  <w:tcW w:w="830" w:type="pct"/>
                  <w:noWrap/>
                  <w:vAlign w:val="center"/>
                </w:tcPr>
                <w:p w14:paraId="2E4601EE">
                  <w:pPr>
                    <w:pStyle w:val="103"/>
                    <w:spacing w:line="320" w:lineRule="exact"/>
                    <w:rPr>
                      <w:sz w:val="21"/>
                      <w:szCs w:val="21"/>
                    </w:rPr>
                  </w:pPr>
                  <w:r>
                    <w:rPr>
                      <w:rFonts w:hint="eastAsia"/>
                      <w:sz w:val="21"/>
                      <w:szCs w:val="21"/>
                    </w:rPr>
                    <w:t>p=20%</w:t>
                  </w:r>
                </w:p>
              </w:tc>
              <w:tc>
                <w:tcPr>
                  <w:tcW w:w="832" w:type="pct"/>
                  <w:noWrap/>
                  <w:vAlign w:val="center"/>
                </w:tcPr>
                <w:p w14:paraId="4EC4D982">
                  <w:pPr>
                    <w:pStyle w:val="103"/>
                    <w:spacing w:line="320" w:lineRule="exact"/>
                    <w:rPr>
                      <w:sz w:val="21"/>
                      <w:szCs w:val="21"/>
                    </w:rPr>
                  </w:pPr>
                  <w:r>
                    <w:rPr>
                      <w:rFonts w:hint="eastAsia"/>
                      <w:sz w:val="21"/>
                      <w:szCs w:val="21"/>
                    </w:rPr>
                    <w:t>p=50%</w:t>
                  </w:r>
                </w:p>
              </w:tc>
            </w:tr>
            <w:tr w14:paraId="0DA9BFA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1456" w:type="pct"/>
                  <w:vMerge w:val="restart"/>
                  <w:noWrap/>
                  <w:vAlign w:val="center"/>
                </w:tcPr>
                <w:p w14:paraId="559746B3">
                  <w:pPr>
                    <w:pStyle w:val="103"/>
                    <w:spacing w:line="320" w:lineRule="exact"/>
                    <w:rPr>
                      <w:sz w:val="21"/>
                      <w:szCs w:val="21"/>
                    </w:rPr>
                  </w:pPr>
                  <w:r>
                    <w:rPr>
                      <w:rFonts w:hint="eastAsia"/>
                      <w:kern w:val="2"/>
                      <w:sz w:val="21"/>
                      <w:szCs w:val="21"/>
                    </w:rPr>
                    <w:t>汇口下游金水河</w:t>
                  </w:r>
                </w:p>
                <w:p w14:paraId="27803518">
                  <w:pPr>
                    <w:pStyle w:val="103"/>
                    <w:spacing w:line="320" w:lineRule="exact"/>
                    <w:rPr>
                      <w:sz w:val="21"/>
                      <w:szCs w:val="21"/>
                    </w:rPr>
                  </w:pPr>
                  <w:r>
                    <w:rPr>
                      <w:rFonts w:hint="eastAsia"/>
                      <w:kern w:val="2"/>
                      <w:sz w:val="21"/>
                      <w:szCs w:val="21"/>
                    </w:rPr>
                    <w:t>（CS10~CS23）</w:t>
                  </w:r>
                </w:p>
              </w:tc>
              <w:tc>
                <w:tcPr>
                  <w:tcW w:w="1051" w:type="pct"/>
                  <w:noWrap/>
                  <w:vAlign w:val="center"/>
                </w:tcPr>
                <w:p w14:paraId="7C819B0E">
                  <w:pPr>
                    <w:pStyle w:val="103"/>
                    <w:spacing w:line="320" w:lineRule="exact"/>
                    <w:rPr>
                      <w:sz w:val="21"/>
                      <w:szCs w:val="21"/>
                    </w:rPr>
                  </w:pPr>
                  <w:r>
                    <w:rPr>
                      <w:rFonts w:hint="eastAsia"/>
                      <w:sz w:val="21"/>
                      <w:szCs w:val="21"/>
                    </w:rPr>
                    <w:t>11～4月</w:t>
                  </w:r>
                </w:p>
              </w:tc>
              <w:tc>
                <w:tcPr>
                  <w:tcW w:w="830" w:type="pct"/>
                  <w:noWrap/>
                  <w:vAlign w:val="center"/>
                </w:tcPr>
                <w:p w14:paraId="132650EA">
                  <w:pPr>
                    <w:pStyle w:val="103"/>
                    <w:spacing w:line="320" w:lineRule="exact"/>
                    <w:rPr>
                      <w:sz w:val="21"/>
                      <w:szCs w:val="21"/>
                    </w:rPr>
                  </w:pPr>
                  <w:r>
                    <w:rPr>
                      <w:rFonts w:hint="eastAsia"/>
                      <w:sz w:val="21"/>
                      <w:szCs w:val="21"/>
                    </w:rPr>
                    <w:t>0.272</w:t>
                  </w:r>
                </w:p>
              </w:tc>
              <w:tc>
                <w:tcPr>
                  <w:tcW w:w="830" w:type="pct"/>
                  <w:noWrap/>
                  <w:vAlign w:val="center"/>
                </w:tcPr>
                <w:p w14:paraId="3FFAD8FB">
                  <w:pPr>
                    <w:pStyle w:val="103"/>
                    <w:spacing w:line="320" w:lineRule="exact"/>
                    <w:rPr>
                      <w:sz w:val="21"/>
                      <w:szCs w:val="21"/>
                    </w:rPr>
                  </w:pPr>
                  <w:r>
                    <w:rPr>
                      <w:rFonts w:hint="eastAsia"/>
                      <w:sz w:val="21"/>
                      <w:szCs w:val="21"/>
                    </w:rPr>
                    <w:t>0.159</w:t>
                  </w:r>
                </w:p>
              </w:tc>
              <w:tc>
                <w:tcPr>
                  <w:tcW w:w="832" w:type="pct"/>
                  <w:noWrap/>
                  <w:vAlign w:val="center"/>
                </w:tcPr>
                <w:p w14:paraId="1562E2F6">
                  <w:pPr>
                    <w:pStyle w:val="103"/>
                    <w:spacing w:line="320" w:lineRule="exact"/>
                    <w:rPr>
                      <w:sz w:val="21"/>
                      <w:szCs w:val="21"/>
                    </w:rPr>
                  </w:pPr>
                  <w:r>
                    <w:rPr>
                      <w:rFonts w:hint="eastAsia"/>
                      <w:sz w:val="21"/>
                      <w:szCs w:val="21"/>
                    </w:rPr>
                    <w:t>0.039</w:t>
                  </w:r>
                </w:p>
              </w:tc>
            </w:tr>
            <w:tr w14:paraId="66F4E24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1456" w:type="pct"/>
                  <w:vMerge w:val="continue"/>
                  <w:noWrap/>
                  <w:vAlign w:val="center"/>
                </w:tcPr>
                <w:p w14:paraId="442B0E30">
                  <w:pPr>
                    <w:pStyle w:val="103"/>
                    <w:spacing w:line="320" w:lineRule="exact"/>
                    <w:rPr>
                      <w:sz w:val="21"/>
                      <w:szCs w:val="21"/>
                    </w:rPr>
                  </w:pPr>
                </w:p>
              </w:tc>
              <w:tc>
                <w:tcPr>
                  <w:tcW w:w="1051" w:type="pct"/>
                  <w:noWrap/>
                  <w:vAlign w:val="center"/>
                </w:tcPr>
                <w:p w14:paraId="42CC2612">
                  <w:pPr>
                    <w:pStyle w:val="103"/>
                    <w:spacing w:line="320" w:lineRule="exact"/>
                    <w:rPr>
                      <w:sz w:val="21"/>
                      <w:szCs w:val="21"/>
                    </w:rPr>
                  </w:pPr>
                  <w:r>
                    <w:rPr>
                      <w:rFonts w:hint="eastAsia"/>
                      <w:sz w:val="21"/>
                      <w:szCs w:val="21"/>
                    </w:rPr>
                    <w:t>5月</w:t>
                  </w:r>
                </w:p>
              </w:tc>
              <w:tc>
                <w:tcPr>
                  <w:tcW w:w="830" w:type="pct"/>
                  <w:noWrap/>
                  <w:vAlign w:val="center"/>
                </w:tcPr>
                <w:p w14:paraId="2CDD6A30">
                  <w:pPr>
                    <w:pStyle w:val="103"/>
                    <w:spacing w:line="320" w:lineRule="exact"/>
                    <w:rPr>
                      <w:sz w:val="21"/>
                      <w:szCs w:val="21"/>
                    </w:rPr>
                  </w:pPr>
                  <w:r>
                    <w:rPr>
                      <w:rFonts w:hint="eastAsia"/>
                      <w:sz w:val="21"/>
                      <w:szCs w:val="21"/>
                    </w:rPr>
                    <w:t>2.70</w:t>
                  </w:r>
                </w:p>
              </w:tc>
              <w:tc>
                <w:tcPr>
                  <w:tcW w:w="830" w:type="pct"/>
                  <w:noWrap/>
                  <w:vAlign w:val="center"/>
                </w:tcPr>
                <w:p w14:paraId="453F919F">
                  <w:pPr>
                    <w:pStyle w:val="103"/>
                    <w:spacing w:line="320" w:lineRule="exact"/>
                    <w:rPr>
                      <w:sz w:val="21"/>
                      <w:szCs w:val="21"/>
                    </w:rPr>
                  </w:pPr>
                  <w:r>
                    <w:rPr>
                      <w:rFonts w:hint="eastAsia"/>
                      <w:sz w:val="21"/>
                      <w:szCs w:val="21"/>
                    </w:rPr>
                    <w:t>1.72</w:t>
                  </w:r>
                </w:p>
              </w:tc>
              <w:tc>
                <w:tcPr>
                  <w:tcW w:w="832" w:type="pct"/>
                  <w:noWrap/>
                  <w:vAlign w:val="center"/>
                </w:tcPr>
                <w:p w14:paraId="32C266F7">
                  <w:pPr>
                    <w:pStyle w:val="103"/>
                    <w:spacing w:line="320" w:lineRule="exact"/>
                    <w:rPr>
                      <w:sz w:val="21"/>
                      <w:szCs w:val="21"/>
                    </w:rPr>
                  </w:pPr>
                  <w:r>
                    <w:rPr>
                      <w:rFonts w:hint="eastAsia"/>
                      <w:sz w:val="21"/>
                      <w:szCs w:val="21"/>
                    </w:rPr>
                    <w:t>0.553</w:t>
                  </w:r>
                </w:p>
              </w:tc>
            </w:tr>
            <w:tr w14:paraId="55F1968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1456" w:type="pct"/>
                  <w:vMerge w:val="continue"/>
                  <w:noWrap/>
                  <w:vAlign w:val="center"/>
                </w:tcPr>
                <w:p w14:paraId="5B99A1BF">
                  <w:pPr>
                    <w:pStyle w:val="103"/>
                    <w:spacing w:line="320" w:lineRule="exact"/>
                    <w:rPr>
                      <w:sz w:val="21"/>
                      <w:szCs w:val="21"/>
                    </w:rPr>
                  </w:pPr>
                </w:p>
              </w:tc>
              <w:tc>
                <w:tcPr>
                  <w:tcW w:w="1051" w:type="pct"/>
                  <w:noWrap/>
                  <w:vAlign w:val="center"/>
                </w:tcPr>
                <w:p w14:paraId="2FDF0211">
                  <w:pPr>
                    <w:pStyle w:val="103"/>
                    <w:spacing w:line="320" w:lineRule="exact"/>
                    <w:rPr>
                      <w:sz w:val="21"/>
                      <w:szCs w:val="21"/>
                    </w:rPr>
                  </w:pPr>
                  <w:r>
                    <w:rPr>
                      <w:rFonts w:hint="eastAsia"/>
                      <w:sz w:val="21"/>
                      <w:szCs w:val="21"/>
                    </w:rPr>
                    <w:t>6-9月</w:t>
                  </w:r>
                </w:p>
              </w:tc>
              <w:tc>
                <w:tcPr>
                  <w:tcW w:w="830" w:type="pct"/>
                  <w:noWrap/>
                  <w:vAlign w:val="center"/>
                </w:tcPr>
                <w:p w14:paraId="195F0C50">
                  <w:pPr>
                    <w:pStyle w:val="103"/>
                    <w:spacing w:line="320" w:lineRule="exact"/>
                    <w:rPr>
                      <w:sz w:val="21"/>
                      <w:szCs w:val="21"/>
                    </w:rPr>
                  </w:pPr>
                  <w:r>
                    <w:rPr>
                      <w:rFonts w:hint="eastAsia"/>
                      <w:sz w:val="21"/>
                      <w:szCs w:val="21"/>
                    </w:rPr>
                    <w:t>93.6</w:t>
                  </w:r>
                </w:p>
              </w:tc>
              <w:tc>
                <w:tcPr>
                  <w:tcW w:w="830" w:type="pct"/>
                  <w:noWrap/>
                  <w:vAlign w:val="center"/>
                </w:tcPr>
                <w:p w14:paraId="6E680D23">
                  <w:pPr>
                    <w:pStyle w:val="103"/>
                    <w:spacing w:line="320" w:lineRule="exact"/>
                    <w:rPr>
                      <w:sz w:val="21"/>
                      <w:szCs w:val="21"/>
                    </w:rPr>
                  </w:pPr>
                  <w:r>
                    <w:rPr>
                      <w:rFonts w:hint="eastAsia"/>
                      <w:sz w:val="21"/>
                      <w:szCs w:val="21"/>
                    </w:rPr>
                    <w:t>67.9</w:t>
                  </w:r>
                </w:p>
              </w:tc>
              <w:tc>
                <w:tcPr>
                  <w:tcW w:w="832" w:type="pct"/>
                  <w:noWrap/>
                  <w:vAlign w:val="center"/>
                </w:tcPr>
                <w:p w14:paraId="28CCDAC6">
                  <w:pPr>
                    <w:pStyle w:val="103"/>
                    <w:spacing w:line="320" w:lineRule="exact"/>
                    <w:rPr>
                      <w:sz w:val="21"/>
                      <w:szCs w:val="21"/>
                    </w:rPr>
                  </w:pPr>
                  <w:r>
                    <w:rPr>
                      <w:rFonts w:hint="eastAsia"/>
                      <w:sz w:val="21"/>
                      <w:szCs w:val="21"/>
                    </w:rPr>
                    <w:t>34.8</w:t>
                  </w:r>
                </w:p>
              </w:tc>
            </w:tr>
            <w:tr w14:paraId="7319C5E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1456" w:type="pct"/>
                  <w:vMerge w:val="continue"/>
                  <w:noWrap/>
                  <w:vAlign w:val="center"/>
                </w:tcPr>
                <w:p w14:paraId="30278BA9">
                  <w:pPr>
                    <w:pStyle w:val="103"/>
                    <w:spacing w:line="320" w:lineRule="exact"/>
                    <w:rPr>
                      <w:sz w:val="21"/>
                      <w:szCs w:val="21"/>
                    </w:rPr>
                  </w:pPr>
                </w:p>
              </w:tc>
              <w:tc>
                <w:tcPr>
                  <w:tcW w:w="1051" w:type="pct"/>
                  <w:noWrap/>
                  <w:vAlign w:val="center"/>
                </w:tcPr>
                <w:p w14:paraId="7825A018">
                  <w:pPr>
                    <w:pStyle w:val="103"/>
                    <w:spacing w:line="320" w:lineRule="exact"/>
                    <w:rPr>
                      <w:sz w:val="21"/>
                      <w:szCs w:val="21"/>
                    </w:rPr>
                  </w:pPr>
                  <w:r>
                    <w:rPr>
                      <w:rFonts w:hint="eastAsia"/>
                      <w:sz w:val="21"/>
                      <w:szCs w:val="21"/>
                    </w:rPr>
                    <w:t>10月</w:t>
                  </w:r>
                </w:p>
              </w:tc>
              <w:tc>
                <w:tcPr>
                  <w:tcW w:w="830" w:type="pct"/>
                  <w:noWrap/>
                  <w:vAlign w:val="center"/>
                </w:tcPr>
                <w:p w14:paraId="567BA06B">
                  <w:pPr>
                    <w:pStyle w:val="103"/>
                    <w:spacing w:line="320" w:lineRule="exact"/>
                    <w:rPr>
                      <w:sz w:val="21"/>
                      <w:szCs w:val="21"/>
                    </w:rPr>
                  </w:pPr>
                  <w:r>
                    <w:rPr>
                      <w:rFonts w:hint="eastAsia"/>
                      <w:sz w:val="21"/>
                      <w:szCs w:val="21"/>
                    </w:rPr>
                    <w:t>2.10</w:t>
                  </w:r>
                </w:p>
              </w:tc>
              <w:tc>
                <w:tcPr>
                  <w:tcW w:w="830" w:type="pct"/>
                  <w:noWrap/>
                  <w:vAlign w:val="center"/>
                </w:tcPr>
                <w:p w14:paraId="5FC611B2">
                  <w:pPr>
                    <w:pStyle w:val="103"/>
                    <w:spacing w:line="320" w:lineRule="exact"/>
                    <w:rPr>
                      <w:sz w:val="21"/>
                      <w:szCs w:val="21"/>
                    </w:rPr>
                  </w:pPr>
                  <w:r>
                    <w:rPr>
                      <w:rFonts w:hint="eastAsia"/>
                      <w:sz w:val="21"/>
                      <w:szCs w:val="21"/>
                    </w:rPr>
                    <w:t>1.18</w:t>
                  </w:r>
                </w:p>
              </w:tc>
              <w:tc>
                <w:tcPr>
                  <w:tcW w:w="832" w:type="pct"/>
                  <w:noWrap/>
                  <w:vAlign w:val="center"/>
                </w:tcPr>
                <w:p w14:paraId="4CA1B7EC">
                  <w:pPr>
                    <w:pStyle w:val="103"/>
                    <w:spacing w:line="320" w:lineRule="exact"/>
                    <w:rPr>
                      <w:sz w:val="21"/>
                      <w:szCs w:val="21"/>
                    </w:rPr>
                  </w:pPr>
                  <w:r>
                    <w:rPr>
                      <w:rFonts w:hint="eastAsia"/>
                      <w:sz w:val="21"/>
                      <w:szCs w:val="21"/>
                    </w:rPr>
                    <w:t>0.252</w:t>
                  </w:r>
                </w:p>
              </w:tc>
            </w:tr>
            <w:tr w14:paraId="3A0C22A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1456" w:type="pct"/>
                  <w:vMerge w:val="restart"/>
                  <w:noWrap/>
                  <w:vAlign w:val="center"/>
                </w:tcPr>
                <w:p w14:paraId="3ECA21B5">
                  <w:pPr>
                    <w:pStyle w:val="103"/>
                    <w:spacing w:line="320" w:lineRule="exact"/>
                    <w:rPr>
                      <w:sz w:val="21"/>
                      <w:szCs w:val="21"/>
                    </w:rPr>
                  </w:pPr>
                  <w:r>
                    <w:rPr>
                      <w:rFonts w:hint="eastAsia"/>
                      <w:sz w:val="21"/>
                      <w:szCs w:val="21"/>
                    </w:rPr>
                    <w:t>汇口上游胜利溪</w:t>
                  </w:r>
                </w:p>
                <w:p w14:paraId="6B7C0115">
                  <w:pPr>
                    <w:pStyle w:val="103"/>
                    <w:spacing w:line="320" w:lineRule="exact"/>
                    <w:rPr>
                      <w:sz w:val="21"/>
                      <w:szCs w:val="21"/>
                    </w:rPr>
                  </w:pPr>
                  <w:r>
                    <w:rPr>
                      <w:rFonts w:hint="eastAsia"/>
                      <w:sz w:val="21"/>
                      <w:szCs w:val="21"/>
                    </w:rPr>
                    <w:t>（ZS1~ZS3）</w:t>
                  </w:r>
                </w:p>
              </w:tc>
              <w:tc>
                <w:tcPr>
                  <w:tcW w:w="1051" w:type="pct"/>
                  <w:noWrap/>
                  <w:vAlign w:val="center"/>
                </w:tcPr>
                <w:p w14:paraId="0F4264CA">
                  <w:pPr>
                    <w:pStyle w:val="103"/>
                    <w:spacing w:line="320" w:lineRule="exact"/>
                    <w:rPr>
                      <w:sz w:val="21"/>
                      <w:szCs w:val="21"/>
                    </w:rPr>
                  </w:pPr>
                  <w:r>
                    <w:rPr>
                      <w:rFonts w:hint="eastAsia"/>
                      <w:sz w:val="21"/>
                      <w:szCs w:val="21"/>
                    </w:rPr>
                    <w:t>11～4月</w:t>
                  </w:r>
                </w:p>
              </w:tc>
              <w:tc>
                <w:tcPr>
                  <w:tcW w:w="830" w:type="pct"/>
                  <w:noWrap/>
                  <w:vAlign w:val="center"/>
                </w:tcPr>
                <w:p w14:paraId="01214B10">
                  <w:pPr>
                    <w:pStyle w:val="103"/>
                    <w:spacing w:line="320" w:lineRule="exact"/>
                    <w:rPr>
                      <w:sz w:val="21"/>
                      <w:szCs w:val="21"/>
                    </w:rPr>
                  </w:pPr>
                  <w:r>
                    <w:rPr>
                      <w:rFonts w:hint="eastAsia"/>
                      <w:sz w:val="21"/>
                      <w:szCs w:val="21"/>
                    </w:rPr>
                    <w:t>0.111</w:t>
                  </w:r>
                </w:p>
              </w:tc>
              <w:tc>
                <w:tcPr>
                  <w:tcW w:w="830" w:type="pct"/>
                  <w:noWrap/>
                  <w:vAlign w:val="center"/>
                </w:tcPr>
                <w:p w14:paraId="754968B2">
                  <w:pPr>
                    <w:pStyle w:val="103"/>
                    <w:spacing w:line="320" w:lineRule="exact"/>
                    <w:rPr>
                      <w:sz w:val="21"/>
                      <w:szCs w:val="21"/>
                    </w:rPr>
                  </w:pPr>
                  <w:r>
                    <w:rPr>
                      <w:rFonts w:hint="eastAsia"/>
                      <w:sz w:val="21"/>
                      <w:szCs w:val="21"/>
                    </w:rPr>
                    <w:t>0.065</w:t>
                  </w:r>
                </w:p>
              </w:tc>
              <w:tc>
                <w:tcPr>
                  <w:tcW w:w="832" w:type="pct"/>
                  <w:noWrap/>
                  <w:vAlign w:val="center"/>
                </w:tcPr>
                <w:p w14:paraId="1C42643C">
                  <w:pPr>
                    <w:pStyle w:val="103"/>
                    <w:spacing w:line="320" w:lineRule="exact"/>
                    <w:rPr>
                      <w:sz w:val="21"/>
                      <w:szCs w:val="21"/>
                    </w:rPr>
                  </w:pPr>
                  <w:r>
                    <w:rPr>
                      <w:rFonts w:hint="eastAsia"/>
                      <w:sz w:val="21"/>
                      <w:szCs w:val="21"/>
                    </w:rPr>
                    <w:t>0.016</w:t>
                  </w:r>
                </w:p>
              </w:tc>
            </w:tr>
            <w:tr w14:paraId="09FF62B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1456" w:type="pct"/>
                  <w:vMerge w:val="continue"/>
                  <w:noWrap/>
                  <w:vAlign w:val="center"/>
                </w:tcPr>
                <w:p w14:paraId="7E99ED67">
                  <w:pPr>
                    <w:pStyle w:val="103"/>
                    <w:spacing w:line="320" w:lineRule="exact"/>
                    <w:rPr>
                      <w:sz w:val="21"/>
                      <w:szCs w:val="21"/>
                    </w:rPr>
                  </w:pPr>
                </w:p>
              </w:tc>
              <w:tc>
                <w:tcPr>
                  <w:tcW w:w="1051" w:type="pct"/>
                  <w:noWrap/>
                  <w:vAlign w:val="center"/>
                </w:tcPr>
                <w:p w14:paraId="723583F9">
                  <w:pPr>
                    <w:pStyle w:val="103"/>
                    <w:spacing w:line="320" w:lineRule="exact"/>
                    <w:rPr>
                      <w:sz w:val="21"/>
                      <w:szCs w:val="21"/>
                    </w:rPr>
                  </w:pPr>
                  <w:r>
                    <w:rPr>
                      <w:rFonts w:hint="eastAsia"/>
                      <w:sz w:val="21"/>
                      <w:szCs w:val="21"/>
                    </w:rPr>
                    <w:t>5月</w:t>
                  </w:r>
                </w:p>
              </w:tc>
              <w:tc>
                <w:tcPr>
                  <w:tcW w:w="830" w:type="pct"/>
                  <w:noWrap/>
                  <w:vAlign w:val="center"/>
                </w:tcPr>
                <w:p w14:paraId="0A14D588">
                  <w:pPr>
                    <w:pStyle w:val="103"/>
                    <w:spacing w:line="320" w:lineRule="exact"/>
                    <w:rPr>
                      <w:sz w:val="21"/>
                      <w:szCs w:val="21"/>
                    </w:rPr>
                  </w:pPr>
                  <w:r>
                    <w:rPr>
                      <w:rFonts w:hint="eastAsia"/>
                      <w:sz w:val="21"/>
                      <w:szCs w:val="21"/>
                    </w:rPr>
                    <w:t>1.32</w:t>
                  </w:r>
                </w:p>
              </w:tc>
              <w:tc>
                <w:tcPr>
                  <w:tcW w:w="830" w:type="pct"/>
                  <w:noWrap/>
                  <w:vAlign w:val="center"/>
                </w:tcPr>
                <w:p w14:paraId="5C506F70">
                  <w:pPr>
                    <w:pStyle w:val="103"/>
                    <w:spacing w:line="320" w:lineRule="exact"/>
                    <w:rPr>
                      <w:sz w:val="21"/>
                      <w:szCs w:val="21"/>
                    </w:rPr>
                  </w:pPr>
                  <w:r>
                    <w:rPr>
                      <w:rFonts w:hint="eastAsia"/>
                      <w:sz w:val="21"/>
                      <w:szCs w:val="21"/>
                    </w:rPr>
                    <w:t>0.84</w:t>
                  </w:r>
                </w:p>
              </w:tc>
              <w:tc>
                <w:tcPr>
                  <w:tcW w:w="832" w:type="pct"/>
                  <w:noWrap/>
                  <w:vAlign w:val="center"/>
                </w:tcPr>
                <w:p w14:paraId="14CFFBE6">
                  <w:pPr>
                    <w:pStyle w:val="103"/>
                    <w:spacing w:line="320" w:lineRule="exact"/>
                    <w:rPr>
                      <w:sz w:val="21"/>
                      <w:szCs w:val="21"/>
                    </w:rPr>
                  </w:pPr>
                  <w:r>
                    <w:rPr>
                      <w:rFonts w:hint="eastAsia"/>
                      <w:sz w:val="21"/>
                      <w:szCs w:val="21"/>
                    </w:rPr>
                    <w:t>0.269</w:t>
                  </w:r>
                </w:p>
              </w:tc>
            </w:tr>
            <w:tr w14:paraId="0C31A11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1456" w:type="pct"/>
                  <w:vMerge w:val="continue"/>
                  <w:noWrap/>
                  <w:vAlign w:val="center"/>
                </w:tcPr>
                <w:p w14:paraId="257B2794">
                  <w:pPr>
                    <w:pStyle w:val="103"/>
                    <w:spacing w:line="320" w:lineRule="exact"/>
                    <w:rPr>
                      <w:sz w:val="21"/>
                      <w:szCs w:val="21"/>
                    </w:rPr>
                  </w:pPr>
                </w:p>
              </w:tc>
              <w:tc>
                <w:tcPr>
                  <w:tcW w:w="1051" w:type="pct"/>
                  <w:noWrap/>
                  <w:vAlign w:val="center"/>
                </w:tcPr>
                <w:p w14:paraId="00AA207A">
                  <w:pPr>
                    <w:pStyle w:val="103"/>
                    <w:spacing w:line="320" w:lineRule="exact"/>
                    <w:rPr>
                      <w:sz w:val="21"/>
                      <w:szCs w:val="21"/>
                    </w:rPr>
                  </w:pPr>
                  <w:r>
                    <w:rPr>
                      <w:rFonts w:hint="eastAsia"/>
                      <w:sz w:val="21"/>
                      <w:szCs w:val="21"/>
                    </w:rPr>
                    <w:t>6-9月</w:t>
                  </w:r>
                </w:p>
              </w:tc>
              <w:tc>
                <w:tcPr>
                  <w:tcW w:w="830" w:type="pct"/>
                  <w:noWrap/>
                  <w:vAlign w:val="center"/>
                </w:tcPr>
                <w:p w14:paraId="19AC9548">
                  <w:pPr>
                    <w:pStyle w:val="103"/>
                    <w:spacing w:line="320" w:lineRule="exact"/>
                    <w:rPr>
                      <w:sz w:val="21"/>
                      <w:szCs w:val="21"/>
                    </w:rPr>
                  </w:pPr>
                  <w:r>
                    <w:rPr>
                      <w:rFonts w:hint="eastAsia"/>
                      <w:sz w:val="21"/>
                      <w:szCs w:val="21"/>
                    </w:rPr>
                    <w:t>45.9</w:t>
                  </w:r>
                </w:p>
              </w:tc>
              <w:tc>
                <w:tcPr>
                  <w:tcW w:w="830" w:type="pct"/>
                  <w:noWrap/>
                  <w:vAlign w:val="center"/>
                </w:tcPr>
                <w:p w14:paraId="0CE79E0A">
                  <w:pPr>
                    <w:pStyle w:val="103"/>
                    <w:spacing w:line="320" w:lineRule="exact"/>
                    <w:rPr>
                      <w:sz w:val="21"/>
                      <w:szCs w:val="21"/>
                    </w:rPr>
                  </w:pPr>
                  <w:r>
                    <w:rPr>
                      <w:rFonts w:hint="eastAsia"/>
                      <w:sz w:val="21"/>
                      <w:szCs w:val="21"/>
                    </w:rPr>
                    <w:t>33.5</w:t>
                  </w:r>
                </w:p>
              </w:tc>
              <w:tc>
                <w:tcPr>
                  <w:tcW w:w="832" w:type="pct"/>
                  <w:noWrap/>
                  <w:vAlign w:val="center"/>
                </w:tcPr>
                <w:p w14:paraId="2CA68B10">
                  <w:pPr>
                    <w:pStyle w:val="103"/>
                    <w:spacing w:line="320" w:lineRule="exact"/>
                    <w:rPr>
                      <w:sz w:val="21"/>
                      <w:szCs w:val="21"/>
                    </w:rPr>
                  </w:pPr>
                  <w:r>
                    <w:rPr>
                      <w:rFonts w:hint="eastAsia"/>
                      <w:sz w:val="21"/>
                      <w:szCs w:val="21"/>
                    </w:rPr>
                    <w:t>17.4</w:t>
                  </w:r>
                </w:p>
              </w:tc>
            </w:tr>
            <w:tr w14:paraId="7E8561B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1456" w:type="pct"/>
                  <w:vMerge w:val="continue"/>
                  <w:noWrap/>
                  <w:vAlign w:val="center"/>
                </w:tcPr>
                <w:p w14:paraId="66FDE15B">
                  <w:pPr>
                    <w:pStyle w:val="103"/>
                    <w:spacing w:line="320" w:lineRule="exact"/>
                    <w:rPr>
                      <w:sz w:val="21"/>
                      <w:szCs w:val="21"/>
                    </w:rPr>
                  </w:pPr>
                </w:p>
              </w:tc>
              <w:tc>
                <w:tcPr>
                  <w:tcW w:w="1051" w:type="pct"/>
                  <w:noWrap/>
                  <w:vAlign w:val="center"/>
                </w:tcPr>
                <w:p w14:paraId="34BB5B21">
                  <w:pPr>
                    <w:pStyle w:val="103"/>
                    <w:spacing w:line="320" w:lineRule="exact"/>
                    <w:rPr>
                      <w:sz w:val="21"/>
                      <w:szCs w:val="21"/>
                    </w:rPr>
                  </w:pPr>
                  <w:r>
                    <w:rPr>
                      <w:rFonts w:hint="eastAsia"/>
                      <w:sz w:val="21"/>
                      <w:szCs w:val="21"/>
                    </w:rPr>
                    <w:t>10月</w:t>
                  </w:r>
                </w:p>
              </w:tc>
              <w:tc>
                <w:tcPr>
                  <w:tcW w:w="830" w:type="pct"/>
                  <w:noWrap/>
                  <w:vAlign w:val="center"/>
                </w:tcPr>
                <w:p w14:paraId="12A3D4E9">
                  <w:pPr>
                    <w:pStyle w:val="103"/>
                    <w:spacing w:line="320" w:lineRule="exact"/>
                    <w:rPr>
                      <w:sz w:val="21"/>
                      <w:szCs w:val="21"/>
                    </w:rPr>
                  </w:pPr>
                  <w:r>
                    <w:rPr>
                      <w:rFonts w:hint="eastAsia"/>
                      <w:sz w:val="21"/>
                      <w:szCs w:val="21"/>
                    </w:rPr>
                    <w:t>1.02</w:t>
                  </w:r>
                </w:p>
              </w:tc>
              <w:tc>
                <w:tcPr>
                  <w:tcW w:w="830" w:type="pct"/>
                  <w:noWrap/>
                  <w:vAlign w:val="center"/>
                </w:tcPr>
                <w:p w14:paraId="322BB2E8">
                  <w:pPr>
                    <w:pStyle w:val="103"/>
                    <w:spacing w:line="320" w:lineRule="exact"/>
                    <w:rPr>
                      <w:sz w:val="21"/>
                      <w:szCs w:val="21"/>
                    </w:rPr>
                  </w:pPr>
                  <w:r>
                    <w:rPr>
                      <w:rFonts w:hint="eastAsia"/>
                      <w:sz w:val="21"/>
                      <w:szCs w:val="21"/>
                    </w:rPr>
                    <w:t>0.58</w:t>
                  </w:r>
                </w:p>
              </w:tc>
              <w:tc>
                <w:tcPr>
                  <w:tcW w:w="832" w:type="pct"/>
                  <w:noWrap/>
                  <w:vAlign w:val="center"/>
                </w:tcPr>
                <w:p w14:paraId="517B33F7">
                  <w:pPr>
                    <w:pStyle w:val="103"/>
                    <w:spacing w:line="320" w:lineRule="exact"/>
                    <w:rPr>
                      <w:sz w:val="21"/>
                      <w:szCs w:val="21"/>
                    </w:rPr>
                  </w:pPr>
                  <w:r>
                    <w:rPr>
                      <w:rFonts w:hint="eastAsia"/>
                      <w:sz w:val="21"/>
                      <w:szCs w:val="21"/>
                    </w:rPr>
                    <w:t>0.123</w:t>
                  </w:r>
                </w:p>
              </w:tc>
            </w:tr>
          </w:tbl>
          <w:p w14:paraId="5E02CBA0">
            <w:pPr>
              <w:pStyle w:val="11"/>
              <w:spacing w:line="440" w:lineRule="exact"/>
              <w:ind w:firstLine="480" w:firstLineChars="200"/>
              <w:rPr>
                <w:sz w:val="24"/>
                <w:szCs w:val="24"/>
              </w:rPr>
            </w:pPr>
            <w:r>
              <w:rPr>
                <w:sz w:val="24"/>
                <w:szCs w:val="24"/>
              </w:rPr>
              <w:t>所算的分期设计洪水成果汛前提前10日使用，汛后延长10天使用。</w:t>
            </w:r>
          </w:p>
          <w:p w14:paraId="2C4A95AA">
            <w:pPr>
              <w:pStyle w:val="11"/>
              <w:spacing w:line="440" w:lineRule="exact"/>
              <w:ind w:firstLine="480" w:firstLineChars="200"/>
              <w:rPr>
                <w:sz w:val="24"/>
                <w:szCs w:val="24"/>
              </w:rPr>
            </w:pPr>
            <w:r>
              <w:rPr>
                <w:sz w:val="24"/>
                <w:szCs w:val="24"/>
              </w:rPr>
              <w:t>从上表可以看出，汛前5月和汛后10月洪水相对较大，11月～次年4月为枯水期流量稳定，根据工期安排，本阶段施工导流时段选在为12月～次年4月，有效施工时段为5个月，导流流量汇口上游胜利溪为0.065m</w:t>
            </w:r>
            <w:r>
              <w:rPr>
                <w:sz w:val="24"/>
                <w:szCs w:val="24"/>
                <w:vertAlign w:val="superscript"/>
              </w:rPr>
              <w:t>3</w:t>
            </w:r>
            <w:r>
              <w:rPr>
                <w:sz w:val="24"/>
                <w:szCs w:val="24"/>
              </w:rPr>
              <w:t>/s，汇口下游金水河为0.159m</w:t>
            </w:r>
            <w:r>
              <w:rPr>
                <w:sz w:val="24"/>
                <w:szCs w:val="24"/>
                <w:vertAlign w:val="superscript"/>
              </w:rPr>
              <w:t>3</w:t>
            </w:r>
            <w:r>
              <w:rPr>
                <w:sz w:val="24"/>
                <w:szCs w:val="24"/>
              </w:rPr>
              <w:t>/s，建筑工程工程量虽然较大，但是可以利用堤防战线长度，分段集中同时施工，在一个枯水期内完成是工期保证的。</w:t>
            </w:r>
          </w:p>
          <w:p w14:paraId="445C5ABF">
            <w:pPr>
              <w:pStyle w:val="11"/>
              <w:spacing w:line="440" w:lineRule="exact"/>
              <w:ind w:firstLine="480" w:firstLineChars="200"/>
              <w:rPr>
                <w:sz w:val="24"/>
                <w:szCs w:val="24"/>
              </w:rPr>
            </w:pPr>
            <w:r>
              <w:rPr>
                <w:rFonts w:hint="eastAsia"/>
                <w:sz w:val="24"/>
                <w:szCs w:val="24"/>
              </w:rPr>
              <w:t>3）导流方式</w:t>
            </w:r>
          </w:p>
          <w:p w14:paraId="26122FE0">
            <w:pPr>
              <w:pStyle w:val="11"/>
              <w:spacing w:line="440" w:lineRule="exact"/>
              <w:ind w:firstLine="480" w:firstLineChars="200"/>
              <w:rPr>
                <w:sz w:val="24"/>
                <w:szCs w:val="24"/>
              </w:rPr>
            </w:pPr>
            <w:r>
              <w:rPr>
                <w:sz w:val="24"/>
                <w:szCs w:val="24"/>
              </w:rPr>
              <w:t>工程分为两种导流方式，根据堤线和堤型布置，便民桥以下导流方式采用DN400PE管导流；采用分段填筑横向围堰封闭河段河床后抽排水的方式进行施工导流，施工导流围堰采用开挖的土石填筑围堰，袋装土和防渗土工布防渗的方式。</w:t>
            </w:r>
          </w:p>
          <w:p w14:paraId="22C359BA">
            <w:pPr>
              <w:pStyle w:val="11"/>
              <w:spacing w:line="440" w:lineRule="exact"/>
              <w:ind w:firstLine="480" w:firstLineChars="200"/>
              <w:rPr>
                <w:sz w:val="24"/>
                <w:szCs w:val="24"/>
              </w:rPr>
            </w:pPr>
            <w:r>
              <w:rPr>
                <w:sz w:val="24"/>
                <w:szCs w:val="24"/>
              </w:rPr>
              <w:t>根据上述导流方式，需对桩号JY1+100.00处溢流堰开口降低上游水位，开口宽度1.20m。施工完成后对溢流堰恢复。</w:t>
            </w:r>
          </w:p>
          <w:p w14:paraId="3B55F4A2">
            <w:pPr>
              <w:pStyle w:val="11"/>
              <w:spacing w:line="440" w:lineRule="exact"/>
              <w:ind w:firstLine="480" w:firstLineChars="200"/>
              <w:rPr>
                <w:sz w:val="24"/>
                <w:szCs w:val="24"/>
              </w:rPr>
            </w:pPr>
            <w:r>
              <w:rPr>
                <w:rFonts w:hint="eastAsia"/>
                <w:sz w:val="24"/>
                <w:szCs w:val="24"/>
              </w:rPr>
              <w:t>4）导流建筑物施工</w:t>
            </w:r>
          </w:p>
          <w:p w14:paraId="6B96D04D">
            <w:pPr>
              <w:pStyle w:val="11"/>
              <w:spacing w:line="440" w:lineRule="exact"/>
              <w:ind w:firstLine="480" w:firstLineChars="200"/>
              <w:rPr>
                <w:sz w:val="24"/>
                <w:szCs w:val="24"/>
              </w:rPr>
            </w:pPr>
            <w:r>
              <w:rPr>
                <w:sz w:val="24"/>
                <w:szCs w:val="24"/>
              </w:rPr>
              <w:t>导流管道采用DN400PE管；围堰为不过水土石围堰，围堰堰顶高程按照导流水位与波浪高度及堰顶安全加高值确定，5级土石围堰超高0.5m，波高计算值为0.10，超高值取0.6m。本工程土石围堰顶宽为2.0m，两侧边坡为1:1.5，迎水面采用400g/m</w:t>
            </w:r>
            <w:r>
              <w:rPr>
                <w:sz w:val="24"/>
                <w:szCs w:val="24"/>
                <w:vertAlign w:val="superscript"/>
              </w:rPr>
              <w:t>2</w:t>
            </w:r>
            <w:r>
              <w:rPr>
                <w:sz w:val="24"/>
                <w:szCs w:val="24"/>
              </w:rPr>
              <w:t>土工膜+袋装土0.5m厚进行防渗、防浪护坡，最大围堰高度1.5m。</w:t>
            </w:r>
          </w:p>
          <w:p w14:paraId="13C217EE">
            <w:pPr>
              <w:pStyle w:val="11"/>
              <w:spacing w:line="440" w:lineRule="exact"/>
              <w:ind w:firstLine="480" w:firstLineChars="200"/>
              <w:rPr>
                <w:sz w:val="24"/>
                <w:szCs w:val="24"/>
              </w:rPr>
            </w:pPr>
            <w:r>
              <w:rPr>
                <w:sz w:val="24"/>
                <w:szCs w:val="24"/>
              </w:rPr>
              <w:t>结合基础施工，明渠采用挖掘机开挖，围堰袋装土石填筑料就近利用开挖料，人工装袋，双胶轮车或挖机运至围堰填筑工作面，人工进行码放填筑，围堰拆除结合主体工程中挡墙基础前回填进行。管道采用PE400管。管道安装采用汽车吊配合人工进行安装，起吊到安装高程时，由人工完成接头的安装工作。</w:t>
            </w:r>
          </w:p>
          <w:p w14:paraId="181CC5FA">
            <w:pPr>
              <w:pStyle w:val="11"/>
              <w:spacing w:line="440" w:lineRule="exact"/>
              <w:ind w:firstLine="480" w:firstLineChars="200"/>
              <w:rPr>
                <w:sz w:val="24"/>
                <w:szCs w:val="24"/>
              </w:rPr>
            </w:pPr>
            <w:r>
              <w:rPr>
                <w:rFonts w:hint="eastAsia"/>
                <w:sz w:val="24"/>
                <w:szCs w:val="24"/>
              </w:rPr>
              <w:t>（3）基坑排水</w:t>
            </w:r>
          </w:p>
          <w:p w14:paraId="22E3CA5C">
            <w:pPr>
              <w:pStyle w:val="11"/>
              <w:spacing w:line="440" w:lineRule="exact"/>
              <w:ind w:firstLine="480" w:firstLineChars="200"/>
              <w:rPr>
                <w:sz w:val="24"/>
                <w:szCs w:val="24"/>
              </w:rPr>
            </w:pPr>
            <w:r>
              <w:rPr>
                <w:sz w:val="24"/>
                <w:szCs w:val="24"/>
              </w:rPr>
              <w:t>基坑排水分为初期排水和经常性排水。</w:t>
            </w:r>
            <w:r>
              <w:rPr>
                <w:rFonts w:hint="eastAsia"/>
                <w:sz w:val="24"/>
                <w:szCs w:val="24"/>
              </w:rPr>
              <w:t>项目</w:t>
            </w:r>
            <w:r>
              <w:rPr>
                <w:sz w:val="24"/>
                <w:szCs w:val="24"/>
              </w:rPr>
              <w:t>采用的防渗土工膜防渗，考虑实际情况，堤防渗水量按照围堰填筑和基础渗透系数进行渗透量计算。堤防采用分段施工，分段长度按100m计。施工期间采用强排水法施工，每段选用排水离心水泵4台，基坑开挖和挡墙基础浇筑工期计划30天</w:t>
            </w:r>
            <w:r>
              <w:rPr>
                <w:rFonts w:hint="eastAsia"/>
                <w:sz w:val="24"/>
                <w:szCs w:val="24"/>
              </w:rPr>
              <w:t>，</w:t>
            </w:r>
            <w:r>
              <w:rPr>
                <w:sz w:val="24"/>
                <w:szCs w:val="24"/>
              </w:rPr>
              <w:t>2880台时。根据施工情况调整抽水机台数，以满足施工要求。</w:t>
            </w:r>
          </w:p>
          <w:p w14:paraId="17D6EA4A">
            <w:pPr>
              <w:pStyle w:val="11"/>
              <w:spacing w:line="440" w:lineRule="exact"/>
              <w:ind w:firstLine="480" w:firstLineChars="200"/>
              <w:rPr>
                <w:sz w:val="24"/>
                <w:szCs w:val="24"/>
              </w:rPr>
            </w:pPr>
            <w:r>
              <w:rPr>
                <w:rFonts w:hint="eastAsia"/>
                <w:sz w:val="24"/>
                <w:szCs w:val="24"/>
              </w:rPr>
              <w:t>（4）主体工程</w:t>
            </w:r>
          </w:p>
          <w:p w14:paraId="2AE6DB92">
            <w:pPr>
              <w:pStyle w:val="11"/>
              <w:spacing w:line="440" w:lineRule="exact"/>
              <w:ind w:firstLine="480" w:firstLineChars="200"/>
              <w:rPr>
                <w:sz w:val="24"/>
                <w:szCs w:val="24"/>
              </w:rPr>
            </w:pPr>
            <w:r>
              <w:rPr>
                <w:rFonts w:hint="eastAsia"/>
                <w:sz w:val="24"/>
                <w:szCs w:val="24"/>
              </w:rPr>
              <w:t>1）土方开挖</w:t>
            </w:r>
          </w:p>
          <w:p w14:paraId="75823CD6">
            <w:pPr>
              <w:pStyle w:val="11"/>
              <w:spacing w:line="440" w:lineRule="exact"/>
              <w:ind w:firstLine="480" w:firstLineChars="200"/>
              <w:rPr>
                <w:sz w:val="24"/>
                <w:szCs w:val="24"/>
              </w:rPr>
            </w:pPr>
            <w:r>
              <w:rPr>
                <w:sz w:val="24"/>
                <w:szCs w:val="24"/>
              </w:rPr>
              <w:t>土方开挖采用液压单斗挖掘机挖渣，装自卸汽车运输，部分作为围堰填筑料、齿墙回填，能利用的料堆存在堤齿墙前填筑围堰以及后期齿墙回填。其他料运往规划的弃渣场进行堆放。坡面原有护岸拆除时需跳仓拆除。</w:t>
            </w:r>
          </w:p>
          <w:p w14:paraId="2064E4EA">
            <w:pPr>
              <w:pStyle w:val="11"/>
              <w:spacing w:line="440" w:lineRule="exact"/>
              <w:ind w:firstLine="480" w:firstLineChars="200"/>
              <w:rPr>
                <w:sz w:val="24"/>
                <w:szCs w:val="24"/>
              </w:rPr>
            </w:pPr>
            <w:r>
              <w:rPr>
                <w:sz w:val="24"/>
                <w:szCs w:val="24"/>
              </w:rPr>
              <w:t>在工程实施范围内所有杂物清除运走，进行护坡开挖，将弃渣运到指定地点废弃，当表层土清除后，仍发现有特别大的石头</w:t>
            </w:r>
            <w:r>
              <w:rPr>
                <w:rFonts w:hint="eastAsia"/>
                <w:sz w:val="24"/>
                <w:szCs w:val="24"/>
                <w:lang w:eastAsia="zh-CN"/>
              </w:rPr>
              <w:t>及</w:t>
            </w:r>
            <w:r>
              <w:rPr>
                <w:sz w:val="24"/>
                <w:szCs w:val="24"/>
              </w:rPr>
              <w:t>废弃的垃圾时，要进行处理，然后进行堤身的回填处理，清基使用液压单斗挖掘机进行，由推土机推运至弃土区摊平。</w:t>
            </w:r>
          </w:p>
          <w:p w14:paraId="59AEB28F">
            <w:pPr>
              <w:pStyle w:val="11"/>
              <w:spacing w:line="440" w:lineRule="exact"/>
              <w:ind w:firstLine="480" w:firstLineChars="200"/>
              <w:rPr>
                <w:sz w:val="24"/>
                <w:szCs w:val="24"/>
              </w:rPr>
            </w:pPr>
            <w:r>
              <w:rPr>
                <w:sz w:val="24"/>
                <w:szCs w:val="24"/>
              </w:rPr>
              <w:t>清基结束后，即可进行护坡土方开挖及修整，将多余土方用液压单斗挖掘机挖去，用推土机就近运至施工附近区域堆铺平整，堆土高度不超过2m。在进行机械削坡时，建基面以上预留10cm厚的保护层，该保护层在上部护坡施工前用人工进行开挖，机动翻斗车运至临时堆料场。</w:t>
            </w:r>
          </w:p>
          <w:p w14:paraId="1E04F1B7">
            <w:pPr>
              <w:pStyle w:val="11"/>
              <w:spacing w:line="440" w:lineRule="exact"/>
              <w:ind w:firstLine="480" w:firstLineChars="200"/>
              <w:rPr>
                <w:sz w:val="24"/>
                <w:szCs w:val="24"/>
              </w:rPr>
            </w:pPr>
            <w:r>
              <w:rPr>
                <w:rFonts w:hint="eastAsia"/>
                <w:sz w:val="24"/>
                <w:szCs w:val="24"/>
              </w:rPr>
              <w:t>2）堤身填筑</w:t>
            </w:r>
          </w:p>
          <w:p w14:paraId="3EB9C42F">
            <w:pPr>
              <w:pStyle w:val="11"/>
              <w:spacing w:line="440" w:lineRule="exact"/>
              <w:ind w:firstLine="480" w:firstLineChars="200"/>
              <w:rPr>
                <w:sz w:val="24"/>
                <w:szCs w:val="24"/>
              </w:rPr>
            </w:pPr>
            <w:r>
              <w:rPr>
                <w:rFonts w:hint="eastAsia"/>
                <w:sz w:val="24"/>
                <w:szCs w:val="24"/>
              </w:rPr>
              <w:t>a.</w:t>
            </w:r>
            <w:r>
              <w:rPr>
                <w:sz w:val="24"/>
                <w:szCs w:val="24"/>
              </w:rPr>
              <w:t>堤身砂砾石填筑</w:t>
            </w:r>
          </w:p>
          <w:p w14:paraId="77A81C95">
            <w:pPr>
              <w:pStyle w:val="11"/>
              <w:spacing w:line="440" w:lineRule="exact"/>
              <w:ind w:firstLine="480" w:firstLineChars="200"/>
              <w:rPr>
                <w:sz w:val="24"/>
                <w:szCs w:val="24"/>
              </w:rPr>
            </w:pPr>
            <w:r>
              <w:rPr>
                <w:sz w:val="24"/>
                <w:szCs w:val="24"/>
              </w:rPr>
              <w:t>砂砾石料采用反铲挖装，自卸汽车运输至现场，推土机铺料， 蛙式夯实机碾压。为使堤边坡碾压密实，填筑时两边应超填1.0m宽，填筑完成后应削除超填部分，边坡采用斜坡碾碾压，下坡静碾，上坡动碾，各2～4遍，砂砾石参数按照填料相对密度不小于0.6。施工碾压参数通过试验确定。</w:t>
            </w:r>
          </w:p>
          <w:p w14:paraId="075D7459">
            <w:pPr>
              <w:pStyle w:val="11"/>
              <w:spacing w:line="440" w:lineRule="exact"/>
              <w:ind w:firstLine="480" w:firstLineChars="200"/>
              <w:rPr>
                <w:sz w:val="24"/>
                <w:szCs w:val="24"/>
              </w:rPr>
            </w:pPr>
            <w:r>
              <w:rPr>
                <w:rFonts w:hint="eastAsia"/>
                <w:sz w:val="24"/>
                <w:szCs w:val="24"/>
              </w:rPr>
              <w:t>b.</w:t>
            </w:r>
            <w:r>
              <w:rPr>
                <w:sz w:val="24"/>
                <w:szCs w:val="24"/>
              </w:rPr>
              <w:t>土方回填</w:t>
            </w:r>
          </w:p>
          <w:p w14:paraId="27452352">
            <w:pPr>
              <w:pStyle w:val="11"/>
              <w:spacing w:line="440" w:lineRule="exact"/>
              <w:ind w:firstLine="480" w:firstLineChars="200"/>
              <w:rPr>
                <w:sz w:val="24"/>
                <w:szCs w:val="24"/>
              </w:rPr>
            </w:pPr>
            <w:r>
              <w:rPr>
                <w:sz w:val="24"/>
                <w:szCs w:val="24"/>
              </w:rPr>
              <w:t>填筑料充分利用工程开挖的土料进行回填，采用反铲挖装自卸汽车回采开挖中的合格料，推土机铺料。</w:t>
            </w:r>
          </w:p>
          <w:p w14:paraId="2268C1FB">
            <w:pPr>
              <w:pStyle w:val="11"/>
              <w:spacing w:line="440" w:lineRule="exact"/>
              <w:ind w:firstLine="480" w:firstLineChars="200"/>
              <w:rPr>
                <w:sz w:val="24"/>
                <w:szCs w:val="24"/>
              </w:rPr>
            </w:pPr>
            <w:r>
              <w:rPr>
                <w:rFonts w:hint="eastAsia"/>
                <w:sz w:val="24"/>
                <w:szCs w:val="24"/>
              </w:rPr>
              <w:t>c.</w:t>
            </w:r>
            <w:r>
              <w:rPr>
                <w:sz w:val="24"/>
                <w:szCs w:val="24"/>
              </w:rPr>
              <w:t>耕植土回填</w:t>
            </w:r>
          </w:p>
          <w:p w14:paraId="27E66EB6">
            <w:pPr>
              <w:pStyle w:val="11"/>
              <w:spacing w:line="440" w:lineRule="exact"/>
              <w:ind w:firstLine="480" w:firstLineChars="200"/>
              <w:rPr>
                <w:sz w:val="24"/>
                <w:szCs w:val="24"/>
              </w:rPr>
            </w:pPr>
            <w:r>
              <w:rPr>
                <w:sz w:val="24"/>
                <w:szCs w:val="24"/>
              </w:rPr>
              <w:t>耕植土回填料利用土方开挖料进行回填，利用自卸汽车运输至回填区，挖机平整填料，蛙式打夯机辅以人工轻击夯击即可。</w:t>
            </w:r>
          </w:p>
          <w:p w14:paraId="4E31FC41">
            <w:pPr>
              <w:pStyle w:val="11"/>
              <w:spacing w:line="440" w:lineRule="exact"/>
              <w:ind w:firstLine="480" w:firstLineChars="200"/>
              <w:rPr>
                <w:sz w:val="24"/>
                <w:szCs w:val="24"/>
              </w:rPr>
            </w:pPr>
            <w:r>
              <w:rPr>
                <w:rFonts w:hint="eastAsia"/>
                <w:sz w:val="24"/>
                <w:szCs w:val="24"/>
              </w:rPr>
              <w:t>3）常规砼浇筑</w:t>
            </w:r>
          </w:p>
          <w:p w14:paraId="6EA73608">
            <w:pPr>
              <w:pStyle w:val="11"/>
              <w:spacing w:line="440" w:lineRule="exact"/>
              <w:ind w:firstLine="480" w:firstLineChars="200"/>
              <w:rPr>
                <w:sz w:val="24"/>
                <w:szCs w:val="24"/>
              </w:rPr>
            </w:pPr>
            <w:r>
              <w:rPr>
                <w:sz w:val="24"/>
                <w:szCs w:val="24"/>
              </w:rPr>
              <w:t>本工程常规砼主要为砼护坡、砼框格、压顶、基础等砼工程。</w:t>
            </w:r>
          </w:p>
          <w:p w14:paraId="1FD0CABE">
            <w:pPr>
              <w:pStyle w:val="11"/>
              <w:spacing w:line="440" w:lineRule="exact"/>
              <w:ind w:firstLine="480" w:firstLineChars="200"/>
              <w:rPr>
                <w:sz w:val="24"/>
                <w:szCs w:val="24"/>
              </w:rPr>
            </w:pPr>
            <w:r>
              <w:rPr>
                <w:sz w:val="24"/>
                <w:szCs w:val="24"/>
              </w:rPr>
              <w:t>砼采用商品砼，砼水平运输主要采用自卸汽车或水泥罐车运输等；垂直运输，砼浇筑垂直运输采用溜槽入仓，对斜坡式堤防是先填筑堤身在进行面板浇筑，砼入仓同样采用简易溜槽入仓。</w:t>
            </w:r>
          </w:p>
          <w:p w14:paraId="27FE9BFD">
            <w:pPr>
              <w:pStyle w:val="11"/>
              <w:spacing w:line="440" w:lineRule="exact"/>
              <w:ind w:firstLine="480" w:firstLineChars="200"/>
              <w:rPr>
                <w:sz w:val="24"/>
                <w:szCs w:val="24"/>
              </w:rPr>
            </w:pPr>
            <w:r>
              <w:rPr>
                <w:rFonts w:hint="eastAsia"/>
                <w:sz w:val="24"/>
                <w:szCs w:val="24"/>
              </w:rPr>
              <w:t>a.</w:t>
            </w:r>
            <w:r>
              <w:rPr>
                <w:sz w:val="24"/>
                <w:szCs w:val="24"/>
              </w:rPr>
              <w:t>砼齿槽、砼平台</w:t>
            </w:r>
          </w:p>
          <w:p w14:paraId="6DB2FEE4">
            <w:pPr>
              <w:pStyle w:val="11"/>
              <w:spacing w:line="440" w:lineRule="exact"/>
              <w:ind w:firstLine="480" w:firstLineChars="200"/>
              <w:rPr>
                <w:sz w:val="24"/>
                <w:szCs w:val="24"/>
              </w:rPr>
            </w:pPr>
            <w:r>
              <w:rPr>
                <w:sz w:val="24"/>
                <w:szCs w:val="24"/>
              </w:rPr>
              <w:t>采用商品砼，砼罐车或自卸汽车运输转溜槽入仓，组合钢模施工，插入式振捣器振捣。</w:t>
            </w:r>
          </w:p>
          <w:p w14:paraId="06E963B2">
            <w:pPr>
              <w:pStyle w:val="11"/>
              <w:spacing w:line="440" w:lineRule="exact"/>
              <w:ind w:firstLine="480" w:firstLineChars="200"/>
              <w:rPr>
                <w:sz w:val="24"/>
                <w:szCs w:val="24"/>
              </w:rPr>
            </w:pPr>
            <w:r>
              <w:rPr>
                <w:rFonts w:hint="eastAsia"/>
                <w:sz w:val="24"/>
                <w:szCs w:val="24"/>
              </w:rPr>
              <w:t>b.</w:t>
            </w:r>
            <w:r>
              <w:rPr>
                <w:sz w:val="24"/>
                <w:szCs w:val="24"/>
              </w:rPr>
              <w:t>混凝土面板</w:t>
            </w:r>
          </w:p>
          <w:p w14:paraId="42A268AC">
            <w:pPr>
              <w:pStyle w:val="11"/>
              <w:spacing w:line="440" w:lineRule="exact"/>
              <w:ind w:firstLine="480" w:firstLineChars="200"/>
              <w:rPr>
                <w:sz w:val="24"/>
                <w:szCs w:val="24"/>
              </w:rPr>
            </w:pPr>
            <w:r>
              <w:rPr>
                <w:sz w:val="24"/>
                <w:szCs w:val="24"/>
              </w:rPr>
              <w:t>采用商品砼，混凝土运输罐车运输，溜槽入仓，滑模施工，插入式振捣器辅助振捣，人工收面抹光。</w:t>
            </w:r>
          </w:p>
          <w:p w14:paraId="6B96737C">
            <w:pPr>
              <w:pStyle w:val="11"/>
              <w:spacing w:line="440" w:lineRule="exact"/>
              <w:ind w:firstLine="480" w:firstLineChars="200"/>
              <w:rPr>
                <w:sz w:val="24"/>
                <w:szCs w:val="24"/>
              </w:rPr>
            </w:pPr>
            <w:r>
              <w:rPr>
                <w:rFonts w:hint="eastAsia"/>
                <w:sz w:val="24"/>
                <w:szCs w:val="24"/>
              </w:rPr>
              <w:t>c.</w:t>
            </w:r>
            <w:r>
              <w:rPr>
                <w:sz w:val="24"/>
                <w:szCs w:val="24"/>
              </w:rPr>
              <w:t>框格草皮护坡</w:t>
            </w:r>
          </w:p>
          <w:p w14:paraId="05D9568F">
            <w:pPr>
              <w:pStyle w:val="11"/>
              <w:spacing w:line="440" w:lineRule="exact"/>
              <w:ind w:firstLine="480" w:firstLineChars="200"/>
              <w:rPr>
                <w:sz w:val="24"/>
                <w:szCs w:val="24"/>
              </w:rPr>
            </w:pPr>
            <w:r>
              <w:rPr>
                <w:sz w:val="24"/>
                <w:szCs w:val="24"/>
              </w:rPr>
              <w:t>按照如下工序进行作业：</w:t>
            </w:r>
            <w:r>
              <w:rPr>
                <w:rFonts w:hint="eastAsia"/>
                <w:sz w:val="24"/>
                <w:szCs w:val="24"/>
              </w:rPr>
              <w:t>①</w:t>
            </w:r>
            <w:r>
              <w:rPr>
                <w:sz w:val="24"/>
                <w:szCs w:val="24"/>
              </w:rPr>
              <w:t>修坡：按照设计边坡坡度要求，进行边坡地基处理，清除杂草、突出物，用适当的材料填充空洞并振实，使边坡表面平整、密实，并符合设计边坡要求。</w:t>
            </w:r>
            <w:r>
              <w:rPr>
                <w:rFonts w:hint="eastAsia"/>
                <w:sz w:val="24"/>
                <w:szCs w:val="24"/>
              </w:rPr>
              <w:t>②</w:t>
            </w:r>
            <w:r>
              <w:rPr>
                <w:sz w:val="24"/>
                <w:szCs w:val="24"/>
              </w:rPr>
              <w:t>覆土：在区域上回填2-3cm耕植土。</w:t>
            </w:r>
            <w:r>
              <w:rPr>
                <w:rFonts w:hint="eastAsia"/>
                <w:sz w:val="24"/>
                <w:szCs w:val="24"/>
              </w:rPr>
              <w:t>③</w:t>
            </w:r>
            <w:r>
              <w:rPr>
                <w:sz w:val="24"/>
                <w:szCs w:val="24"/>
              </w:rPr>
              <w:t>播种：根据不同地理位置及当地气候特征选择适宜草种均匀播种，并使草籽进入土壤之中。草籽播种后填表土，表土应保证一定深度。</w:t>
            </w:r>
            <w:r>
              <w:rPr>
                <w:rFonts w:hint="eastAsia"/>
                <w:sz w:val="24"/>
                <w:szCs w:val="24"/>
              </w:rPr>
              <w:t>④</w:t>
            </w:r>
            <w:r>
              <w:rPr>
                <w:sz w:val="24"/>
                <w:szCs w:val="24"/>
              </w:rPr>
              <w:t>养护：草皮施工应选择在雨季前3～4个月进行，以利于草籽。</w:t>
            </w:r>
          </w:p>
          <w:p w14:paraId="7DDA5ED2">
            <w:pPr>
              <w:pStyle w:val="11"/>
              <w:spacing w:line="440" w:lineRule="exact"/>
              <w:ind w:firstLine="480" w:firstLineChars="200"/>
              <w:rPr>
                <w:sz w:val="24"/>
                <w:szCs w:val="24"/>
              </w:rPr>
            </w:pPr>
            <w:r>
              <w:rPr>
                <w:rFonts w:hint="eastAsia"/>
                <w:sz w:val="24"/>
                <w:szCs w:val="24"/>
              </w:rPr>
              <w:t>4）闸工程</w:t>
            </w:r>
          </w:p>
          <w:p w14:paraId="3D74AB4E">
            <w:pPr>
              <w:pStyle w:val="11"/>
              <w:spacing w:line="440" w:lineRule="exact"/>
              <w:ind w:firstLine="480" w:firstLineChars="200"/>
              <w:rPr>
                <w:sz w:val="24"/>
                <w:szCs w:val="24"/>
              </w:rPr>
            </w:pPr>
            <w:r>
              <w:rPr>
                <w:rFonts w:hint="eastAsia"/>
                <w:sz w:val="24"/>
                <w:szCs w:val="24"/>
              </w:rPr>
              <w:t>a.闸墩施工</w:t>
            </w:r>
          </w:p>
          <w:p w14:paraId="3FDCA37B">
            <w:pPr>
              <w:pStyle w:val="11"/>
              <w:spacing w:line="440" w:lineRule="exact"/>
              <w:ind w:firstLine="480" w:firstLineChars="200"/>
              <w:rPr>
                <w:sz w:val="24"/>
                <w:szCs w:val="24"/>
              </w:rPr>
            </w:pPr>
            <w:r>
              <w:rPr>
                <w:sz w:val="24"/>
                <w:szCs w:val="24"/>
              </w:rPr>
              <w:t>闸墩施工流程：放样→土石方开挖→钢筋制作安装→止水、预埋件安装→模板安装固定→混凝土浇筑、养护。施工期应提前进行准备工作，在工作平台与钢筋模板安装到位后，可采用泵送混凝土一次性浇筑到顶。为确保浇筑施工质量，每小时控制混凝土浇筑面上升≤1.5m。</w:t>
            </w:r>
          </w:p>
          <w:p w14:paraId="0E787EDA">
            <w:pPr>
              <w:pStyle w:val="11"/>
              <w:spacing w:line="440" w:lineRule="exact"/>
              <w:ind w:firstLine="480" w:firstLineChars="200"/>
              <w:rPr>
                <w:sz w:val="24"/>
                <w:szCs w:val="24"/>
              </w:rPr>
            </w:pPr>
            <w:r>
              <w:rPr>
                <w:rFonts w:hint="eastAsia"/>
                <w:sz w:val="24"/>
                <w:szCs w:val="24"/>
              </w:rPr>
              <w:t>b.闸门运输与安装</w:t>
            </w:r>
          </w:p>
          <w:p w14:paraId="3FA72A84">
            <w:pPr>
              <w:pStyle w:val="11"/>
              <w:spacing w:line="440" w:lineRule="exact"/>
              <w:ind w:firstLine="480" w:firstLineChars="200"/>
              <w:rPr>
                <w:sz w:val="24"/>
                <w:szCs w:val="24"/>
              </w:rPr>
            </w:pPr>
            <w:r>
              <w:rPr>
                <w:sz w:val="24"/>
                <w:szCs w:val="24"/>
              </w:rPr>
              <w:t>工程区附近交通条件方便，满足闸门整体运输交通要求。本工程金属闸门属于大件，考虑到现场场地有限及施工工艺因素，全部采用在专门闸门厂家购买整体构件，汽车运输，运至现场后有起重设备吊装就位，人工配合安装。起重设备可根据施工单位的机械设备情况进行选用。</w:t>
            </w:r>
          </w:p>
          <w:p w14:paraId="0B16E213">
            <w:pPr>
              <w:pStyle w:val="11"/>
              <w:spacing w:line="440" w:lineRule="exact"/>
              <w:ind w:firstLine="480" w:firstLineChars="200"/>
              <w:rPr>
                <w:sz w:val="24"/>
                <w:szCs w:val="24"/>
              </w:rPr>
            </w:pPr>
            <w:r>
              <w:rPr>
                <w:rFonts w:hint="eastAsia"/>
                <w:sz w:val="24"/>
                <w:szCs w:val="24"/>
              </w:rPr>
              <w:t>5）交叉建筑物处堤防施工</w:t>
            </w:r>
          </w:p>
          <w:p w14:paraId="07EB9765">
            <w:pPr>
              <w:pStyle w:val="11"/>
              <w:spacing w:line="440" w:lineRule="exact"/>
              <w:ind w:firstLine="480" w:firstLineChars="200"/>
              <w:rPr>
                <w:sz w:val="24"/>
                <w:szCs w:val="24"/>
              </w:rPr>
            </w:pPr>
            <w:r>
              <w:rPr>
                <w:rFonts w:hint="eastAsia"/>
                <w:sz w:val="24"/>
                <w:szCs w:val="24"/>
              </w:rPr>
              <w:t>本工程堤防与河道上交叉建筑物衔接部位施工主要在桩号JY0+450.00桥梁和桩号JY0+990.00桥梁。与两座桥梁衔接的堤防采用复合式堤防和斜坡式直接与桥墩相靠，施工工程中土方开挖采用挖掘机开挖，石方开挖采用人工配合风镐进行开挖，严禁爆破作业。施工前施工单位应编制专项施工方案报桥梁主管</w:t>
            </w:r>
            <w:r>
              <w:rPr>
                <w:rFonts w:hint="eastAsia"/>
                <w:sz w:val="24"/>
                <w:szCs w:val="24"/>
                <w:lang w:val="en-US" w:eastAsia="zh-CN"/>
              </w:rPr>
              <w:t>部门</w:t>
            </w:r>
            <w:r>
              <w:rPr>
                <w:rFonts w:hint="eastAsia"/>
                <w:sz w:val="24"/>
                <w:szCs w:val="24"/>
              </w:rPr>
              <w:t>审批，征得桥梁管理单位的同意后方可进行堤防开挖等施工，建议开挖过程中桥梁半幅通行，设置安全围挡，做好安全措施，施工交通组织应由当地交通主管</w:t>
            </w:r>
            <w:r>
              <w:rPr>
                <w:rFonts w:hint="eastAsia"/>
                <w:sz w:val="24"/>
                <w:szCs w:val="24"/>
                <w:lang w:val="en-US" w:eastAsia="zh-CN"/>
              </w:rPr>
              <w:t>部门</w:t>
            </w:r>
            <w:r>
              <w:rPr>
                <w:rFonts w:hint="eastAsia"/>
                <w:sz w:val="24"/>
                <w:szCs w:val="24"/>
              </w:rPr>
              <w:t>进行组织和协调。</w:t>
            </w:r>
          </w:p>
        </w:tc>
      </w:tr>
      <w:tr w14:paraId="4EA2C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3" w:type="dxa"/>
            <w:tcBorders>
              <w:tl2br w:val="nil"/>
              <w:tr2bl w:val="nil"/>
            </w:tcBorders>
            <w:vAlign w:val="center"/>
          </w:tcPr>
          <w:p w14:paraId="680C11E6">
            <w:pPr>
              <w:autoSpaceDE w:val="0"/>
              <w:autoSpaceDN w:val="0"/>
              <w:adjustRightInd w:val="0"/>
              <w:snapToGrid w:val="0"/>
              <w:jc w:val="center"/>
              <w:rPr>
                <w:kern w:val="0"/>
                <w:sz w:val="24"/>
              </w:rPr>
            </w:pPr>
            <w:r>
              <w:rPr>
                <w:rFonts w:hint="eastAsia"/>
                <w:kern w:val="0"/>
                <w:sz w:val="24"/>
              </w:rPr>
              <w:t>其他</w:t>
            </w:r>
          </w:p>
        </w:tc>
        <w:tc>
          <w:tcPr>
            <w:tcW w:w="8473" w:type="dxa"/>
            <w:tcBorders>
              <w:tl2br w:val="nil"/>
              <w:tr2bl w:val="nil"/>
            </w:tcBorders>
            <w:vAlign w:val="center"/>
          </w:tcPr>
          <w:p w14:paraId="32179B04">
            <w:pPr>
              <w:pStyle w:val="36"/>
              <w:ind w:firstLine="480"/>
              <w:jc w:val="center"/>
              <w:rPr>
                <w:rFonts w:hint="default"/>
              </w:rPr>
            </w:pPr>
            <w:r>
              <w:t>无。</w:t>
            </w:r>
          </w:p>
        </w:tc>
      </w:tr>
    </w:tbl>
    <w:p w14:paraId="56045D68">
      <w:r>
        <w:br w:type="page"/>
      </w:r>
    </w:p>
    <w:p w14:paraId="00804909">
      <w:pPr>
        <w:pStyle w:val="3"/>
      </w:pPr>
      <w:bookmarkStart w:id="6" w:name="_Toc15675"/>
      <w:bookmarkStart w:id="7" w:name="_Toc25214"/>
      <w:r>
        <w:rPr>
          <w:rFonts w:hint="eastAsia"/>
        </w:rPr>
        <w:t>生态环境现状</w:t>
      </w:r>
      <w:r>
        <w:t>、环境保护目标及评价标准</w:t>
      </w:r>
      <w:bookmarkEnd w:id="6"/>
      <w:bookmarkEnd w:id="7"/>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8515"/>
      </w:tblGrid>
      <w:tr w14:paraId="5B7DF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1" w:type="dxa"/>
            <w:vAlign w:val="center"/>
          </w:tcPr>
          <w:p w14:paraId="547E811C">
            <w:pPr>
              <w:jc w:val="center"/>
              <w:rPr>
                <w:sz w:val="24"/>
              </w:rPr>
            </w:pPr>
            <w:r>
              <w:rPr>
                <w:sz w:val="24"/>
              </w:rPr>
              <w:t>区域环境质量现状</w:t>
            </w:r>
          </w:p>
        </w:tc>
        <w:tc>
          <w:tcPr>
            <w:tcW w:w="8515" w:type="dxa"/>
            <w:vAlign w:val="center"/>
          </w:tcPr>
          <w:p w14:paraId="589EB4C1">
            <w:pPr>
              <w:pStyle w:val="4"/>
              <w:numPr>
                <w:ilvl w:val="0"/>
                <w:numId w:val="25"/>
              </w:numPr>
            </w:pPr>
            <w:r>
              <w:rPr>
                <w:rFonts w:hint="eastAsia"/>
                <w:bCs/>
              </w:rPr>
              <w:t>《四川省生态功能区划》</w:t>
            </w:r>
          </w:p>
          <w:p w14:paraId="5B893EEE">
            <w:pPr>
              <w:pStyle w:val="36"/>
              <w:ind w:firstLine="480"/>
              <w:rPr>
                <w:rFonts w:hint="default"/>
              </w:rPr>
            </w:pPr>
            <w:r>
              <w:t>本项目与《四川省生态功能区划》位置关系如下图。</w:t>
            </w:r>
          </w:p>
          <w:p w14:paraId="3B40231A">
            <w:pPr>
              <w:pStyle w:val="40"/>
              <w:spacing w:before="156"/>
              <w:rPr>
                <w:rFonts w:hint="default"/>
              </w:rPr>
            </w:pPr>
            <w:r>
              <mc:AlternateContent>
                <mc:Choice Requires="wpg">
                  <w:drawing>
                    <wp:anchor distT="0" distB="0" distL="114300" distR="114300" simplePos="0" relativeHeight="251660288" behindDoc="0" locked="0" layoutInCell="1" allowOverlap="1">
                      <wp:simplePos x="0" y="0"/>
                      <wp:positionH relativeFrom="column">
                        <wp:posOffset>2732405</wp:posOffset>
                      </wp:positionH>
                      <wp:positionV relativeFrom="paragraph">
                        <wp:posOffset>1071880</wp:posOffset>
                      </wp:positionV>
                      <wp:extent cx="519430" cy="675005"/>
                      <wp:effectExtent l="5080" t="4445" r="8890" b="25400"/>
                      <wp:wrapNone/>
                      <wp:docPr id="20" name="组合 20"/>
                      <wp:cNvGraphicFramePr/>
                      <a:graphic xmlns:a="http://schemas.openxmlformats.org/drawingml/2006/main">
                        <a:graphicData uri="http://schemas.microsoft.com/office/word/2010/wordprocessingGroup">
                          <wpg:wgp>
                            <wpg:cNvGrpSpPr/>
                            <wpg:grpSpPr>
                              <a:xfrm>
                                <a:off x="0" y="0"/>
                                <a:ext cx="519430" cy="675005"/>
                                <a:chOff x="6266" y="1293943"/>
                                <a:chExt cx="818" cy="1063"/>
                              </a:xfrm>
                            </wpg:grpSpPr>
                            <wps:wsp>
                              <wps:cNvPr id="57" name="矩形标注 57"/>
                              <wps:cNvSpPr/>
                              <wps:spPr>
                                <a:xfrm>
                                  <a:off x="6266" y="1293943"/>
                                  <a:ext cx="818" cy="273"/>
                                </a:xfrm>
                                <a:prstGeom prst="wedgeRectCallout">
                                  <a:avLst>
                                    <a:gd name="adj1" fmla="val -28239"/>
                                    <a:gd name="adj2" fmla="val 303479"/>
                                  </a:avLst>
                                </a:prstGeom>
                                <a:solidFill>
                                  <a:schemeClr val="bg1"/>
                                </a:solidFill>
                                <a:ln w="3175">
                                  <a:solidFill>
                                    <a:srgbClr val="C0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9C0E2C4">
                                    <w:pPr>
                                      <w:jc w:val="center"/>
                                      <w:rPr>
                                        <w:color w:val="C00000"/>
                                        <w:szCs w:val="21"/>
                                      </w:rPr>
                                    </w:pPr>
                                    <w:r>
                                      <w:rPr>
                                        <w:rFonts w:hint="eastAsia"/>
                                        <w:color w:val="C00000"/>
                                        <w:szCs w:val="21"/>
                                      </w:rPr>
                                      <w:t>本项目</w:t>
                                    </w:r>
                                  </w:p>
                                </w:txbxContent>
                              </wps:txbx>
                              <wps:bodyPr rot="0" spcFirstLastPara="0" vertOverflow="overflow" horzOverflow="overflow" vert="horz" wrap="square" lIns="0" tIns="0" rIns="0" bIns="0" numCol="1" spcCol="0" rtlCol="0" fromWordArt="0" anchor="ctr" anchorCtr="0" forceAA="0" compatLnSpc="1">
                                <a:noAutofit/>
                              </wps:bodyPr>
                            </wps:wsp>
                            <wps:wsp>
                              <wps:cNvPr id="66" name="五角星 66"/>
                              <wps:cNvSpPr/>
                              <wps:spPr>
                                <a:xfrm>
                                  <a:off x="6370" y="1294887"/>
                                  <a:ext cx="119" cy="119"/>
                                </a:xfrm>
                                <a:prstGeom prst="star5">
                                  <a:avLst/>
                                </a:prstGeom>
                                <a:solidFill>
                                  <a:srgbClr val="FFFF00"/>
                                </a:solid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15.15pt;margin-top:84.4pt;height:53.15pt;width:40.9pt;z-index:251660288;mso-width-relative:page;mso-height-relative:page;" coordorigin="6266,1293943" coordsize="818,1063" o:gfxdata="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">
                      <o:lock v:ext="edit" aspectratio="f"/>
                      <v:shape id="_x0000_s1026" o:spid="_x0000_s1026" o:spt="61" type="#_x0000_t61" style="position:absolute;left:6266;top:1293943;height:273;width:818;v-text-anchor:middle;" fillcolor="#FFFFFF [3212]" filled="t" stroked="t" coordsize="21600,21600" o:gfxdata="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8AyEr4A&#10;AADbAAAADwAAAAAAAAABACAAAAAiAAAAZHJzL2Rvd25yZXYueG1sUEsBAhQAFAAAAAgAh07iQDMv&#10;BZ47AAAAOQAAABAAAAAAAAAAAQAgAAAADQEAAGRycy9zaGFwZXhtbC54bWxQSwUGAAAAAAYABgBb&#10;AQAAtwMAAAAA&#10;" adj="4700,76351">
                        <v:fill on="t" focussize="0,0"/>
                        <v:stroke weight="0.25pt" color="#C00000 [2404]" miterlimit="8" joinstyle="miter"/>
                        <v:imagedata o:title=""/>
                        <o:lock v:ext="edit" aspectratio="f"/>
                        <v:textbox inset="0mm,0mm,0mm,0mm">
                          <w:txbxContent>
                            <w:p w14:paraId="79C0E2C4">
                              <w:pPr>
                                <w:jc w:val="center"/>
                                <w:rPr>
                                  <w:color w:val="C00000"/>
                                  <w:szCs w:val="21"/>
                                </w:rPr>
                              </w:pPr>
                              <w:r>
                                <w:rPr>
                                  <w:rFonts w:hint="eastAsia"/>
                                  <w:color w:val="C00000"/>
                                  <w:szCs w:val="21"/>
                                </w:rPr>
                                <w:t>本项目</w:t>
                              </w:r>
                            </w:p>
                          </w:txbxContent>
                        </v:textbox>
                      </v:shape>
                      <v:shape id="_x0000_s1026" o:spid="_x0000_s1026" style="position:absolute;left:6370;top:1294887;height:119;width:119;v-text-anchor:middle;" fillcolor="#FFFF00" filled="t" stroked="t" coordsize="119,119" o:gfxdata="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wkiIbsAAADb&#10;AAAADwAAAAAAAAABACAAAAAiAAAAZHJzL2Rvd25yZXYueG1sUEsBAhQAFAAAAAgAh07iQDMvBZ47&#10;AAAAOQAAABAAAAAAAAAAAQAgAAAACgEAAGRycy9zaGFwZXhtbC54bWxQSwUGAAAAAAYABgBbAQAA&#10;tAMAAAAA&#10;" path="m0,45l45,45,59,0,73,45,118,45,82,73,96,118,59,90,22,118,36,73xe">
                        <v:path o:connectlocs="59,0;0,45;22,118;96,118;118,45" o:connectangles="247,164,82,82,0"/>
                        <v:fill on="t" focussize="0,0"/>
                        <v:stroke weight="1pt" color="#FFFF00 [2404]" miterlimit="8" joinstyle="miter"/>
                        <v:imagedata o:title=""/>
                        <o:lock v:ext="edit" aspectratio="f"/>
                      </v:shape>
                    </v:group>
                  </w:pict>
                </mc:Fallback>
              </mc:AlternateContent>
            </w:r>
            <w:r>
              <w:drawing>
                <wp:inline distT="0" distB="0" distL="114300" distR="114300">
                  <wp:extent cx="4862830" cy="3287395"/>
                  <wp:effectExtent l="0" t="0" r="13970" b="8255"/>
                  <wp:docPr id="55" name="图片 55" descr="9a8e431fdf472215001f7d177154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9a8e431fdf472215001f7d1771545814"/>
                          <pic:cNvPicPr>
                            <a:picLocks noChangeAspect="1"/>
                          </pic:cNvPicPr>
                        </pic:nvPicPr>
                        <pic:blipFill>
                          <a:blip r:embed="rId20"/>
                          <a:srcRect l="2779" t="3235" b="3806"/>
                          <a:stretch>
                            <a:fillRect/>
                          </a:stretch>
                        </pic:blipFill>
                        <pic:spPr>
                          <a:xfrm>
                            <a:off x="0" y="0"/>
                            <a:ext cx="4862830" cy="3287395"/>
                          </a:xfrm>
                          <a:prstGeom prst="rect">
                            <a:avLst/>
                          </a:prstGeom>
                        </pic:spPr>
                      </pic:pic>
                    </a:graphicData>
                  </a:graphic>
                </wp:inline>
              </w:drawing>
            </w:r>
          </w:p>
          <w:p w14:paraId="268F72D7">
            <w:pPr>
              <w:pStyle w:val="46"/>
              <w:spacing w:after="156"/>
              <w:rPr>
                <w:rFonts w:hint="default"/>
              </w:rPr>
            </w:pPr>
            <w:r>
              <w:t>项目与四川省生态功能区划位置关系图</w:t>
            </w:r>
          </w:p>
          <w:p w14:paraId="68356623">
            <w:pPr>
              <w:pStyle w:val="36"/>
              <w:ind w:firstLine="480"/>
              <w:rPr>
                <w:rFonts w:hint="default"/>
              </w:rPr>
            </w:pPr>
            <w:r>
              <w:t>根据《四川省生态功能区划》（“四川省人民政府关于《生态功能区划》的批复”（川府函〔2006〕100号）），四川省生态功能区划划分为4个一级区（生态区），13个二级区（生态亚区），36个三级区（生态功能区），本项目位于四川省遂宁市大英县金元镇，所在区域属四川省生态功能区划中的：</w:t>
            </w:r>
            <w:r>
              <w:rPr>
                <w:rFonts w:hint="default"/>
              </w:rPr>
              <w:t>I</w:t>
            </w:r>
            <w:r>
              <w:t>四川盆地亚热带农林生态区—</w:t>
            </w:r>
            <w:r>
              <w:rPr>
                <w:rFonts w:hint="default"/>
              </w:rPr>
              <w:t>Ⅰ</w:t>
            </w:r>
            <w:r>
              <w:t>-2盆中丘陵农林复合生态亚区—</w:t>
            </w:r>
            <w:r>
              <w:rPr>
                <w:rFonts w:hint="default"/>
              </w:rPr>
              <w:t>Ⅰ</w:t>
            </w:r>
            <w:r>
              <w:t>-2-4涪江中下游农业生态功能区。</w:t>
            </w:r>
          </w:p>
          <w:p w14:paraId="639C4A38">
            <w:pPr>
              <w:pStyle w:val="36"/>
              <w:ind w:firstLine="480"/>
              <w:rPr>
                <w:rFonts w:hint="default"/>
              </w:rPr>
            </w:pPr>
            <w:r>
              <w:t>评价区所处生态功能</w:t>
            </w:r>
            <w:r>
              <w:rPr>
                <w:rFonts w:hint="default"/>
              </w:rPr>
              <w:t>区划：</w:t>
            </w:r>
          </w:p>
          <w:p w14:paraId="7DD829B2">
            <w:pPr>
              <w:pStyle w:val="36"/>
              <w:ind w:firstLine="480"/>
              <w:rPr>
                <w:rFonts w:hint="default"/>
              </w:rPr>
            </w:pPr>
            <w:r>
              <w:rPr>
                <w:rFonts w:hint="default"/>
              </w:rPr>
              <w:t xml:space="preserve">I   </w:t>
            </w:r>
            <w:r>
              <w:t xml:space="preserve">  四川盆地亚热带农林生态区</w:t>
            </w:r>
          </w:p>
          <w:p w14:paraId="68C48C52">
            <w:pPr>
              <w:pStyle w:val="36"/>
              <w:ind w:firstLine="480"/>
              <w:rPr>
                <w:rFonts w:hint="default"/>
              </w:rPr>
            </w:pPr>
            <w:r>
              <w:rPr>
                <w:rFonts w:hint="default"/>
              </w:rPr>
              <w:t>I</w:t>
            </w:r>
            <w:r>
              <w:rPr>
                <w:rFonts w:ascii="宋体" w:hAnsi="宋体" w:cs="宋体"/>
              </w:rPr>
              <w:t>-</w:t>
            </w:r>
            <w:r>
              <w:rPr>
                <w:rFonts w:hint="default"/>
              </w:rPr>
              <w:t xml:space="preserve">2 </w:t>
            </w:r>
            <w:r>
              <w:t xml:space="preserve">  盆中丘陵农林复合生态亚区</w:t>
            </w:r>
          </w:p>
          <w:p w14:paraId="57480CF7">
            <w:pPr>
              <w:pStyle w:val="36"/>
              <w:ind w:firstLine="480"/>
              <w:rPr>
                <w:rFonts w:hint="default"/>
              </w:rPr>
            </w:pPr>
            <w:r>
              <w:rPr>
                <w:rFonts w:hint="default"/>
              </w:rPr>
              <w:t>I</w:t>
            </w:r>
            <w:r>
              <w:rPr>
                <w:rFonts w:ascii="宋体" w:hAnsi="宋体" w:cs="宋体"/>
              </w:rPr>
              <w:t>-</w:t>
            </w:r>
            <w:r>
              <w:rPr>
                <w:rFonts w:hint="default"/>
              </w:rPr>
              <w:t>2</w:t>
            </w:r>
            <w:r>
              <w:rPr>
                <w:rFonts w:ascii="宋体" w:hAnsi="宋体" w:cs="宋体"/>
              </w:rPr>
              <w:t>-</w:t>
            </w:r>
            <w:r>
              <w:t>4</w:t>
            </w:r>
            <w:r>
              <w:rPr>
                <w:rFonts w:hint="default"/>
              </w:rPr>
              <w:t xml:space="preserve"> </w:t>
            </w:r>
            <w:r>
              <w:t>涪江中下游农业生态功能区</w:t>
            </w:r>
          </w:p>
          <w:p w14:paraId="02263E25">
            <w:pPr>
              <w:pStyle w:val="36"/>
              <w:ind w:firstLine="482"/>
              <w:rPr>
                <w:rFonts w:hint="default"/>
                <w:b/>
                <w:bCs/>
              </w:rPr>
            </w:pPr>
            <w:r>
              <w:rPr>
                <w:b/>
                <w:bCs/>
              </w:rPr>
              <w:t>（1）</w:t>
            </w:r>
            <w:r>
              <w:rPr>
                <w:rFonts w:hint="default"/>
                <w:b/>
                <w:bCs/>
              </w:rPr>
              <w:t>I 四川盆地亚热带农林生态区</w:t>
            </w:r>
          </w:p>
          <w:p w14:paraId="102ABFD3">
            <w:pPr>
              <w:pStyle w:val="36"/>
              <w:ind w:firstLine="480"/>
              <w:rPr>
                <w:rFonts w:hint="default"/>
              </w:rPr>
            </w:pPr>
            <w:r>
              <w:t>本区位于四川省东部。北界与陕西省接壤,东界与重庆市接壤,南界与贵州省、云南省接壤。地理坐标:东经102”10'~108°25',北纬27°39'~32°53',面积 14.07万平方公里。涉及成都、德阳、绵阳、广元、巴中、达州、南充、广安、遂宁、资阳、内江、自贡、泸州、眉山等14个市的全部,宜宾市大部,乐山和雅安两市的部分地区。</w:t>
            </w:r>
          </w:p>
          <w:p w14:paraId="530DC5D7">
            <w:pPr>
              <w:pStyle w:val="36"/>
              <w:ind w:firstLine="480"/>
              <w:rPr>
                <w:rFonts w:hint="default"/>
              </w:rPr>
            </w:pPr>
            <w:r>
              <w:t>本区地貌以丘陵为主,南北两端分布有山地,西部为成都平原。丘陵海拔般在250~750米。山地海拔一般在600~2000米,成都平原海拔一般在400-600米。本区气候属中亚热带湿润气候类型。区内河流属长江水系，长江自西向东流经盆地南部,主要支流集中于北侧,由西向东分布有岷江、沱江、涪江、嘉陵江和渠江等5大河流。本区森林植被主要是人工林和次生林,山地的生物多样性较丰富。本区是我省人口密集区和重要经济区,也是我国发展农业生产的重要地区之一</w:t>
            </w:r>
          </w:p>
          <w:p w14:paraId="526B9ED3">
            <w:pPr>
              <w:pStyle w:val="36"/>
              <w:ind w:firstLine="480"/>
              <w:rPr>
                <w:rFonts w:hint="default"/>
              </w:rPr>
            </w:pPr>
            <w:r>
              <w:t>根据生态系统类型和生态服务功能的一致性,将本区划分为5个生态亚区和15 个生态功能区。。</w:t>
            </w:r>
          </w:p>
          <w:p w14:paraId="05B8D6B4">
            <w:pPr>
              <w:pStyle w:val="36"/>
              <w:ind w:firstLine="482"/>
              <w:rPr>
                <w:rFonts w:hint="default"/>
                <w:b/>
                <w:bCs/>
              </w:rPr>
            </w:pPr>
            <w:r>
              <w:rPr>
                <w:b/>
                <w:bCs/>
              </w:rPr>
              <w:t>（2）</w:t>
            </w:r>
            <w:r>
              <w:rPr>
                <w:rFonts w:hint="default"/>
                <w:b/>
                <w:bCs/>
              </w:rPr>
              <w:t>I-2 盆中丘陵农林复合生态亚区</w:t>
            </w:r>
          </w:p>
          <w:p w14:paraId="1F1166E6">
            <w:pPr>
              <w:pStyle w:val="36"/>
              <w:ind w:firstLine="480"/>
              <w:rPr>
                <w:rFonts w:hint="default"/>
              </w:rPr>
            </w:pPr>
            <w:r>
              <w:t>本亚区在四川盆地中部,东北、东南与重庆市和云南省接壤,面积约8.76万平方公里。行政区域涉及南充、遂宁、资阳、内江、泸州、自贡等6个市的全部,广元、巴中、广安、乐山、资中、宜宾等6个市的部分地区。</w:t>
            </w:r>
          </w:p>
          <w:p w14:paraId="79A53F2C">
            <w:pPr>
              <w:pStyle w:val="36"/>
              <w:ind w:firstLine="480"/>
              <w:rPr>
                <w:rFonts w:hint="default"/>
              </w:rPr>
            </w:pPr>
            <w:r>
              <w:t>本亚区丘陵广布,间有少量低山和平坝,地势北高南低。区内出露地层主要为中生界侏罗系、白垩系紫红色砂泥岩,故素有“红色盆地”之称。本区气候属中亚热带湿润季风气候,年均气温13.5~18.5℃,年平均降水量560~1420毫米。≥10℃的活动积温4240℃~5827.5℃，无期200~304天。长江干流自西向东横贯本区南部(称为川江),岷江、沱江、涪江、嘉陵江、渠江等长江上游北岸的几大支流都流经本区后汇入长江干流。地带性植被为常绿阔叶林。自然植被中有典型的亚热带偏湿性常绿阔叶林、竹林和亚热带针叶林。区内人口密集,城市化水平较高,工业以天然气、石油、化工、食品、机械制造、轻纺等为主。农业开发历史悠久,是我国粮、油、果、蔬及生猪重要产区。本亚区按照生态服务功能的重要性和生态环境敏感性的一致性进一步分为7个生态功能区。。</w:t>
            </w:r>
          </w:p>
          <w:p w14:paraId="53756EF9">
            <w:pPr>
              <w:pStyle w:val="36"/>
              <w:ind w:firstLine="482"/>
              <w:rPr>
                <w:rFonts w:hint="default"/>
                <w:b/>
                <w:bCs/>
              </w:rPr>
            </w:pPr>
            <w:r>
              <w:rPr>
                <w:b/>
                <w:bCs/>
              </w:rPr>
              <w:t>（3）</w:t>
            </w:r>
            <w:r>
              <w:rPr>
                <w:rFonts w:hint="default"/>
                <w:b/>
                <w:bCs/>
              </w:rPr>
              <w:t>I-2-4 涪江中下游农业生态功能区</w:t>
            </w:r>
          </w:p>
          <w:p w14:paraId="5B2F2730">
            <w:pPr>
              <w:pStyle w:val="36"/>
              <w:ind w:firstLine="482"/>
              <w:rPr>
                <w:rFonts w:hint="default"/>
                <w:b/>
                <w:bCs/>
              </w:rPr>
            </w:pPr>
            <w:r>
              <w:rPr>
                <w:b/>
                <w:bCs/>
              </w:rPr>
              <w:t>①所在区域与面积：</w:t>
            </w:r>
          </w:p>
          <w:p w14:paraId="3AFF4962">
            <w:pPr>
              <w:pStyle w:val="36"/>
              <w:ind w:firstLine="480"/>
              <w:rPr>
                <w:rFonts w:hint="default"/>
              </w:rPr>
            </w:pPr>
            <w:r>
              <w:t>在四川盆地中西部，涉及绵阳、德阳、遂宁、资阳市的12个县级行政区。面积1.45万平方公里</w:t>
            </w:r>
          </w:p>
          <w:p w14:paraId="6EAF127C">
            <w:pPr>
              <w:pStyle w:val="36"/>
              <w:ind w:firstLine="482"/>
              <w:rPr>
                <w:rFonts w:hint="default"/>
                <w:b/>
                <w:bCs/>
              </w:rPr>
            </w:pPr>
            <w:r>
              <w:rPr>
                <w:b/>
                <w:bCs/>
              </w:rPr>
              <w:t>②主要生态特征：</w:t>
            </w:r>
          </w:p>
          <w:p w14:paraId="4D650FBD">
            <w:pPr>
              <w:pStyle w:val="36"/>
              <w:ind w:firstLine="480"/>
              <w:rPr>
                <w:rFonts w:hint="default"/>
              </w:rPr>
            </w:pPr>
            <w:r>
              <w:t>地貌以丘陵为主。年均气温16.4~17.5℃，≥10℃活动积温5300℃左右，年降水量864~1027毫米。区内河流均属涪江水系。森林植被主要有人工或次生马尾松林、柏木林，次为杉木林和竹林。</w:t>
            </w:r>
          </w:p>
          <w:p w14:paraId="3919A6B1">
            <w:pPr>
              <w:pStyle w:val="36"/>
              <w:ind w:firstLine="482"/>
              <w:rPr>
                <w:rFonts w:hint="default"/>
                <w:b/>
                <w:bCs/>
              </w:rPr>
            </w:pPr>
            <w:r>
              <w:rPr>
                <w:b/>
                <w:bCs/>
              </w:rPr>
              <w:t>③主要生态问题：</w:t>
            </w:r>
          </w:p>
          <w:p w14:paraId="281CB6C2">
            <w:pPr>
              <w:pStyle w:val="36"/>
              <w:ind w:firstLine="480"/>
              <w:rPr>
                <w:rFonts w:hint="default"/>
              </w:rPr>
            </w:pPr>
            <w:r>
              <w:t>森林覆盖率低，水土流失，土地垦殖过度，农村面源污染，河流支流污染较严重，旱灾频发。</w:t>
            </w:r>
          </w:p>
          <w:p w14:paraId="709BFDE0">
            <w:pPr>
              <w:pStyle w:val="36"/>
              <w:ind w:firstLine="482"/>
              <w:rPr>
                <w:rFonts w:hint="default"/>
                <w:b/>
                <w:bCs/>
              </w:rPr>
            </w:pPr>
            <w:r>
              <w:rPr>
                <w:b/>
                <w:bCs/>
              </w:rPr>
              <w:t>④生态环境敏感性：</w:t>
            </w:r>
          </w:p>
          <w:p w14:paraId="2B676C91">
            <w:pPr>
              <w:pStyle w:val="36"/>
              <w:ind w:firstLine="480"/>
              <w:rPr>
                <w:rFonts w:hint="default"/>
              </w:rPr>
            </w:pPr>
            <w:r>
              <w:t>土壤侵蚀中度敏感水环境污染高度敏感，酸雨轻度敏感。</w:t>
            </w:r>
          </w:p>
          <w:p w14:paraId="39BCC99F">
            <w:pPr>
              <w:pStyle w:val="36"/>
              <w:ind w:firstLine="482"/>
              <w:rPr>
                <w:rFonts w:hint="default"/>
                <w:b/>
                <w:bCs/>
              </w:rPr>
            </w:pPr>
            <w:r>
              <w:rPr>
                <w:b/>
                <w:bCs/>
              </w:rPr>
              <w:t>⑤主要生态服务功能：</w:t>
            </w:r>
          </w:p>
          <w:p w14:paraId="1A8FB587">
            <w:pPr>
              <w:pStyle w:val="36"/>
              <w:ind w:firstLine="480"/>
              <w:rPr>
                <w:rFonts w:hint="default"/>
              </w:rPr>
            </w:pPr>
            <w:r>
              <w:t>农产品提供功能，人居保障功能。</w:t>
            </w:r>
          </w:p>
          <w:p w14:paraId="1633AA94">
            <w:pPr>
              <w:pStyle w:val="36"/>
              <w:ind w:firstLine="482"/>
              <w:rPr>
                <w:rFonts w:hint="default"/>
                <w:b/>
                <w:bCs/>
              </w:rPr>
            </w:pPr>
            <w:r>
              <w:rPr>
                <w:b/>
                <w:bCs/>
              </w:rPr>
              <w:t>⑥生态保护与发展方向：</w:t>
            </w:r>
          </w:p>
          <w:p w14:paraId="57239B86">
            <w:pPr>
              <w:pStyle w:val="36"/>
              <w:ind w:firstLine="480"/>
              <w:rPr>
                <w:rFonts w:hint="default"/>
              </w:rPr>
            </w:pPr>
            <w:r>
              <w:t>发挥区域中心城市辐射作用，优化人居环境。加强基本农田保护和建设，完善水利设施。改善农村能源结构，发展沼气等清洁能源。发展生态农业、节水型农业、生态养殖业。建设现代轻纺、农产品加工工业基地。限制高耗水的产业。防治农村面源污染和水环境污染，保障饮用水安全。</w:t>
            </w:r>
          </w:p>
          <w:p w14:paraId="0C124085">
            <w:pPr>
              <w:pStyle w:val="36"/>
              <w:ind w:firstLine="480"/>
              <w:rPr>
                <w:rFonts w:hint="default"/>
              </w:rPr>
            </w:pPr>
            <w:r>
              <w:t>本项目严格按规范建设，严格落实环境保护措施，加强管理，同时本项目为河湖整治工程，周边人类活动频繁，本项目的建设不会使生态环境和自然景观遭到严重破坏，因此本项目与《四川省生态功能区划》不冲突。</w:t>
            </w:r>
          </w:p>
          <w:p w14:paraId="3341E3D1">
            <w:pPr>
              <w:pStyle w:val="4"/>
              <w:numPr>
                <w:ilvl w:val="0"/>
                <w:numId w:val="25"/>
              </w:numPr>
              <w:ind w:left="0" w:firstLine="241" w:firstLineChars="100"/>
              <w:rPr>
                <w:bCs/>
              </w:rPr>
            </w:pPr>
            <w:r>
              <w:rPr>
                <w:rFonts w:hint="eastAsia"/>
                <w:bCs/>
              </w:rPr>
              <w:t>项目区域生态环境现状</w:t>
            </w:r>
          </w:p>
          <w:p w14:paraId="01CD96EE">
            <w:pPr>
              <w:pStyle w:val="36"/>
              <w:ind w:firstLine="482"/>
              <w:rPr>
                <w:rFonts w:hint="default"/>
                <w:b/>
                <w:bCs/>
              </w:rPr>
            </w:pPr>
            <w:r>
              <w:rPr>
                <w:b/>
                <w:bCs/>
              </w:rPr>
              <w:t>（1）土地利用现状</w:t>
            </w:r>
          </w:p>
          <w:p w14:paraId="4723DF4F">
            <w:pPr>
              <w:pStyle w:val="36"/>
              <w:ind w:firstLine="480"/>
              <w:rPr>
                <w:rFonts w:hint="default"/>
                <w:highlight w:val="yellow"/>
              </w:rPr>
            </w:pPr>
            <w:r>
              <w:t>本项目位于四川省遂宁市大英县金元镇，根据设计单位提供资料，</w:t>
            </w:r>
            <w:r>
              <w:rPr>
                <w:rFonts w:hint="default" w:cs="Times New Roman"/>
                <w:color w:val="auto"/>
                <w:highlight w:val="none"/>
                <w:lang w:val="en-US" w:eastAsia="zh-CN"/>
              </w:rPr>
              <w:t>本工程征占用各类土地共计</w:t>
            </w:r>
            <w:r>
              <w:rPr>
                <w:rFonts w:hint="eastAsia" w:cs="Times New Roman"/>
                <w:color w:val="auto"/>
                <w:highlight w:val="none"/>
                <w:lang w:val="en-US" w:eastAsia="zh-CN"/>
              </w:rPr>
              <w:t>15105.94m</w:t>
            </w:r>
            <w:r>
              <w:rPr>
                <w:rFonts w:hint="eastAsia" w:cs="Times New Roman"/>
                <w:color w:val="auto"/>
                <w:highlight w:val="none"/>
                <w:vertAlign w:val="superscript"/>
                <w:lang w:val="en-US" w:eastAsia="zh-CN"/>
              </w:rPr>
              <w:t>2</w:t>
            </w:r>
            <w:r>
              <w:rPr>
                <w:rFonts w:hint="default" w:cs="Times New Roman"/>
                <w:color w:val="auto"/>
                <w:highlight w:val="none"/>
                <w:lang w:val="en-US" w:eastAsia="zh-CN"/>
              </w:rPr>
              <w:t>，其中永久占地</w:t>
            </w:r>
            <w:r>
              <w:rPr>
                <w:rFonts w:hint="eastAsia" w:cs="Times New Roman"/>
                <w:color w:val="auto"/>
                <w:highlight w:val="none"/>
                <w:lang w:val="en-US" w:eastAsia="zh-CN"/>
              </w:rPr>
              <w:t>14041.72m</w:t>
            </w:r>
            <w:r>
              <w:rPr>
                <w:rFonts w:hint="eastAsia" w:cs="Times New Roman"/>
                <w:color w:val="auto"/>
                <w:highlight w:val="none"/>
                <w:vertAlign w:val="superscript"/>
                <w:lang w:val="en-US" w:eastAsia="zh-CN"/>
              </w:rPr>
              <w:t>2</w:t>
            </w:r>
            <w:r>
              <w:rPr>
                <w:rFonts w:hint="default" w:cs="Times New Roman"/>
                <w:color w:val="auto"/>
                <w:highlight w:val="none"/>
                <w:lang w:val="en-US" w:eastAsia="zh-CN"/>
              </w:rPr>
              <w:t>，临时占地</w:t>
            </w:r>
            <w:r>
              <w:rPr>
                <w:rFonts w:hint="eastAsia" w:cs="Times New Roman"/>
                <w:color w:val="auto"/>
                <w:highlight w:val="none"/>
                <w:lang w:val="en-US" w:eastAsia="zh-CN"/>
              </w:rPr>
              <w:t>1064.22m</w:t>
            </w:r>
            <w:r>
              <w:rPr>
                <w:rFonts w:hint="eastAsia" w:cs="Times New Roman"/>
                <w:color w:val="auto"/>
                <w:highlight w:val="none"/>
                <w:vertAlign w:val="superscript"/>
                <w:lang w:val="en-US" w:eastAsia="zh-CN"/>
              </w:rPr>
              <w:t>2</w:t>
            </w:r>
            <w:r>
              <w:rPr>
                <w:rFonts w:hint="default" w:cs="Times New Roman"/>
                <w:color w:val="auto"/>
                <w:highlight w:val="none"/>
                <w:lang w:val="en-US" w:eastAsia="zh-CN"/>
              </w:rPr>
              <w:t>。</w:t>
            </w:r>
            <w:r>
              <w:t>工程占地范围内不涉及基本农田、天然林、不涉及文物古迹等。项目土地利用现状如下表。</w:t>
            </w:r>
          </w:p>
          <w:p w14:paraId="463AB20B">
            <w:pPr>
              <w:pStyle w:val="47"/>
              <w:numPr>
                <w:ilvl w:val="0"/>
                <w:numId w:val="26"/>
              </w:numPr>
              <w:spacing w:before="156"/>
            </w:pPr>
            <w:r>
              <w:rPr>
                <w:rFonts w:hint="eastAsia"/>
              </w:rPr>
              <w:t>土地利用现状</w:t>
            </w:r>
          </w:p>
          <w:tbl>
            <w:tblPr>
              <w:tblStyle w:val="105"/>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33"/>
              <w:gridCol w:w="2140"/>
              <w:gridCol w:w="746"/>
              <w:gridCol w:w="1726"/>
              <w:gridCol w:w="1838"/>
              <w:gridCol w:w="1507"/>
            </w:tblGrid>
            <w:tr w14:paraId="62CC7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200" w:type="pct"/>
                  <w:vMerge w:val="restart"/>
                  <w:noWrap/>
                  <w:vAlign w:val="center"/>
                </w:tcPr>
                <w:p w14:paraId="6D0E4449">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序号</w:t>
                  </w:r>
                </w:p>
              </w:tc>
              <w:tc>
                <w:tcPr>
                  <w:tcW w:w="1290" w:type="pct"/>
                  <w:vMerge w:val="restart"/>
                  <w:noWrap/>
                  <w:vAlign w:val="center"/>
                </w:tcPr>
                <w:p w14:paraId="3B318906">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项目</w:t>
                  </w:r>
                </w:p>
              </w:tc>
              <w:tc>
                <w:tcPr>
                  <w:tcW w:w="449" w:type="pct"/>
                  <w:vMerge w:val="restart"/>
                  <w:noWrap/>
                  <w:vAlign w:val="center"/>
                </w:tcPr>
                <w:p w14:paraId="62F18C8C">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单位</w:t>
                  </w:r>
                </w:p>
              </w:tc>
              <w:tc>
                <w:tcPr>
                  <w:tcW w:w="1040" w:type="pct"/>
                  <w:noWrap/>
                  <w:vAlign w:val="center"/>
                </w:tcPr>
                <w:p w14:paraId="08B5DC04">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永久用地</w:t>
                  </w:r>
                </w:p>
              </w:tc>
              <w:tc>
                <w:tcPr>
                  <w:tcW w:w="1108" w:type="pct"/>
                  <w:noWrap/>
                  <w:vAlign w:val="center"/>
                </w:tcPr>
                <w:p w14:paraId="1BADDCEA">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临时用地区</w:t>
                  </w:r>
                </w:p>
              </w:tc>
              <w:tc>
                <w:tcPr>
                  <w:tcW w:w="908" w:type="pct"/>
                  <w:vMerge w:val="restart"/>
                  <w:noWrap/>
                  <w:vAlign w:val="center"/>
                </w:tcPr>
                <w:p w14:paraId="727F13D2">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合计</w:t>
                  </w:r>
                </w:p>
              </w:tc>
            </w:tr>
            <w:tr w14:paraId="53143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0" w:type="pct"/>
                  <w:vMerge w:val="continue"/>
                  <w:vAlign w:val="center"/>
                </w:tcPr>
                <w:p w14:paraId="56A64102">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rPr>
                  </w:pPr>
                </w:p>
              </w:tc>
              <w:tc>
                <w:tcPr>
                  <w:tcW w:w="1290" w:type="pct"/>
                  <w:vMerge w:val="continue"/>
                  <w:vAlign w:val="center"/>
                </w:tcPr>
                <w:p w14:paraId="33E5D019">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rPr>
                  </w:pPr>
                </w:p>
              </w:tc>
              <w:tc>
                <w:tcPr>
                  <w:tcW w:w="449" w:type="pct"/>
                  <w:vMerge w:val="continue"/>
                  <w:vAlign w:val="center"/>
                </w:tcPr>
                <w:p w14:paraId="2B9743DC">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rPr>
                  </w:pPr>
                </w:p>
              </w:tc>
              <w:tc>
                <w:tcPr>
                  <w:tcW w:w="1040" w:type="pct"/>
                  <w:noWrap/>
                  <w:vAlign w:val="center"/>
                </w:tcPr>
                <w:p w14:paraId="6FB8624C">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主体工程</w:t>
                  </w:r>
                </w:p>
              </w:tc>
              <w:tc>
                <w:tcPr>
                  <w:tcW w:w="1108" w:type="pct"/>
                  <w:noWrap/>
                  <w:vAlign w:val="center"/>
                </w:tcPr>
                <w:p w14:paraId="4D556518">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施工临时场地</w:t>
                  </w:r>
                </w:p>
              </w:tc>
              <w:tc>
                <w:tcPr>
                  <w:tcW w:w="908" w:type="pct"/>
                  <w:vMerge w:val="continue"/>
                  <w:noWrap/>
                  <w:vAlign w:val="center"/>
                </w:tcPr>
                <w:p w14:paraId="2BFB14B0">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lang w:eastAsia="zh-CN"/>
                    </w:rPr>
                  </w:pPr>
                </w:p>
              </w:tc>
            </w:tr>
            <w:tr w14:paraId="02AC1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0" w:type="pct"/>
                  <w:noWrap/>
                  <w:vAlign w:val="center"/>
                </w:tcPr>
                <w:p w14:paraId="58E06698">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w:t>
                  </w:r>
                </w:p>
              </w:tc>
              <w:tc>
                <w:tcPr>
                  <w:tcW w:w="1290" w:type="pct"/>
                  <w:noWrap/>
                  <w:vAlign w:val="center"/>
                </w:tcPr>
                <w:p w14:paraId="7263679B">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耕地</w:t>
                  </w:r>
                </w:p>
              </w:tc>
              <w:tc>
                <w:tcPr>
                  <w:tcW w:w="449" w:type="pct"/>
                  <w:noWrap/>
                  <w:vAlign w:val="center"/>
                </w:tcPr>
                <w:p w14:paraId="38CA3096">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default" w:ascii="Times New Roman" w:hAnsi="Times New Roman" w:eastAsia="宋体" w:cs="Times New Roman"/>
                      <w:sz w:val="21"/>
                      <w:szCs w:val="21"/>
                      <w:highlight w:val="none"/>
                      <w:vertAlign w:val="superscript"/>
                      <w:lang w:val="en-US" w:eastAsia="zh-CN"/>
                    </w:rPr>
                  </w:pPr>
                  <w:r>
                    <w:rPr>
                      <w:rFonts w:hint="eastAsia" w:ascii="Times New Roman" w:hAnsi="Times New Roman" w:eastAsia="宋体" w:cs="Times New Roman"/>
                      <w:sz w:val="21"/>
                      <w:szCs w:val="21"/>
                      <w:highlight w:val="none"/>
                      <w:lang w:val="en-US" w:eastAsia="zh-CN"/>
                    </w:rPr>
                    <w:t>m</w:t>
                  </w:r>
                  <w:r>
                    <w:rPr>
                      <w:rFonts w:hint="eastAsia" w:ascii="Times New Roman" w:hAnsi="Times New Roman" w:eastAsia="宋体" w:cs="Times New Roman"/>
                      <w:sz w:val="21"/>
                      <w:szCs w:val="21"/>
                      <w:highlight w:val="none"/>
                      <w:vertAlign w:val="superscript"/>
                      <w:lang w:val="en-US" w:eastAsia="zh-CN"/>
                    </w:rPr>
                    <w:t>2</w:t>
                  </w:r>
                </w:p>
              </w:tc>
              <w:tc>
                <w:tcPr>
                  <w:tcW w:w="1040" w:type="pct"/>
                  <w:noWrap/>
                  <w:vAlign w:val="center"/>
                </w:tcPr>
                <w:p w14:paraId="135FBE52">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69.25</w:t>
                  </w:r>
                </w:p>
              </w:tc>
              <w:tc>
                <w:tcPr>
                  <w:tcW w:w="1108" w:type="pct"/>
                  <w:noWrap/>
                  <w:vAlign w:val="center"/>
                </w:tcPr>
                <w:p w14:paraId="18A96722">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811.27</w:t>
                  </w:r>
                </w:p>
              </w:tc>
              <w:tc>
                <w:tcPr>
                  <w:tcW w:w="908" w:type="pct"/>
                  <w:noWrap/>
                  <w:vAlign w:val="center"/>
                </w:tcPr>
                <w:p w14:paraId="79B6721B">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880.52</w:t>
                  </w:r>
                </w:p>
              </w:tc>
            </w:tr>
            <w:tr w14:paraId="27823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0" w:type="pct"/>
                  <w:noWrap/>
                  <w:vAlign w:val="center"/>
                </w:tcPr>
                <w:p w14:paraId="57083407">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2</w:t>
                  </w:r>
                </w:p>
              </w:tc>
              <w:tc>
                <w:tcPr>
                  <w:tcW w:w="1290" w:type="pct"/>
                  <w:noWrap/>
                  <w:vAlign w:val="center"/>
                </w:tcPr>
                <w:p w14:paraId="4AE0BD79">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林地</w:t>
                  </w:r>
                </w:p>
              </w:tc>
              <w:tc>
                <w:tcPr>
                  <w:tcW w:w="449" w:type="pct"/>
                  <w:noWrap/>
                  <w:vAlign w:val="center"/>
                </w:tcPr>
                <w:p w14:paraId="60A7F3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m</w:t>
                  </w:r>
                  <w:r>
                    <w:rPr>
                      <w:rFonts w:hint="eastAsia" w:ascii="Times New Roman" w:hAnsi="Times New Roman" w:eastAsia="宋体" w:cs="Times New Roman"/>
                      <w:sz w:val="21"/>
                      <w:szCs w:val="21"/>
                      <w:highlight w:val="none"/>
                      <w:vertAlign w:val="superscript"/>
                      <w:lang w:val="en-US" w:eastAsia="zh-CN"/>
                    </w:rPr>
                    <w:t>2</w:t>
                  </w:r>
                </w:p>
              </w:tc>
              <w:tc>
                <w:tcPr>
                  <w:tcW w:w="1040" w:type="pct"/>
                  <w:noWrap/>
                  <w:vAlign w:val="center"/>
                </w:tcPr>
                <w:p w14:paraId="23FE1F45">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3516.85</w:t>
                  </w:r>
                </w:p>
              </w:tc>
              <w:tc>
                <w:tcPr>
                  <w:tcW w:w="1108" w:type="pct"/>
                  <w:noWrap/>
                  <w:vAlign w:val="center"/>
                </w:tcPr>
                <w:p w14:paraId="14005D6D">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0</w:t>
                  </w:r>
                </w:p>
              </w:tc>
              <w:tc>
                <w:tcPr>
                  <w:tcW w:w="908" w:type="pct"/>
                  <w:noWrap/>
                  <w:vAlign w:val="center"/>
                </w:tcPr>
                <w:p w14:paraId="2B327B42">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3516.85</w:t>
                  </w:r>
                </w:p>
              </w:tc>
            </w:tr>
            <w:tr w14:paraId="45753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0" w:type="pct"/>
                  <w:noWrap/>
                  <w:vAlign w:val="center"/>
                </w:tcPr>
                <w:p w14:paraId="51499DA2">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3</w:t>
                  </w:r>
                </w:p>
              </w:tc>
              <w:tc>
                <w:tcPr>
                  <w:tcW w:w="1290" w:type="pct"/>
                  <w:noWrap/>
                  <w:vAlign w:val="center"/>
                </w:tcPr>
                <w:p w14:paraId="192F1352">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交通运输用地</w:t>
                  </w:r>
                </w:p>
              </w:tc>
              <w:tc>
                <w:tcPr>
                  <w:tcW w:w="449" w:type="pct"/>
                  <w:noWrap/>
                  <w:vAlign w:val="center"/>
                </w:tcPr>
                <w:p w14:paraId="35CDAA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m</w:t>
                  </w:r>
                  <w:r>
                    <w:rPr>
                      <w:rFonts w:hint="eastAsia" w:ascii="Times New Roman" w:hAnsi="Times New Roman" w:eastAsia="宋体" w:cs="Times New Roman"/>
                      <w:sz w:val="21"/>
                      <w:szCs w:val="21"/>
                      <w:highlight w:val="none"/>
                      <w:vertAlign w:val="superscript"/>
                      <w:lang w:val="en-US" w:eastAsia="zh-CN"/>
                    </w:rPr>
                    <w:t>2</w:t>
                  </w:r>
                </w:p>
              </w:tc>
              <w:tc>
                <w:tcPr>
                  <w:tcW w:w="1040" w:type="pct"/>
                  <w:noWrap/>
                  <w:vAlign w:val="center"/>
                </w:tcPr>
                <w:p w14:paraId="73DAC779">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200.62</w:t>
                  </w:r>
                </w:p>
              </w:tc>
              <w:tc>
                <w:tcPr>
                  <w:tcW w:w="1108" w:type="pct"/>
                  <w:noWrap/>
                  <w:vAlign w:val="center"/>
                </w:tcPr>
                <w:p w14:paraId="7BDA04C9">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0</w:t>
                  </w:r>
                </w:p>
              </w:tc>
              <w:tc>
                <w:tcPr>
                  <w:tcW w:w="908" w:type="pct"/>
                  <w:noWrap/>
                  <w:vAlign w:val="center"/>
                </w:tcPr>
                <w:p w14:paraId="46A166DA">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200.62</w:t>
                  </w:r>
                </w:p>
              </w:tc>
            </w:tr>
            <w:tr w14:paraId="1DD25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0" w:type="pct"/>
                  <w:noWrap/>
                  <w:vAlign w:val="center"/>
                </w:tcPr>
                <w:p w14:paraId="4E53649F">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4</w:t>
                  </w:r>
                </w:p>
              </w:tc>
              <w:tc>
                <w:tcPr>
                  <w:tcW w:w="1290" w:type="pct"/>
                  <w:noWrap/>
                  <w:vAlign w:val="center"/>
                </w:tcPr>
                <w:p w14:paraId="0866B64F">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水域及水利设施用地</w:t>
                  </w:r>
                </w:p>
              </w:tc>
              <w:tc>
                <w:tcPr>
                  <w:tcW w:w="449" w:type="pct"/>
                  <w:noWrap/>
                  <w:vAlign w:val="center"/>
                </w:tcPr>
                <w:p w14:paraId="7B14A1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m</w:t>
                  </w:r>
                  <w:r>
                    <w:rPr>
                      <w:rFonts w:hint="eastAsia" w:ascii="Times New Roman" w:hAnsi="Times New Roman" w:eastAsia="宋体" w:cs="Times New Roman"/>
                      <w:sz w:val="21"/>
                      <w:szCs w:val="21"/>
                      <w:highlight w:val="none"/>
                      <w:vertAlign w:val="superscript"/>
                      <w:lang w:val="en-US" w:eastAsia="zh-CN"/>
                    </w:rPr>
                    <w:t>2</w:t>
                  </w:r>
                </w:p>
              </w:tc>
              <w:tc>
                <w:tcPr>
                  <w:tcW w:w="1040" w:type="pct"/>
                  <w:noWrap/>
                  <w:vAlign w:val="center"/>
                </w:tcPr>
                <w:p w14:paraId="7E93EB41">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9631.95</w:t>
                  </w:r>
                </w:p>
              </w:tc>
              <w:tc>
                <w:tcPr>
                  <w:tcW w:w="1108" w:type="pct"/>
                  <w:noWrap/>
                  <w:vAlign w:val="center"/>
                </w:tcPr>
                <w:p w14:paraId="5DDF0299">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0</w:t>
                  </w:r>
                </w:p>
              </w:tc>
              <w:tc>
                <w:tcPr>
                  <w:tcW w:w="908" w:type="pct"/>
                  <w:noWrap/>
                  <w:vAlign w:val="center"/>
                </w:tcPr>
                <w:p w14:paraId="7578D6CB">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9631.95</w:t>
                  </w:r>
                </w:p>
              </w:tc>
            </w:tr>
            <w:tr w14:paraId="6C928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0" w:type="pct"/>
                  <w:noWrap/>
                  <w:vAlign w:val="center"/>
                </w:tcPr>
                <w:p w14:paraId="13FA855C">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5</w:t>
                  </w:r>
                </w:p>
              </w:tc>
              <w:tc>
                <w:tcPr>
                  <w:tcW w:w="1290" w:type="pct"/>
                  <w:noWrap/>
                  <w:vAlign w:val="center"/>
                </w:tcPr>
                <w:p w14:paraId="5B66E5AE">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其他土地</w:t>
                  </w:r>
                </w:p>
              </w:tc>
              <w:tc>
                <w:tcPr>
                  <w:tcW w:w="449" w:type="pct"/>
                  <w:noWrap/>
                  <w:vAlign w:val="center"/>
                </w:tcPr>
                <w:p w14:paraId="12AB4C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m</w:t>
                  </w:r>
                  <w:r>
                    <w:rPr>
                      <w:rFonts w:hint="eastAsia" w:ascii="Times New Roman" w:hAnsi="Times New Roman" w:eastAsia="宋体" w:cs="Times New Roman"/>
                      <w:sz w:val="21"/>
                      <w:szCs w:val="21"/>
                      <w:highlight w:val="none"/>
                      <w:vertAlign w:val="superscript"/>
                      <w:lang w:val="en-US" w:eastAsia="zh-CN"/>
                    </w:rPr>
                    <w:t>2</w:t>
                  </w:r>
                </w:p>
              </w:tc>
              <w:tc>
                <w:tcPr>
                  <w:tcW w:w="1040" w:type="pct"/>
                  <w:noWrap/>
                  <w:vAlign w:val="center"/>
                </w:tcPr>
                <w:p w14:paraId="638AE4E6">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623.05</w:t>
                  </w:r>
                </w:p>
              </w:tc>
              <w:tc>
                <w:tcPr>
                  <w:tcW w:w="1108" w:type="pct"/>
                  <w:noWrap/>
                  <w:vAlign w:val="center"/>
                </w:tcPr>
                <w:p w14:paraId="3DCEF667">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252.95</w:t>
                  </w:r>
                </w:p>
              </w:tc>
              <w:tc>
                <w:tcPr>
                  <w:tcW w:w="908" w:type="pct"/>
                  <w:noWrap/>
                  <w:vAlign w:val="center"/>
                </w:tcPr>
                <w:p w14:paraId="0CCEE7E7">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baseline"/>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876.00</w:t>
                  </w:r>
                </w:p>
              </w:tc>
            </w:tr>
            <w:tr w14:paraId="27BB5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0" w:type="pct"/>
                  <w:shd w:val="clear" w:color="auto" w:fill="auto"/>
                  <w:noWrap/>
                  <w:vAlign w:val="center"/>
                </w:tcPr>
                <w:p w14:paraId="2DF54729">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baseline"/>
                    <w:rPr>
                      <w:rFonts w:hint="eastAsia" w:ascii="Times New Roman" w:hAnsi="Times New Roman" w:eastAsia="宋体" w:cs="Times New Roman"/>
                      <w:kern w:val="0"/>
                      <w:sz w:val="21"/>
                      <w:szCs w:val="21"/>
                      <w:highlight w:val="none"/>
                      <w:lang w:val="en-US" w:eastAsia="zh-CN" w:bidi="ar-SA"/>
                    </w:rPr>
                  </w:pPr>
                </w:p>
              </w:tc>
              <w:tc>
                <w:tcPr>
                  <w:tcW w:w="1290" w:type="pct"/>
                  <w:shd w:val="clear" w:color="auto" w:fill="auto"/>
                  <w:noWrap/>
                  <w:vAlign w:val="center"/>
                </w:tcPr>
                <w:p w14:paraId="62F39D88">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baseline"/>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sz w:val="21"/>
                      <w:szCs w:val="21"/>
                      <w:highlight w:val="none"/>
                      <w:lang w:eastAsia="zh-CN"/>
                    </w:rPr>
                    <w:t>占用</w:t>
                  </w:r>
                  <w:r>
                    <w:rPr>
                      <w:rFonts w:hint="eastAsia" w:ascii="Times New Roman" w:hAnsi="Times New Roman" w:eastAsia="宋体" w:cs="Times New Roman"/>
                      <w:sz w:val="21"/>
                      <w:szCs w:val="21"/>
                      <w:highlight w:val="none"/>
                    </w:rPr>
                    <w:t>土地面积</w:t>
                  </w:r>
                </w:p>
              </w:tc>
              <w:tc>
                <w:tcPr>
                  <w:tcW w:w="449" w:type="pct"/>
                  <w:shd w:val="clear" w:color="auto" w:fill="auto"/>
                  <w:noWrap/>
                  <w:vAlign w:val="center"/>
                </w:tcPr>
                <w:p w14:paraId="7CFD37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baseline"/>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m</w:t>
                  </w:r>
                  <w:r>
                    <w:rPr>
                      <w:rFonts w:hint="eastAsia" w:ascii="Times New Roman" w:hAnsi="Times New Roman" w:eastAsia="宋体" w:cs="Times New Roman"/>
                      <w:sz w:val="21"/>
                      <w:szCs w:val="21"/>
                      <w:highlight w:val="none"/>
                      <w:vertAlign w:val="superscript"/>
                      <w:lang w:val="en-US" w:eastAsia="zh-CN"/>
                    </w:rPr>
                    <w:t>2</w:t>
                  </w:r>
                </w:p>
              </w:tc>
              <w:tc>
                <w:tcPr>
                  <w:tcW w:w="1040" w:type="pct"/>
                  <w:shd w:val="clear" w:color="auto" w:fill="auto"/>
                  <w:noWrap/>
                  <w:vAlign w:val="center"/>
                </w:tcPr>
                <w:p w14:paraId="27D97643">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baseline"/>
                    <w:rPr>
                      <w:rFonts w:hint="eastAsia" w:ascii="Times New Roman" w:hAnsi="Times New Roman" w:eastAsia="宋体" w:cs="Times New Roman"/>
                      <w:kern w:val="0"/>
                      <w:sz w:val="21"/>
                      <w:szCs w:val="21"/>
                      <w:highlight w:val="none"/>
                      <w:lang w:val="en-US" w:eastAsia="zh-CN" w:bidi="ar-SA"/>
                    </w:rPr>
                  </w:pPr>
                  <w:r>
                    <w:rPr>
                      <w:rFonts w:hint="eastAsia" w:cs="Times New Roman"/>
                      <w:kern w:val="0"/>
                      <w:sz w:val="21"/>
                      <w:szCs w:val="21"/>
                      <w:highlight w:val="none"/>
                      <w:lang w:val="en-US" w:eastAsia="zh-CN" w:bidi="ar-SA"/>
                    </w:rPr>
                    <w:t>14041.72</w:t>
                  </w:r>
                </w:p>
              </w:tc>
              <w:tc>
                <w:tcPr>
                  <w:tcW w:w="1108" w:type="pct"/>
                  <w:shd w:val="clear" w:color="auto" w:fill="auto"/>
                  <w:noWrap/>
                  <w:vAlign w:val="center"/>
                </w:tcPr>
                <w:p w14:paraId="7DEA204F">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baseline"/>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bidi="ar-SA"/>
                    </w:rPr>
                    <w:t>1064.22</w:t>
                  </w:r>
                </w:p>
              </w:tc>
              <w:tc>
                <w:tcPr>
                  <w:tcW w:w="908" w:type="pct"/>
                  <w:shd w:val="clear" w:color="auto" w:fill="auto"/>
                  <w:noWrap/>
                  <w:vAlign w:val="center"/>
                </w:tcPr>
                <w:p w14:paraId="0107CB17">
                  <w:pPr>
                    <w:pStyle w:val="10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baseline"/>
                    <w:rPr>
                      <w:rFonts w:hint="default" w:ascii="Times New Roman" w:hAnsi="Times New Roman" w:eastAsia="宋体" w:cs="Times New Roman"/>
                      <w:kern w:val="0"/>
                      <w:sz w:val="21"/>
                      <w:szCs w:val="21"/>
                      <w:highlight w:val="none"/>
                      <w:lang w:val="en-US" w:eastAsia="zh-CN" w:bidi="ar-SA"/>
                    </w:rPr>
                  </w:pPr>
                  <w:r>
                    <w:rPr>
                      <w:rFonts w:hint="eastAsia" w:cs="Times New Roman"/>
                      <w:kern w:val="0"/>
                      <w:sz w:val="21"/>
                      <w:szCs w:val="21"/>
                      <w:highlight w:val="none"/>
                      <w:lang w:val="en-US" w:eastAsia="zh-CN" w:bidi="ar-SA"/>
                    </w:rPr>
                    <w:t>15105.94</w:t>
                  </w:r>
                </w:p>
              </w:tc>
            </w:tr>
          </w:tbl>
          <w:p w14:paraId="175E68E5">
            <w:pPr>
              <w:pStyle w:val="36"/>
              <w:ind w:firstLine="480"/>
              <w:rPr>
                <w:rFonts w:hint="default"/>
                <w:highlight w:val="yellow"/>
              </w:rPr>
            </w:pPr>
            <w:r>
              <w:t>由上表可知，本项目主体工程永久用地的土地利用现状主要为林地和水域及水利设施用地，其次为少量的耕地、交通运输用地和其他土地；临时用地的土地利用现状主要为耕地和其他土地。</w:t>
            </w:r>
          </w:p>
          <w:p w14:paraId="1BEADDE7">
            <w:pPr>
              <w:pStyle w:val="36"/>
              <w:ind w:firstLine="480"/>
              <w:rPr>
                <w:rFonts w:hint="default"/>
              </w:rPr>
            </w:pPr>
            <w:r>
              <w:t>本项目不涉及永久基本农田；不涉及已批复划定的集中式饮用水源地等情况；不涉及自然保护地、不涉及公益林、不涉及</w:t>
            </w:r>
            <w:r>
              <w:rPr>
                <w:rFonts w:hint="eastAsia"/>
              </w:rPr>
              <w:t>珍稀濒临</w:t>
            </w:r>
            <w:r>
              <w:t>野生植物，不涉及古树名木。</w:t>
            </w:r>
          </w:p>
          <w:p w14:paraId="1C4FB00D">
            <w:pPr>
              <w:pStyle w:val="36"/>
              <w:ind w:firstLine="482"/>
              <w:rPr>
                <w:rFonts w:hint="default"/>
                <w:b/>
                <w:bCs/>
              </w:rPr>
            </w:pPr>
            <w:r>
              <w:rPr>
                <w:b/>
                <w:bCs/>
              </w:rPr>
              <w:t>（2）生态环境现状</w:t>
            </w:r>
          </w:p>
          <w:p w14:paraId="3821A0FD">
            <w:pPr>
              <w:pStyle w:val="36"/>
              <w:ind w:firstLine="480"/>
              <w:rPr>
                <w:rFonts w:hint="default"/>
              </w:rPr>
            </w:pPr>
            <w:r>
              <w:t>项目占地主要属于水域及水利设施用地，其余主要为耕地和林地，其次为交通运输用地、其他土地。</w:t>
            </w:r>
          </w:p>
          <w:p w14:paraId="7D29E193">
            <w:pPr>
              <w:pStyle w:val="36"/>
              <w:ind w:firstLine="480"/>
              <w:rPr>
                <w:rFonts w:hint="default"/>
              </w:rPr>
            </w:pPr>
            <w:r>
              <w:t>项目位于金元镇场镇内，周围区域内无需特殊保护的野生动植物。林型主要为常见的榕树，灌木草本类别主要为构树、藜、叶下株、葎草、狗尾草等长江沿线常见品种，以及海桐、黄金香柳、金森女贞、石楠、丝瓜等城镇常用人工栽培品种，植物种类较多，均不属于珍稀保护品种。</w:t>
            </w:r>
          </w:p>
          <w:p w14:paraId="4ABFB22C">
            <w:pPr>
              <w:pStyle w:val="36"/>
              <w:ind w:firstLine="480"/>
              <w:rPr>
                <w:rFonts w:hint="default"/>
              </w:rPr>
            </w:pPr>
            <w:r>
              <w:t>项目位于遂宁市大英县金元镇场镇内，人为活动频繁，野生动物（物种、数量）分布较少，主要分布一些当地常见的爬行类、鸟类和兽类等，区域内未见珍稀保护野生动物分布。</w:t>
            </w:r>
          </w:p>
          <w:p w14:paraId="37231FDF">
            <w:pPr>
              <w:pStyle w:val="36"/>
              <w:ind w:firstLine="480"/>
              <w:rPr>
                <w:rFonts w:hint="default"/>
              </w:rPr>
            </w:pPr>
            <w:r>
              <w:t>项目生态环境影响评价范围为本项目的矿权范围边界外延约500m的范围，主要保护目标为评价范围内的植被、景观、水土流失、生态系统结构与功能。</w:t>
            </w:r>
          </w:p>
          <w:p w14:paraId="598A7857">
            <w:pPr>
              <w:pStyle w:val="36"/>
              <w:ind w:firstLine="480"/>
              <w:rPr>
                <w:rFonts w:hint="default"/>
              </w:rPr>
            </w:pPr>
            <w:r>
              <w:t>项目区域内生态环境现状结合项目区域历史详实调查情况，以及区域现有的生物多样性、植被、土壤、水土流失等方面资料，区域植被资源、动物资源、生态环境等情况如下。</w:t>
            </w:r>
          </w:p>
          <w:p w14:paraId="303782A4">
            <w:pPr>
              <w:pStyle w:val="36"/>
              <w:ind w:firstLine="482"/>
              <w:rPr>
                <w:rFonts w:hint="default"/>
                <w:b/>
                <w:bCs/>
              </w:rPr>
            </w:pPr>
            <w:r>
              <w:rPr>
                <w:b/>
                <w:bCs/>
              </w:rPr>
              <w:t>①陆生生态现状调查</w:t>
            </w:r>
          </w:p>
          <w:p w14:paraId="5C9B89AB">
            <w:pPr>
              <w:pStyle w:val="36"/>
              <w:ind w:firstLine="480"/>
              <w:rPr>
                <w:rFonts w:hint="default"/>
              </w:rPr>
            </w:pPr>
            <w:r>
              <w:t>工程区域所处的位置在四川植被区系中属川中盆地偏湿性常绿阔叶林亚带，属四川盆地中部底部丘陵低山植被区中的低山植被小区。受江河气候影响，气温较高，雨量较充沛，植物生长季节长，主要植物类型为亚热带的经济林木及亚热带竹、柏木林和针叶松松林。</w:t>
            </w:r>
          </w:p>
          <w:p w14:paraId="55FD58E2">
            <w:pPr>
              <w:pStyle w:val="36"/>
              <w:ind w:firstLine="480"/>
              <w:rPr>
                <w:rFonts w:hint="default"/>
              </w:rPr>
            </w:pPr>
            <w:r>
              <w:t>本工程位于金水河金元镇场镇段，该段左岸有胜利溪汇入。金水河为郪江右岸二级支流，郪江大英段气候温和，水域宽阔，陆生生物种类和数量丰富，同时也是周边陆生野生动物和多种水禽栖息的良好场所。区内分布有10多种水禽，主要有苍鹭、白鹭、夜鹭、潜鸭、翠鸟、红尾水鸭、和河鸟等，其栖息环境多在河中沙洲笼埂、碛坝经及岸边岩石上，一般地域开阔，不易接近。</w:t>
            </w:r>
          </w:p>
          <w:p w14:paraId="7347C84A">
            <w:pPr>
              <w:pStyle w:val="36"/>
              <w:ind w:firstLine="480"/>
              <w:rPr>
                <w:rFonts w:hint="default"/>
              </w:rPr>
            </w:pPr>
            <w:r>
              <w:t>项目所在地受人类活动影响较明显，区域内野生动物数量较少，周边植被主要以农田、人工种植植被、灌草丛为主，不涉及野生陆生保护植物和古树名木。工程评价范围内野生动物主要以爬行动物、鸟类、昆虫和软体动物为主。爬行动物有壁虎、蛇，均分布在周边灌草丛附近；鸟类有家燕、八哥、麻雀等；兽类主要为小型啮齿目鼠类；昆虫类如瓢虫、蚂蚁、蝴蝶等；软体动物，如蚯蚓等。</w:t>
            </w:r>
          </w:p>
          <w:p w14:paraId="23DBB832">
            <w:pPr>
              <w:pStyle w:val="36"/>
              <w:ind w:firstLine="480"/>
              <w:rPr>
                <w:rFonts w:hint="default"/>
              </w:rPr>
            </w:pPr>
            <w:r>
              <w:t>项目所在地受人类活动影响较明显，区域内野生动物数量较少，未发现国家重点保护陆生野生动物和地方特有动物物种，无鸟类集中栖息地与鸟类迁徙通道分布。</w:t>
            </w:r>
          </w:p>
          <w:p w14:paraId="3F360CA3">
            <w:pPr>
              <w:pStyle w:val="36"/>
              <w:ind w:firstLine="480"/>
              <w:rPr>
                <w:rFonts w:hint="default"/>
              </w:rPr>
            </w:pPr>
            <w:r>
              <w:t>根据现场调查，项目区域周边主要为灌木草丛和少量榕树，灌木草本类别主要为构树、藜、叶下株、葎草、狗尾草等长江沿线常见品种，以及海桐、黄金香柳、金森女贞、石楠、丝瓜等城镇常用人工栽培品种，植物种类较多，均不属于珍稀保护品种。</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9"/>
              <w:gridCol w:w="4150"/>
            </w:tblGrid>
            <w:tr w14:paraId="6FDC1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9" w:type="dxa"/>
                </w:tcPr>
                <w:p w14:paraId="178FA514">
                  <w:pPr>
                    <w:pStyle w:val="36"/>
                    <w:spacing w:line="240" w:lineRule="auto"/>
                    <w:ind w:firstLine="0" w:firstLineChars="0"/>
                    <w:jc w:val="center"/>
                    <w:rPr>
                      <w:rFonts w:hint="default"/>
                      <w:b/>
                      <w:bCs/>
                    </w:rPr>
                  </w:pPr>
                  <w:r>
                    <w:rPr>
                      <w:b/>
                      <w:bCs/>
                    </w:rPr>
                    <w:drawing>
                      <wp:inline distT="0" distB="0" distL="114300" distR="114300">
                        <wp:extent cx="2466975" cy="3289300"/>
                        <wp:effectExtent l="0" t="0" r="9525" b="6350"/>
                        <wp:docPr id="23" name="图片 23" descr="周边陆生植物类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周边陆生植物类型1"/>
                                <pic:cNvPicPr>
                                  <a:picLocks noChangeAspect="1"/>
                                </pic:cNvPicPr>
                              </pic:nvPicPr>
                              <pic:blipFill>
                                <a:blip r:embed="rId21"/>
                                <a:stretch>
                                  <a:fillRect/>
                                </a:stretch>
                              </pic:blipFill>
                              <pic:spPr>
                                <a:xfrm>
                                  <a:off x="0" y="0"/>
                                  <a:ext cx="2466975" cy="3289300"/>
                                </a:xfrm>
                                <a:prstGeom prst="rect">
                                  <a:avLst/>
                                </a:prstGeom>
                              </pic:spPr>
                            </pic:pic>
                          </a:graphicData>
                        </a:graphic>
                      </wp:inline>
                    </w:drawing>
                  </w:r>
                </w:p>
              </w:tc>
              <w:tc>
                <w:tcPr>
                  <w:tcW w:w="4150" w:type="dxa"/>
                </w:tcPr>
                <w:p w14:paraId="7CBCBE43">
                  <w:pPr>
                    <w:pStyle w:val="36"/>
                    <w:spacing w:line="240" w:lineRule="auto"/>
                    <w:ind w:firstLine="0" w:firstLineChars="0"/>
                    <w:rPr>
                      <w:rFonts w:hint="default"/>
                      <w:b/>
                      <w:bCs/>
                    </w:rPr>
                  </w:pPr>
                  <w:r>
                    <w:rPr>
                      <w:b/>
                      <w:bCs/>
                    </w:rPr>
                    <w:drawing>
                      <wp:inline distT="0" distB="0" distL="114300" distR="114300">
                        <wp:extent cx="2466975" cy="3289300"/>
                        <wp:effectExtent l="0" t="0" r="9525" b="6350"/>
                        <wp:docPr id="24" name="图片 24" descr="周边陆生植物类型-菖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周边陆生植物类型-菖蒲"/>
                                <pic:cNvPicPr>
                                  <a:picLocks noChangeAspect="1"/>
                                </pic:cNvPicPr>
                              </pic:nvPicPr>
                              <pic:blipFill>
                                <a:blip r:embed="rId22"/>
                                <a:stretch>
                                  <a:fillRect/>
                                </a:stretch>
                              </pic:blipFill>
                              <pic:spPr>
                                <a:xfrm>
                                  <a:off x="0" y="0"/>
                                  <a:ext cx="2466975" cy="3289300"/>
                                </a:xfrm>
                                <a:prstGeom prst="rect">
                                  <a:avLst/>
                                </a:prstGeom>
                              </pic:spPr>
                            </pic:pic>
                          </a:graphicData>
                        </a:graphic>
                      </wp:inline>
                    </w:drawing>
                  </w:r>
                </w:p>
              </w:tc>
            </w:tr>
            <w:tr w14:paraId="2D641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9" w:type="dxa"/>
                </w:tcPr>
                <w:p w14:paraId="68F4D059">
                  <w:pPr>
                    <w:pStyle w:val="46"/>
                    <w:spacing w:after="156"/>
                    <w:rPr>
                      <w:rFonts w:hint="default"/>
                      <w:bCs/>
                    </w:rPr>
                  </w:pPr>
                  <w:r>
                    <w:t>项目区域内植物图—葎草</w:t>
                  </w:r>
                </w:p>
              </w:tc>
              <w:tc>
                <w:tcPr>
                  <w:tcW w:w="4150" w:type="dxa"/>
                </w:tcPr>
                <w:p w14:paraId="12E9C62B">
                  <w:pPr>
                    <w:pStyle w:val="46"/>
                    <w:spacing w:after="156"/>
                    <w:rPr>
                      <w:rFonts w:hint="default"/>
                      <w:bCs/>
                    </w:rPr>
                  </w:pPr>
                  <w:r>
                    <w:t>项目区域内植物图—菖蒲</w:t>
                  </w:r>
                </w:p>
              </w:tc>
            </w:tr>
            <w:tr w14:paraId="6B3F3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9" w:type="dxa"/>
                </w:tcPr>
                <w:p w14:paraId="751202AC">
                  <w:pPr>
                    <w:pStyle w:val="46"/>
                    <w:numPr>
                      <w:ilvl w:val="1"/>
                      <w:numId w:val="0"/>
                    </w:numPr>
                    <w:spacing w:after="156"/>
                    <w:jc w:val="both"/>
                    <w:rPr>
                      <w:rFonts w:hint="default"/>
                    </w:rPr>
                  </w:pPr>
                  <w:r>
                    <w:drawing>
                      <wp:inline distT="0" distB="0" distL="114300" distR="114300">
                        <wp:extent cx="2466975" cy="3289300"/>
                        <wp:effectExtent l="0" t="0" r="9525" b="6350"/>
                        <wp:docPr id="26" name="图片 26" descr="周边陆生植物类型-狗尾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周边陆生植物类型-狗尾草"/>
                                <pic:cNvPicPr>
                                  <a:picLocks noChangeAspect="1"/>
                                </pic:cNvPicPr>
                              </pic:nvPicPr>
                              <pic:blipFill>
                                <a:blip r:embed="rId23"/>
                                <a:stretch>
                                  <a:fillRect/>
                                </a:stretch>
                              </pic:blipFill>
                              <pic:spPr>
                                <a:xfrm>
                                  <a:off x="0" y="0"/>
                                  <a:ext cx="2466975" cy="3289300"/>
                                </a:xfrm>
                                <a:prstGeom prst="rect">
                                  <a:avLst/>
                                </a:prstGeom>
                              </pic:spPr>
                            </pic:pic>
                          </a:graphicData>
                        </a:graphic>
                      </wp:inline>
                    </w:drawing>
                  </w:r>
                </w:p>
              </w:tc>
              <w:tc>
                <w:tcPr>
                  <w:tcW w:w="4150" w:type="dxa"/>
                </w:tcPr>
                <w:p w14:paraId="4EFD6CAE">
                  <w:pPr>
                    <w:pStyle w:val="46"/>
                    <w:numPr>
                      <w:ilvl w:val="1"/>
                      <w:numId w:val="0"/>
                    </w:numPr>
                    <w:spacing w:after="156"/>
                    <w:jc w:val="both"/>
                    <w:rPr>
                      <w:rFonts w:hint="default"/>
                    </w:rPr>
                  </w:pPr>
                  <w:r>
                    <w:drawing>
                      <wp:inline distT="0" distB="0" distL="114300" distR="114300">
                        <wp:extent cx="2466975" cy="3289300"/>
                        <wp:effectExtent l="0" t="0" r="9525" b="6350"/>
                        <wp:docPr id="27" name="图片 27" descr="周边陆生植物类型-构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周边陆生植物类型-构树"/>
                                <pic:cNvPicPr>
                                  <a:picLocks noChangeAspect="1"/>
                                </pic:cNvPicPr>
                              </pic:nvPicPr>
                              <pic:blipFill>
                                <a:blip r:embed="rId24"/>
                                <a:stretch>
                                  <a:fillRect/>
                                </a:stretch>
                              </pic:blipFill>
                              <pic:spPr>
                                <a:xfrm>
                                  <a:off x="0" y="0"/>
                                  <a:ext cx="2466975" cy="3289300"/>
                                </a:xfrm>
                                <a:prstGeom prst="rect">
                                  <a:avLst/>
                                </a:prstGeom>
                              </pic:spPr>
                            </pic:pic>
                          </a:graphicData>
                        </a:graphic>
                      </wp:inline>
                    </w:drawing>
                  </w:r>
                </w:p>
              </w:tc>
            </w:tr>
            <w:tr w14:paraId="20564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9" w:type="dxa"/>
                </w:tcPr>
                <w:p w14:paraId="72C01640">
                  <w:pPr>
                    <w:pStyle w:val="46"/>
                    <w:spacing w:after="156"/>
                    <w:rPr>
                      <w:rFonts w:hint="default"/>
                    </w:rPr>
                  </w:pPr>
                  <w:r>
                    <w:t>项目区域内植物图—狗尾草</w:t>
                  </w:r>
                </w:p>
              </w:tc>
              <w:tc>
                <w:tcPr>
                  <w:tcW w:w="4150" w:type="dxa"/>
                </w:tcPr>
                <w:p w14:paraId="4E22990C">
                  <w:pPr>
                    <w:pStyle w:val="46"/>
                    <w:spacing w:after="156"/>
                    <w:rPr>
                      <w:rFonts w:hint="default"/>
                    </w:rPr>
                  </w:pPr>
                  <w:r>
                    <w:t>项目区域内植物图—构树</w:t>
                  </w:r>
                </w:p>
              </w:tc>
            </w:tr>
            <w:tr w14:paraId="5EA6B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9" w:type="dxa"/>
                </w:tcPr>
                <w:p w14:paraId="2A154393">
                  <w:pPr>
                    <w:pStyle w:val="46"/>
                    <w:numPr>
                      <w:ilvl w:val="1"/>
                      <w:numId w:val="0"/>
                    </w:numPr>
                    <w:spacing w:after="156"/>
                    <w:jc w:val="both"/>
                    <w:rPr>
                      <w:rFonts w:hint="default"/>
                    </w:rPr>
                  </w:pPr>
                  <w:r>
                    <w:drawing>
                      <wp:inline distT="0" distB="0" distL="114300" distR="114300">
                        <wp:extent cx="2466975" cy="3289300"/>
                        <wp:effectExtent l="0" t="0" r="9525" b="6350"/>
                        <wp:docPr id="28" name="图片 28" descr="周边陆生植物类型-叶下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周边陆生植物类型-叶下珠"/>
                                <pic:cNvPicPr>
                                  <a:picLocks noChangeAspect="1"/>
                                </pic:cNvPicPr>
                              </pic:nvPicPr>
                              <pic:blipFill>
                                <a:blip r:embed="rId25"/>
                                <a:stretch>
                                  <a:fillRect/>
                                </a:stretch>
                              </pic:blipFill>
                              <pic:spPr>
                                <a:xfrm>
                                  <a:off x="0" y="0"/>
                                  <a:ext cx="2466975" cy="3289300"/>
                                </a:xfrm>
                                <a:prstGeom prst="rect">
                                  <a:avLst/>
                                </a:prstGeom>
                              </pic:spPr>
                            </pic:pic>
                          </a:graphicData>
                        </a:graphic>
                      </wp:inline>
                    </w:drawing>
                  </w:r>
                </w:p>
              </w:tc>
              <w:tc>
                <w:tcPr>
                  <w:tcW w:w="4150" w:type="dxa"/>
                </w:tcPr>
                <w:p w14:paraId="0CCE3A7E">
                  <w:pPr>
                    <w:pStyle w:val="46"/>
                    <w:numPr>
                      <w:ilvl w:val="1"/>
                      <w:numId w:val="0"/>
                    </w:numPr>
                    <w:spacing w:after="156"/>
                    <w:jc w:val="both"/>
                    <w:rPr>
                      <w:rFonts w:hint="default"/>
                    </w:rPr>
                  </w:pPr>
                  <w:r>
                    <w:drawing>
                      <wp:inline distT="0" distB="0" distL="114300" distR="114300">
                        <wp:extent cx="2466975" cy="3289300"/>
                        <wp:effectExtent l="0" t="0" r="9525" b="6350"/>
                        <wp:docPr id="29" name="图片 29" descr="周边陆生植物类型-圆叶节节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周边陆生植物类型-圆叶节节菜"/>
                                <pic:cNvPicPr>
                                  <a:picLocks noChangeAspect="1"/>
                                </pic:cNvPicPr>
                              </pic:nvPicPr>
                              <pic:blipFill>
                                <a:blip r:embed="rId26"/>
                                <a:stretch>
                                  <a:fillRect/>
                                </a:stretch>
                              </pic:blipFill>
                              <pic:spPr>
                                <a:xfrm>
                                  <a:off x="0" y="0"/>
                                  <a:ext cx="2466975" cy="3289300"/>
                                </a:xfrm>
                                <a:prstGeom prst="rect">
                                  <a:avLst/>
                                </a:prstGeom>
                              </pic:spPr>
                            </pic:pic>
                          </a:graphicData>
                        </a:graphic>
                      </wp:inline>
                    </w:drawing>
                  </w:r>
                </w:p>
              </w:tc>
            </w:tr>
            <w:tr w14:paraId="4AEA6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9" w:type="dxa"/>
                </w:tcPr>
                <w:p w14:paraId="3BC6E446">
                  <w:pPr>
                    <w:pStyle w:val="46"/>
                    <w:spacing w:after="156"/>
                    <w:rPr>
                      <w:rFonts w:hint="default"/>
                    </w:rPr>
                  </w:pPr>
                  <w:r>
                    <w:t>项目区域内植物图—叶下珠</w:t>
                  </w:r>
                </w:p>
              </w:tc>
              <w:tc>
                <w:tcPr>
                  <w:tcW w:w="4150" w:type="dxa"/>
                </w:tcPr>
                <w:p w14:paraId="58302AE5">
                  <w:pPr>
                    <w:pStyle w:val="46"/>
                    <w:spacing w:after="156"/>
                    <w:rPr>
                      <w:rFonts w:hint="default"/>
                    </w:rPr>
                  </w:pPr>
                  <w:r>
                    <w:t>项目区域内植物图—圆叶节节菜</w:t>
                  </w:r>
                </w:p>
              </w:tc>
            </w:tr>
            <w:tr w14:paraId="630C3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9" w:type="dxa"/>
                </w:tcPr>
                <w:p w14:paraId="1DB36599">
                  <w:pPr>
                    <w:pStyle w:val="46"/>
                    <w:numPr>
                      <w:ilvl w:val="1"/>
                      <w:numId w:val="0"/>
                    </w:numPr>
                    <w:spacing w:after="156"/>
                    <w:jc w:val="both"/>
                    <w:rPr>
                      <w:rFonts w:hint="default"/>
                    </w:rPr>
                  </w:pPr>
                  <w:r>
                    <w:drawing>
                      <wp:inline distT="0" distB="0" distL="114300" distR="114300">
                        <wp:extent cx="2466975" cy="3289300"/>
                        <wp:effectExtent l="0" t="0" r="9525" b="6350"/>
                        <wp:docPr id="32" name="图片 32" descr="周边陆生植物类型-黄金香柳（人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周边陆生植物类型-黄金香柳（人工）"/>
                                <pic:cNvPicPr>
                                  <a:picLocks noChangeAspect="1"/>
                                </pic:cNvPicPr>
                              </pic:nvPicPr>
                              <pic:blipFill>
                                <a:blip r:embed="rId27"/>
                                <a:stretch>
                                  <a:fillRect/>
                                </a:stretch>
                              </pic:blipFill>
                              <pic:spPr>
                                <a:xfrm>
                                  <a:off x="0" y="0"/>
                                  <a:ext cx="2466975" cy="3289300"/>
                                </a:xfrm>
                                <a:prstGeom prst="rect">
                                  <a:avLst/>
                                </a:prstGeom>
                              </pic:spPr>
                            </pic:pic>
                          </a:graphicData>
                        </a:graphic>
                      </wp:inline>
                    </w:drawing>
                  </w:r>
                </w:p>
              </w:tc>
              <w:tc>
                <w:tcPr>
                  <w:tcW w:w="4150" w:type="dxa"/>
                </w:tcPr>
                <w:p w14:paraId="064D6AF0">
                  <w:pPr>
                    <w:pStyle w:val="46"/>
                    <w:numPr>
                      <w:ilvl w:val="1"/>
                      <w:numId w:val="0"/>
                    </w:numPr>
                    <w:spacing w:after="156"/>
                    <w:jc w:val="both"/>
                    <w:rPr>
                      <w:rFonts w:hint="default"/>
                    </w:rPr>
                  </w:pPr>
                  <w:r>
                    <w:drawing>
                      <wp:inline distT="0" distB="0" distL="114300" distR="114300">
                        <wp:extent cx="2466975" cy="3289300"/>
                        <wp:effectExtent l="0" t="0" r="9525" b="6350"/>
                        <wp:docPr id="34" name="图片 34" descr="周边陆生植物类型-金森女贞（人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周边陆生植物类型-金森女贞（人工）"/>
                                <pic:cNvPicPr>
                                  <a:picLocks noChangeAspect="1"/>
                                </pic:cNvPicPr>
                              </pic:nvPicPr>
                              <pic:blipFill>
                                <a:blip r:embed="rId28"/>
                                <a:stretch>
                                  <a:fillRect/>
                                </a:stretch>
                              </pic:blipFill>
                              <pic:spPr>
                                <a:xfrm>
                                  <a:off x="0" y="0"/>
                                  <a:ext cx="2466975" cy="3289300"/>
                                </a:xfrm>
                                <a:prstGeom prst="rect">
                                  <a:avLst/>
                                </a:prstGeom>
                              </pic:spPr>
                            </pic:pic>
                          </a:graphicData>
                        </a:graphic>
                      </wp:inline>
                    </w:drawing>
                  </w:r>
                </w:p>
              </w:tc>
            </w:tr>
            <w:tr w14:paraId="2B6FA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9" w:type="dxa"/>
                </w:tcPr>
                <w:p w14:paraId="65A16159">
                  <w:pPr>
                    <w:pStyle w:val="46"/>
                    <w:spacing w:after="156"/>
                    <w:rPr>
                      <w:rFonts w:hint="default"/>
                    </w:rPr>
                  </w:pPr>
                  <w:r>
                    <w:t>项目区域内植物图—黄金香柳</w:t>
                  </w:r>
                </w:p>
              </w:tc>
              <w:tc>
                <w:tcPr>
                  <w:tcW w:w="4150" w:type="dxa"/>
                </w:tcPr>
                <w:p w14:paraId="7B209135">
                  <w:pPr>
                    <w:pStyle w:val="46"/>
                    <w:spacing w:after="156"/>
                    <w:rPr>
                      <w:rFonts w:hint="default"/>
                    </w:rPr>
                  </w:pPr>
                  <w:r>
                    <w:t>项目区域内植物图—金森女贞</w:t>
                  </w:r>
                </w:p>
              </w:tc>
            </w:tr>
            <w:tr w14:paraId="6FB53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9" w:type="dxa"/>
                </w:tcPr>
                <w:p w14:paraId="7504B5E7">
                  <w:pPr>
                    <w:pStyle w:val="46"/>
                    <w:numPr>
                      <w:ilvl w:val="1"/>
                      <w:numId w:val="0"/>
                    </w:numPr>
                    <w:spacing w:after="156"/>
                    <w:jc w:val="both"/>
                    <w:rPr>
                      <w:rFonts w:hint="default"/>
                    </w:rPr>
                  </w:pPr>
                  <w:r>
                    <w:drawing>
                      <wp:inline distT="0" distB="0" distL="114300" distR="114300">
                        <wp:extent cx="2455545" cy="1841500"/>
                        <wp:effectExtent l="0" t="0" r="1905" b="6350"/>
                        <wp:docPr id="30" name="图片 30" descr="周边陆生植物类型-海桐（人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周边陆生植物类型-海桐（人工）"/>
                                <pic:cNvPicPr>
                                  <a:picLocks noChangeAspect="1"/>
                                </pic:cNvPicPr>
                              </pic:nvPicPr>
                              <pic:blipFill>
                                <a:blip r:embed="rId29"/>
                                <a:stretch>
                                  <a:fillRect/>
                                </a:stretch>
                              </pic:blipFill>
                              <pic:spPr>
                                <a:xfrm>
                                  <a:off x="0" y="0"/>
                                  <a:ext cx="2455545" cy="1841500"/>
                                </a:xfrm>
                                <a:prstGeom prst="rect">
                                  <a:avLst/>
                                </a:prstGeom>
                              </pic:spPr>
                            </pic:pic>
                          </a:graphicData>
                        </a:graphic>
                      </wp:inline>
                    </w:drawing>
                  </w:r>
                </w:p>
              </w:tc>
              <w:tc>
                <w:tcPr>
                  <w:tcW w:w="4150" w:type="dxa"/>
                </w:tcPr>
                <w:p w14:paraId="50C34EDC">
                  <w:pPr>
                    <w:pStyle w:val="46"/>
                    <w:numPr>
                      <w:ilvl w:val="1"/>
                      <w:numId w:val="0"/>
                    </w:numPr>
                    <w:spacing w:after="156"/>
                    <w:jc w:val="both"/>
                    <w:rPr>
                      <w:rFonts w:hint="default"/>
                    </w:rPr>
                  </w:pPr>
                  <w:r>
                    <w:drawing>
                      <wp:inline distT="0" distB="0" distL="114300" distR="114300">
                        <wp:extent cx="2455545" cy="1841500"/>
                        <wp:effectExtent l="0" t="0" r="1905" b="6350"/>
                        <wp:docPr id="31" name="图片 31" descr="周边陆生植物类型-丝瓜（人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周边陆生植物类型-丝瓜（人工）"/>
                                <pic:cNvPicPr>
                                  <a:picLocks noChangeAspect="1"/>
                                </pic:cNvPicPr>
                              </pic:nvPicPr>
                              <pic:blipFill>
                                <a:blip r:embed="rId30"/>
                                <a:stretch>
                                  <a:fillRect/>
                                </a:stretch>
                              </pic:blipFill>
                              <pic:spPr>
                                <a:xfrm>
                                  <a:off x="0" y="0"/>
                                  <a:ext cx="2455545" cy="1841500"/>
                                </a:xfrm>
                                <a:prstGeom prst="rect">
                                  <a:avLst/>
                                </a:prstGeom>
                              </pic:spPr>
                            </pic:pic>
                          </a:graphicData>
                        </a:graphic>
                      </wp:inline>
                    </w:drawing>
                  </w:r>
                </w:p>
              </w:tc>
            </w:tr>
            <w:tr w14:paraId="6EC24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9" w:type="dxa"/>
                </w:tcPr>
                <w:p w14:paraId="15EB1CAF">
                  <w:pPr>
                    <w:pStyle w:val="46"/>
                    <w:spacing w:after="156"/>
                    <w:rPr>
                      <w:rFonts w:hint="default"/>
                    </w:rPr>
                  </w:pPr>
                  <w:r>
                    <w:t>项目区域内植物图—海桐</w:t>
                  </w:r>
                </w:p>
              </w:tc>
              <w:tc>
                <w:tcPr>
                  <w:tcW w:w="4150" w:type="dxa"/>
                </w:tcPr>
                <w:p w14:paraId="77B82722">
                  <w:pPr>
                    <w:pStyle w:val="46"/>
                    <w:spacing w:after="156"/>
                    <w:rPr>
                      <w:rFonts w:hint="default"/>
                    </w:rPr>
                  </w:pPr>
                  <w:r>
                    <w:t>项目区域内植物图—丝瓜</w:t>
                  </w:r>
                </w:p>
              </w:tc>
            </w:tr>
          </w:tbl>
          <w:p w14:paraId="2D4794AD">
            <w:pPr>
              <w:pStyle w:val="36"/>
              <w:ind w:firstLine="482"/>
              <w:rPr>
                <w:rFonts w:hint="default"/>
                <w:b/>
                <w:bCs/>
              </w:rPr>
            </w:pPr>
            <w:r>
              <w:rPr>
                <w:b/>
                <w:bCs/>
              </w:rPr>
              <w:t>②水生生态现状调查</w:t>
            </w:r>
          </w:p>
          <w:p w14:paraId="2E1F86CB">
            <w:pPr>
              <w:pStyle w:val="36"/>
              <w:ind w:firstLine="480"/>
              <w:rPr>
                <w:rFonts w:hint="default"/>
              </w:rPr>
            </w:pPr>
            <w:r>
              <w:t>1.鱼类资源现状</w:t>
            </w:r>
          </w:p>
          <w:p w14:paraId="0A82DA56">
            <w:pPr>
              <w:pStyle w:val="36"/>
              <w:ind w:firstLine="480"/>
              <w:rPr>
                <w:rFonts w:hint="default"/>
              </w:rPr>
            </w:pPr>
            <w:r>
              <w:t>根据《郪江流域生态环境调查与评估郪江干流水生生态调查评价报告》，大英县境内郪江干流共有鱼类52种，隶属4目11科39属。鲤形目鱼类为主要类群，有3科28属36种；鲇形目3科6属9种；鲈形目4科4属6种；鳗鲡目、合鳃目均为1科1属1种。</w:t>
            </w:r>
          </w:p>
          <w:p w14:paraId="58FEDEBF">
            <w:pPr>
              <w:pStyle w:val="36"/>
              <w:ind w:firstLine="480"/>
              <w:rPr>
                <w:rFonts w:hint="default"/>
              </w:rPr>
            </w:pPr>
            <w:r>
              <w:t>根据调查以及咨询得到的相关资料，郪江大英段分布有鱼类52种，主要经济鱼类有草鱼、鲢、鳙、唇鱼骨、鲤鱼、鲫鱼、大鳍鳠以及黄颡类等。近年来，除鲤、鲫等外，这些经济鱼类的资源量不断下降。但自2020年禁捕以来，鱼类种群有所恢复，鱼类个体明显增大，数量也有显著增加。长江上游及其支流中约有特有鱼类112种，</w:t>
            </w:r>
            <w:r>
              <w:rPr>
                <w:highlight w:val="none"/>
              </w:rPr>
              <w:t>郪江干流分布的长江上游特有鱼类8种，分别为短体副鳅、宜宾鲴、四川华鳊、黑尾近红鲌、黑尾、宽口光唇鱼、华鲮、四川华吸鳅等</w:t>
            </w:r>
            <w:r>
              <w:t>。这些特有鱼类有些具有重要的经济价值和科研价值，作为长江上游特有的地域性分布物种，采取一些措施对其种质资源进行保护非常重要。</w:t>
            </w:r>
            <w:r>
              <w:rPr>
                <w:rFonts w:hint="eastAsia"/>
                <w:lang w:eastAsia="zh-CN"/>
              </w:rPr>
              <w:t>根据《</w:t>
            </w:r>
            <w:r>
              <w:rPr>
                <w:rFonts w:hint="eastAsia"/>
              </w:rPr>
              <w:t>四川省41种国家重点保护水生野生动物分布情况表</w:t>
            </w:r>
            <w:r>
              <w:rPr>
                <w:rFonts w:hint="eastAsia"/>
                <w:lang w:eastAsia="zh-CN"/>
              </w:rPr>
              <w:t>》可知，大英县河段不涉及以上重点保护的水生野生动物分布。</w:t>
            </w:r>
          </w:p>
          <w:p w14:paraId="44B4267E">
            <w:pPr>
              <w:pStyle w:val="36"/>
              <w:ind w:firstLine="480"/>
              <w:rPr>
                <w:rFonts w:hint="default"/>
              </w:rPr>
            </w:pPr>
            <w:r>
              <w:t>2.浮游动植物</w:t>
            </w:r>
          </w:p>
          <w:p w14:paraId="4E359932">
            <w:pPr>
              <w:pStyle w:val="36"/>
              <w:ind w:firstLine="480"/>
              <w:rPr>
                <w:rFonts w:hint="default"/>
              </w:rPr>
            </w:pPr>
            <w:r>
              <w:t>根据《郪江流域生态环境调查与评估郪江干流水生生态调查评价报告》，郪江（大英段）河湖流域藻类植物5门、21科、31属、122种（含变种）。其中蓝藻门2科、2属、5种；硅藻门10科、20属、100种；甲藻门1科、1属、6种；黄藻门1科、1属、2种；绿藻门7科、7属、9种。</w:t>
            </w:r>
          </w:p>
          <w:p w14:paraId="794302CE">
            <w:pPr>
              <w:pStyle w:val="36"/>
              <w:ind w:firstLine="480"/>
              <w:rPr>
                <w:rFonts w:hint="default"/>
              </w:rPr>
            </w:pPr>
            <w:r>
              <w:t>郪江（大英段）有浮游动物37种，以枝角类为最多，其次为轮虫。保护区内底栖动物有四大类，共有17种，以水生昆虫占绝大多数。其余为环节动物，甲壳动物常见为罗卜螺和水蚯蚓。</w:t>
            </w:r>
          </w:p>
          <w:p w14:paraId="1ACF8B67">
            <w:pPr>
              <w:pStyle w:val="36"/>
              <w:spacing w:line="240" w:lineRule="auto"/>
              <w:ind w:firstLine="0" w:firstLineChars="0"/>
              <w:jc w:val="center"/>
              <w:rPr>
                <w:rFonts w:hint="default"/>
                <w:b/>
                <w:bCs/>
              </w:rPr>
            </w:pPr>
            <w:r>
              <w:rPr>
                <w:b/>
                <w:bCs/>
              </w:rPr>
              <w:drawing>
                <wp:inline distT="0" distB="0" distL="114300" distR="114300">
                  <wp:extent cx="5234940" cy="3926205"/>
                  <wp:effectExtent l="0" t="0" r="3810" b="17145"/>
                  <wp:docPr id="22" name="图片 22" descr="河道水生生物类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河道水生生物类型2"/>
                          <pic:cNvPicPr>
                            <a:picLocks noChangeAspect="1"/>
                          </pic:cNvPicPr>
                        </pic:nvPicPr>
                        <pic:blipFill>
                          <a:blip r:embed="rId31"/>
                          <a:stretch>
                            <a:fillRect/>
                          </a:stretch>
                        </pic:blipFill>
                        <pic:spPr>
                          <a:xfrm>
                            <a:off x="0" y="0"/>
                            <a:ext cx="5234940" cy="3926205"/>
                          </a:xfrm>
                          <a:prstGeom prst="rect">
                            <a:avLst/>
                          </a:prstGeom>
                        </pic:spPr>
                      </pic:pic>
                    </a:graphicData>
                  </a:graphic>
                </wp:inline>
              </w:drawing>
            </w:r>
          </w:p>
          <w:p w14:paraId="2723BDEB">
            <w:pPr>
              <w:pStyle w:val="46"/>
              <w:spacing w:after="156"/>
              <w:rPr>
                <w:rFonts w:hint="default"/>
              </w:rPr>
            </w:pPr>
            <w:r>
              <w:t>项目水生鱼类图——白鲦</w:t>
            </w:r>
          </w:p>
          <w:p w14:paraId="2139AF7F">
            <w:pPr>
              <w:pStyle w:val="36"/>
              <w:ind w:firstLine="482"/>
              <w:rPr>
                <w:rFonts w:hint="default"/>
                <w:b/>
                <w:bCs/>
              </w:rPr>
            </w:pPr>
            <w:r>
              <w:rPr>
                <w:b/>
                <w:bCs/>
              </w:rPr>
              <w:t>④生态环境现状综合评价</w:t>
            </w:r>
          </w:p>
          <w:p w14:paraId="3D0E6DC8">
            <w:pPr>
              <w:pStyle w:val="36"/>
              <w:ind w:firstLine="480"/>
              <w:rPr>
                <w:rFonts w:hint="default"/>
              </w:rPr>
            </w:pPr>
            <w:r>
              <w:t>项目评价范围内不涉及自然保护区、野生或特殊稀有动植物栖息地等重要的生态系统。区域内未见大型野生哺乳动物，现有的野生动物多为一些常见的鸟类、啮齿类等，评价范围内未见《中国生物多样性红色名录》中的重要物种，区域内未见珍稀濒危保护野生动物分布，不涉及重要生境。</w:t>
            </w:r>
          </w:p>
          <w:p w14:paraId="6D9678E8">
            <w:pPr>
              <w:pStyle w:val="4"/>
              <w:numPr>
                <w:ilvl w:val="0"/>
                <w:numId w:val="25"/>
              </w:numPr>
            </w:pPr>
            <w:r>
              <w:rPr>
                <w:rFonts w:hint="eastAsia"/>
              </w:rPr>
              <w:t>大气环境质量现状</w:t>
            </w:r>
          </w:p>
          <w:p w14:paraId="40A941A9">
            <w:pPr>
              <w:pStyle w:val="36"/>
              <w:ind w:firstLine="480"/>
              <w:rPr>
                <w:rFonts w:hint="default"/>
              </w:rPr>
            </w:pPr>
            <w:r>
              <w:rPr>
                <w:rFonts w:hint="default"/>
              </w:rPr>
              <w:t>根据《建设项目环境影响报告表编制技术指南（生态影响类）》要求，本项目优先选用国家或地方生态环境主管部门公开发布的评价基准年环境质量公告或环境质量公告中的数据或结论。因此，本次项目所在区域达标判定采用《202</w:t>
            </w:r>
            <w:r>
              <w:t>4</w:t>
            </w:r>
            <w:r>
              <w:rPr>
                <w:rFonts w:hint="default"/>
              </w:rPr>
              <w:t>年遂宁市环境质量公告》中的环境空气质量数据。</w:t>
            </w:r>
          </w:p>
          <w:p w14:paraId="3848C118">
            <w:pPr>
              <w:pStyle w:val="4"/>
              <w:numPr>
                <w:ilvl w:val="1"/>
                <w:numId w:val="25"/>
              </w:numPr>
              <w:rPr>
                <w:bCs/>
              </w:rPr>
            </w:pPr>
            <w:r>
              <w:rPr>
                <w:rFonts w:hint="eastAsia"/>
                <w:bCs/>
              </w:rPr>
              <w:t>常规污染物环境质量现状</w:t>
            </w:r>
          </w:p>
          <w:p w14:paraId="5A24813F">
            <w:pPr>
              <w:pStyle w:val="36"/>
              <w:ind w:firstLine="480"/>
              <w:rPr>
                <w:rFonts w:hint="default"/>
              </w:rPr>
            </w:pPr>
            <w:r>
              <w:rPr>
                <w:rFonts w:hint="default"/>
              </w:rPr>
              <w:t>本次环境空气质量基本污染因子现状评价引用遂宁市生态环境保护委员会办公室2025年1月13日发布的《关于2024年12月全市地表水和环境空气质量的排名情况的通报》（遂环委办〔2025〕7号）中公布的数据。</w:t>
            </w:r>
          </w:p>
          <w:p w14:paraId="457F2B53">
            <w:pPr>
              <w:pStyle w:val="36"/>
              <w:ind w:firstLine="482"/>
              <w:rPr>
                <w:rFonts w:hint="default"/>
                <w:b/>
                <w:bCs/>
              </w:rPr>
            </w:pPr>
            <w:r>
              <w:rPr>
                <w:b/>
                <w:bCs/>
              </w:rPr>
              <w:t>①达标判断</w:t>
            </w:r>
          </w:p>
          <w:p w14:paraId="3AADD609">
            <w:pPr>
              <w:pStyle w:val="36"/>
              <w:ind w:firstLine="480"/>
              <w:rPr>
                <w:rFonts w:hint="default"/>
              </w:rPr>
            </w:pPr>
            <w:r>
              <w:rPr>
                <w:rFonts w:hint="default"/>
              </w:rPr>
              <w:t>2024年遂宁市城区环境空气质量详见下表：</w:t>
            </w:r>
          </w:p>
          <w:p w14:paraId="39F8EAAA">
            <w:pPr>
              <w:pStyle w:val="47"/>
              <w:numPr>
                <w:ilvl w:val="0"/>
                <w:numId w:val="26"/>
              </w:numPr>
              <w:spacing w:before="156"/>
            </w:pPr>
            <w:r>
              <w:rPr>
                <w:rFonts w:hint="eastAsia"/>
              </w:rPr>
              <w:t>2024年遂宁市环境空气质量状况统计表</w:t>
            </w:r>
          </w:p>
          <w:tbl>
            <w:tblPr>
              <w:tblStyle w:val="26"/>
              <w:tblW w:w="779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327"/>
              <w:gridCol w:w="685"/>
              <w:gridCol w:w="473"/>
              <w:gridCol w:w="728"/>
              <w:gridCol w:w="922"/>
              <w:gridCol w:w="930"/>
              <w:gridCol w:w="870"/>
              <w:gridCol w:w="930"/>
              <w:gridCol w:w="960"/>
              <w:gridCol w:w="972"/>
            </w:tblGrid>
            <w:tr w14:paraId="3E4211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1411" w:hRule="atLeast"/>
                <w:jc w:val="center"/>
              </w:trPr>
              <w:tc>
                <w:tcPr>
                  <w:tcW w:w="327" w:type="dxa"/>
                  <w:noWrap w:val="0"/>
                  <w:vAlign w:val="center"/>
                </w:tcPr>
                <w:p w14:paraId="3E05C869">
                  <w:pPr>
                    <w:widowControl/>
                    <w:jc w:val="center"/>
                    <w:textAlignment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排名</w:t>
                  </w:r>
                </w:p>
              </w:tc>
              <w:tc>
                <w:tcPr>
                  <w:tcW w:w="685" w:type="dxa"/>
                  <w:noWrap w:val="0"/>
                  <w:vAlign w:val="center"/>
                </w:tcPr>
                <w:p w14:paraId="377CA897">
                  <w:pPr>
                    <w:widowControl/>
                    <w:jc w:val="center"/>
                    <w:textAlignment w:val="center"/>
                    <w:rPr>
                      <w:rFonts w:hint="default" w:ascii="Times New Roman" w:hAnsi="Times New Roman" w:cs="Times New Roman"/>
                      <w:b/>
                      <w:color w:val="auto"/>
                      <w:kern w:val="0"/>
                      <w:sz w:val="21"/>
                      <w:szCs w:val="21"/>
                      <w:highlight w:val="none"/>
                      <w:lang w:val="en-US" w:eastAsia="zh-CN"/>
                    </w:rPr>
                  </w:pPr>
                  <w:r>
                    <w:rPr>
                      <w:rFonts w:hint="default" w:ascii="Times New Roman" w:hAnsi="Times New Roman" w:eastAsia="宋体" w:cs="Times New Roman"/>
                      <w:b/>
                      <w:color w:val="auto"/>
                      <w:kern w:val="0"/>
                      <w:sz w:val="21"/>
                      <w:szCs w:val="21"/>
                      <w:highlight w:val="none"/>
                      <w:lang w:val="en-US" w:eastAsia="zh-CN"/>
                    </w:rPr>
                    <w:t>县（市、区）市直园区</w:t>
                  </w:r>
                </w:p>
              </w:tc>
              <w:tc>
                <w:tcPr>
                  <w:tcW w:w="473" w:type="dxa"/>
                  <w:noWrap w:val="0"/>
                  <w:vAlign w:val="center"/>
                </w:tcPr>
                <w:p w14:paraId="158F8026">
                  <w:pPr>
                    <w:widowControl/>
                    <w:jc w:val="center"/>
                    <w:textAlignment w:val="center"/>
                    <w:rPr>
                      <w:rFonts w:hint="default" w:ascii="Times New Roman" w:hAnsi="Times New Roman" w:eastAsia="宋体" w:cs="Times New Roman"/>
                      <w:b/>
                      <w:color w:val="auto"/>
                      <w:kern w:val="0"/>
                      <w:sz w:val="21"/>
                      <w:szCs w:val="21"/>
                      <w:highlight w:val="none"/>
                      <w:lang w:val="en-US" w:eastAsia="zh-CN"/>
                    </w:rPr>
                  </w:pPr>
                  <w:r>
                    <w:rPr>
                      <w:rFonts w:hint="default" w:ascii="Times New Roman" w:hAnsi="Times New Roman" w:cs="Times New Roman"/>
                      <w:b/>
                      <w:color w:val="auto"/>
                      <w:kern w:val="0"/>
                      <w:sz w:val="21"/>
                      <w:szCs w:val="21"/>
                      <w:highlight w:val="none"/>
                      <w:lang w:val="en-US" w:eastAsia="zh-CN"/>
                    </w:rPr>
                    <w:t>综合指数</w:t>
                  </w:r>
                </w:p>
              </w:tc>
              <w:tc>
                <w:tcPr>
                  <w:tcW w:w="728" w:type="dxa"/>
                  <w:noWrap w:val="0"/>
                  <w:vAlign w:val="center"/>
                </w:tcPr>
                <w:p w14:paraId="09D496E8">
                  <w:pPr>
                    <w:widowControl/>
                    <w:jc w:val="center"/>
                    <w:textAlignment w:val="center"/>
                    <w:rPr>
                      <w:rFonts w:hint="default" w:ascii="Times New Roman" w:hAnsi="Times New Roman" w:eastAsia="宋体" w:cs="Times New Roman"/>
                      <w:b/>
                      <w:color w:val="auto"/>
                      <w:kern w:val="0"/>
                      <w:sz w:val="21"/>
                      <w:szCs w:val="21"/>
                      <w:highlight w:val="none"/>
                      <w:lang w:val="en-US" w:eastAsia="zh-CN"/>
                    </w:rPr>
                  </w:pPr>
                  <w:r>
                    <w:rPr>
                      <w:rFonts w:hint="default" w:ascii="Times New Roman" w:hAnsi="Times New Roman" w:cs="Times New Roman"/>
                      <w:b/>
                      <w:color w:val="auto"/>
                      <w:kern w:val="0"/>
                      <w:sz w:val="21"/>
                      <w:szCs w:val="21"/>
                      <w:highlight w:val="none"/>
                      <w:lang w:val="en-US" w:eastAsia="zh-CN"/>
                    </w:rPr>
                    <w:t>优良天数</w:t>
                  </w:r>
                </w:p>
              </w:tc>
              <w:tc>
                <w:tcPr>
                  <w:tcW w:w="922" w:type="dxa"/>
                  <w:noWrap w:val="0"/>
                  <w:vAlign w:val="center"/>
                </w:tcPr>
                <w:p w14:paraId="725EC2DF">
                  <w:pPr>
                    <w:widowControl/>
                    <w:jc w:val="center"/>
                    <w:textAlignment w:val="center"/>
                    <w:rPr>
                      <w:rFonts w:hint="default" w:ascii="Times New Roman" w:hAnsi="Times New Roman" w:cs="Times New Roman"/>
                      <w:b/>
                      <w:color w:val="auto"/>
                      <w:kern w:val="0"/>
                      <w:sz w:val="21"/>
                      <w:szCs w:val="21"/>
                      <w:highlight w:val="none"/>
                      <w:lang w:eastAsia="zh-CN"/>
                    </w:rPr>
                  </w:pPr>
                  <w:r>
                    <w:rPr>
                      <w:rFonts w:hint="default" w:ascii="Times New Roman" w:hAnsi="Times New Roman" w:cs="Times New Roman"/>
                      <w:b/>
                      <w:color w:val="auto"/>
                      <w:kern w:val="0"/>
                      <w:sz w:val="21"/>
                      <w:szCs w:val="21"/>
                      <w:highlight w:val="none"/>
                      <w:lang w:val="en-US" w:eastAsia="zh-CN"/>
                    </w:rPr>
                    <w:t>PM</w:t>
                  </w:r>
                  <w:r>
                    <w:rPr>
                      <w:rFonts w:hint="default" w:ascii="Times New Roman" w:hAnsi="Times New Roman" w:cs="Times New Roman"/>
                      <w:b/>
                      <w:color w:val="auto"/>
                      <w:kern w:val="0"/>
                      <w:sz w:val="21"/>
                      <w:szCs w:val="21"/>
                      <w:highlight w:val="none"/>
                      <w:vertAlign w:val="subscript"/>
                      <w:lang w:val="en-US" w:eastAsia="zh-CN"/>
                    </w:rPr>
                    <w:t>2.5</w:t>
                  </w:r>
                  <w:r>
                    <w:rPr>
                      <w:rFonts w:hint="default" w:ascii="Times New Roman" w:hAnsi="Times New Roman" w:cs="Times New Roman"/>
                      <w:b/>
                      <w:color w:val="auto"/>
                      <w:kern w:val="0"/>
                      <w:sz w:val="21"/>
                      <w:szCs w:val="21"/>
                      <w:highlight w:val="none"/>
                      <w:lang w:val="en-US" w:eastAsia="zh-CN"/>
                    </w:rPr>
                    <w:t>平</w:t>
                  </w:r>
                  <w:r>
                    <w:rPr>
                      <w:rFonts w:hint="default" w:ascii="Times New Roman" w:hAnsi="Times New Roman" w:cs="Times New Roman"/>
                      <w:b/>
                      <w:color w:val="auto"/>
                      <w:kern w:val="0"/>
                      <w:sz w:val="21"/>
                      <w:szCs w:val="21"/>
                      <w:highlight w:val="none"/>
                    </w:rPr>
                    <w:t>均浓</w:t>
                  </w:r>
                  <w:r>
                    <w:rPr>
                      <w:rFonts w:hint="default" w:ascii="Times New Roman" w:hAnsi="Times New Roman" w:cs="Times New Roman"/>
                      <w:b/>
                      <w:color w:val="auto"/>
                      <w:kern w:val="0"/>
                      <w:sz w:val="21"/>
                      <w:szCs w:val="21"/>
                      <w:highlight w:val="none"/>
                      <w:lang w:eastAsia="zh-CN"/>
                    </w:rPr>
                    <w:t>度</w:t>
                  </w:r>
                </w:p>
                <w:p w14:paraId="5AC96174">
                  <w:pPr>
                    <w:widowControl/>
                    <w:jc w:val="center"/>
                    <w:textAlignment w:val="center"/>
                    <w:rPr>
                      <w:rFonts w:hint="default" w:ascii="Times New Roman" w:hAnsi="Times New Roman" w:cs="Times New Roman"/>
                      <w:b/>
                      <w:color w:val="auto"/>
                      <w:sz w:val="21"/>
                      <w:szCs w:val="21"/>
                      <w:highlight w:val="none"/>
                    </w:rPr>
                  </w:pPr>
                  <w:r>
                    <w:rPr>
                      <w:rFonts w:hint="eastAsia" w:cs="Times New Roman"/>
                      <w:b/>
                      <w:color w:val="auto"/>
                      <w:kern w:val="0"/>
                      <w:sz w:val="18"/>
                      <w:szCs w:val="18"/>
                      <w:highlight w:val="none"/>
                      <w:lang w:eastAsia="zh-CN"/>
                    </w:rPr>
                    <w:t>(</w:t>
                  </w:r>
                  <w:r>
                    <w:rPr>
                      <w:rFonts w:hint="default" w:ascii="Times New Roman" w:hAnsi="Times New Roman" w:cs="Times New Roman"/>
                      <w:b/>
                      <w:color w:val="auto"/>
                      <w:kern w:val="0"/>
                      <w:sz w:val="18"/>
                      <w:szCs w:val="18"/>
                      <w:highlight w:val="none"/>
                      <w:lang w:val="en-US" w:eastAsia="zh-CN"/>
                    </w:rPr>
                    <w:t>μg/m</w:t>
                  </w:r>
                  <w:r>
                    <w:rPr>
                      <w:rFonts w:hint="default" w:ascii="Times New Roman" w:hAnsi="Times New Roman" w:cs="Times New Roman"/>
                      <w:b/>
                      <w:color w:val="auto"/>
                      <w:kern w:val="0"/>
                      <w:sz w:val="18"/>
                      <w:szCs w:val="18"/>
                      <w:highlight w:val="none"/>
                      <w:vertAlign w:val="superscript"/>
                      <w:lang w:val="en-US" w:eastAsia="zh-CN"/>
                    </w:rPr>
                    <w:t>3</w:t>
                  </w:r>
                  <w:r>
                    <w:rPr>
                      <w:rFonts w:hint="eastAsia" w:cs="Times New Roman"/>
                      <w:b/>
                      <w:color w:val="auto"/>
                      <w:kern w:val="0"/>
                      <w:sz w:val="18"/>
                      <w:szCs w:val="18"/>
                      <w:highlight w:val="none"/>
                      <w:vertAlign w:val="superscript"/>
                      <w:lang w:val="en-US" w:eastAsia="zh-CN"/>
                    </w:rPr>
                    <w:t>)</w:t>
                  </w:r>
                </w:p>
              </w:tc>
              <w:tc>
                <w:tcPr>
                  <w:tcW w:w="930" w:type="dxa"/>
                  <w:noWrap w:val="0"/>
                  <w:vAlign w:val="center"/>
                </w:tcPr>
                <w:p w14:paraId="13F9345D">
                  <w:pPr>
                    <w:widowControl/>
                    <w:jc w:val="center"/>
                    <w:textAlignment w:val="center"/>
                    <w:rPr>
                      <w:rFonts w:hint="default" w:ascii="Times New Roman" w:hAnsi="Times New Roman" w:cs="Times New Roman"/>
                      <w:b/>
                      <w:color w:val="auto"/>
                      <w:kern w:val="0"/>
                      <w:sz w:val="21"/>
                      <w:szCs w:val="21"/>
                      <w:highlight w:val="none"/>
                      <w:lang w:eastAsia="zh-CN"/>
                    </w:rPr>
                  </w:pPr>
                  <w:r>
                    <w:rPr>
                      <w:rFonts w:hint="default" w:ascii="Times New Roman" w:hAnsi="Times New Roman" w:cs="Times New Roman"/>
                      <w:b/>
                      <w:color w:val="auto"/>
                      <w:kern w:val="0"/>
                      <w:sz w:val="21"/>
                      <w:szCs w:val="21"/>
                      <w:highlight w:val="none"/>
                      <w:lang w:val="en-US" w:eastAsia="zh-CN"/>
                    </w:rPr>
                    <w:t>PM</w:t>
                  </w:r>
                  <w:r>
                    <w:rPr>
                      <w:rFonts w:hint="default" w:ascii="Times New Roman" w:hAnsi="Times New Roman" w:cs="Times New Roman"/>
                      <w:b/>
                      <w:color w:val="auto"/>
                      <w:kern w:val="0"/>
                      <w:sz w:val="21"/>
                      <w:szCs w:val="21"/>
                      <w:highlight w:val="none"/>
                      <w:vertAlign w:val="subscript"/>
                      <w:lang w:val="en-US" w:eastAsia="zh-CN"/>
                    </w:rPr>
                    <w:t>10</w:t>
                  </w:r>
                  <w:r>
                    <w:rPr>
                      <w:rFonts w:hint="default" w:ascii="Times New Roman" w:hAnsi="Times New Roman" w:cs="Times New Roman"/>
                      <w:b/>
                      <w:color w:val="auto"/>
                      <w:kern w:val="0"/>
                      <w:sz w:val="21"/>
                      <w:szCs w:val="21"/>
                      <w:highlight w:val="none"/>
                      <w:lang w:val="en-US" w:eastAsia="zh-CN"/>
                    </w:rPr>
                    <w:t>平</w:t>
                  </w:r>
                  <w:r>
                    <w:rPr>
                      <w:rFonts w:hint="default" w:ascii="Times New Roman" w:hAnsi="Times New Roman" w:cs="Times New Roman"/>
                      <w:b/>
                      <w:color w:val="auto"/>
                      <w:kern w:val="0"/>
                      <w:sz w:val="21"/>
                      <w:szCs w:val="21"/>
                      <w:highlight w:val="none"/>
                    </w:rPr>
                    <w:t>均浓</w:t>
                  </w:r>
                  <w:r>
                    <w:rPr>
                      <w:rFonts w:hint="default" w:ascii="Times New Roman" w:hAnsi="Times New Roman" w:cs="Times New Roman"/>
                      <w:b/>
                      <w:color w:val="auto"/>
                      <w:kern w:val="0"/>
                      <w:sz w:val="21"/>
                      <w:szCs w:val="21"/>
                      <w:highlight w:val="none"/>
                      <w:lang w:eastAsia="zh-CN"/>
                    </w:rPr>
                    <w:t>度</w:t>
                  </w:r>
                </w:p>
                <w:p w14:paraId="64459659">
                  <w:pPr>
                    <w:widowControl/>
                    <w:jc w:val="center"/>
                    <w:textAlignment w:val="center"/>
                    <w:rPr>
                      <w:rFonts w:hint="default" w:ascii="Times New Roman" w:hAnsi="Times New Roman" w:eastAsia="宋体" w:cs="Times New Roman"/>
                      <w:b/>
                      <w:color w:val="auto"/>
                      <w:sz w:val="21"/>
                      <w:szCs w:val="21"/>
                      <w:highlight w:val="none"/>
                      <w:lang w:eastAsia="zh-CN"/>
                    </w:rPr>
                  </w:pPr>
                  <w:r>
                    <w:rPr>
                      <w:rFonts w:hint="eastAsia" w:cs="Times New Roman"/>
                      <w:b/>
                      <w:color w:val="auto"/>
                      <w:kern w:val="0"/>
                      <w:sz w:val="18"/>
                      <w:szCs w:val="18"/>
                      <w:highlight w:val="none"/>
                      <w:lang w:eastAsia="zh-CN"/>
                    </w:rPr>
                    <w:t>(</w:t>
                  </w:r>
                  <w:r>
                    <w:rPr>
                      <w:rFonts w:hint="default" w:ascii="Times New Roman" w:hAnsi="Times New Roman" w:cs="Times New Roman"/>
                      <w:b/>
                      <w:color w:val="auto"/>
                      <w:kern w:val="0"/>
                      <w:sz w:val="18"/>
                      <w:szCs w:val="18"/>
                      <w:highlight w:val="none"/>
                      <w:lang w:val="en-US" w:eastAsia="zh-CN"/>
                    </w:rPr>
                    <w:t>μg/m</w:t>
                  </w:r>
                  <w:r>
                    <w:rPr>
                      <w:rFonts w:hint="default" w:ascii="Times New Roman" w:hAnsi="Times New Roman" w:cs="Times New Roman"/>
                      <w:b/>
                      <w:color w:val="auto"/>
                      <w:kern w:val="0"/>
                      <w:sz w:val="18"/>
                      <w:szCs w:val="18"/>
                      <w:highlight w:val="none"/>
                      <w:vertAlign w:val="superscript"/>
                      <w:lang w:val="en-US" w:eastAsia="zh-CN"/>
                    </w:rPr>
                    <w:t>3</w:t>
                  </w:r>
                  <w:r>
                    <w:rPr>
                      <w:rFonts w:hint="eastAsia" w:cs="Times New Roman"/>
                      <w:b/>
                      <w:color w:val="auto"/>
                      <w:kern w:val="0"/>
                      <w:sz w:val="18"/>
                      <w:szCs w:val="18"/>
                      <w:highlight w:val="none"/>
                      <w:vertAlign w:val="superscript"/>
                      <w:lang w:val="en-US" w:eastAsia="zh-CN"/>
                    </w:rPr>
                    <w:t>)</w:t>
                  </w:r>
                </w:p>
              </w:tc>
              <w:tc>
                <w:tcPr>
                  <w:tcW w:w="870" w:type="dxa"/>
                  <w:noWrap w:val="0"/>
                  <w:vAlign w:val="center"/>
                </w:tcPr>
                <w:p w14:paraId="71B1634B">
                  <w:pPr>
                    <w:widowControl/>
                    <w:jc w:val="center"/>
                    <w:textAlignment w:val="center"/>
                    <w:rPr>
                      <w:rFonts w:hint="default" w:ascii="Times New Roman" w:hAnsi="Times New Roman" w:cs="Times New Roman"/>
                      <w:b/>
                      <w:color w:val="auto"/>
                      <w:kern w:val="0"/>
                      <w:sz w:val="21"/>
                      <w:szCs w:val="21"/>
                      <w:highlight w:val="none"/>
                      <w:lang w:eastAsia="zh-CN"/>
                    </w:rPr>
                  </w:pPr>
                  <w:r>
                    <w:rPr>
                      <w:rFonts w:hint="default" w:ascii="Times New Roman" w:hAnsi="Times New Roman" w:cs="Times New Roman"/>
                      <w:b/>
                      <w:color w:val="auto"/>
                      <w:kern w:val="0"/>
                      <w:sz w:val="21"/>
                      <w:szCs w:val="21"/>
                      <w:highlight w:val="none"/>
                      <w:lang w:val="en-US" w:eastAsia="zh-CN"/>
                    </w:rPr>
                    <w:t>SO</w:t>
                  </w:r>
                  <w:r>
                    <w:rPr>
                      <w:rFonts w:hint="default" w:ascii="Times New Roman" w:hAnsi="Times New Roman" w:cs="Times New Roman"/>
                      <w:b/>
                      <w:color w:val="auto"/>
                      <w:kern w:val="0"/>
                      <w:sz w:val="21"/>
                      <w:szCs w:val="21"/>
                      <w:highlight w:val="none"/>
                      <w:vertAlign w:val="subscript"/>
                      <w:lang w:val="en-US" w:eastAsia="zh-CN"/>
                    </w:rPr>
                    <w:t>2</w:t>
                  </w:r>
                  <w:r>
                    <w:rPr>
                      <w:rFonts w:hint="default" w:ascii="Times New Roman" w:hAnsi="Times New Roman" w:cs="Times New Roman"/>
                      <w:b/>
                      <w:color w:val="auto"/>
                      <w:kern w:val="0"/>
                      <w:sz w:val="21"/>
                      <w:szCs w:val="21"/>
                      <w:highlight w:val="none"/>
                      <w:lang w:val="en-US" w:eastAsia="zh-CN"/>
                    </w:rPr>
                    <w:t>平</w:t>
                  </w:r>
                  <w:r>
                    <w:rPr>
                      <w:rFonts w:hint="default" w:ascii="Times New Roman" w:hAnsi="Times New Roman" w:cs="Times New Roman"/>
                      <w:b/>
                      <w:color w:val="auto"/>
                      <w:kern w:val="0"/>
                      <w:sz w:val="21"/>
                      <w:szCs w:val="21"/>
                      <w:highlight w:val="none"/>
                    </w:rPr>
                    <w:t>均浓</w:t>
                  </w:r>
                  <w:r>
                    <w:rPr>
                      <w:rFonts w:hint="default" w:ascii="Times New Roman" w:hAnsi="Times New Roman" w:cs="Times New Roman"/>
                      <w:b/>
                      <w:color w:val="auto"/>
                      <w:kern w:val="0"/>
                      <w:sz w:val="21"/>
                      <w:szCs w:val="21"/>
                      <w:highlight w:val="none"/>
                      <w:lang w:eastAsia="zh-CN"/>
                    </w:rPr>
                    <w:t>度</w:t>
                  </w:r>
                </w:p>
                <w:p w14:paraId="62563C3F">
                  <w:pPr>
                    <w:pStyle w:val="11"/>
                    <w:jc w:val="center"/>
                    <w:rPr>
                      <w:rFonts w:hint="default" w:ascii="Times New Roman" w:hAnsi="Times New Roman" w:cs="Times New Roman"/>
                      <w:color w:val="auto"/>
                      <w:sz w:val="21"/>
                      <w:szCs w:val="21"/>
                      <w:highlight w:val="none"/>
                    </w:rPr>
                  </w:pPr>
                  <w:r>
                    <w:rPr>
                      <w:rFonts w:hint="eastAsia" w:cs="Times New Roman"/>
                      <w:b/>
                      <w:color w:val="auto"/>
                      <w:kern w:val="0"/>
                      <w:sz w:val="18"/>
                      <w:szCs w:val="18"/>
                      <w:highlight w:val="none"/>
                      <w:lang w:eastAsia="zh-CN"/>
                    </w:rPr>
                    <w:t>(</w:t>
                  </w:r>
                  <w:r>
                    <w:rPr>
                      <w:rFonts w:hint="default" w:ascii="Times New Roman" w:hAnsi="Times New Roman" w:cs="Times New Roman"/>
                      <w:b/>
                      <w:color w:val="auto"/>
                      <w:kern w:val="0"/>
                      <w:sz w:val="18"/>
                      <w:szCs w:val="18"/>
                      <w:highlight w:val="none"/>
                      <w:lang w:val="en-US" w:eastAsia="zh-CN"/>
                    </w:rPr>
                    <w:t>μg/m</w:t>
                  </w:r>
                  <w:r>
                    <w:rPr>
                      <w:rFonts w:hint="default" w:ascii="Times New Roman" w:hAnsi="Times New Roman" w:cs="Times New Roman"/>
                      <w:b/>
                      <w:color w:val="auto"/>
                      <w:kern w:val="0"/>
                      <w:sz w:val="18"/>
                      <w:szCs w:val="18"/>
                      <w:highlight w:val="none"/>
                      <w:vertAlign w:val="superscript"/>
                      <w:lang w:val="en-US" w:eastAsia="zh-CN"/>
                    </w:rPr>
                    <w:t>3</w:t>
                  </w:r>
                  <w:r>
                    <w:rPr>
                      <w:rFonts w:hint="eastAsia" w:cs="Times New Roman"/>
                      <w:b/>
                      <w:color w:val="auto"/>
                      <w:kern w:val="0"/>
                      <w:sz w:val="18"/>
                      <w:szCs w:val="18"/>
                      <w:highlight w:val="none"/>
                      <w:vertAlign w:val="superscript"/>
                      <w:lang w:val="en-US" w:eastAsia="zh-CN"/>
                    </w:rPr>
                    <w:t>)</w:t>
                  </w:r>
                </w:p>
              </w:tc>
              <w:tc>
                <w:tcPr>
                  <w:tcW w:w="930" w:type="dxa"/>
                  <w:noWrap w:val="0"/>
                  <w:vAlign w:val="center"/>
                </w:tcPr>
                <w:p w14:paraId="27539829">
                  <w:pPr>
                    <w:widowControl/>
                    <w:jc w:val="center"/>
                    <w:textAlignment w:val="center"/>
                    <w:rPr>
                      <w:rFonts w:hint="default" w:ascii="Times New Roman" w:hAnsi="Times New Roman" w:cs="Times New Roman"/>
                      <w:b/>
                      <w:color w:val="auto"/>
                      <w:kern w:val="0"/>
                      <w:sz w:val="21"/>
                      <w:szCs w:val="21"/>
                      <w:highlight w:val="none"/>
                      <w:lang w:eastAsia="zh-CN"/>
                    </w:rPr>
                  </w:pPr>
                  <w:r>
                    <w:rPr>
                      <w:rFonts w:hint="default" w:ascii="Times New Roman" w:hAnsi="Times New Roman" w:cs="Times New Roman"/>
                      <w:b/>
                      <w:color w:val="auto"/>
                      <w:kern w:val="0"/>
                      <w:sz w:val="21"/>
                      <w:szCs w:val="21"/>
                      <w:highlight w:val="none"/>
                      <w:lang w:val="en-US" w:eastAsia="zh-CN"/>
                    </w:rPr>
                    <w:t>NO</w:t>
                  </w:r>
                  <w:r>
                    <w:rPr>
                      <w:rFonts w:hint="default" w:ascii="Times New Roman" w:hAnsi="Times New Roman" w:cs="Times New Roman"/>
                      <w:b/>
                      <w:color w:val="auto"/>
                      <w:kern w:val="0"/>
                      <w:sz w:val="21"/>
                      <w:szCs w:val="21"/>
                      <w:highlight w:val="none"/>
                      <w:vertAlign w:val="subscript"/>
                      <w:lang w:val="en-US" w:eastAsia="zh-CN"/>
                    </w:rPr>
                    <w:t>2</w:t>
                  </w:r>
                  <w:r>
                    <w:rPr>
                      <w:rFonts w:hint="default" w:ascii="Times New Roman" w:hAnsi="Times New Roman" w:cs="Times New Roman"/>
                      <w:b/>
                      <w:color w:val="auto"/>
                      <w:kern w:val="0"/>
                      <w:sz w:val="21"/>
                      <w:szCs w:val="21"/>
                      <w:highlight w:val="none"/>
                      <w:lang w:val="en-US" w:eastAsia="zh-CN"/>
                    </w:rPr>
                    <w:t>平</w:t>
                  </w:r>
                  <w:r>
                    <w:rPr>
                      <w:rFonts w:hint="default" w:ascii="Times New Roman" w:hAnsi="Times New Roman" w:cs="Times New Roman"/>
                      <w:b/>
                      <w:color w:val="auto"/>
                      <w:kern w:val="0"/>
                      <w:sz w:val="21"/>
                      <w:szCs w:val="21"/>
                      <w:highlight w:val="none"/>
                    </w:rPr>
                    <w:t>均浓</w:t>
                  </w:r>
                  <w:r>
                    <w:rPr>
                      <w:rFonts w:hint="default" w:ascii="Times New Roman" w:hAnsi="Times New Roman" w:cs="Times New Roman"/>
                      <w:b/>
                      <w:color w:val="auto"/>
                      <w:kern w:val="0"/>
                      <w:sz w:val="21"/>
                      <w:szCs w:val="21"/>
                      <w:highlight w:val="none"/>
                      <w:lang w:eastAsia="zh-CN"/>
                    </w:rPr>
                    <w:t>度</w:t>
                  </w:r>
                </w:p>
                <w:p w14:paraId="52D7FBA0">
                  <w:pPr>
                    <w:pStyle w:val="11"/>
                    <w:jc w:val="center"/>
                    <w:rPr>
                      <w:rFonts w:hint="default" w:ascii="Times New Roman" w:hAnsi="Times New Roman" w:cs="Times New Roman"/>
                      <w:color w:val="auto"/>
                      <w:sz w:val="21"/>
                      <w:szCs w:val="21"/>
                      <w:highlight w:val="none"/>
                    </w:rPr>
                  </w:pPr>
                  <w:r>
                    <w:rPr>
                      <w:rFonts w:hint="eastAsia" w:cs="Times New Roman"/>
                      <w:b/>
                      <w:color w:val="auto"/>
                      <w:kern w:val="0"/>
                      <w:sz w:val="18"/>
                      <w:szCs w:val="18"/>
                      <w:highlight w:val="none"/>
                      <w:lang w:eastAsia="zh-CN"/>
                    </w:rPr>
                    <w:t>(</w:t>
                  </w:r>
                  <w:r>
                    <w:rPr>
                      <w:rFonts w:hint="default" w:ascii="Times New Roman" w:hAnsi="Times New Roman" w:cs="Times New Roman"/>
                      <w:b/>
                      <w:color w:val="auto"/>
                      <w:kern w:val="0"/>
                      <w:sz w:val="18"/>
                      <w:szCs w:val="18"/>
                      <w:highlight w:val="none"/>
                      <w:lang w:val="en-US" w:eastAsia="zh-CN"/>
                    </w:rPr>
                    <w:t>μg/m</w:t>
                  </w:r>
                  <w:r>
                    <w:rPr>
                      <w:rFonts w:hint="default" w:ascii="Times New Roman" w:hAnsi="Times New Roman" w:cs="Times New Roman"/>
                      <w:b/>
                      <w:color w:val="auto"/>
                      <w:kern w:val="0"/>
                      <w:sz w:val="18"/>
                      <w:szCs w:val="18"/>
                      <w:highlight w:val="none"/>
                      <w:vertAlign w:val="superscript"/>
                      <w:lang w:val="en-US" w:eastAsia="zh-CN"/>
                    </w:rPr>
                    <w:t>3</w:t>
                  </w:r>
                  <w:r>
                    <w:rPr>
                      <w:rFonts w:hint="eastAsia" w:cs="Times New Roman"/>
                      <w:b/>
                      <w:color w:val="auto"/>
                      <w:kern w:val="0"/>
                      <w:sz w:val="18"/>
                      <w:szCs w:val="18"/>
                      <w:highlight w:val="none"/>
                      <w:vertAlign w:val="superscript"/>
                      <w:lang w:val="en-US" w:eastAsia="zh-CN"/>
                    </w:rPr>
                    <w:t>)</w:t>
                  </w:r>
                </w:p>
              </w:tc>
              <w:tc>
                <w:tcPr>
                  <w:tcW w:w="960" w:type="dxa"/>
                  <w:noWrap w:val="0"/>
                  <w:vAlign w:val="center"/>
                </w:tcPr>
                <w:p w14:paraId="1A0D5ADE">
                  <w:pPr>
                    <w:widowControl/>
                    <w:jc w:val="center"/>
                    <w:textAlignment w:val="center"/>
                    <w:rPr>
                      <w:rFonts w:hint="default" w:ascii="Times New Roman" w:hAnsi="Times New Roman" w:cs="Times New Roman"/>
                      <w:b/>
                      <w:color w:val="auto"/>
                      <w:kern w:val="0"/>
                      <w:sz w:val="21"/>
                      <w:szCs w:val="21"/>
                      <w:highlight w:val="none"/>
                      <w:lang w:eastAsia="zh-CN"/>
                    </w:rPr>
                  </w:pPr>
                  <w:r>
                    <w:rPr>
                      <w:rFonts w:hint="default" w:ascii="Times New Roman" w:hAnsi="Times New Roman" w:cs="Times New Roman"/>
                      <w:b/>
                      <w:color w:val="auto"/>
                      <w:kern w:val="0"/>
                      <w:sz w:val="21"/>
                      <w:szCs w:val="21"/>
                      <w:highlight w:val="none"/>
                      <w:lang w:val="en-US" w:eastAsia="zh-CN"/>
                    </w:rPr>
                    <w:t>O</w:t>
                  </w:r>
                  <w:r>
                    <w:rPr>
                      <w:rFonts w:hint="default" w:ascii="Times New Roman" w:hAnsi="Times New Roman" w:cs="Times New Roman"/>
                      <w:b/>
                      <w:color w:val="auto"/>
                      <w:kern w:val="0"/>
                      <w:sz w:val="21"/>
                      <w:szCs w:val="21"/>
                      <w:highlight w:val="none"/>
                      <w:vertAlign w:val="subscript"/>
                      <w:lang w:val="en-US" w:eastAsia="zh-CN"/>
                    </w:rPr>
                    <w:t>3</w:t>
                  </w:r>
                  <w:r>
                    <w:rPr>
                      <w:rFonts w:hint="default" w:ascii="Times New Roman" w:hAnsi="Times New Roman" w:cs="Times New Roman"/>
                      <w:b/>
                      <w:color w:val="auto"/>
                      <w:kern w:val="0"/>
                      <w:sz w:val="21"/>
                      <w:szCs w:val="21"/>
                      <w:highlight w:val="none"/>
                      <w:vertAlign w:val="baseline"/>
                      <w:lang w:val="en-US" w:eastAsia="zh-CN"/>
                    </w:rPr>
                    <w:t>-8h90百分位</w:t>
                  </w:r>
                </w:p>
                <w:p w14:paraId="16B0E54C">
                  <w:pPr>
                    <w:pStyle w:val="11"/>
                    <w:jc w:val="center"/>
                    <w:rPr>
                      <w:rFonts w:hint="default" w:ascii="Times New Roman" w:hAnsi="Times New Roman" w:cs="Times New Roman"/>
                      <w:color w:val="auto"/>
                      <w:sz w:val="21"/>
                      <w:szCs w:val="21"/>
                      <w:highlight w:val="none"/>
                    </w:rPr>
                  </w:pPr>
                  <w:r>
                    <w:rPr>
                      <w:rFonts w:hint="eastAsia" w:cs="Times New Roman"/>
                      <w:b/>
                      <w:color w:val="auto"/>
                      <w:kern w:val="0"/>
                      <w:sz w:val="18"/>
                      <w:szCs w:val="18"/>
                      <w:highlight w:val="none"/>
                      <w:lang w:eastAsia="zh-CN"/>
                    </w:rPr>
                    <w:t>(</w:t>
                  </w:r>
                  <w:r>
                    <w:rPr>
                      <w:rFonts w:hint="default" w:ascii="Times New Roman" w:hAnsi="Times New Roman" w:cs="Times New Roman"/>
                      <w:b/>
                      <w:color w:val="auto"/>
                      <w:kern w:val="0"/>
                      <w:sz w:val="18"/>
                      <w:szCs w:val="18"/>
                      <w:highlight w:val="none"/>
                      <w:lang w:val="en-US" w:eastAsia="zh-CN"/>
                    </w:rPr>
                    <w:t>μg/m</w:t>
                  </w:r>
                  <w:r>
                    <w:rPr>
                      <w:rFonts w:hint="default" w:ascii="Times New Roman" w:hAnsi="Times New Roman" w:cs="Times New Roman"/>
                      <w:b/>
                      <w:color w:val="auto"/>
                      <w:kern w:val="0"/>
                      <w:sz w:val="18"/>
                      <w:szCs w:val="18"/>
                      <w:highlight w:val="none"/>
                      <w:vertAlign w:val="superscript"/>
                      <w:lang w:val="en-US" w:eastAsia="zh-CN"/>
                    </w:rPr>
                    <w:t>3</w:t>
                  </w:r>
                  <w:r>
                    <w:rPr>
                      <w:rFonts w:hint="eastAsia" w:cs="Times New Roman"/>
                      <w:b/>
                      <w:color w:val="auto"/>
                      <w:kern w:val="0"/>
                      <w:sz w:val="18"/>
                      <w:szCs w:val="18"/>
                      <w:highlight w:val="none"/>
                      <w:vertAlign w:val="superscript"/>
                      <w:lang w:val="en-US" w:eastAsia="zh-CN"/>
                    </w:rPr>
                    <w:t>)</w:t>
                  </w:r>
                </w:p>
              </w:tc>
              <w:tc>
                <w:tcPr>
                  <w:tcW w:w="972" w:type="dxa"/>
                  <w:noWrap w:val="0"/>
                  <w:vAlign w:val="center"/>
                </w:tcPr>
                <w:p w14:paraId="1B27C79B">
                  <w:pPr>
                    <w:widowControl/>
                    <w:jc w:val="center"/>
                    <w:textAlignment w:val="center"/>
                    <w:rPr>
                      <w:rFonts w:hint="default" w:ascii="Times New Roman" w:hAnsi="Times New Roman" w:cs="Times New Roman"/>
                      <w:b/>
                      <w:color w:val="auto"/>
                      <w:kern w:val="0"/>
                      <w:sz w:val="21"/>
                      <w:szCs w:val="21"/>
                      <w:highlight w:val="none"/>
                      <w:lang w:eastAsia="zh-CN"/>
                    </w:rPr>
                  </w:pPr>
                  <w:r>
                    <w:rPr>
                      <w:rFonts w:hint="default" w:ascii="Times New Roman" w:hAnsi="Times New Roman" w:cs="Times New Roman"/>
                      <w:b/>
                      <w:color w:val="auto"/>
                      <w:kern w:val="0"/>
                      <w:sz w:val="21"/>
                      <w:szCs w:val="21"/>
                      <w:highlight w:val="none"/>
                      <w:vertAlign w:val="baseline"/>
                      <w:lang w:val="en-US" w:eastAsia="zh-CN"/>
                    </w:rPr>
                    <w:t>CO-8h90百分位</w:t>
                  </w:r>
                </w:p>
                <w:p w14:paraId="119BF000">
                  <w:pPr>
                    <w:pStyle w:val="11"/>
                    <w:jc w:val="center"/>
                    <w:rPr>
                      <w:rFonts w:hint="default" w:ascii="Times New Roman" w:hAnsi="Times New Roman" w:cs="Times New Roman"/>
                      <w:color w:val="auto"/>
                      <w:sz w:val="21"/>
                      <w:szCs w:val="21"/>
                      <w:highlight w:val="none"/>
                    </w:rPr>
                  </w:pPr>
                  <w:r>
                    <w:rPr>
                      <w:rFonts w:hint="eastAsia" w:cs="Times New Roman"/>
                      <w:b/>
                      <w:color w:val="auto"/>
                      <w:kern w:val="0"/>
                      <w:sz w:val="18"/>
                      <w:szCs w:val="18"/>
                      <w:highlight w:val="none"/>
                      <w:lang w:eastAsia="zh-CN"/>
                    </w:rPr>
                    <w:t>(</w:t>
                  </w:r>
                  <w:r>
                    <w:rPr>
                      <w:rFonts w:hint="default" w:ascii="Times New Roman" w:hAnsi="Times New Roman" w:cs="Times New Roman"/>
                      <w:b/>
                      <w:color w:val="auto"/>
                      <w:kern w:val="0"/>
                      <w:sz w:val="18"/>
                      <w:szCs w:val="18"/>
                      <w:highlight w:val="none"/>
                      <w:lang w:val="en-US" w:eastAsia="zh-CN"/>
                    </w:rPr>
                    <w:t>mg/m</w:t>
                  </w:r>
                  <w:r>
                    <w:rPr>
                      <w:rFonts w:hint="default" w:ascii="Times New Roman" w:hAnsi="Times New Roman" w:cs="Times New Roman"/>
                      <w:b/>
                      <w:color w:val="auto"/>
                      <w:kern w:val="0"/>
                      <w:sz w:val="18"/>
                      <w:szCs w:val="18"/>
                      <w:highlight w:val="none"/>
                      <w:vertAlign w:val="superscript"/>
                      <w:lang w:val="en-US" w:eastAsia="zh-CN"/>
                    </w:rPr>
                    <w:t>3</w:t>
                  </w:r>
                  <w:r>
                    <w:rPr>
                      <w:rFonts w:hint="eastAsia" w:cs="Times New Roman"/>
                      <w:b/>
                      <w:color w:val="auto"/>
                      <w:kern w:val="0"/>
                      <w:sz w:val="18"/>
                      <w:szCs w:val="18"/>
                      <w:highlight w:val="none"/>
                      <w:vertAlign w:val="superscript"/>
                      <w:lang w:val="en-US" w:eastAsia="zh-CN"/>
                    </w:rPr>
                    <w:t>)</w:t>
                  </w:r>
                </w:p>
              </w:tc>
            </w:tr>
            <w:tr w14:paraId="01325B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36" w:hRule="atLeast"/>
                <w:jc w:val="center"/>
              </w:trPr>
              <w:tc>
                <w:tcPr>
                  <w:tcW w:w="327" w:type="dxa"/>
                  <w:noWrap w:val="0"/>
                  <w:vAlign w:val="center"/>
                </w:tcPr>
                <w:p w14:paraId="3093B569">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685" w:type="dxa"/>
                  <w:noWrap w:val="0"/>
                  <w:vAlign w:val="center"/>
                </w:tcPr>
                <w:p w14:paraId="714BE39A">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大英县</w:t>
                  </w:r>
                </w:p>
              </w:tc>
              <w:tc>
                <w:tcPr>
                  <w:tcW w:w="473" w:type="dxa"/>
                  <w:noWrap w:val="0"/>
                  <w:vAlign w:val="center"/>
                </w:tcPr>
                <w:p w14:paraId="389D1D7B">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2.68</w:t>
                  </w:r>
                </w:p>
              </w:tc>
              <w:tc>
                <w:tcPr>
                  <w:tcW w:w="728" w:type="dxa"/>
                  <w:noWrap w:val="0"/>
                  <w:vAlign w:val="center"/>
                </w:tcPr>
                <w:p w14:paraId="10C53825">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w:t>
                  </w:r>
                  <w:r>
                    <w:rPr>
                      <w:rFonts w:hint="eastAsia" w:cs="Times New Roman"/>
                      <w:color w:val="auto"/>
                      <w:sz w:val="21"/>
                      <w:szCs w:val="21"/>
                      <w:highlight w:val="none"/>
                      <w:lang w:val="en-US" w:eastAsia="zh-CN"/>
                    </w:rPr>
                    <w:t>6.4</w:t>
                  </w:r>
                  <w:r>
                    <w:rPr>
                      <w:rFonts w:hint="default" w:ascii="Times New Roman" w:hAnsi="Times New Roman" w:eastAsia="宋体" w:cs="Times New Roman"/>
                      <w:color w:val="auto"/>
                      <w:sz w:val="21"/>
                      <w:szCs w:val="21"/>
                      <w:highlight w:val="none"/>
                      <w:lang w:val="en-US" w:eastAsia="zh-CN"/>
                    </w:rPr>
                    <w:t>%</w:t>
                  </w:r>
                </w:p>
              </w:tc>
              <w:tc>
                <w:tcPr>
                  <w:tcW w:w="922" w:type="dxa"/>
                  <w:noWrap w:val="0"/>
                  <w:vAlign w:val="center"/>
                </w:tcPr>
                <w:p w14:paraId="07BBF349">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22.4</w:t>
                  </w:r>
                </w:p>
              </w:tc>
              <w:tc>
                <w:tcPr>
                  <w:tcW w:w="930" w:type="dxa"/>
                  <w:noWrap w:val="0"/>
                  <w:vAlign w:val="center"/>
                </w:tcPr>
                <w:p w14:paraId="13D2DF85">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34.3</w:t>
                  </w:r>
                </w:p>
              </w:tc>
              <w:tc>
                <w:tcPr>
                  <w:tcW w:w="870" w:type="dxa"/>
                  <w:noWrap w:val="0"/>
                  <w:vAlign w:val="center"/>
                </w:tcPr>
                <w:p w14:paraId="1AE6CAF2">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930" w:type="dxa"/>
                  <w:noWrap w:val="0"/>
                  <w:vAlign w:val="center"/>
                </w:tcPr>
                <w:p w14:paraId="338892B5">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 w:val="21"/>
                      <w:szCs w:val="21"/>
                      <w:highlight w:val="none"/>
                      <w:lang w:val="en-US" w:eastAsia="zh-CN"/>
                    </w:rPr>
                    <w:t>13.6</w:t>
                  </w:r>
                </w:p>
              </w:tc>
              <w:tc>
                <w:tcPr>
                  <w:tcW w:w="960" w:type="dxa"/>
                  <w:noWrap w:val="0"/>
                  <w:vAlign w:val="center"/>
                </w:tcPr>
                <w:p w14:paraId="1BF841A1">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140.0</w:t>
                  </w:r>
                </w:p>
              </w:tc>
              <w:tc>
                <w:tcPr>
                  <w:tcW w:w="972" w:type="dxa"/>
                  <w:noWrap w:val="0"/>
                  <w:vAlign w:val="center"/>
                </w:tcPr>
                <w:p w14:paraId="60545F61">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r>
            <w:tr w14:paraId="0AD2CE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5" w:hRule="atLeast"/>
                <w:jc w:val="center"/>
              </w:trPr>
              <w:tc>
                <w:tcPr>
                  <w:tcW w:w="327" w:type="dxa"/>
                  <w:noWrap w:val="0"/>
                  <w:vAlign w:val="center"/>
                </w:tcPr>
                <w:p w14:paraId="471E7517">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685" w:type="dxa"/>
                  <w:noWrap w:val="0"/>
                  <w:vAlign w:val="center"/>
                </w:tcPr>
                <w:p w14:paraId="589F1F94">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安居区</w:t>
                  </w:r>
                </w:p>
              </w:tc>
              <w:tc>
                <w:tcPr>
                  <w:tcW w:w="473" w:type="dxa"/>
                  <w:noWrap w:val="0"/>
                  <w:vAlign w:val="center"/>
                </w:tcPr>
                <w:p w14:paraId="0702FB4D">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2.86</w:t>
                  </w:r>
                </w:p>
              </w:tc>
              <w:tc>
                <w:tcPr>
                  <w:tcW w:w="728" w:type="dxa"/>
                  <w:noWrap w:val="0"/>
                  <w:vAlign w:val="center"/>
                </w:tcPr>
                <w:p w14:paraId="17D87EA0">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92.9</w:t>
                  </w:r>
                </w:p>
              </w:tc>
              <w:tc>
                <w:tcPr>
                  <w:tcW w:w="922" w:type="dxa"/>
                  <w:noWrap w:val="0"/>
                  <w:vAlign w:val="center"/>
                </w:tcPr>
                <w:p w14:paraId="401D411A">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27.3</w:t>
                  </w:r>
                </w:p>
              </w:tc>
              <w:tc>
                <w:tcPr>
                  <w:tcW w:w="930" w:type="dxa"/>
                  <w:noWrap w:val="0"/>
                  <w:vAlign w:val="center"/>
                </w:tcPr>
                <w:p w14:paraId="6476D39D">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41.1</w:t>
                  </w:r>
                </w:p>
              </w:tc>
              <w:tc>
                <w:tcPr>
                  <w:tcW w:w="870" w:type="dxa"/>
                  <w:noWrap w:val="0"/>
                  <w:vAlign w:val="center"/>
                </w:tcPr>
                <w:p w14:paraId="3CA23C72">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5.8</w:t>
                  </w:r>
                </w:p>
              </w:tc>
              <w:tc>
                <w:tcPr>
                  <w:tcW w:w="930" w:type="dxa"/>
                  <w:noWrap w:val="0"/>
                  <w:vAlign w:val="center"/>
                </w:tcPr>
                <w:p w14:paraId="0096DD44">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8.0</w:t>
                  </w:r>
                </w:p>
              </w:tc>
              <w:tc>
                <w:tcPr>
                  <w:tcW w:w="960" w:type="dxa"/>
                  <w:noWrap w:val="0"/>
                  <w:vAlign w:val="center"/>
                </w:tcPr>
                <w:p w14:paraId="0492BFDE">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148.0</w:t>
                  </w:r>
                </w:p>
              </w:tc>
              <w:tc>
                <w:tcPr>
                  <w:tcW w:w="972" w:type="dxa"/>
                  <w:noWrap w:val="0"/>
                  <w:vAlign w:val="center"/>
                </w:tcPr>
                <w:p w14:paraId="42D12234">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1.1</w:t>
                  </w:r>
                </w:p>
              </w:tc>
            </w:tr>
            <w:tr w14:paraId="60738E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5" w:hRule="atLeast"/>
                <w:jc w:val="center"/>
              </w:trPr>
              <w:tc>
                <w:tcPr>
                  <w:tcW w:w="327" w:type="dxa"/>
                  <w:noWrap w:val="0"/>
                  <w:vAlign w:val="center"/>
                </w:tcPr>
                <w:p w14:paraId="7EA39768">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w:t>
                  </w:r>
                </w:p>
              </w:tc>
              <w:tc>
                <w:tcPr>
                  <w:tcW w:w="685" w:type="dxa"/>
                  <w:noWrap w:val="0"/>
                  <w:vAlign w:val="center"/>
                </w:tcPr>
                <w:p w14:paraId="56F523BB">
                  <w:pPr>
                    <w:widowControl/>
                    <w:jc w:val="center"/>
                    <w:textAlignment w:val="center"/>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蓬溪县</w:t>
                  </w:r>
                </w:p>
              </w:tc>
              <w:tc>
                <w:tcPr>
                  <w:tcW w:w="473" w:type="dxa"/>
                  <w:noWrap w:val="0"/>
                  <w:vAlign w:val="center"/>
                </w:tcPr>
                <w:p w14:paraId="5C5D0B23">
                  <w:pPr>
                    <w:widowControl/>
                    <w:jc w:val="center"/>
                    <w:textAlignment w:val="center"/>
                    <w:rPr>
                      <w:rFonts w:hint="default" w:ascii="Times New Roman" w:hAnsi="Times New Roman"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2.88</w:t>
                  </w:r>
                </w:p>
              </w:tc>
              <w:tc>
                <w:tcPr>
                  <w:tcW w:w="728" w:type="dxa"/>
                  <w:noWrap w:val="0"/>
                  <w:vAlign w:val="center"/>
                </w:tcPr>
                <w:p w14:paraId="701E2CC7">
                  <w:pPr>
                    <w:widowControl/>
                    <w:jc w:val="center"/>
                    <w:textAlignment w:val="center"/>
                    <w:rPr>
                      <w:rFonts w:hint="default" w:ascii="Times New Roman" w:hAnsi="Times New Roman"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94.5</w:t>
                  </w:r>
                </w:p>
              </w:tc>
              <w:tc>
                <w:tcPr>
                  <w:tcW w:w="922" w:type="dxa"/>
                  <w:noWrap w:val="0"/>
                  <w:vAlign w:val="center"/>
                </w:tcPr>
                <w:p w14:paraId="008AE9A2">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30.9</w:t>
                  </w:r>
                </w:p>
              </w:tc>
              <w:tc>
                <w:tcPr>
                  <w:tcW w:w="930" w:type="dxa"/>
                  <w:noWrap w:val="0"/>
                  <w:vAlign w:val="center"/>
                </w:tcPr>
                <w:p w14:paraId="30E1ABB1">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44.6</w:t>
                  </w:r>
                </w:p>
              </w:tc>
              <w:tc>
                <w:tcPr>
                  <w:tcW w:w="870" w:type="dxa"/>
                  <w:noWrap w:val="0"/>
                  <w:vAlign w:val="center"/>
                </w:tcPr>
                <w:p w14:paraId="638E3BF0">
                  <w:pPr>
                    <w:widowControl/>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4.7</w:t>
                  </w:r>
                </w:p>
              </w:tc>
              <w:tc>
                <w:tcPr>
                  <w:tcW w:w="930" w:type="dxa"/>
                  <w:noWrap w:val="0"/>
                  <w:vAlign w:val="center"/>
                </w:tcPr>
                <w:p w14:paraId="4CD22A60">
                  <w:pPr>
                    <w:widowControl/>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7.8</w:t>
                  </w:r>
                </w:p>
              </w:tc>
              <w:tc>
                <w:tcPr>
                  <w:tcW w:w="960" w:type="dxa"/>
                  <w:noWrap w:val="0"/>
                  <w:vAlign w:val="center"/>
                </w:tcPr>
                <w:p w14:paraId="26450FB5">
                  <w:pPr>
                    <w:widowControl/>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134.0</w:t>
                  </w:r>
                </w:p>
              </w:tc>
              <w:tc>
                <w:tcPr>
                  <w:tcW w:w="972" w:type="dxa"/>
                  <w:noWrap w:val="0"/>
                  <w:vAlign w:val="center"/>
                </w:tcPr>
                <w:p w14:paraId="1B494787">
                  <w:pPr>
                    <w:widowControl/>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w:t>
                  </w:r>
                </w:p>
              </w:tc>
            </w:tr>
            <w:tr w14:paraId="1AE345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5" w:hRule="atLeast"/>
                <w:jc w:val="center"/>
              </w:trPr>
              <w:tc>
                <w:tcPr>
                  <w:tcW w:w="327" w:type="dxa"/>
                  <w:noWrap w:val="0"/>
                  <w:vAlign w:val="center"/>
                </w:tcPr>
                <w:p w14:paraId="0D33E69A">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685" w:type="dxa"/>
                  <w:noWrap w:val="0"/>
                  <w:vAlign w:val="center"/>
                </w:tcPr>
                <w:p w14:paraId="4A85F572">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遂宁高新区</w:t>
                  </w:r>
                </w:p>
              </w:tc>
              <w:tc>
                <w:tcPr>
                  <w:tcW w:w="473" w:type="dxa"/>
                  <w:noWrap w:val="0"/>
                  <w:vAlign w:val="center"/>
                </w:tcPr>
                <w:p w14:paraId="72F884CA">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2.90</w:t>
                  </w:r>
                </w:p>
              </w:tc>
              <w:tc>
                <w:tcPr>
                  <w:tcW w:w="728" w:type="dxa"/>
                  <w:noWrap w:val="0"/>
                  <w:vAlign w:val="center"/>
                </w:tcPr>
                <w:p w14:paraId="7E06BF17">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94.0</w:t>
                  </w:r>
                </w:p>
              </w:tc>
              <w:tc>
                <w:tcPr>
                  <w:tcW w:w="922" w:type="dxa"/>
                  <w:noWrap w:val="0"/>
                  <w:vAlign w:val="center"/>
                </w:tcPr>
                <w:p w14:paraId="2BD9BF2B">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21.6</w:t>
                  </w:r>
                </w:p>
              </w:tc>
              <w:tc>
                <w:tcPr>
                  <w:tcW w:w="930" w:type="dxa"/>
                  <w:noWrap w:val="0"/>
                  <w:vAlign w:val="center"/>
                </w:tcPr>
                <w:p w14:paraId="4E17A608">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34.6</w:t>
                  </w:r>
                </w:p>
              </w:tc>
              <w:tc>
                <w:tcPr>
                  <w:tcW w:w="870" w:type="dxa"/>
                  <w:noWrap w:val="0"/>
                  <w:vAlign w:val="center"/>
                </w:tcPr>
                <w:p w14:paraId="3DB8486E">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6.0</w:t>
                  </w:r>
                </w:p>
              </w:tc>
              <w:tc>
                <w:tcPr>
                  <w:tcW w:w="930" w:type="dxa"/>
                  <w:noWrap w:val="0"/>
                  <w:vAlign w:val="center"/>
                </w:tcPr>
                <w:p w14:paraId="3A90D9B0">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23.0</w:t>
                  </w:r>
                </w:p>
              </w:tc>
              <w:tc>
                <w:tcPr>
                  <w:tcW w:w="960" w:type="dxa"/>
                  <w:noWrap w:val="0"/>
                  <w:vAlign w:val="center"/>
                </w:tcPr>
                <w:p w14:paraId="37D2C651">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154.3</w:t>
                  </w:r>
                </w:p>
              </w:tc>
              <w:tc>
                <w:tcPr>
                  <w:tcW w:w="972" w:type="dxa"/>
                  <w:noWrap w:val="0"/>
                  <w:vAlign w:val="center"/>
                </w:tcPr>
                <w:p w14:paraId="141A3D45">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0.6</w:t>
                  </w:r>
                </w:p>
              </w:tc>
            </w:tr>
            <w:tr w14:paraId="5E3514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5" w:hRule="atLeast"/>
                <w:jc w:val="center"/>
              </w:trPr>
              <w:tc>
                <w:tcPr>
                  <w:tcW w:w="327" w:type="dxa"/>
                  <w:noWrap w:val="0"/>
                  <w:vAlign w:val="center"/>
                </w:tcPr>
                <w:p w14:paraId="2EDCA6F8">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685" w:type="dxa"/>
                  <w:noWrap w:val="0"/>
                  <w:vAlign w:val="center"/>
                </w:tcPr>
                <w:p w14:paraId="12084689">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射洪市</w:t>
                  </w:r>
                </w:p>
              </w:tc>
              <w:tc>
                <w:tcPr>
                  <w:tcW w:w="473" w:type="dxa"/>
                  <w:noWrap w:val="0"/>
                  <w:vAlign w:val="center"/>
                </w:tcPr>
                <w:p w14:paraId="45269F4D">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3.06</w:t>
                  </w:r>
                </w:p>
              </w:tc>
              <w:tc>
                <w:tcPr>
                  <w:tcW w:w="728" w:type="dxa"/>
                  <w:noWrap w:val="0"/>
                  <w:vAlign w:val="center"/>
                </w:tcPr>
                <w:p w14:paraId="2711CC2E">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94.3</w:t>
                  </w:r>
                </w:p>
              </w:tc>
              <w:tc>
                <w:tcPr>
                  <w:tcW w:w="922" w:type="dxa"/>
                  <w:noWrap w:val="0"/>
                  <w:vAlign w:val="center"/>
                </w:tcPr>
                <w:p w14:paraId="13F8EE9C">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30.2</w:t>
                  </w:r>
                </w:p>
              </w:tc>
              <w:tc>
                <w:tcPr>
                  <w:tcW w:w="930" w:type="dxa"/>
                  <w:noWrap w:val="0"/>
                  <w:vAlign w:val="center"/>
                </w:tcPr>
                <w:p w14:paraId="7F1A414A">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47.1</w:t>
                  </w:r>
                </w:p>
              </w:tc>
              <w:tc>
                <w:tcPr>
                  <w:tcW w:w="870" w:type="dxa"/>
                  <w:noWrap w:val="0"/>
                  <w:vAlign w:val="center"/>
                </w:tcPr>
                <w:p w14:paraId="0D57C829">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6.0</w:t>
                  </w:r>
                </w:p>
              </w:tc>
              <w:tc>
                <w:tcPr>
                  <w:tcW w:w="930" w:type="dxa"/>
                  <w:noWrap w:val="0"/>
                  <w:vAlign w:val="center"/>
                </w:tcPr>
                <w:p w14:paraId="6CB3BE2E">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14.3</w:t>
                  </w:r>
                </w:p>
              </w:tc>
              <w:tc>
                <w:tcPr>
                  <w:tcW w:w="960" w:type="dxa"/>
                  <w:noWrap w:val="0"/>
                  <w:vAlign w:val="center"/>
                </w:tcPr>
                <w:p w14:paraId="1DE8AFF7">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131.0</w:t>
                  </w:r>
                </w:p>
              </w:tc>
              <w:tc>
                <w:tcPr>
                  <w:tcW w:w="972" w:type="dxa"/>
                  <w:noWrap w:val="0"/>
                  <w:vAlign w:val="center"/>
                </w:tcPr>
                <w:p w14:paraId="69EA78AB">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w:t>
                  </w:r>
                </w:p>
              </w:tc>
            </w:tr>
            <w:tr w14:paraId="5B5868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5" w:hRule="atLeast"/>
                <w:jc w:val="center"/>
              </w:trPr>
              <w:tc>
                <w:tcPr>
                  <w:tcW w:w="327" w:type="dxa"/>
                  <w:noWrap w:val="0"/>
                  <w:vAlign w:val="center"/>
                </w:tcPr>
                <w:p w14:paraId="2918BD44">
                  <w:pPr>
                    <w:widowControl/>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w:t>
                  </w:r>
                </w:p>
              </w:tc>
              <w:tc>
                <w:tcPr>
                  <w:tcW w:w="685" w:type="dxa"/>
                  <w:noWrap w:val="0"/>
                  <w:vAlign w:val="center"/>
                </w:tcPr>
                <w:p w14:paraId="4068E453">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市河东新区</w:t>
                  </w:r>
                </w:p>
              </w:tc>
              <w:tc>
                <w:tcPr>
                  <w:tcW w:w="473" w:type="dxa"/>
                  <w:noWrap w:val="0"/>
                  <w:vAlign w:val="center"/>
                </w:tcPr>
                <w:p w14:paraId="4A9BED53">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3.17</w:t>
                  </w:r>
                </w:p>
              </w:tc>
              <w:tc>
                <w:tcPr>
                  <w:tcW w:w="728" w:type="dxa"/>
                  <w:noWrap w:val="0"/>
                  <w:vAlign w:val="center"/>
                </w:tcPr>
                <w:p w14:paraId="6C190847">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92.1</w:t>
                  </w:r>
                </w:p>
              </w:tc>
              <w:tc>
                <w:tcPr>
                  <w:tcW w:w="922" w:type="dxa"/>
                  <w:noWrap w:val="0"/>
                  <w:vAlign w:val="center"/>
                </w:tcPr>
                <w:p w14:paraId="358CB21B">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26.4</w:t>
                  </w:r>
                </w:p>
              </w:tc>
              <w:tc>
                <w:tcPr>
                  <w:tcW w:w="930" w:type="dxa"/>
                  <w:noWrap w:val="0"/>
                  <w:vAlign w:val="center"/>
                </w:tcPr>
                <w:p w14:paraId="34FA3C6E">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44.9</w:t>
                  </w:r>
                </w:p>
              </w:tc>
              <w:tc>
                <w:tcPr>
                  <w:tcW w:w="870" w:type="dxa"/>
                  <w:noWrap w:val="0"/>
                  <w:vAlign w:val="center"/>
                </w:tcPr>
                <w:p w14:paraId="505F83B6">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9.9</w:t>
                  </w:r>
                </w:p>
              </w:tc>
              <w:tc>
                <w:tcPr>
                  <w:tcW w:w="930" w:type="dxa"/>
                  <w:noWrap w:val="0"/>
                  <w:vAlign w:val="center"/>
                </w:tcPr>
                <w:p w14:paraId="4D2901E4">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17.9</w:t>
                  </w:r>
                </w:p>
              </w:tc>
              <w:tc>
                <w:tcPr>
                  <w:tcW w:w="960" w:type="dxa"/>
                  <w:noWrap w:val="0"/>
                  <w:vAlign w:val="center"/>
                </w:tcPr>
                <w:p w14:paraId="5FC33722">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149.9</w:t>
                  </w:r>
                </w:p>
              </w:tc>
              <w:tc>
                <w:tcPr>
                  <w:tcW w:w="972" w:type="dxa"/>
                  <w:noWrap w:val="0"/>
                  <w:vAlign w:val="center"/>
                </w:tcPr>
                <w:p w14:paraId="2FD4AC4C">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0.9</w:t>
                  </w:r>
                </w:p>
              </w:tc>
            </w:tr>
            <w:tr w14:paraId="0F4EA5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5" w:hRule="atLeast"/>
                <w:jc w:val="center"/>
              </w:trPr>
              <w:tc>
                <w:tcPr>
                  <w:tcW w:w="327" w:type="dxa"/>
                  <w:noWrap w:val="0"/>
                  <w:vAlign w:val="center"/>
                </w:tcPr>
                <w:p w14:paraId="498A029A">
                  <w:pPr>
                    <w:widowControl/>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685" w:type="dxa"/>
                  <w:noWrap w:val="0"/>
                  <w:vAlign w:val="center"/>
                </w:tcPr>
                <w:p w14:paraId="237C4862">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船山区</w:t>
                  </w:r>
                </w:p>
              </w:tc>
              <w:tc>
                <w:tcPr>
                  <w:tcW w:w="473" w:type="dxa"/>
                  <w:noWrap w:val="0"/>
                  <w:vAlign w:val="center"/>
                </w:tcPr>
                <w:p w14:paraId="086F64F0">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3.19</w:t>
                  </w:r>
                </w:p>
              </w:tc>
              <w:tc>
                <w:tcPr>
                  <w:tcW w:w="728" w:type="dxa"/>
                  <w:noWrap w:val="0"/>
                  <w:vAlign w:val="center"/>
                </w:tcPr>
                <w:p w14:paraId="3E313850">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91.5</w:t>
                  </w:r>
                </w:p>
              </w:tc>
              <w:tc>
                <w:tcPr>
                  <w:tcW w:w="922" w:type="dxa"/>
                  <w:noWrap w:val="0"/>
                  <w:vAlign w:val="center"/>
                </w:tcPr>
                <w:p w14:paraId="0F69AFC3">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29.1</w:t>
                  </w:r>
                </w:p>
              </w:tc>
              <w:tc>
                <w:tcPr>
                  <w:tcW w:w="930" w:type="dxa"/>
                  <w:noWrap w:val="0"/>
                  <w:vAlign w:val="center"/>
                </w:tcPr>
                <w:p w14:paraId="033A5561">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45.4</w:t>
                  </w:r>
                </w:p>
              </w:tc>
              <w:tc>
                <w:tcPr>
                  <w:tcW w:w="870" w:type="dxa"/>
                  <w:noWrap w:val="0"/>
                  <w:vAlign w:val="center"/>
                </w:tcPr>
                <w:p w14:paraId="4A853301">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7.4</w:t>
                  </w:r>
                </w:p>
              </w:tc>
              <w:tc>
                <w:tcPr>
                  <w:tcW w:w="930" w:type="dxa"/>
                  <w:noWrap w:val="0"/>
                  <w:vAlign w:val="center"/>
                </w:tcPr>
                <w:p w14:paraId="14D10864">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16.8</w:t>
                  </w:r>
                </w:p>
              </w:tc>
              <w:tc>
                <w:tcPr>
                  <w:tcW w:w="960" w:type="dxa"/>
                  <w:noWrap w:val="0"/>
                  <w:vAlign w:val="center"/>
                </w:tcPr>
                <w:p w14:paraId="318E306C">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151.0</w:t>
                  </w:r>
                </w:p>
              </w:tc>
              <w:tc>
                <w:tcPr>
                  <w:tcW w:w="972" w:type="dxa"/>
                  <w:noWrap w:val="0"/>
                  <w:vAlign w:val="center"/>
                </w:tcPr>
                <w:p w14:paraId="02A7D852">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0.9</w:t>
                  </w:r>
                </w:p>
              </w:tc>
            </w:tr>
            <w:tr w14:paraId="095079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5" w:hRule="atLeast"/>
                <w:jc w:val="center"/>
              </w:trPr>
              <w:tc>
                <w:tcPr>
                  <w:tcW w:w="327" w:type="dxa"/>
                  <w:noWrap w:val="0"/>
                  <w:vAlign w:val="center"/>
                </w:tcPr>
                <w:p w14:paraId="6578899E">
                  <w:pPr>
                    <w:widowControl/>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685" w:type="dxa"/>
                  <w:noWrap w:val="0"/>
                  <w:vAlign w:val="center"/>
                </w:tcPr>
                <w:p w14:paraId="7465C483">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遂宁经开区</w:t>
                  </w:r>
                </w:p>
              </w:tc>
              <w:tc>
                <w:tcPr>
                  <w:tcW w:w="473" w:type="dxa"/>
                  <w:noWrap w:val="0"/>
                  <w:vAlign w:val="center"/>
                </w:tcPr>
                <w:p w14:paraId="16D7FBF4">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3.21</w:t>
                  </w:r>
                </w:p>
              </w:tc>
              <w:tc>
                <w:tcPr>
                  <w:tcW w:w="728" w:type="dxa"/>
                  <w:noWrap w:val="0"/>
                  <w:vAlign w:val="center"/>
                </w:tcPr>
                <w:p w14:paraId="3271129C">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93.4</w:t>
                  </w:r>
                </w:p>
              </w:tc>
              <w:tc>
                <w:tcPr>
                  <w:tcW w:w="922" w:type="dxa"/>
                  <w:noWrap w:val="0"/>
                  <w:vAlign w:val="center"/>
                </w:tcPr>
                <w:p w14:paraId="625670A9">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26.6</w:t>
                  </w:r>
                </w:p>
              </w:tc>
              <w:tc>
                <w:tcPr>
                  <w:tcW w:w="930" w:type="dxa"/>
                  <w:noWrap w:val="0"/>
                  <w:vAlign w:val="center"/>
                </w:tcPr>
                <w:p w14:paraId="70078FD7">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46.7</w:t>
                  </w:r>
                </w:p>
              </w:tc>
              <w:tc>
                <w:tcPr>
                  <w:tcW w:w="870" w:type="dxa"/>
                  <w:noWrap w:val="0"/>
                  <w:vAlign w:val="center"/>
                </w:tcPr>
                <w:p w14:paraId="09749A57">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9.5</w:t>
                  </w:r>
                </w:p>
              </w:tc>
              <w:tc>
                <w:tcPr>
                  <w:tcW w:w="930" w:type="dxa"/>
                  <w:noWrap w:val="0"/>
                  <w:vAlign w:val="center"/>
                </w:tcPr>
                <w:p w14:paraId="6381DE84">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21.7</w:t>
                  </w:r>
                </w:p>
              </w:tc>
              <w:tc>
                <w:tcPr>
                  <w:tcW w:w="960" w:type="dxa"/>
                  <w:noWrap w:val="0"/>
                  <w:vAlign w:val="center"/>
                </w:tcPr>
                <w:p w14:paraId="763603A7">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140.5</w:t>
                  </w:r>
                </w:p>
              </w:tc>
              <w:tc>
                <w:tcPr>
                  <w:tcW w:w="972" w:type="dxa"/>
                  <w:noWrap w:val="0"/>
                  <w:vAlign w:val="center"/>
                </w:tcPr>
                <w:p w14:paraId="3F4F555A">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0.8</w:t>
                  </w:r>
                </w:p>
              </w:tc>
            </w:tr>
          </w:tbl>
          <w:p w14:paraId="15931D29">
            <w:pPr>
              <w:pStyle w:val="36"/>
              <w:ind w:firstLine="480"/>
              <w:rPr>
                <w:rFonts w:hint="default"/>
              </w:rPr>
            </w:pPr>
            <w:r>
              <w:rPr>
                <w:rFonts w:hint="default"/>
              </w:rPr>
              <w:t>根据遂宁市生态环境局发布的数据，2024年，遂宁全域环境空气质量符合《环境空气质量标准》（GB3095-2012）二级标准，项目区属于</w:t>
            </w:r>
            <w:r>
              <w:rPr>
                <w:rFonts w:hint="default"/>
                <w:b/>
                <w:bCs/>
              </w:rPr>
              <w:t>达标区</w:t>
            </w:r>
            <w:r>
              <w:rPr>
                <w:rFonts w:hint="default"/>
              </w:rPr>
              <w:t>。</w:t>
            </w:r>
          </w:p>
          <w:p w14:paraId="6ADB93B7">
            <w:pPr>
              <w:pStyle w:val="36"/>
              <w:ind w:firstLine="480"/>
              <w:rPr>
                <w:rFonts w:hint="eastAsia" w:eastAsia="宋体"/>
                <w:lang w:eastAsia="zh-CN"/>
              </w:rPr>
            </w:pPr>
            <w:r>
              <w:rPr>
                <w:rFonts w:hint="default"/>
              </w:rPr>
              <w:t>根据遂宁市生态环境保护委员会办公室2025年1月发布的数据，2024年，大英环境空气质量符合《环境空气质量标准》（GB3095-2012），项目区域环境空气质量属于</w:t>
            </w:r>
            <w:r>
              <w:rPr>
                <w:rFonts w:hint="default"/>
                <w:b/>
                <w:bCs/>
              </w:rPr>
              <w:t>达标区</w:t>
            </w:r>
            <w:r>
              <w:rPr>
                <w:rFonts w:hint="default"/>
              </w:rPr>
              <w:t>。根据补充调查数据，项目区域TSP满足《环境空气质量标准》（GB3095-2012）的二级限值要求。因此项目区域大气环境质量良好</w:t>
            </w:r>
            <w:r>
              <w:rPr>
                <w:rFonts w:hint="eastAsia"/>
                <w:lang w:eastAsia="zh-CN"/>
              </w:rPr>
              <w:t>。</w:t>
            </w:r>
          </w:p>
          <w:p w14:paraId="04BED689">
            <w:pPr>
              <w:pStyle w:val="4"/>
              <w:numPr>
                <w:ilvl w:val="1"/>
                <w:numId w:val="25"/>
              </w:numPr>
              <w:rPr>
                <w:bCs/>
              </w:rPr>
            </w:pPr>
            <w:r>
              <w:rPr>
                <w:rFonts w:hint="eastAsia"/>
                <w:bCs/>
              </w:rPr>
              <w:t>特征污染物补充监测</w:t>
            </w:r>
          </w:p>
          <w:p w14:paraId="2838ED69">
            <w:pPr>
              <w:pStyle w:val="36"/>
              <w:ind w:firstLine="480"/>
              <w:rPr>
                <w:rFonts w:hint="default"/>
              </w:rPr>
            </w:pPr>
            <w:r>
              <w:t>本项目特征污染物为TSP、氨、硫化氢。</w:t>
            </w:r>
          </w:p>
          <w:p w14:paraId="2AF88BFE">
            <w:pPr>
              <w:pStyle w:val="36"/>
              <w:ind w:firstLine="480"/>
              <w:rPr>
                <w:rFonts w:hint="default"/>
              </w:rPr>
            </w:pPr>
            <w:r>
              <w:t>为进一步了解本项目所在区域大气环境质量现状，本次评价委托四川全威安环科技有限公司于2025年09月09日至12日进行了现场监测和采样（川全威（环）检〔2025〕0094号），具体监测内容如下。</w:t>
            </w:r>
          </w:p>
          <w:p w14:paraId="1C1F679E">
            <w:pPr>
              <w:pStyle w:val="36"/>
              <w:ind w:firstLine="482"/>
              <w:rPr>
                <w:rFonts w:hint="default"/>
                <w:b/>
                <w:bCs/>
              </w:rPr>
            </w:pPr>
            <w:r>
              <w:rPr>
                <w:b/>
                <w:bCs/>
              </w:rPr>
              <w:t>①监测布点、监测频次</w:t>
            </w:r>
          </w:p>
          <w:p w14:paraId="7BD6D1CA">
            <w:pPr>
              <w:pStyle w:val="36"/>
              <w:ind w:firstLine="480"/>
              <w:rPr>
                <w:rFonts w:hint="default"/>
              </w:rPr>
            </w:pPr>
            <w:r>
              <w:t>监测项目、点位及监测频次见下表。</w:t>
            </w:r>
          </w:p>
          <w:p w14:paraId="7B3B37D4">
            <w:pPr>
              <w:pStyle w:val="47"/>
              <w:numPr>
                <w:ilvl w:val="0"/>
                <w:numId w:val="26"/>
              </w:numPr>
              <w:spacing w:before="156"/>
            </w:pPr>
            <w:r>
              <w:rPr>
                <w:rFonts w:hint="eastAsia"/>
              </w:rPr>
              <w:t>监测项目、点位及频次表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1856"/>
              <w:gridCol w:w="1706"/>
              <w:gridCol w:w="1160"/>
              <w:gridCol w:w="2440"/>
            </w:tblGrid>
            <w:tr w14:paraId="14567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tcBorders>
                    <w:tl2br w:val="nil"/>
                    <w:tr2bl w:val="nil"/>
                  </w:tcBorders>
                  <w:vAlign w:val="center"/>
                </w:tcPr>
                <w:p w14:paraId="29D9AD30">
                  <w:pPr>
                    <w:pStyle w:val="38"/>
                    <w:rPr>
                      <w:rFonts w:hint="default"/>
                      <w:b/>
                      <w:bCs/>
                    </w:rPr>
                  </w:pPr>
                  <w:r>
                    <w:rPr>
                      <w:rFonts w:hint="default"/>
                      <w:b/>
                      <w:bCs/>
                    </w:rPr>
                    <w:t>监测类别</w:t>
                  </w:r>
                </w:p>
              </w:tc>
              <w:tc>
                <w:tcPr>
                  <w:tcW w:w="1119" w:type="pct"/>
                  <w:tcBorders>
                    <w:tl2br w:val="nil"/>
                    <w:tr2bl w:val="nil"/>
                  </w:tcBorders>
                  <w:vAlign w:val="center"/>
                </w:tcPr>
                <w:p w14:paraId="1ED5D6F1">
                  <w:pPr>
                    <w:pStyle w:val="38"/>
                    <w:rPr>
                      <w:rFonts w:hint="default"/>
                      <w:b/>
                      <w:bCs/>
                    </w:rPr>
                  </w:pPr>
                  <w:r>
                    <w:rPr>
                      <w:rFonts w:hint="default"/>
                      <w:b/>
                      <w:bCs/>
                    </w:rPr>
                    <w:t>监测项目</w:t>
                  </w:r>
                </w:p>
              </w:tc>
              <w:tc>
                <w:tcPr>
                  <w:tcW w:w="1029" w:type="pct"/>
                  <w:tcBorders>
                    <w:tl2br w:val="nil"/>
                    <w:tr2bl w:val="nil"/>
                  </w:tcBorders>
                  <w:vAlign w:val="center"/>
                </w:tcPr>
                <w:p w14:paraId="0CA3A07D">
                  <w:pPr>
                    <w:pStyle w:val="38"/>
                    <w:rPr>
                      <w:rFonts w:hint="default"/>
                      <w:b/>
                      <w:bCs/>
                    </w:rPr>
                  </w:pPr>
                  <w:r>
                    <w:rPr>
                      <w:rFonts w:hint="default"/>
                      <w:b/>
                      <w:bCs/>
                    </w:rPr>
                    <w:t>监测点位</w:t>
                  </w:r>
                </w:p>
              </w:tc>
              <w:tc>
                <w:tcPr>
                  <w:tcW w:w="700" w:type="pct"/>
                  <w:tcBorders>
                    <w:tl2br w:val="nil"/>
                    <w:tr2bl w:val="nil"/>
                  </w:tcBorders>
                  <w:vAlign w:val="center"/>
                </w:tcPr>
                <w:p w14:paraId="7C509314">
                  <w:pPr>
                    <w:pStyle w:val="38"/>
                    <w:rPr>
                      <w:rFonts w:hint="default"/>
                      <w:b/>
                      <w:bCs/>
                    </w:rPr>
                  </w:pPr>
                  <w:r>
                    <w:rPr>
                      <w:rFonts w:hint="default"/>
                      <w:b/>
                      <w:bCs/>
                    </w:rPr>
                    <w:t>点位编号</w:t>
                  </w:r>
                </w:p>
              </w:tc>
              <w:tc>
                <w:tcPr>
                  <w:tcW w:w="1471" w:type="pct"/>
                  <w:tcBorders>
                    <w:tl2br w:val="nil"/>
                    <w:tr2bl w:val="nil"/>
                  </w:tcBorders>
                  <w:vAlign w:val="center"/>
                </w:tcPr>
                <w:p w14:paraId="3A2764E5">
                  <w:pPr>
                    <w:pStyle w:val="38"/>
                    <w:rPr>
                      <w:rFonts w:hint="default"/>
                      <w:b/>
                      <w:bCs/>
                    </w:rPr>
                  </w:pPr>
                  <w:r>
                    <w:rPr>
                      <w:rFonts w:hint="default"/>
                      <w:b/>
                      <w:bCs/>
                    </w:rPr>
                    <w:t>监测频次</w:t>
                  </w:r>
                </w:p>
              </w:tc>
            </w:tr>
            <w:tr w14:paraId="09AAE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679" w:type="pct"/>
                  <w:vMerge w:val="restart"/>
                  <w:tcBorders>
                    <w:tl2br w:val="nil"/>
                    <w:tr2bl w:val="nil"/>
                  </w:tcBorders>
                  <w:vAlign w:val="center"/>
                </w:tcPr>
                <w:p w14:paraId="5531A921">
                  <w:pPr>
                    <w:pStyle w:val="38"/>
                    <w:rPr>
                      <w:rFonts w:hint="default"/>
                    </w:rPr>
                  </w:pPr>
                  <w:r>
                    <w:rPr>
                      <w:rFonts w:hint="default"/>
                    </w:rPr>
                    <w:t>环境空气</w:t>
                  </w:r>
                </w:p>
              </w:tc>
              <w:tc>
                <w:tcPr>
                  <w:tcW w:w="1119" w:type="pct"/>
                  <w:tcBorders>
                    <w:tl2br w:val="nil"/>
                    <w:tr2bl w:val="nil"/>
                  </w:tcBorders>
                  <w:vAlign w:val="center"/>
                </w:tcPr>
                <w:p w14:paraId="6D323B77">
                  <w:pPr>
                    <w:pStyle w:val="38"/>
                    <w:rPr>
                      <w:rFonts w:hint="default"/>
                    </w:rPr>
                  </w:pPr>
                  <w:r>
                    <w:t>总悬浮颗粒物（TSP）</w:t>
                  </w:r>
                </w:p>
              </w:tc>
              <w:tc>
                <w:tcPr>
                  <w:tcW w:w="1029" w:type="pct"/>
                  <w:vMerge w:val="restart"/>
                  <w:tcBorders>
                    <w:tl2br w:val="nil"/>
                    <w:tr2bl w:val="nil"/>
                  </w:tcBorders>
                  <w:vAlign w:val="center"/>
                </w:tcPr>
                <w:p w14:paraId="3B203453">
                  <w:pPr>
                    <w:jc w:val="center"/>
                    <w:rPr>
                      <w:szCs w:val="21"/>
                    </w:rPr>
                  </w:pPr>
                  <w:r>
                    <w:rPr>
                      <w:rFonts w:hint="eastAsia"/>
                      <w:szCs w:val="21"/>
                    </w:rPr>
                    <w:t>金宝村村委会外5米处</w:t>
                  </w:r>
                </w:p>
              </w:tc>
              <w:tc>
                <w:tcPr>
                  <w:tcW w:w="700" w:type="pct"/>
                  <w:vMerge w:val="restart"/>
                  <w:tcBorders>
                    <w:tl2br w:val="nil"/>
                    <w:tr2bl w:val="nil"/>
                  </w:tcBorders>
                  <w:vAlign w:val="center"/>
                </w:tcPr>
                <w:p w14:paraId="5D8423CD">
                  <w:pPr>
                    <w:jc w:val="center"/>
                  </w:pPr>
                  <w:r>
                    <w:rPr>
                      <w:rFonts w:hint="eastAsia"/>
                    </w:rPr>
                    <w:t>1#</w:t>
                  </w:r>
                </w:p>
              </w:tc>
              <w:tc>
                <w:tcPr>
                  <w:tcW w:w="1471" w:type="pct"/>
                  <w:tcBorders>
                    <w:tl2br w:val="nil"/>
                    <w:tr2bl w:val="nil"/>
                  </w:tcBorders>
                  <w:vAlign w:val="center"/>
                </w:tcPr>
                <w:p w14:paraId="315E4C89">
                  <w:pPr>
                    <w:jc w:val="center"/>
                  </w:pPr>
                  <w:r>
                    <w:rPr>
                      <w:rFonts w:hint="eastAsia"/>
                      <w:szCs w:val="21"/>
                    </w:rPr>
                    <w:t>日</w:t>
                  </w:r>
                  <w:r>
                    <w:rPr>
                      <w:szCs w:val="21"/>
                    </w:rPr>
                    <w:t>均值，采样</w:t>
                  </w:r>
                  <w:r>
                    <w:rPr>
                      <w:rFonts w:hint="eastAsia"/>
                      <w:szCs w:val="21"/>
                    </w:rPr>
                    <w:t>3</w:t>
                  </w:r>
                  <w:r>
                    <w:rPr>
                      <w:szCs w:val="21"/>
                    </w:rPr>
                    <w:t>天</w:t>
                  </w:r>
                </w:p>
              </w:tc>
            </w:tr>
            <w:tr w14:paraId="163A3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679" w:type="pct"/>
                  <w:vMerge w:val="continue"/>
                  <w:tcBorders>
                    <w:tl2br w:val="nil"/>
                    <w:tr2bl w:val="nil"/>
                  </w:tcBorders>
                  <w:vAlign w:val="center"/>
                </w:tcPr>
                <w:p w14:paraId="7D7FF5FB">
                  <w:pPr>
                    <w:pStyle w:val="38"/>
                    <w:rPr>
                      <w:rFonts w:hint="default"/>
                    </w:rPr>
                  </w:pPr>
                </w:p>
              </w:tc>
              <w:tc>
                <w:tcPr>
                  <w:tcW w:w="1119" w:type="pct"/>
                  <w:tcBorders>
                    <w:tl2br w:val="nil"/>
                    <w:tr2bl w:val="nil"/>
                  </w:tcBorders>
                  <w:vAlign w:val="center"/>
                </w:tcPr>
                <w:p w14:paraId="310CA2E2">
                  <w:pPr>
                    <w:pStyle w:val="38"/>
                    <w:rPr>
                      <w:rFonts w:hint="default"/>
                    </w:rPr>
                  </w:pPr>
                  <w:r>
                    <w:t>氨、硫化氢</w:t>
                  </w:r>
                </w:p>
              </w:tc>
              <w:tc>
                <w:tcPr>
                  <w:tcW w:w="1029" w:type="pct"/>
                  <w:vMerge w:val="continue"/>
                  <w:tcBorders>
                    <w:tl2br w:val="nil"/>
                    <w:tr2bl w:val="nil"/>
                  </w:tcBorders>
                  <w:vAlign w:val="center"/>
                </w:tcPr>
                <w:p w14:paraId="4CD185F4">
                  <w:pPr>
                    <w:jc w:val="center"/>
                    <w:rPr>
                      <w:szCs w:val="21"/>
                    </w:rPr>
                  </w:pPr>
                </w:p>
              </w:tc>
              <w:tc>
                <w:tcPr>
                  <w:tcW w:w="700" w:type="pct"/>
                  <w:vMerge w:val="continue"/>
                  <w:tcBorders>
                    <w:tl2br w:val="nil"/>
                    <w:tr2bl w:val="nil"/>
                  </w:tcBorders>
                  <w:vAlign w:val="center"/>
                </w:tcPr>
                <w:p w14:paraId="1D0CB0EB">
                  <w:pPr>
                    <w:jc w:val="center"/>
                  </w:pPr>
                </w:p>
              </w:tc>
              <w:tc>
                <w:tcPr>
                  <w:tcW w:w="1471" w:type="pct"/>
                  <w:tcBorders>
                    <w:tl2br w:val="nil"/>
                    <w:tr2bl w:val="nil"/>
                  </w:tcBorders>
                  <w:vAlign w:val="center"/>
                </w:tcPr>
                <w:p w14:paraId="0AEBE198">
                  <w:pPr>
                    <w:jc w:val="center"/>
                  </w:pPr>
                  <w:r>
                    <w:rPr>
                      <w:rFonts w:hint="eastAsia"/>
                      <w:szCs w:val="21"/>
                    </w:rPr>
                    <w:t>小时</w:t>
                  </w:r>
                  <w:r>
                    <w:rPr>
                      <w:szCs w:val="21"/>
                    </w:rPr>
                    <w:t>均值，</w:t>
                  </w:r>
                  <w:r>
                    <w:rPr>
                      <w:rFonts w:hint="eastAsia"/>
                      <w:szCs w:val="21"/>
                    </w:rPr>
                    <w:t>每天采样4次</w:t>
                  </w:r>
                  <w:r>
                    <w:rPr>
                      <w:szCs w:val="21"/>
                    </w:rPr>
                    <w:t>采样</w:t>
                  </w:r>
                  <w:r>
                    <w:rPr>
                      <w:rFonts w:hint="eastAsia"/>
                      <w:szCs w:val="21"/>
                    </w:rPr>
                    <w:t>3</w:t>
                  </w:r>
                  <w:r>
                    <w:rPr>
                      <w:szCs w:val="21"/>
                    </w:rPr>
                    <w:t>天</w:t>
                  </w:r>
                </w:p>
              </w:tc>
            </w:tr>
          </w:tbl>
          <w:p w14:paraId="533DD069">
            <w:pPr>
              <w:pStyle w:val="36"/>
              <w:ind w:firstLine="482"/>
              <w:rPr>
                <w:rFonts w:hint="default"/>
                <w:b/>
                <w:bCs/>
              </w:rPr>
            </w:pPr>
            <w:r>
              <w:rPr>
                <w:b/>
                <w:bCs/>
              </w:rPr>
              <w:t>②监测方法</w:t>
            </w:r>
          </w:p>
          <w:p w14:paraId="05713C17">
            <w:pPr>
              <w:pStyle w:val="36"/>
              <w:ind w:firstLine="480"/>
              <w:rPr>
                <w:rFonts w:hint="default"/>
              </w:rPr>
            </w:pPr>
            <w:r>
              <w:t>监测项目的监测方法、使用仪器及检出限见下表。</w:t>
            </w:r>
          </w:p>
          <w:p w14:paraId="641B0011">
            <w:pPr>
              <w:pStyle w:val="47"/>
              <w:numPr>
                <w:ilvl w:val="0"/>
                <w:numId w:val="26"/>
              </w:numPr>
              <w:spacing w:before="156"/>
            </w:pPr>
            <w:r>
              <w:rPr>
                <w:rFonts w:hint="eastAsia"/>
              </w:rPr>
              <w:t>监测方法、方法来源、使用仪器及检出限表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1"/>
              <w:gridCol w:w="1046"/>
              <w:gridCol w:w="2046"/>
              <w:gridCol w:w="2833"/>
              <w:gridCol w:w="1363"/>
            </w:tblGrid>
            <w:tr w14:paraId="134DA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3" w:type="pct"/>
                  <w:tcBorders>
                    <w:tl2br w:val="nil"/>
                    <w:tr2bl w:val="nil"/>
                  </w:tcBorders>
                  <w:vAlign w:val="center"/>
                </w:tcPr>
                <w:p w14:paraId="7ADE717A">
                  <w:pPr>
                    <w:pStyle w:val="38"/>
                    <w:rPr>
                      <w:rFonts w:hint="default"/>
                      <w:b/>
                      <w:bCs/>
                    </w:rPr>
                  </w:pPr>
                  <w:r>
                    <w:rPr>
                      <w:rFonts w:hint="default"/>
                      <w:b/>
                      <w:bCs/>
                    </w:rPr>
                    <w:t>监测类别</w:t>
                  </w:r>
                </w:p>
              </w:tc>
              <w:tc>
                <w:tcPr>
                  <w:tcW w:w="631" w:type="pct"/>
                  <w:tcBorders>
                    <w:tl2br w:val="nil"/>
                    <w:tr2bl w:val="nil"/>
                  </w:tcBorders>
                  <w:vAlign w:val="center"/>
                </w:tcPr>
                <w:p w14:paraId="42B44557">
                  <w:pPr>
                    <w:pStyle w:val="38"/>
                    <w:rPr>
                      <w:rFonts w:hint="default"/>
                      <w:b/>
                      <w:bCs/>
                    </w:rPr>
                  </w:pPr>
                  <w:r>
                    <w:rPr>
                      <w:rFonts w:hint="default"/>
                      <w:b/>
                      <w:bCs/>
                    </w:rPr>
                    <w:t>监测项目</w:t>
                  </w:r>
                </w:p>
              </w:tc>
              <w:tc>
                <w:tcPr>
                  <w:tcW w:w="1233" w:type="pct"/>
                  <w:tcBorders>
                    <w:tl2br w:val="nil"/>
                    <w:tr2bl w:val="nil"/>
                  </w:tcBorders>
                  <w:vAlign w:val="center"/>
                </w:tcPr>
                <w:p w14:paraId="18D4E35D">
                  <w:pPr>
                    <w:pStyle w:val="38"/>
                    <w:rPr>
                      <w:rFonts w:hint="default"/>
                      <w:b/>
                      <w:bCs/>
                    </w:rPr>
                  </w:pPr>
                  <w:r>
                    <w:rPr>
                      <w:rFonts w:hint="default"/>
                      <w:b/>
                      <w:bCs/>
                    </w:rPr>
                    <w:t>监测方法</w:t>
                  </w:r>
                </w:p>
              </w:tc>
              <w:tc>
                <w:tcPr>
                  <w:tcW w:w="1708" w:type="pct"/>
                  <w:tcBorders>
                    <w:tl2br w:val="nil"/>
                    <w:tr2bl w:val="nil"/>
                  </w:tcBorders>
                  <w:vAlign w:val="center"/>
                </w:tcPr>
                <w:p w14:paraId="3A232893">
                  <w:pPr>
                    <w:pStyle w:val="38"/>
                    <w:rPr>
                      <w:rFonts w:hint="default"/>
                      <w:b/>
                      <w:bCs/>
                    </w:rPr>
                  </w:pPr>
                  <w:r>
                    <w:rPr>
                      <w:rFonts w:hint="default"/>
                      <w:b/>
                      <w:bCs/>
                    </w:rPr>
                    <w:t>使用仪器</w:t>
                  </w:r>
                </w:p>
              </w:tc>
              <w:tc>
                <w:tcPr>
                  <w:tcW w:w="822" w:type="pct"/>
                  <w:tcBorders>
                    <w:tl2br w:val="nil"/>
                    <w:tr2bl w:val="nil"/>
                  </w:tcBorders>
                  <w:vAlign w:val="center"/>
                </w:tcPr>
                <w:p w14:paraId="71D8554F">
                  <w:pPr>
                    <w:pStyle w:val="38"/>
                    <w:rPr>
                      <w:rFonts w:hint="default"/>
                      <w:b/>
                      <w:bCs/>
                    </w:rPr>
                  </w:pPr>
                  <w:r>
                    <w:rPr>
                      <w:rFonts w:hint="default"/>
                      <w:b/>
                      <w:bCs/>
                    </w:rPr>
                    <w:t>检出限</w:t>
                  </w:r>
                </w:p>
              </w:tc>
            </w:tr>
            <w:tr w14:paraId="07E14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01" w:type="dxa"/>
                  <w:vMerge w:val="restart"/>
                  <w:tcBorders>
                    <w:tl2br w:val="nil"/>
                    <w:tr2bl w:val="nil"/>
                  </w:tcBorders>
                  <w:vAlign w:val="center"/>
                </w:tcPr>
                <w:p w14:paraId="2489EDA4">
                  <w:pPr>
                    <w:jc w:val="center"/>
                    <w:rPr>
                      <w:szCs w:val="21"/>
                    </w:rPr>
                  </w:pPr>
                  <w:r>
                    <w:rPr>
                      <w:rFonts w:hint="eastAsia"/>
                      <w:szCs w:val="21"/>
                    </w:rPr>
                    <w:t>环境空气</w:t>
                  </w:r>
                </w:p>
              </w:tc>
              <w:tc>
                <w:tcPr>
                  <w:tcW w:w="1048" w:type="dxa"/>
                  <w:tcBorders>
                    <w:tl2br w:val="nil"/>
                    <w:tr2bl w:val="nil"/>
                  </w:tcBorders>
                  <w:vAlign w:val="center"/>
                </w:tcPr>
                <w:p w14:paraId="5A6E63E0">
                  <w:pPr>
                    <w:jc w:val="center"/>
                    <w:rPr>
                      <w:szCs w:val="21"/>
                    </w:rPr>
                  </w:pPr>
                  <w:r>
                    <w:rPr>
                      <w:rFonts w:hint="eastAsia"/>
                      <w:bCs/>
                      <w:szCs w:val="21"/>
                    </w:rPr>
                    <w:t>总悬浮</w:t>
                  </w:r>
                  <w:r>
                    <w:rPr>
                      <w:bCs/>
                      <w:szCs w:val="21"/>
                    </w:rPr>
                    <w:t>颗粒物</w:t>
                  </w:r>
                </w:p>
              </w:tc>
              <w:tc>
                <w:tcPr>
                  <w:tcW w:w="2047" w:type="dxa"/>
                  <w:tcBorders>
                    <w:tl2br w:val="nil"/>
                    <w:tr2bl w:val="nil"/>
                  </w:tcBorders>
                  <w:vAlign w:val="center"/>
                </w:tcPr>
                <w:p w14:paraId="57FA6429">
                  <w:pPr>
                    <w:jc w:val="center"/>
                    <w:rPr>
                      <w:szCs w:val="21"/>
                    </w:rPr>
                  </w:pPr>
                  <w:r>
                    <w:rPr>
                      <w:rFonts w:hint="eastAsia"/>
                      <w:szCs w:val="21"/>
                    </w:rPr>
                    <w:t>环境空气 总悬浮颗粒物的测定 重量法 HJ 1263-2022</w:t>
                  </w:r>
                </w:p>
              </w:tc>
              <w:tc>
                <w:tcPr>
                  <w:tcW w:w="2836" w:type="dxa"/>
                  <w:tcBorders>
                    <w:tl2br w:val="nil"/>
                    <w:tr2bl w:val="nil"/>
                  </w:tcBorders>
                  <w:vAlign w:val="center"/>
                </w:tcPr>
                <w:p w14:paraId="3BE1664A">
                  <w:pPr>
                    <w:jc w:val="center"/>
                    <w:rPr>
                      <w:szCs w:val="21"/>
                    </w:rPr>
                  </w:pPr>
                  <w:r>
                    <w:rPr>
                      <w:rFonts w:hint="eastAsia"/>
                      <w:szCs w:val="21"/>
                    </w:rPr>
                    <w:t>ZR-3920环境空气颗粒物综合采样器SCQW-A095；DYM3型空盒气压表</w:t>
                  </w:r>
                  <w:r>
                    <w:rPr>
                      <w:szCs w:val="21"/>
                    </w:rPr>
                    <w:t>SCQW-A0</w:t>
                  </w:r>
                  <w:r>
                    <w:rPr>
                      <w:rFonts w:hint="eastAsia"/>
                      <w:szCs w:val="21"/>
                    </w:rPr>
                    <w:t>67；16026携式风速风向仪SCQW-A173；Quintix35-1CN型电子天平SCQW-B020</w:t>
                  </w:r>
                </w:p>
              </w:tc>
              <w:tc>
                <w:tcPr>
                  <w:tcW w:w="1365" w:type="dxa"/>
                  <w:tcBorders>
                    <w:tl2br w:val="nil"/>
                    <w:tr2bl w:val="nil"/>
                  </w:tcBorders>
                  <w:vAlign w:val="center"/>
                </w:tcPr>
                <w:p w14:paraId="511E0637">
                  <w:pPr>
                    <w:jc w:val="center"/>
                    <w:rPr>
                      <w:szCs w:val="21"/>
                    </w:rPr>
                  </w:pPr>
                  <w:r>
                    <w:rPr>
                      <w:rFonts w:hint="eastAsia"/>
                      <w:szCs w:val="21"/>
                    </w:rPr>
                    <w:t>0.07</w:t>
                  </w:r>
                  <w:r>
                    <w:rPr>
                      <w:szCs w:val="21"/>
                    </w:rPr>
                    <w:t>mg/m</w:t>
                  </w:r>
                  <w:r>
                    <w:rPr>
                      <w:szCs w:val="21"/>
                      <w:vertAlign w:val="superscript"/>
                    </w:rPr>
                    <w:t>3</w:t>
                  </w:r>
                </w:p>
              </w:tc>
            </w:tr>
            <w:tr w14:paraId="3A6ED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01" w:type="dxa"/>
                  <w:vMerge w:val="continue"/>
                  <w:tcBorders>
                    <w:tl2br w:val="nil"/>
                    <w:tr2bl w:val="nil"/>
                  </w:tcBorders>
                  <w:vAlign w:val="center"/>
                </w:tcPr>
                <w:p w14:paraId="67F87E31">
                  <w:pPr>
                    <w:jc w:val="center"/>
                    <w:rPr>
                      <w:szCs w:val="21"/>
                    </w:rPr>
                  </w:pPr>
                </w:p>
              </w:tc>
              <w:tc>
                <w:tcPr>
                  <w:tcW w:w="1048" w:type="dxa"/>
                  <w:tcBorders>
                    <w:tl2br w:val="nil"/>
                    <w:tr2bl w:val="nil"/>
                  </w:tcBorders>
                  <w:vAlign w:val="center"/>
                </w:tcPr>
                <w:p w14:paraId="430E117D">
                  <w:pPr>
                    <w:jc w:val="center"/>
                    <w:rPr>
                      <w:bCs/>
                      <w:szCs w:val="21"/>
                    </w:rPr>
                  </w:pPr>
                  <w:r>
                    <w:rPr>
                      <w:rFonts w:hint="eastAsia"/>
                      <w:bCs/>
                      <w:szCs w:val="21"/>
                    </w:rPr>
                    <w:t>氨</w:t>
                  </w:r>
                </w:p>
              </w:tc>
              <w:tc>
                <w:tcPr>
                  <w:tcW w:w="2047" w:type="dxa"/>
                  <w:tcBorders>
                    <w:tl2br w:val="nil"/>
                    <w:tr2bl w:val="nil"/>
                  </w:tcBorders>
                  <w:vAlign w:val="center"/>
                </w:tcPr>
                <w:p w14:paraId="0DC1D3A3">
                  <w:pPr>
                    <w:jc w:val="center"/>
                    <w:rPr>
                      <w:szCs w:val="21"/>
                    </w:rPr>
                  </w:pPr>
                  <w:r>
                    <w:rPr>
                      <w:rFonts w:hint="eastAsia"/>
                      <w:szCs w:val="21"/>
                    </w:rPr>
                    <w:t xml:space="preserve">环境空气和废气 氨的测定 纳氏试剂分光光度法 </w:t>
                  </w:r>
                </w:p>
                <w:p w14:paraId="5FE0C4EB">
                  <w:pPr>
                    <w:jc w:val="center"/>
                    <w:rPr>
                      <w:szCs w:val="21"/>
                    </w:rPr>
                  </w:pPr>
                  <w:r>
                    <w:rPr>
                      <w:rFonts w:hint="eastAsia"/>
                      <w:szCs w:val="21"/>
                    </w:rPr>
                    <w:t>HJ 533-2009</w:t>
                  </w:r>
                </w:p>
              </w:tc>
              <w:tc>
                <w:tcPr>
                  <w:tcW w:w="2836" w:type="dxa"/>
                  <w:tcBorders>
                    <w:tl2br w:val="nil"/>
                    <w:tr2bl w:val="nil"/>
                  </w:tcBorders>
                  <w:vAlign w:val="center"/>
                </w:tcPr>
                <w:p w14:paraId="4CEF47C2">
                  <w:pPr>
                    <w:jc w:val="center"/>
                    <w:rPr>
                      <w:szCs w:val="21"/>
                    </w:rPr>
                  </w:pPr>
                  <w:r>
                    <w:rPr>
                      <w:rFonts w:hint="eastAsia"/>
                      <w:szCs w:val="21"/>
                    </w:rPr>
                    <w:t>ZR-3920环境空气颗粒物综合采样器SCQW-A095；DYM3型空盒气压表</w:t>
                  </w:r>
                  <w:r>
                    <w:rPr>
                      <w:szCs w:val="21"/>
                    </w:rPr>
                    <w:t>SCQW-A0</w:t>
                  </w:r>
                  <w:r>
                    <w:rPr>
                      <w:rFonts w:hint="eastAsia"/>
                      <w:szCs w:val="21"/>
                    </w:rPr>
                    <w:t>67；16026携式风速风向仪SCQW-A173；</w:t>
                  </w:r>
                  <w:r>
                    <w:rPr>
                      <w:szCs w:val="21"/>
                    </w:rPr>
                    <w:t>UV-1800PC型紫外可见分光光度计SCQW-B013</w:t>
                  </w:r>
                </w:p>
              </w:tc>
              <w:tc>
                <w:tcPr>
                  <w:tcW w:w="1365" w:type="dxa"/>
                  <w:tcBorders>
                    <w:tl2br w:val="nil"/>
                    <w:tr2bl w:val="nil"/>
                  </w:tcBorders>
                  <w:vAlign w:val="center"/>
                </w:tcPr>
                <w:p w14:paraId="12A0B5E5">
                  <w:pPr>
                    <w:jc w:val="center"/>
                    <w:rPr>
                      <w:szCs w:val="21"/>
                    </w:rPr>
                  </w:pPr>
                  <w:r>
                    <w:rPr>
                      <w:rFonts w:hint="eastAsia"/>
                      <w:szCs w:val="21"/>
                    </w:rPr>
                    <w:t>0.01</w:t>
                  </w:r>
                  <w:r>
                    <w:rPr>
                      <w:szCs w:val="21"/>
                    </w:rPr>
                    <w:t>mg/m</w:t>
                  </w:r>
                  <w:r>
                    <w:rPr>
                      <w:szCs w:val="21"/>
                      <w:vertAlign w:val="superscript"/>
                    </w:rPr>
                    <w:t>3</w:t>
                  </w:r>
                </w:p>
              </w:tc>
            </w:tr>
            <w:tr w14:paraId="09076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01" w:type="dxa"/>
                  <w:vMerge w:val="continue"/>
                  <w:tcBorders>
                    <w:tl2br w:val="nil"/>
                    <w:tr2bl w:val="nil"/>
                  </w:tcBorders>
                  <w:vAlign w:val="center"/>
                </w:tcPr>
                <w:p w14:paraId="48906C8C">
                  <w:pPr>
                    <w:jc w:val="center"/>
                    <w:rPr>
                      <w:szCs w:val="21"/>
                    </w:rPr>
                  </w:pPr>
                </w:p>
              </w:tc>
              <w:tc>
                <w:tcPr>
                  <w:tcW w:w="1048" w:type="dxa"/>
                  <w:tcBorders>
                    <w:tl2br w:val="nil"/>
                    <w:tr2bl w:val="nil"/>
                  </w:tcBorders>
                  <w:vAlign w:val="center"/>
                </w:tcPr>
                <w:p w14:paraId="67A12454">
                  <w:pPr>
                    <w:jc w:val="center"/>
                    <w:rPr>
                      <w:bCs/>
                      <w:szCs w:val="21"/>
                    </w:rPr>
                  </w:pPr>
                  <w:r>
                    <w:rPr>
                      <w:rFonts w:hint="eastAsia"/>
                      <w:bCs/>
                      <w:szCs w:val="21"/>
                    </w:rPr>
                    <w:t>※硫化氢</w:t>
                  </w:r>
                </w:p>
              </w:tc>
              <w:tc>
                <w:tcPr>
                  <w:tcW w:w="2047" w:type="dxa"/>
                  <w:tcBorders>
                    <w:tl2br w:val="nil"/>
                    <w:tr2bl w:val="nil"/>
                  </w:tcBorders>
                  <w:vAlign w:val="center"/>
                </w:tcPr>
                <w:p w14:paraId="2BFB92D1">
                  <w:pPr>
                    <w:jc w:val="center"/>
                    <w:rPr>
                      <w:szCs w:val="21"/>
                    </w:rPr>
                  </w:pPr>
                  <w:r>
                    <w:rPr>
                      <w:rFonts w:hint="eastAsia"/>
                      <w:szCs w:val="21"/>
                    </w:rPr>
                    <w:t>亚甲基蓝分光光度法《空气和废气监测分析方法》(第四版增补版) 国家环境保护总局 (2003年)第三篇第一章十一（二）（B）</w:t>
                  </w:r>
                </w:p>
              </w:tc>
              <w:tc>
                <w:tcPr>
                  <w:tcW w:w="2836" w:type="dxa"/>
                  <w:tcBorders>
                    <w:tl2br w:val="nil"/>
                    <w:tr2bl w:val="nil"/>
                  </w:tcBorders>
                  <w:vAlign w:val="center"/>
                </w:tcPr>
                <w:p w14:paraId="6D3C2FC5">
                  <w:pPr>
                    <w:jc w:val="center"/>
                    <w:rPr>
                      <w:szCs w:val="21"/>
                    </w:rPr>
                  </w:pPr>
                  <w:r>
                    <w:rPr>
                      <w:rFonts w:hint="eastAsia"/>
                      <w:szCs w:val="21"/>
                    </w:rPr>
                    <w:t>ZR-3920环境空气颗粒物综合采样器SCQW-A095；DYM3型空盒气压表</w:t>
                  </w:r>
                  <w:r>
                    <w:rPr>
                      <w:szCs w:val="21"/>
                    </w:rPr>
                    <w:t>SCQW-A0</w:t>
                  </w:r>
                  <w:r>
                    <w:rPr>
                      <w:rFonts w:hint="eastAsia"/>
                      <w:szCs w:val="21"/>
                    </w:rPr>
                    <w:t>67；16026携式风速风向仪SCQW-A173；SP-752 紫外可见分光光度计H231</w:t>
                  </w:r>
                </w:p>
              </w:tc>
              <w:tc>
                <w:tcPr>
                  <w:tcW w:w="1365" w:type="dxa"/>
                  <w:tcBorders>
                    <w:tl2br w:val="nil"/>
                    <w:tr2bl w:val="nil"/>
                  </w:tcBorders>
                  <w:vAlign w:val="center"/>
                </w:tcPr>
                <w:p w14:paraId="39017C39">
                  <w:pPr>
                    <w:jc w:val="center"/>
                    <w:rPr>
                      <w:szCs w:val="21"/>
                    </w:rPr>
                  </w:pPr>
                  <w:r>
                    <w:rPr>
                      <w:rFonts w:hint="eastAsia"/>
                      <w:szCs w:val="21"/>
                    </w:rPr>
                    <w:t>0.001</w:t>
                  </w:r>
                  <w:r>
                    <w:rPr>
                      <w:szCs w:val="21"/>
                    </w:rPr>
                    <w:t>mg/m</w:t>
                  </w:r>
                  <w:r>
                    <w:rPr>
                      <w:szCs w:val="21"/>
                      <w:vertAlign w:val="superscript"/>
                    </w:rPr>
                    <w:t>3</w:t>
                  </w:r>
                </w:p>
              </w:tc>
            </w:tr>
          </w:tbl>
          <w:p w14:paraId="7B1417F2">
            <w:pPr>
              <w:pStyle w:val="36"/>
              <w:ind w:firstLine="482"/>
              <w:rPr>
                <w:rFonts w:hint="default"/>
                <w:b/>
                <w:bCs/>
              </w:rPr>
            </w:pPr>
            <w:r>
              <w:rPr>
                <w:b/>
                <w:bCs/>
              </w:rPr>
              <w:t>③监测结果</w:t>
            </w:r>
          </w:p>
          <w:p w14:paraId="4CE795FA">
            <w:pPr>
              <w:pStyle w:val="36"/>
              <w:ind w:firstLine="480"/>
              <w:rPr>
                <w:rFonts w:hint="default"/>
              </w:rPr>
            </w:pPr>
            <w:r>
              <w:t>监测结果如下表。</w:t>
            </w:r>
          </w:p>
          <w:p w14:paraId="6B71636C">
            <w:pPr>
              <w:pStyle w:val="47"/>
              <w:numPr>
                <w:ilvl w:val="0"/>
                <w:numId w:val="26"/>
              </w:numPr>
              <w:spacing w:before="156"/>
            </w:pPr>
            <w:r>
              <w:rPr>
                <w:rFonts w:hint="eastAsia"/>
              </w:rPr>
              <w:t>监测结果</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115"/>
              <w:gridCol w:w="1244"/>
              <w:gridCol w:w="1049"/>
              <w:gridCol w:w="1379"/>
              <w:gridCol w:w="1182"/>
              <w:gridCol w:w="746"/>
              <w:gridCol w:w="711"/>
            </w:tblGrid>
            <w:tr w14:paraId="24F94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dxa"/>
                  <w:tcBorders>
                    <w:tl2br w:val="nil"/>
                    <w:tr2bl w:val="nil"/>
                  </w:tcBorders>
                  <w:vAlign w:val="center"/>
                </w:tcPr>
                <w:p w14:paraId="78000AA3">
                  <w:pPr>
                    <w:pStyle w:val="38"/>
                    <w:rPr>
                      <w:rFonts w:hint="default"/>
                      <w:b/>
                      <w:bCs/>
                    </w:rPr>
                  </w:pPr>
                  <w:r>
                    <w:rPr>
                      <w:b/>
                      <w:bCs/>
                    </w:rPr>
                    <w:t>监测日期</w:t>
                  </w:r>
                </w:p>
              </w:tc>
              <w:tc>
                <w:tcPr>
                  <w:tcW w:w="1115" w:type="dxa"/>
                  <w:tcBorders>
                    <w:tl2br w:val="nil"/>
                    <w:tr2bl w:val="nil"/>
                  </w:tcBorders>
                  <w:vAlign w:val="center"/>
                </w:tcPr>
                <w:p w14:paraId="34A4F857">
                  <w:pPr>
                    <w:pStyle w:val="38"/>
                    <w:rPr>
                      <w:rFonts w:hint="default"/>
                      <w:b/>
                      <w:bCs/>
                    </w:rPr>
                  </w:pPr>
                  <w:r>
                    <w:rPr>
                      <w:b/>
                      <w:bCs/>
                    </w:rPr>
                    <w:t>监测点位</w:t>
                  </w:r>
                </w:p>
              </w:tc>
              <w:tc>
                <w:tcPr>
                  <w:tcW w:w="1244" w:type="dxa"/>
                  <w:tcBorders>
                    <w:tl2br w:val="nil"/>
                    <w:tr2bl w:val="nil"/>
                  </w:tcBorders>
                  <w:vAlign w:val="center"/>
                </w:tcPr>
                <w:p w14:paraId="37D7F573">
                  <w:pPr>
                    <w:pStyle w:val="38"/>
                    <w:rPr>
                      <w:rFonts w:hint="default"/>
                      <w:b/>
                      <w:bCs/>
                    </w:rPr>
                  </w:pPr>
                  <w:r>
                    <w:rPr>
                      <w:b/>
                      <w:bCs/>
                    </w:rPr>
                    <w:t>污染物</w:t>
                  </w:r>
                </w:p>
              </w:tc>
              <w:tc>
                <w:tcPr>
                  <w:tcW w:w="1049" w:type="dxa"/>
                  <w:tcBorders>
                    <w:tl2br w:val="nil"/>
                    <w:tr2bl w:val="nil"/>
                  </w:tcBorders>
                  <w:vAlign w:val="center"/>
                </w:tcPr>
                <w:p w14:paraId="72F0206E">
                  <w:pPr>
                    <w:pStyle w:val="38"/>
                    <w:rPr>
                      <w:rFonts w:hint="default"/>
                      <w:b/>
                      <w:bCs/>
                    </w:rPr>
                  </w:pPr>
                  <w:r>
                    <w:rPr>
                      <w:b/>
                      <w:bCs/>
                    </w:rPr>
                    <w:t>评价标准</w:t>
                  </w:r>
                  <w:r>
                    <w:rPr>
                      <w:rFonts w:hint="default"/>
                      <w:b/>
                      <w:bCs/>
                    </w:rPr>
                    <w:t>μg/m</w:t>
                  </w:r>
                  <w:r>
                    <w:rPr>
                      <w:rFonts w:hint="default"/>
                      <w:b/>
                      <w:bCs/>
                      <w:vertAlign w:val="superscript"/>
                    </w:rPr>
                    <w:t>3</w:t>
                  </w:r>
                </w:p>
              </w:tc>
              <w:tc>
                <w:tcPr>
                  <w:tcW w:w="1379" w:type="dxa"/>
                  <w:tcBorders>
                    <w:tl2br w:val="nil"/>
                    <w:tr2bl w:val="nil"/>
                  </w:tcBorders>
                  <w:vAlign w:val="center"/>
                </w:tcPr>
                <w:p w14:paraId="01190C22">
                  <w:pPr>
                    <w:pStyle w:val="38"/>
                    <w:rPr>
                      <w:rFonts w:hint="default"/>
                      <w:b/>
                      <w:bCs/>
                    </w:rPr>
                  </w:pPr>
                  <w:r>
                    <w:rPr>
                      <w:b/>
                      <w:bCs/>
                    </w:rPr>
                    <w:t>浓度范围</w:t>
                  </w:r>
                  <w:r>
                    <w:rPr>
                      <w:rFonts w:hint="default"/>
                      <w:b/>
                      <w:bCs/>
                    </w:rPr>
                    <w:t>μg/m</w:t>
                  </w:r>
                  <w:r>
                    <w:rPr>
                      <w:rFonts w:hint="default"/>
                      <w:b/>
                      <w:bCs/>
                      <w:vertAlign w:val="superscript"/>
                    </w:rPr>
                    <w:t>3</w:t>
                  </w:r>
                </w:p>
              </w:tc>
              <w:tc>
                <w:tcPr>
                  <w:tcW w:w="1182" w:type="dxa"/>
                  <w:tcBorders>
                    <w:tl2br w:val="nil"/>
                    <w:tr2bl w:val="nil"/>
                  </w:tcBorders>
                  <w:vAlign w:val="center"/>
                </w:tcPr>
                <w:p w14:paraId="38F324AE">
                  <w:pPr>
                    <w:pStyle w:val="38"/>
                    <w:rPr>
                      <w:rFonts w:hint="default"/>
                      <w:b/>
                      <w:bCs/>
                    </w:rPr>
                  </w:pPr>
                  <w:r>
                    <w:rPr>
                      <w:b/>
                      <w:bCs/>
                    </w:rPr>
                    <w:t>最大浓度占标率%</w:t>
                  </w:r>
                </w:p>
              </w:tc>
              <w:tc>
                <w:tcPr>
                  <w:tcW w:w="746" w:type="dxa"/>
                  <w:tcBorders>
                    <w:tl2br w:val="nil"/>
                    <w:tr2bl w:val="nil"/>
                  </w:tcBorders>
                  <w:vAlign w:val="center"/>
                </w:tcPr>
                <w:p w14:paraId="62D3071E">
                  <w:pPr>
                    <w:pStyle w:val="38"/>
                    <w:rPr>
                      <w:rFonts w:hint="default"/>
                      <w:b/>
                      <w:bCs/>
                    </w:rPr>
                  </w:pPr>
                  <w:r>
                    <w:rPr>
                      <w:b/>
                      <w:bCs/>
                    </w:rPr>
                    <w:t>超标率%</w:t>
                  </w:r>
                </w:p>
              </w:tc>
              <w:tc>
                <w:tcPr>
                  <w:tcW w:w="711" w:type="dxa"/>
                  <w:tcBorders>
                    <w:tl2br w:val="nil"/>
                    <w:tr2bl w:val="nil"/>
                  </w:tcBorders>
                  <w:vAlign w:val="center"/>
                </w:tcPr>
                <w:p w14:paraId="54C50262">
                  <w:pPr>
                    <w:pStyle w:val="38"/>
                    <w:rPr>
                      <w:rFonts w:hint="default"/>
                      <w:b/>
                      <w:bCs/>
                    </w:rPr>
                  </w:pPr>
                  <w:r>
                    <w:rPr>
                      <w:b/>
                      <w:bCs/>
                    </w:rPr>
                    <w:t>达标情况</w:t>
                  </w:r>
                </w:p>
              </w:tc>
            </w:tr>
            <w:tr w14:paraId="174E6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dxa"/>
                  <w:vMerge w:val="restart"/>
                  <w:tcBorders>
                    <w:tl2br w:val="nil"/>
                    <w:tr2bl w:val="nil"/>
                  </w:tcBorders>
                  <w:vAlign w:val="center"/>
                </w:tcPr>
                <w:p w14:paraId="0A10128E">
                  <w:pPr>
                    <w:pStyle w:val="38"/>
                    <w:rPr>
                      <w:rFonts w:hint="default"/>
                    </w:rPr>
                  </w:pPr>
                  <w:r>
                    <w:t>2025.09.08-</w:t>
                  </w:r>
                </w:p>
                <w:p w14:paraId="25A4793A">
                  <w:pPr>
                    <w:pStyle w:val="38"/>
                    <w:rPr>
                      <w:rFonts w:hint="default"/>
                    </w:rPr>
                  </w:pPr>
                  <w:r>
                    <w:t>2025.09.10</w:t>
                  </w:r>
                </w:p>
              </w:tc>
              <w:tc>
                <w:tcPr>
                  <w:tcW w:w="1115" w:type="dxa"/>
                  <w:vMerge w:val="restart"/>
                  <w:tcBorders>
                    <w:tl2br w:val="nil"/>
                    <w:tr2bl w:val="nil"/>
                  </w:tcBorders>
                  <w:vAlign w:val="center"/>
                </w:tcPr>
                <w:p w14:paraId="31CB5CEB">
                  <w:pPr>
                    <w:pStyle w:val="38"/>
                    <w:rPr>
                      <w:rFonts w:hint="default"/>
                    </w:rPr>
                  </w:pPr>
                  <w:r>
                    <w:t>1#（金宝村村委会外5米处）</w:t>
                  </w:r>
                </w:p>
              </w:tc>
              <w:tc>
                <w:tcPr>
                  <w:tcW w:w="1244" w:type="dxa"/>
                  <w:tcBorders>
                    <w:tl2br w:val="nil"/>
                    <w:tr2bl w:val="nil"/>
                  </w:tcBorders>
                  <w:vAlign w:val="center"/>
                </w:tcPr>
                <w:p w14:paraId="61B87BB6">
                  <w:pPr>
                    <w:pStyle w:val="38"/>
                    <w:rPr>
                      <w:rFonts w:hint="default"/>
                    </w:rPr>
                  </w:pPr>
                  <w:r>
                    <w:t>总悬浮颗粒物（TSP）</w:t>
                  </w:r>
                </w:p>
              </w:tc>
              <w:tc>
                <w:tcPr>
                  <w:tcW w:w="1049" w:type="dxa"/>
                  <w:tcBorders>
                    <w:tl2br w:val="nil"/>
                    <w:tr2bl w:val="nil"/>
                  </w:tcBorders>
                  <w:vAlign w:val="center"/>
                </w:tcPr>
                <w:p w14:paraId="7D6ED4DF">
                  <w:pPr>
                    <w:pStyle w:val="38"/>
                    <w:rPr>
                      <w:rFonts w:hint="default"/>
                    </w:rPr>
                  </w:pPr>
                  <w:r>
                    <w:t>300</w:t>
                  </w:r>
                </w:p>
              </w:tc>
              <w:tc>
                <w:tcPr>
                  <w:tcW w:w="1379" w:type="dxa"/>
                  <w:tcBorders>
                    <w:tl2br w:val="nil"/>
                    <w:tr2bl w:val="nil"/>
                  </w:tcBorders>
                  <w:vAlign w:val="center"/>
                </w:tcPr>
                <w:p w14:paraId="1FE97476">
                  <w:pPr>
                    <w:pStyle w:val="38"/>
                    <w:rPr>
                      <w:rFonts w:hint="default"/>
                    </w:rPr>
                  </w:pPr>
                  <w:r>
                    <w:t>54~59</w:t>
                  </w:r>
                </w:p>
              </w:tc>
              <w:tc>
                <w:tcPr>
                  <w:tcW w:w="1182" w:type="dxa"/>
                  <w:tcBorders>
                    <w:tl2br w:val="nil"/>
                    <w:tr2bl w:val="nil"/>
                  </w:tcBorders>
                  <w:vAlign w:val="center"/>
                </w:tcPr>
                <w:p w14:paraId="5A2599AC">
                  <w:pPr>
                    <w:pStyle w:val="38"/>
                    <w:rPr>
                      <w:rFonts w:hint="default"/>
                    </w:rPr>
                  </w:pPr>
                  <w:r>
                    <w:t>19.67</w:t>
                  </w:r>
                </w:p>
              </w:tc>
              <w:tc>
                <w:tcPr>
                  <w:tcW w:w="746" w:type="dxa"/>
                  <w:tcBorders>
                    <w:tl2br w:val="nil"/>
                    <w:tr2bl w:val="nil"/>
                  </w:tcBorders>
                  <w:vAlign w:val="center"/>
                </w:tcPr>
                <w:p w14:paraId="6F854E46">
                  <w:pPr>
                    <w:pStyle w:val="38"/>
                    <w:rPr>
                      <w:rFonts w:hint="default"/>
                    </w:rPr>
                  </w:pPr>
                  <w:r>
                    <w:t>0</w:t>
                  </w:r>
                </w:p>
              </w:tc>
              <w:tc>
                <w:tcPr>
                  <w:tcW w:w="711" w:type="dxa"/>
                  <w:tcBorders>
                    <w:tl2br w:val="nil"/>
                    <w:tr2bl w:val="nil"/>
                  </w:tcBorders>
                  <w:vAlign w:val="center"/>
                </w:tcPr>
                <w:p w14:paraId="6818B7C2">
                  <w:pPr>
                    <w:pStyle w:val="38"/>
                    <w:rPr>
                      <w:rFonts w:hint="default"/>
                    </w:rPr>
                  </w:pPr>
                  <w:r>
                    <w:t>达标</w:t>
                  </w:r>
                </w:p>
              </w:tc>
            </w:tr>
            <w:tr w14:paraId="2650F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dxa"/>
                  <w:vMerge w:val="continue"/>
                  <w:tcBorders>
                    <w:tl2br w:val="nil"/>
                    <w:tr2bl w:val="nil"/>
                  </w:tcBorders>
                  <w:vAlign w:val="center"/>
                </w:tcPr>
                <w:p w14:paraId="3720519D">
                  <w:pPr>
                    <w:pStyle w:val="38"/>
                    <w:rPr>
                      <w:rFonts w:hint="default"/>
                    </w:rPr>
                  </w:pPr>
                </w:p>
              </w:tc>
              <w:tc>
                <w:tcPr>
                  <w:tcW w:w="1115" w:type="dxa"/>
                  <w:vMerge w:val="continue"/>
                  <w:tcBorders>
                    <w:tl2br w:val="nil"/>
                    <w:tr2bl w:val="nil"/>
                  </w:tcBorders>
                  <w:vAlign w:val="center"/>
                </w:tcPr>
                <w:p w14:paraId="6DE7CC39">
                  <w:pPr>
                    <w:pStyle w:val="38"/>
                    <w:rPr>
                      <w:rFonts w:hint="default"/>
                    </w:rPr>
                  </w:pPr>
                </w:p>
              </w:tc>
              <w:tc>
                <w:tcPr>
                  <w:tcW w:w="1244" w:type="dxa"/>
                  <w:tcBorders>
                    <w:tl2br w:val="nil"/>
                    <w:tr2bl w:val="nil"/>
                  </w:tcBorders>
                  <w:vAlign w:val="center"/>
                </w:tcPr>
                <w:p w14:paraId="70929EE4">
                  <w:pPr>
                    <w:pStyle w:val="38"/>
                    <w:rPr>
                      <w:rFonts w:hint="default"/>
                    </w:rPr>
                  </w:pPr>
                  <w:r>
                    <w:t>氨</w:t>
                  </w:r>
                </w:p>
              </w:tc>
              <w:tc>
                <w:tcPr>
                  <w:tcW w:w="1049" w:type="dxa"/>
                  <w:tcBorders>
                    <w:tl2br w:val="nil"/>
                    <w:tr2bl w:val="nil"/>
                  </w:tcBorders>
                  <w:vAlign w:val="center"/>
                </w:tcPr>
                <w:p w14:paraId="43E67828">
                  <w:pPr>
                    <w:pStyle w:val="38"/>
                    <w:rPr>
                      <w:rFonts w:hint="default"/>
                    </w:rPr>
                  </w:pPr>
                  <w:r>
                    <w:t>200</w:t>
                  </w:r>
                </w:p>
              </w:tc>
              <w:tc>
                <w:tcPr>
                  <w:tcW w:w="1379" w:type="dxa"/>
                  <w:tcBorders>
                    <w:tl2br w:val="nil"/>
                    <w:tr2bl w:val="nil"/>
                  </w:tcBorders>
                  <w:vAlign w:val="center"/>
                </w:tcPr>
                <w:p w14:paraId="7B9C5C96">
                  <w:pPr>
                    <w:pStyle w:val="38"/>
                    <w:rPr>
                      <w:rFonts w:hint="default"/>
                    </w:rPr>
                  </w:pPr>
                  <w:r>
                    <w:t>&lt;0.01</w:t>
                  </w:r>
                </w:p>
              </w:tc>
              <w:tc>
                <w:tcPr>
                  <w:tcW w:w="1182" w:type="dxa"/>
                  <w:tcBorders>
                    <w:tl2br w:val="nil"/>
                    <w:tr2bl w:val="nil"/>
                  </w:tcBorders>
                  <w:vAlign w:val="center"/>
                </w:tcPr>
                <w:p w14:paraId="3898E054">
                  <w:pPr>
                    <w:pStyle w:val="38"/>
                    <w:rPr>
                      <w:rFonts w:hint="default"/>
                    </w:rPr>
                  </w:pPr>
                  <w:r>
                    <w:t>0.005</w:t>
                  </w:r>
                </w:p>
              </w:tc>
              <w:tc>
                <w:tcPr>
                  <w:tcW w:w="746" w:type="dxa"/>
                  <w:tcBorders>
                    <w:tl2br w:val="nil"/>
                    <w:tr2bl w:val="nil"/>
                  </w:tcBorders>
                  <w:vAlign w:val="center"/>
                </w:tcPr>
                <w:p w14:paraId="5BE2B77A">
                  <w:pPr>
                    <w:pStyle w:val="38"/>
                    <w:rPr>
                      <w:rFonts w:hint="default"/>
                    </w:rPr>
                  </w:pPr>
                  <w:r>
                    <w:t>0</w:t>
                  </w:r>
                </w:p>
              </w:tc>
              <w:tc>
                <w:tcPr>
                  <w:tcW w:w="711" w:type="dxa"/>
                  <w:tcBorders>
                    <w:tl2br w:val="nil"/>
                    <w:tr2bl w:val="nil"/>
                  </w:tcBorders>
                  <w:vAlign w:val="center"/>
                </w:tcPr>
                <w:p w14:paraId="23A5AFAB">
                  <w:pPr>
                    <w:pStyle w:val="38"/>
                    <w:rPr>
                      <w:rFonts w:hint="default"/>
                    </w:rPr>
                  </w:pPr>
                  <w:r>
                    <w:t>达标</w:t>
                  </w:r>
                </w:p>
              </w:tc>
            </w:tr>
            <w:tr w14:paraId="21A74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dxa"/>
                  <w:vMerge w:val="continue"/>
                  <w:tcBorders>
                    <w:tl2br w:val="nil"/>
                    <w:tr2bl w:val="nil"/>
                  </w:tcBorders>
                  <w:vAlign w:val="center"/>
                </w:tcPr>
                <w:p w14:paraId="0C6B6210">
                  <w:pPr>
                    <w:pStyle w:val="38"/>
                    <w:rPr>
                      <w:rFonts w:hint="default"/>
                    </w:rPr>
                  </w:pPr>
                </w:p>
              </w:tc>
              <w:tc>
                <w:tcPr>
                  <w:tcW w:w="1115" w:type="dxa"/>
                  <w:vMerge w:val="continue"/>
                  <w:tcBorders>
                    <w:tl2br w:val="nil"/>
                    <w:tr2bl w:val="nil"/>
                  </w:tcBorders>
                  <w:vAlign w:val="center"/>
                </w:tcPr>
                <w:p w14:paraId="0E9DB77D">
                  <w:pPr>
                    <w:pStyle w:val="38"/>
                    <w:rPr>
                      <w:rFonts w:hint="default"/>
                    </w:rPr>
                  </w:pPr>
                </w:p>
              </w:tc>
              <w:tc>
                <w:tcPr>
                  <w:tcW w:w="1244" w:type="dxa"/>
                  <w:tcBorders>
                    <w:tl2br w:val="nil"/>
                    <w:tr2bl w:val="nil"/>
                  </w:tcBorders>
                  <w:vAlign w:val="center"/>
                </w:tcPr>
                <w:p w14:paraId="5394E850">
                  <w:pPr>
                    <w:pStyle w:val="38"/>
                    <w:rPr>
                      <w:rFonts w:hint="default"/>
                    </w:rPr>
                  </w:pPr>
                  <w:r>
                    <w:t>硫化氢</w:t>
                  </w:r>
                </w:p>
              </w:tc>
              <w:tc>
                <w:tcPr>
                  <w:tcW w:w="1049" w:type="dxa"/>
                  <w:tcBorders>
                    <w:tl2br w:val="nil"/>
                    <w:tr2bl w:val="nil"/>
                  </w:tcBorders>
                  <w:vAlign w:val="center"/>
                </w:tcPr>
                <w:p w14:paraId="12A11DDB">
                  <w:pPr>
                    <w:pStyle w:val="38"/>
                    <w:rPr>
                      <w:rFonts w:hint="default"/>
                    </w:rPr>
                  </w:pPr>
                  <w:r>
                    <w:t>10</w:t>
                  </w:r>
                </w:p>
              </w:tc>
              <w:tc>
                <w:tcPr>
                  <w:tcW w:w="1379" w:type="dxa"/>
                  <w:tcBorders>
                    <w:tl2br w:val="nil"/>
                    <w:tr2bl w:val="nil"/>
                  </w:tcBorders>
                  <w:vAlign w:val="center"/>
                </w:tcPr>
                <w:p w14:paraId="4A031766">
                  <w:pPr>
                    <w:pStyle w:val="38"/>
                    <w:rPr>
                      <w:rFonts w:hint="default"/>
                    </w:rPr>
                  </w:pPr>
                  <w:r>
                    <w:t>&lt;0.001</w:t>
                  </w:r>
                </w:p>
              </w:tc>
              <w:tc>
                <w:tcPr>
                  <w:tcW w:w="1182" w:type="dxa"/>
                  <w:tcBorders>
                    <w:tl2br w:val="nil"/>
                    <w:tr2bl w:val="nil"/>
                  </w:tcBorders>
                  <w:vAlign w:val="center"/>
                </w:tcPr>
                <w:p w14:paraId="73A590C6">
                  <w:pPr>
                    <w:pStyle w:val="38"/>
                    <w:rPr>
                      <w:rFonts w:hint="default"/>
                    </w:rPr>
                  </w:pPr>
                  <w:r>
                    <w:t>0.01</w:t>
                  </w:r>
                </w:p>
              </w:tc>
              <w:tc>
                <w:tcPr>
                  <w:tcW w:w="746" w:type="dxa"/>
                  <w:tcBorders>
                    <w:tl2br w:val="nil"/>
                    <w:tr2bl w:val="nil"/>
                  </w:tcBorders>
                  <w:vAlign w:val="center"/>
                </w:tcPr>
                <w:p w14:paraId="31AFEB46">
                  <w:pPr>
                    <w:pStyle w:val="38"/>
                    <w:rPr>
                      <w:rFonts w:hint="default"/>
                    </w:rPr>
                  </w:pPr>
                  <w:r>
                    <w:t>0</w:t>
                  </w:r>
                </w:p>
              </w:tc>
              <w:tc>
                <w:tcPr>
                  <w:tcW w:w="711" w:type="dxa"/>
                  <w:tcBorders>
                    <w:tl2br w:val="nil"/>
                    <w:tr2bl w:val="nil"/>
                  </w:tcBorders>
                  <w:vAlign w:val="center"/>
                </w:tcPr>
                <w:p w14:paraId="44E1B346">
                  <w:pPr>
                    <w:pStyle w:val="38"/>
                    <w:rPr>
                      <w:rFonts w:hint="default"/>
                    </w:rPr>
                  </w:pPr>
                  <w:r>
                    <w:t>达标</w:t>
                  </w:r>
                </w:p>
              </w:tc>
            </w:tr>
          </w:tbl>
          <w:p w14:paraId="2A180E6D">
            <w:pPr>
              <w:pStyle w:val="36"/>
              <w:ind w:firstLine="480"/>
              <w:rPr>
                <w:rFonts w:hint="default"/>
              </w:rPr>
            </w:pPr>
            <w:r>
              <w:rPr>
                <w:rFonts w:hint="default"/>
              </w:rPr>
              <w:t>从上表可知，项目所在区域环境空气中</w:t>
            </w:r>
            <w:r>
              <w:t>总悬浮颗粒物</w:t>
            </w:r>
            <w:r>
              <w:rPr>
                <w:rFonts w:hint="default"/>
              </w:rPr>
              <w:t>满足《环境空气质量标准》（GB3095-2012）中二级标准</w:t>
            </w:r>
            <w:r>
              <w:t>，氨、硫化氢满足《环境影响评价技术导则 大气环境》（HJ2.2-2018）附录D中1h平均要求，特征污染物</w:t>
            </w:r>
            <w:r>
              <w:rPr>
                <w:rFonts w:hint="default"/>
              </w:rPr>
              <w:t>满足其标准限值。</w:t>
            </w:r>
          </w:p>
          <w:p w14:paraId="77EE2AD6">
            <w:pPr>
              <w:pStyle w:val="4"/>
              <w:numPr>
                <w:ilvl w:val="0"/>
                <w:numId w:val="25"/>
              </w:numPr>
            </w:pPr>
            <w:r>
              <w:rPr>
                <w:rFonts w:hint="eastAsia"/>
              </w:rPr>
              <w:t>地表水环境质量现状</w:t>
            </w:r>
          </w:p>
          <w:p w14:paraId="06EE3946">
            <w:pPr>
              <w:pStyle w:val="4"/>
              <w:numPr>
                <w:ilvl w:val="1"/>
                <w:numId w:val="25"/>
              </w:numPr>
            </w:pPr>
            <w:r>
              <w:rPr>
                <w:rFonts w:hint="eastAsia"/>
              </w:rPr>
              <w:t>区域河流水文特征</w:t>
            </w:r>
          </w:p>
          <w:p w14:paraId="7C17EAB3">
            <w:pPr>
              <w:pStyle w:val="36"/>
              <w:ind w:firstLine="482"/>
              <w:rPr>
                <w:rFonts w:hint="default"/>
                <w:b/>
              </w:rPr>
            </w:pPr>
            <w:r>
              <w:rPr>
                <w:b/>
              </w:rPr>
              <w:t>①流域概况</w:t>
            </w:r>
          </w:p>
          <w:p w14:paraId="3C93BEAD">
            <w:pPr>
              <w:pStyle w:val="36"/>
              <w:ind w:firstLine="480"/>
              <w:rPr>
                <w:rFonts w:hint="default"/>
                <w:bCs/>
              </w:rPr>
            </w:pPr>
            <w:r>
              <w:rPr>
                <w:bCs/>
              </w:rPr>
              <w:t>郪江古称郪水、玉江，地处四川省中部丘陵区，为涪江右岸一级支流；流域北依凯江流域，西临沱江左岸支流阳化河流域，南与琼江支流白马河相邻，东抵涪江右岸。郪江干流发源于中江县龙台镇大田湾，自西北往东南流，流经绵阳市三台县，至遂宁市大英县象山镇无神村入境，由西向东横穿大英县境，在回马镇郪江村魏家角注入涪江。主要支流有仓山河、龙溪河、马力河、寸塘口河、古柏溪、通仙河、黄腊溪、同心河、瑰溪等。郪江全长150km，流域面积2168km²。</w:t>
            </w:r>
          </w:p>
          <w:p w14:paraId="0B06D130">
            <w:pPr>
              <w:pStyle w:val="36"/>
              <w:ind w:firstLine="480"/>
              <w:rPr>
                <w:rFonts w:hint="default"/>
                <w:bCs/>
              </w:rPr>
            </w:pPr>
            <w:r>
              <w:rPr>
                <w:bCs/>
              </w:rPr>
              <w:t>黄腊溪发源于安居区横山镇，向西北进入安居区常理镇，在常理镇北端进入遂宁市船山区，然后向西流经大英县隆盛镇，左纳金水河，于隆盛镇场镇汇入郪江。黄腊溪河长24km，流域面积96.5km²。</w:t>
            </w:r>
          </w:p>
          <w:p w14:paraId="1F93C5DA">
            <w:pPr>
              <w:pStyle w:val="36"/>
              <w:ind w:firstLine="482"/>
              <w:rPr>
                <w:rFonts w:hint="default"/>
                <w:b/>
              </w:rPr>
            </w:pPr>
            <w:r>
              <w:rPr>
                <w:b/>
              </w:rPr>
              <w:t>②项目概况</w:t>
            </w:r>
          </w:p>
          <w:p w14:paraId="031A0481">
            <w:pPr>
              <w:pStyle w:val="36"/>
              <w:ind w:firstLine="480"/>
              <w:rPr>
                <w:rFonts w:hint="default"/>
                <w:bCs/>
              </w:rPr>
            </w:pPr>
            <w:r>
              <w:rPr>
                <w:bCs/>
              </w:rPr>
              <w:t>本次金元镇重点山洪沟治理工程位于金水河金元镇场镇段，该段左岸有胜利溪汇入。金水河为郪江右岸二级支流，发源于金元镇西南边界金家寨，向北流经金元场镇，左纳胜利溪，然后向东北在隆盛镇和金元镇边界处右纳定海河后进入鹅颈项水库，最后在隆盛镇玉明村汇入黄腊溪，金水河河长12.06km，流域面积46.74km²，其支流胜利溪河长5.53km，流域面积7.43km²。</w:t>
            </w:r>
          </w:p>
          <w:p w14:paraId="182B8735">
            <w:pPr>
              <w:pStyle w:val="36"/>
              <w:ind w:firstLine="480"/>
              <w:rPr>
                <w:rFonts w:hint="default"/>
                <w:bCs/>
              </w:rPr>
            </w:pPr>
            <w:r>
              <w:rPr>
                <w:bCs/>
              </w:rPr>
              <w:t>本次治理的金水河及其支流胜利溪河段暂无相关水利规划，金水河下游段编制有《四川省遂宁市黄腊溪、金水河大英县河段河道管理范围划定报告》，划界范围上起金元镇峡马口村，下止于隆盛镇玉明村，划界长度8.17km。</w:t>
            </w:r>
          </w:p>
          <w:p w14:paraId="58EEB487">
            <w:pPr>
              <w:pStyle w:val="4"/>
              <w:numPr>
                <w:ilvl w:val="1"/>
                <w:numId w:val="25"/>
              </w:numPr>
            </w:pPr>
            <w:r>
              <w:rPr>
                <w:rFonts w:hint="eastAsia"/>
              </w:rPr>
              <w:t>洪水</w:t>
            </w:r>
          </w:p>
          <w:p w14:paraId="58907955">
            <w:pPr>
              <w:pStyle w:val="36"/>
              <w:ind w:firstLine="482"/>
              <w:rPr>
                <w:rFonts w:hint="default"/>
                <w:b/>
              </w:rPr>
            </w:pPr>
            <w:r>
              <w:rPr>
                <w:b/>
              </w:rPr>
              <w:t>①暴雨洪水特性</w:t>
            </w:r>
          </w:p>
          <w:p w14:paraId="398B8700">
            <w:pPr>
              <w:pStyle w:val="36"/>
              <w:ind w:firstLine="480"/>
              <w:rPr>
                <w:rFonts w:hint="default"/>
                <w:bCs/>
              </w:rPr>
            </w:pPr>
            <w:r>
              <w:rPr>
                <w:bCs/>
              </w:rPr>
              <w:t>工程河段位于四川省大英县境内。大英县主要洪涝灾害为涪江、郪江洪水和本地暴雨山洪灾害。洪灾主要发生在夏秋季节，以秋季为多，暴雨、连日暴雨或连绵秋雨形成暴雨洪灾害，境内洪灾主要有本地暴雨洪灾与外来水—涪江、郪江洪灾两种。据统计资料表明：境内暴雨一般始于5月，止于9月，7、8月暴雨最多，年季变化大，且季节分配不均，年平均降雨量938mm，是盆地内的贫雨区。降水突出特点是降水集中，强度大，夏秋两季降水占全年的73.6%，而夏季高达43.5%，且降雨时空、雨量分布不均。降雨在地区上分布由西向东递减，整个区域系夏旱伏旱交错区。</w:t>
            </w:r>
          </w:p>
          <w:p w14:paraId="38C6CBAA">
            <w:pPr>
              <w:pStyle w:val="36"/>
              <w:ind w:firstLine="482"/>
              <w:rPr>
                <w:rFonts w:hint="default"/>
                <w:b/>
              </w:rPr>
            </w:pPr>
            <w:r>
              <w:rPr>
                <w:b/>
              </w:rPr>
              <w:t>②历史洪水调查</w:t>
            </w:r>
          </w:p>
          <w:p w14:paraId="3D80093B">
            <w:pPr>
              <w:pStyle w:val="36"/>
              <w:ind w:firstLine="480"/>
              <w:rPr>
                <w:rFonts w:hint="default"/>
                <w:bCs/>
              </w:rPr>
            </w:pPr>
            <w:r>
              <w:rPr>
                <w:bCs/>
              </w:rPr>
              <w:t>工程区所在流域集雨面积较小，无历史洪水记录。根据《遂宁年鉴（2013）》，2012年9月9日20时至11日8时，遂宁市遭受特大暴雨袭击，引发特大暴雨洪灾。此次暴雨范围广、强度大、降水时空密集，74％的降雨量集中在10日7时至11时，1小时最大降雨量达到129毫米。全市33个雨情监测站有31个超过100毫米，23个超过200毫米，4个超过300毫米，其中射洪县青岗镇达到333毫米。重灾区射洪县沈水河、蓬溪县芝溪河等溪河水位暴涨，大英县郪江胡家坝水位站最高时段超警戒水位3.73米，超保证水位1.73米，历时24小时。</w:t>
            </w:r>
          </w:p>
          <w:p w14:paraId="73EEF96B">
            <w:pPr>
              <w:pStyle w:val="36"/>
              <w:ind w:firstLine="482"/>
              <w:rPr>
                <w:rFonts w:hint="default"/>
                <w:b/>
              </w:rPr>
            </w:pPr>
            <w:r>
              <w:rPr>
                <w:b/>
              </w:rPr>
              <w:t>③设计洪水</w:t>
            </w:r>
          </w:p>
          <w:p w14:paraId="31E367AC">
            <w:pPr>
              <w:pStyle w:val="36"/>
              <w:ind w:firstLine="480"/>
              <w:rPr>
                <w:rFonts w:hint="default"/>
                <w:bCs/>
              </w:rPr>
            </w:pPr>
            <w:r>
              <w:rPr>
                <w:bCs/>
              </w:rPr>
              <w:t>本次治理河段下段为金水河（CS10~CS23），上段为金水河支流胜利溪（ZS1~ZS3）；下起场镇下游金水河1号堰（CS10），上至胜利溪汇口上游326m处（ZS3），全长1.10km。考虑堰及下游弯道的影响，在工程末端1号堰下游592m处天然顺直河道选取控制断面CS1，控制断面以上集雨面积18.24km²，流域面积较小，工程区地处丘陵区，大部分堤后地势较高，有利于坡面雨洪的排放，基本不存在内涝问题，需考虑的是堤后坡面洪水排出，在堤线上布置排水出口时尽可能地选择于现有沟道出口处，按此原则划分排洪（涝）分区，设置排洪水通道。在1：1万航测图上勾绘堤后坡面分区集雨块和量算流域特征参数。</w:t>
            </w:r>
          </w:p>
          <w:p w14:paraId="7C0CF73D">
            <w:pPr>
              <w:pStyle w:val="36"/>
              <w:spacing w:line="240" w:lineRule="auto"/>
              <w:ind w:firstLine="0" w:firstLineChars="0"/>
              <w:rPr>
                <w:rFonts w:hint="default"/>
                <w:bCs/>
              </w:rPr>
            </w:pPr>
            <w:r>
              <w:drawing>
                <wp:inline distT="0" distB="0" distL="114300" distR="114300">
                  <wp:extent cx="5273040" cy="3188970"/>
                  <wp:effectExtent l="0" t="0" r="3810" b="11430"/>
                  <wp:docPr id="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9"/>
                          <pic:cNvPicPr>
                            <a:picLocks noChangeAspect="1"/>
                          </pic:cNvPicPr>
                        </pic:nvPicPr>
                        <pic:blipFill>
                          <a:blip r:embed="rId32"/>
                          <a:stretch>
                            <a:fillRect/>
                          </a:stretch>
                        </pic:blipFill>
                        <pic:spPr>
                          <a:xfrm>
                            <a:off x="0" y="0"/>
                            <a:ext cx="5273040" cy="3188970"/>
                          </a:xfrm>
                          <a:prstGeom prst="rect">
                            <a:avLst/>
                          </a:prstGeom>
                          <a:noFill/>
                          <a:ln>
                            <a:noFill/>
                          </a:ln>
                        </pic:spPr>
                      </pic:pic>
                    </a:graphicData>
                  </a:graphic>
                </wp:inline>
              </w:drawing>
            </w:r>
          </w:p>
          <w:p w14:paraId="1875E37C">
            <w:pPr>
              <w:pStyle w:val="46"/>
              <w:pageBreakBefore w:val="0"/>
              <w:widowControl w:val="0"/>
              <w:kinsoku/>
              <w:wordWrap/>
              <w:overflowPunct/>
              <w:topLinePunct w:val="0"/>
              <w:autoSpaceDE/>
              <w:autoSpaceDN/>
              <w:bidi w:val="0"/>
              <w:adjustRightInd/>
              <w:snapToGrid/>
              <w:spacing w:after="0" w:afterLines="0"/>
              <w:ind w:left="567" w:hanging="567"/>
              <w:textAlignment w:val="auto"/>
              <w:rPr>
                <w:rFonts w:hint="default"/>
              </w:rPr>
            </w:pPr>
            <w:r>
              <w:t>工程段排涝区块示意图</w:t>
            </w:r>
          </w:p>
          <w:p w14:paraId="7DA4DD7E">
            <w:pPr>
              <w:pStyle w:val="4"/>
              <w:pageBreakBefore w:val="0"/>
              <w:widowControl w:val="0"/>
              <w:numPr>
                <w:ilvl w:val="1"/>
                <w:numId w:val="25"/>
              </w:numPr>
              <w:kinsoku/>
              <w:wordWrap/>
              <w:overflowPunct/>
              <w:topLinePunct w:val="0"/>
              <w:autoSpaceDE/>
              <w:autoSpaceDN/>
              <w:bidi w:val="0"/>
              <w:adjustRightInd/>
              <w:snapToGrid/>
              <w:ind w:left="567" w:hanging="567"/>
              <w:textAlignment w:val="auto"/>
            </w:pPr>
            <w:r>
              <w:rPr>
                <w:rFonts w:hint="eastAsia"/>
              </w:rPr>
              <w:t>泥沙</w:t>
            </w:r>
          </w:p>
          <w:p w14:paraId="38D2159F">
            <w:pPr>
              <w:pStyle w:val="36"/>
              <w:ind w:firstLine="480"/>
              <w:rPr>
                <w:rFonts w:hint="default"/>
                <w:bCs/>
              </w:rPr>
            </w:pPr>
            <w:r>
              <w:rPr>
                <w:bCs/>
              </w:rPr>
              <w:t>流域泥沙来源及产沙特性与其自然地理情况有着密切的关系，本次山洪沟治理工程所在的流域属于浅切低山河谷，流域内森林覆盖率一般，农耕较为发达，壤土裸露，部分耕地坡度较大，区内泥沙主要来源于土壤水力侵蚀，遇到大雨或暴雨时，泥沙被携带入槽，形成泥沙主要的来源。</w:t>
            </w:r>
          </w:p>
          <w:p w14:paraId="6E944F7F">
            <w:pPr>
              <w:pStyle w:val="36"/>
              <w:ind w:firstLine="480"/>
              <w:rPr>
                <w:rFonts w:hint="default"/>
                <w:bCs/>
              </w:rPr>
            </w:pPr>
            <w:r>
              <w:rPr>
                <w:bCs/>
              </w:rPr>
              <w:t>①悬移质泥沙</w:t>
            </w:r>
          </w:p>
          <w:p w14:paraId="4ABABA11">
            <w:pPr>
              <w:pStyle w:val="36"/>
              <w:ind w:firstLine="480"/>
              <w:rPr>
                <w:rFonts w:hint="default"/>
                <w:bCs/>
              </w:rPr>
            </w:pPr>
            <w:r>
              <w:rPr>
                <w:bCs/>
              </w:rPr>
              <w:t>工程河段流域内无实测泥沙资料，根据《四川省水文手册》查四川省多年平均悬移质年输沙模数等值线图，按G=qs×F计算得到工程河段处多年平均悬移质年输沙量，经查值得工程河段悬移质年输沙模数qs为300t/km</w:t>
            </w:r>
            <w:r>
              <w:rPr>
                <w:bCs/>
                <w:vertAlign w:val="superscript"/>
              </w:rPr>
              <w:t>2</w:t>
            </w:r>
            <w:r>
              <w:rPr>
                <w:bCs/>
              </w:rPr>
              <w:t>，其悬移质泥沙成果如下表所示。</w:t>
            </w:r>
          </w:p>
          <w:p w14:paraId="7880EC9F">
            <w:pPr>
              <w:pStyle w:val="36"/>
              <w:ind w:firstLine="480"/>
              <w:rPr>
                <w:rFonts w:hint="default"/>
                <w:bCs/>
              </w:rPr>
            </w:pPr>
            <w:r>
              <w:rPr>
                <w:bCs/>
              </w:rPr>
              <w:t>②推移质泥沙</w:t>
            </w:r>
          </w:p>
          <w:p w14:paraId="050296C9">
            <w:pPr>
              <w:pStyle w:val="36"/>
              <w:ind w:firstLine="480"/>
              <w:rPr>
                <w:rFonts w:hint="default"/>
                <w:bCs/>
              </w:rPr>
            </w:pPr>
            <w:r>
              <w:rPr>
                <w:bCs/>
              </w:rPr>
              <w:t>工程河段推移质泥沙按推悬比10%估算，其推移质输沙量成果如下表所示。</w:t>
            </w:r>
          </w:p>
          <w:p w14:paraId="4F5F5CC8">
            <w:pPr>
              <w:pStyle w:val="47"/>
              <w:numPr>
                <w:ilvl w:val="0"/>
                <w:numId w:val="26"/>
              </w:numPr>
              <w:spacing w:before="156"/>
            </w:pPr>
            <w:r>
              <w:rPr>
                <w:rFonts w:hint="eastAsia"/>
              </w:rPr>
              <w:t>工程河段泥沙计算成果表</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14"/>
              <w:gridCol w:w="931"/>
              <w:gridCol w:w="1367"/>
              <w:gridCol w:w="1221"/>
              <w:gridCol w:w="796"/>
              <w:gridCol w:w="1362"/>
              <w:gridCol w:w="1005"/>
            </w:tblGrid>
            <w:tr w14:paraId="3D91C3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2" w:type="pct"/>
                  <w:vAlign w:val="center"/>
                </w:tcPr>
                <w:p w14:paraId="1877549A">
                  <w:pPr>
                    <w:pStyle w:val="103"/>
                    <w:spacing w:line="320" w:lineRule="exact"/>
                    <w:rPr>
                      <w:sz w:val="21"/>
                      <w:szCs w:val="21"/>
                    </w:rPr>
                  </w:pPr>
                  <w:r>
                    <w:rPr>
                      <w:rFonts w:hint="eastAsia"/>
                      <w:sz w:val="21"/>
                      <w:szCs w:val="21"/>
                    </w:rPr>
                    <w:t>项目</w:t>
                  </w:r>
                </w:p>
              </w:tc>
              <w:tc>
                <w:tcPr>
                  <w:tcW w:w="561" w:type="pct"/>
                  <w:vAlign w:val="center"/>
                </w:tcPr>
                <w:p w14:paraId="34F559A9">
                  <w:pPr>
                    <w:pStyle w:val="103"/>
                    <w:spacing w:line="320" w:lineRule="exact"/>
                    <w:rPr>
                      <w:sz w:val="21"/>
                      <w:szCs w:val="21"/>
                    </w:rPr>
                  </w:pPr>
                  <w:r>
                    <w:rPr>
                      <w:rFonts w:hint="eastAsia"/>
                      <w:sz w:val="21"/>
                      <w:szCs w:val="21"/>
                    </w:rPr>
                    <w:t>集雨面积F（km</w:t>
                  </w:r>
                  <w:r>
                    <w:rPr>
                      <w:rFonts w:hint="eastAsia"/>
                      <w:sz w:val="21"/>
                      <w:szCs w:val="21"/>
                      <w:vertAlign w:val="superscript"/>
                    </w:rPr>
                    <w:t>2</w:t>
                  </w:r>
                  <w:r>
                    <w:rPr>
                      <w:rFonts w:hint="eastAsia"/>
                      <w:sz w:val="21"/>
                      <w:szCs w:val="21"/>
                    </w:rPr>
                    <w:t>）</w:t>
                  </w:r>
                </w:p>
              </w:tc>
              <w:tc>
                <w:tcPr>
                  <w:tcW w:w="824" w:type="pct"/>
                  <w:vAlign w:val="center"/>
                </w:tcPr>
                <w:p w14:paraId="437D6756">
                  <w:pPr>
                    <w:pStyle w:val="103"/>
                    <w:spacing w:line="320" w:lineRule="exact"/>
                    <w:rPr>
                      <w:sz w:val="21"/>
                      <w:szCs w:val="21"/>
                    </w:rPr>
                  </w:pPr>
                  <w:r>
                    <w:rPr>
                      <w:rFonts w:hint="eastAsia"/>
                      <w:sz w:val="21"/>
                      <w:szCs w:val="21"/>
                    </w:rPr>
                    <w:t>悬移质年输沙模数qs(t/km</w:t>
                  </w:r>
                  <w:r>
                    <w:rPr>
                      <w:rFonts w:hint="eastAsia"/>
                      <w:sz w:val="21"/>
                      <w:szCs w:val="21"/>
                      <w:vertAlign w:val="superscript"/>
                    </w:rPr>
                    <w:t>2</w:t>
                  </w:r>
                  <w:r>
                    <w:rPr>
                      <w:rFonts w:hint="eastAsia"/>
                      <w:sz w:val="21"/>
                      <w:szCs w:val="21"/>
                    </w:rPr>
                    <w:t>）</w:t>
                  </w:r>
                </w:p>
              </w:tc>
              <w:tc>
                <w:tcPr>
                  <w:tcW w:w="736" w:type="pct"/>
                  <w:vAlign w:val="center"/>
                </w:tcPr>
                <w:p w14:paraId="3CF217E6">
                  <w:pPr>
                    <w:pStyle w:val="103"/>
                    <w:spacing w:line="320" w:lineRule="exact"/>
                    <w:rPr>
                      <w:sz w:val="21"/>
                      <w:szCs w:val="21"/>
                    </w:rPr>
                  </w:pPr>
                  <w:r>
                    <w:rPr>
                      <w:rFonts w:hint="eastAsia"/>
                      <w:sz w:val="21"/>
                      <w:szCs w:val="21"/>
                    </w:rPr>
                    <w:t>悬移质输沙量G（万t）</w:t>
                  </w:r>
                </w:p>
              </w:tc>
              <w:tc>
                <w:tcPr>
                  <w:tcW w:w="480" w:type="pct"/>
                  <w:vAlign w:val="center"/>
                </w:tcPr>
                <w:p w14:paraId="2E8B9B3D">
                  <w:pPr>
                    <w:pStyle w:val="103"/>
                    <w:spacing w:line="320" w:lineRule="exact"/>
                    <w:rPr>
                      <w:sz w:val="21"/>
                      <w:szCs w:val="21"/>
                    </w:rPr>
                  </w:pPr>
                  <w:r>
                    <w:rPr>
                      <w:rFonts w:hint="eastAsia"/>
                      <w:sz w:val="21"/>
                      <w:szCs w:val="21"/>
                    </w:rPr>
                    <w:t>推悬比</w:t>
                  </w:r>
                </w:p>
              </w:tc>
              <w:tc>
                <w:tcPr>
                  <w:tcW w:w="821" w:type="pct"/>
                  <w:vAlign w:val="center"/>
                </w:tcPr>
                <w:p w14:paraId="3CCF2DFB">
                  <w:pPr>
                    <w:pStyle w:val="103"/>
                    <w:spacing w:line="320" w:lineRule="exact"/>
                    <w:rPr>
                      <w:sz w:val="21"/>
                      <w:szCs w:val="21"/>
                    </w:rPr>
                  </w:pPr>
                  <w:r>
                    <w:rPr>
                      <w:rFonts w:hint="eastAsia"/>
                      <w:sz w:val="21"/>
                      <w:szCs w:val="21"/>
                    </w:rPr>
                    <w:t>推移质年输沙量（万t）</w:t>
                  </w:r>
                </w:p>
              </w:tc>
              <w:tc>
                <w:tcPr>
                  <w:tcW w:w="606" w:type="pct"/>
                  <w:vAlign w:val="center"/>
                </w:tcPr>
                <w:p w14:paraId="7323C036">
                  <w:pPr>
                    <w:pStyle w:val="103"/>
                    <w:spacing w:line="320" w:lineRule="exact"/>
                    <w:rPr>
                      <w:sz w:val="21"/>
                      <w:szCs w:val="21"/>
                    </w:rPr>
                  </w:pPr>
                  <w:r>
                    <w:rPr>
                      <w:rFonts w:hint="eastAsia"/>
                      <w:sz w:val="21"/>
                      <w:szCs w:val="21"/>
                    </w:rPr>
                    <w:t>年输沙总量（万t）</w:t>
                  </w:r>
                </w:p>
              </w:tc>
            </w:tr>
            <w:tr w14:paraId="31CC5B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2" w:type="pct"/>
                  <w:noWrap/>
                  <w:vAlign w:val="bottom"/>
                </w:tcPr>
                <w:p w14:paraId="1BF808BB">
                  <w:pPr>
                    <w:pStyle w:val="103"/>
                    <w:spacing w:line="320" w:lineRule="exact"/>
                    <w:rPr>
                      <w:sz w:val="21"/>
                      <w:szCs w:val="21"/>
                    </w:rPr>
                  </w:pPr>
                  <w:r>
                    <w:rPr>
                      <w:rFonts w:hint="eastAsia"/>
                      <w:sz w:val="21"/>
                      <w:szCs w:val="21"/>
                    </w:rPr>
                    <w:t>控制断面CS1</w:t>
                  </w:r>
                </w:p>
              </w:tc>
              <w:tc>
                <w:tcPr>
                  <w:tcW w:w="561" w:type="pct"/>
                  <w:noWrap/>
                  <w:vAlign w:val="center"/>
                </w:tcPr>
                <w:p w14:paraId="1573C0CF">
                  <w:pPr>
                    <w:pStyle w:val="103"/>
                    <w:spacing w:line="320" w:lineRule="exact"/>
                    <w:rPr>
                      <w:sz w:val="21"/>
                      <w:szCs w:val="21"/>
                    </w:rPr>
                  </w:pPr>
                  <w:r>
                    <w:rPr>
                      <w:rFonts w:hint="eastAsia"/>
                      <w:sz w:val="21"/>
                      <w:szCs w:val="21"/>
                    </w:rPr>
                    <w:t>18.24</w:t>
                  </w:r>
                </w:p>
              </w:tc>
              <w:tc>
                <w:tcPr>
                  <w:tcW w:w="824" w:type="pct"/>
                  <w:noWrap/>
                  <w:vAlign w:val="center"/>
                </w:tcPr>
                <w:p w14:paraId="14B874A2">
                  <w:pPr>
                    <w:pStyle w:val="103"/>
                    <w:spacing w:line="320" w:lineRule="exact"/>
                    <w:rPr>
                      <w:sz w:val="21"/>
                      <w:szCs w:val="21"/>
                    </w:rPr>
                  </w:pPr>
                  <w:r>
                    <w:rPr>
                      <w:rFonts w:hint="eastAsia"/>
                      <w:sz w:val="21"/>
                      <w:szCs w:val="21"/>
                    </w:rPr>
                    <w:t>300</w:t>
                  </w:r>
                </w:p>
              </w:tc>
              <w:tc>
                <w:tcPr>
                  <w:tcW w:w="736" w:type="pct"/>
                  <w:noWrap/>
                  <w:vAlign w:val="center"/>
                </w:tcPr>
                <w:p w14:paraId="035F1D82">
                  <w:pPr>
                    <w:pStyle w:val="103"/>
                    <w:spacing w:line="320" w:lineRule="exact"/>
                    <w:rPr>
                      <w:sz w:val="21"/>
                      <w:szCs w:val="21"/>
                    </w:rPr>
                  </w:pPr>
                  <w:r>
                    <w:rPr>
                      <w:rFonts w:hint="eastAsia"/>
                      <w:sz w:val="21"/>
                      <w:szCs w:val="21"/>
                    </w:rPr>
                    <w:t>0.547</w:t>
                  </w:r>
                </w:p>
              </w:tc>
              <w:tc>
                <w:tcPr>
                  <w:tcW w:w="480" w:type="pct"/>
                  <w:noWrap/>
                  <w:vAlign w:val="center"/>
                </w:tcPr>
                <w:p w14:paraId="72FBAF9B">
                  <w:pPr>
                    <w:pStyle w:val="103"/>
                    <w:spacing w:line="320" w:lineRule="exact"/>
                    <w:rPr>
                      <w:sz w:val="21"/>
                      <w:szCs w:val="21"/>
                    </w:rPr>
                  </w:pPr>
                  <w:r>
                    <w:rPr>
                      <w:rFonts w:hint="eastAsia"/>
                      <w:sz w:val="21"/>
                      <w:szCs w:val="21"/>
                    </w:rPr>
                    <w:t>10%</w:t>
                  </w:r>
                </w:p>
              </w:tc>
              <w:tc>
                <w:tcPr>
                  <w:tcW w:w="821" w:type="pct"/>
                  <w:noWrap/>
                  <w:vAlign w:val="center"/>
                </w:tcPr>
                <w:p w14:paraId="3C8CD408">
                  <w:pPr>
                    <w:pStyle w:val="103"/>
                    <w:spacing w:line="320" w:lineRule="exact"/>
                    <w:rPr>
                      <w:sz w:val="21"/>
                      <w:szCs w:val="21"/>
                    </w:rPr>
                  </w:pPr>
                  <w:r>
                    <w:rPr>
                      <w:rFonts w:hint="eastAsia"/>
                      <w:sz w:val="21"/>
                      <w:szCs w:val="21"/>
                    </w:rPr>
                    <w:t>0.055</w:t>
                  </w:r>
                </w:p>
              </w:tc>
              <w:tc>
                <w:tcPr>
                  <w:tcW w:w="606" w:type="pct"/>
                  <w:noWrap/>
                  <w:vAlign w:val="center"/>
                </w:tcPr>
                <w:p w14:paraId="01AF012A">
                  <w:pPr>
                    <w:pStyle w:val="103"/>
                    <w:spacing w:line="320" w:lineRule="exact"/>
                    <w:rPr>
                      <w:sz w:val="21"/>
                      <w:szCs w:val="21"/>
                    </w:rPr>
                  </w:pPr>
                  <w:r>
                    <w:rPr>
                      <w:rFonts w:hint="eastAsia"/>
                      <w:sz w:val="21"/>
                      <w:szCs w:val="21"/>
                    </w:rPr>
                    <w:t>0.602</w:t>
                  </w:r>
                </w:p>
              </w:tc>
            </w:tr>
            <w:tr w14:paraId="3B9886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2" w:type="pct"/>
                  <w:noWrap/>
                  <w:vAlign w:val="bottom"/>
                </w:tcPr>
                <w:p w14:paraId="07F0AC96">
                  <w:pPr>
                    <w:pStyle w:val="103"/>
                    <w:spacing w:line="320" w:lineRule="exact"/>
                    <w:rPr>
                      <w:sz w:val="21"/>
                      <w:szCs w:val="21"/>
                    </w:rPr>
                  </w:pPr>
                  <w:r>
                    <w:rPr>
                      <w:rFonts w:hint="eastAsia"/>
                      <w:sz w:val="21"/>
                      <w:szCs w:val="21"/>
                    </w:rPr>
                    <w:t>胜利溪汇口</w:t>
                  </w:r>
                </w:p>
              </w:tc>
              <w:tc>
                <w:tcPr>
                  <w:tcW w:w="561" w:type="pct"/>
                  <w:noWrap/>
                  <w:vAlign w:val="center"/>
                </w:tcPr>
                <w:p w14:paraId="3719B429">
                  <w:pPr>
                    <w:pStyle w:val="103"/>
                    <w:spacing w:line="320" w:lineRule="exact"/>
                    <w:rPr>
                      <w:sz w:val="21"/>
                      <w:szCs w:val="21"/>
                    </w:rPr>
                  </w:pPr>
                  <w:r>
                    <w:rPr>
                      <w:rFonts w:hint="eastAsia"/>
                      <w:sz w:val="21"/>
                      <w:szCs w:val="21"/>
                    </w:rPr>
                    <w:t>7.43</w:t>
                  </w:r>
                </w:p>
              </w:tc>
              <w:tc>
                <w:tcPr>
                  <w:tcW w:w="824" w:type="pct"/>
                  <w:noWrap/>
                  <w:vAlign w:val="center"/>
                </w:tcPr>
                <w:p w14:paraId="70214F2D">
                  <w:pPr>
                    <w:pStyle w:val="103"/>
                    <w:spacing w:line="320" w:lineRule="exact"/>
                    <w:rPr>
                      <w:sz w:val="21"/>
                      <w:szCs w:val="21"/>
                    </w:rPr>
                  </w:pPr>
                  <w:r>
                    <w:rPr>
                      <w:rFonts w:hint="eastAsia"/>
                      <w:sz w:val="21"/>
                      <w:szCs w:val="21"/>
                    </w:rPr>
                    <w:t>300</w:t>
                  </w:r>
                </w:p>
              </w:tc>
              <w:tc>
                <w:tcPr>
                  <w:tcW w:w="736" w:type="pct"/>
                  <w:noWrap/>
                  <w:vAlign w:val="center"/>
                </w:tcPr>
                <w:p w14:paraId="48E759B9">
                  <w:pPr>
                    <w:pStyle w:val="103"/>
                    <w:spacing w:line="320" w:lineRule="exact"/>
                    <w:rPr>
                      <w:sz w:val="21"/>
                      <w:szCs w:val="21"/>
                    </w:rPr>
                  </w:pPr>
                  <w:r>
                    <w:rPr>
                      <w:rFonts w:hint="eastAsia"/>
                      <w:sz w:val="21"/>
                      <w:szCs w:val="21"/>
                    </w:rPr>
                    <w:t>0.223</w:t>
                  </w:r>
                </w:p>
              </w:tc>
              <w:tc>
                <w:tcPr>
                  <w:tcW w:w="480" w:type="pct"/>
                  <w:noWrap/>
                  <w:vAlign w:val="center"/>
                </w:tcPr>
                <w:p w14:paraId="6E69E918">
                  <w:pPr>
                    <w:pStyle w:val="103"/>
                    <w:spacing w:line="320" w:lineRule="exact"/>
                    <w:rPr>
                      <w:sz w:val="21"/>
                      <w:szCs w:val="21"/>
                    </w:rPr>
                  </w:pPr>
                  <w:r>
                    <w:rPr>
                      <w:rFonts w:hint="eastAsia"/>
                      <w:sz w:val="21"/>
                      <w:szCs w:val="21"/>
                    </w:rPr>
                    <w:t>10%</w:t>
                  </w:r>
                </w:p>
              </w:tc>
              <w:tc>
                <w:tcPr>
                  <w:tcW w:w="821" w:type="pct"/>
                  <w:noWrap/>
                  <w:vAlign w:val="center"/>
                </w:tcPr>
                <w:p w14:paraId="70202438">
                  <w:pPr>
                    <w:pStyle w:val="103"/>
                    <w:spacing w:line="320" w:lineRule="exact"/>
                    <w:rPr>
                      <w:sz w:val="21"/>
                      <w:szCs w:val="21"/>
                    </w:rPr>
                  </w:pPr>
                  <w:r>
                    <w:rPr>
                      <w:rFonts w:hint="eastAsia"/>
                      <w:sz w:val="21"/>
                      <w:szCs w:val="21"/>
                    </w:rPr>
                    <w:t>0.022</w:t>
                  </w:r>
                </w:p>
              </w:tc>
              <w:tc>
                <w:tcPr>
                  <w:tcW w:w="606" w:type="pct"/>
                  <w:noWrap/>
                  <w:vAlign w:val="center"/>
                </w:tcPr>
                <w:p w14:paraId="1C1A64C4">
                  <w:pPr>
                    <w:pStyle w:val="103"/>
                    <w:spacing w:line="320" w:lineRule="exact"/>
                    <w:rPr>
                      <w:sz w:val="21"/>
                      <w:szCs w:val="21"/>
                    </w:rPr>
                  </w:pPr>
                  <w:r>
                    <w:rPr>
                      <w:rFonts w:hint="eastAsia"/>
                      <w:sz w:val="21"/>
                      <w:szCs w:val="21"/>
                    </w:rPr>
                    <w:t>0.245</w:t>
                  </w:r>
                </w:p>
              </w:tc>
            </w:tr>
          </w:tbl>
          <w:p w14:paraId="65763B88">
            <w:pPr>
              <w:pStyle w:val="4"/>
              <w:numPr>
                <w:ilvl w:val="1"/>
                <w:numId w:val="25"/>
              </w:numPr>
            </w:pPr>
            <w:r>
              <w:rPr>
                <w:rFonts w:hint="eastAsia"/>
              </w:rPr>
              <w:t>地表水环境质量现状</w:t>
            </w:r>
          </w:p>
          <w:p w14:paraId="03D6AAB3">
            <w:pPr>
              <w:pStyle w:val="36"/>
              <w:ind w:firstLine="480"/>
              <w:rPr>
                <w:rFonts w:hint="default"/>
                <w:bCs/>
              </w:rPr>
            </w:pPr>
            <w:r>
              <w:rPr>
                <w:bCs/>
              </w:rPr>
              <w:t>根据《建设项目环境影响报告表编制技术指南（生态影响类）（试行）》，不开展专项评价的环境要素，引用与项目距离近的有效数据和调查资料，包括符合时限要求的规划环境影响评价监测数据和调查资料，国家、地方环境质量监测网数据或生态环境主管部门公开发布的生态环境质量数据等。</w:t>
            </w:r>
          </w:p>
          <w:p w14:paraId="5D5F43C8">
            <w:pPr>
              <w:pStyle w:val="36"/>
              <w:ind w:firstLine="480"/>
              <w:rPr>
                <w:rFonts w:hint="default"/>
              </w:rPr>
            </w:pPr>
            <w:r>
              <w:t>本次评价引用</w:t>
            </w:r>
            <w:r>
              <w:rPr>
                <w:rFonts w:hint="default"/>
              </w:rPr>
              <w:t>《2024年遂宁市环境质量公告》</w:t>
            </w:r>
            <w:r>
              <w:t>中地表水环境质量评价结果，2024年遂宁市地表水环境质量情况结论如下。</w:t>
            </w:r>
          </w:p>
          <w:p w14:paraId="2AB836AF">
            <w:pPr>
              <w:pStyle w:val="36"/>
              <w:ind w:firstLine="480"/>
              <w:rPr>
                <w:rFonts w:hint="default"/>
              </w:rPr>
            </w:pPr>
            <w:r>
              <w:t>监测河流：郪江。</w:t>
            </w:r>
          </w:p>
          <w:p w14:paraId="7816A80B">
            <w:pPr>
              <w:pStyle w:val="47"/>
              <w:numPr>
                <w:ilvl w:val="0"/>
                <w:numId w:val="26"/>
              </w:numPr>
              <w:spacing w:before="156"/>
            </w:pPr>
            <w:r>
              <w:rPr>
                <w:rFonts w:hint="eastAsia"/>
              </w:rPr>
              <w:t>2024 年遂宁市河流水质评价结果</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1381"/>
              <w:gridCol w:w="1381"/>
              <w:gridCol w:w="1382"/>
              <w:gridCol w:w="1382"/>
              <w:gridCol w:w="1382"/>
            </w:tblGrid>
            <w:tr w14:paraId="7391A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1" w:type="dxa"/>
                  <w:vAlign w:val="center"/>
                </w:tcPr>
                <w:p w14:paraId="1839B159">
                  <w:pPr>
                    <w:pStyle w:val="36"/>
                    <w:spacing w:line="320" w:lineRule="exact"/>
                    <w:ind w:firstLine="0" w:firstLineChars="0"/>
                    <w:jc w:val="center"/>
                    <w:rPr>
                      <w:rFonts w:hint="default"/>
                      <w:sz w:val="21"/>
                      <w:szCs w:val="21"/>
                    </w:rPr>
                  </w:pPr>
                  <w:r>
                    <w:rPr>
                      <w:sz w:val="21"/>
                      <w:szCs w:val="21"/>
                    </w:rPr>
                    <w:t>断面名称</w:t>
                  </w:r>
                </w:p>
              </w:tc>
              <w:tc>
                <w:tcPr>
                  <w:tcW w:w="1381" w:type="dxa"/>
                  <w:vAlign w:val="center"/>
                </w:tcPr>
                <w:p w14:paraId="785566D7">
                  <w:pPr>
                    <w:pStyle w:val="36"/>
                    <w:spacing w:line="320" w:lineRule="exact"/>
                    <w:ind w:firstLine="0" w:firstLineChars="0"/>
                    <w:jc w:val="center"/>
                    <w:rPr>
                      <w:rFonts w:hint="default"/>
                      <w:sz w:val="21"/>
                      <w:szCs w:val="21"/>
                    </w:rPr>
                  </w:pPr>
                  <w:r>
                    <w:rPr>
                      <w:sz w:val="21"/>
                      <w:szCs w:val="21"/>
                    </w:rPr>
                    <w:t>所在地</w:t>
                  </w:r>
                </w:p>
              </w:tc>
              <w:tc>
                <w:tcPr>
                  <w:tcW w:w="1381" w:type="dxa"/>
                  <w:vAlign w:val="center"/>
                </w:tcPr>
                <w:p w14:paraId="7F573931">
                  <w:pPr>
                    <w:pStyle w:val="36"/>
                    <w:spacing w:line="320" w:lineRule="exact"/>
                    <w:ind w:firstLine="0" w:firstLineChars="0"/>
                    <w:jc w:val="center"/>
                    <w:rPr>
                      <w:rFonts w:hint="default"/>
                      <w:sz w:val="21"/>
                      <w:szCs w:val="21"/>
                    </w:rPr>
                  </w:pPr>
                  <w:r>
                    <w:rPr>
                      <w:sz w:val="21"/>
                      <w:szCs w:val="21"/>
                    </w:rPr>
                    <w:t>断面类别</w:t>
                  </w:r>
                </w:p>
              </w:tc>
              <w:tc>
                <w:tcPr>
                  <w:tcW w:w="1382" w:type="dxa"/>
                  <w:vAlign w:val="center"/>
                </w:tcPr>
                <w:p w14:paraId="503A0D01">
                  <w:pPr>
                    <w:pStyle w:val="36"/>
                    <w:spacing w:line="320" w:lineRule="exact"/>
                    <w:ind w:firstLine="0" w:firstLineChars="0"/>
                    <w:jc w:val="center"/>
                    <w:rPr>
                      <w:rFonts w:hint="default"/>
                      <w:sz w:val="21"/>
                      <w:szCs w:val="21"/>
                    </w:rPr>
                  </w:pPr>
                  <w:r>
                    <w:rPr>
                      <w:sz w:val="21"/>
                      <w:szCs w:val="21"/>
                    </w:rPr>
                    <w:t>本年度类别</w:t>
                  </w:r>
                </w:p>
              </w:tc>
              <w:tc>
                <w:tcPr>
                  <w:tcW w:w="1382" w:type="dxa"/>
                  <w:vAlign w:val="center"/>
                </w:tcPr>
                <w:p w14:paraId="5E11B11C">
                  <w:pPr>
                    <w:pStyle w:val="36"/>
                    <w:spacing w:line="320" w:lineRule="exact"/>
                    <w:ind w:firstLine="0" w:firstLineChars="0"/>
                    <w:jc w:val="center"/>
                    <w:rPr>
                      <w:rFonts w:hint="default"/>
                      <w:sz w:val="21"/>
                      <w:szCs w:val="21"/>
                    </w:rPr>
                  </w:pPr>
                  <w:r>
                    <w:rPr>
                      <w:sz w:val="21"/>
                      <w:szCs w:val="21"/>
                    </w:rPr>
                    <w:t>主要污染指标/超标倍数</w:t>
                  </w:r>
                </w:p>
              </w:tc>
              <w:tc>
                <w:tcPr>
                  <w:tcW w:w="1382" w:type="dxa"/>
                  <w:vAlign w:val="center"/>
                </w:tcPr>
                <w:p w14:paraId="67C45F87">
                  <w:pPr>
                    <w:pStyle w:val="36"/>
                    <w:spacing w:line="320" w:lineRule="exact"/>
                    <w:ind w:firstLine="0" w:firstLineChars="0"/>
                    <w:jc w:val="center"/>
                    <w:rPr>
                      <w:rFonts w:hint="default"/>
                      <w:sz w:val="21"/>
                      <w:szCs w:val="21"/>
                    </w:rPr>
                  </w:pPr>
                  <w:r>
                    <w:rPr>
                      <w:sz w:val="21"/>
                      <w:szCs w:val="21"/>
                    </w:rPr>
                    <w:t>单独评价指标/超标倍数</w:t>
                  </w:r>
                </w:p>
              </w:tc>
            </w:tr>
            <w:tr w14:paraId="75B3B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1" w:type="dxa"/>
                  <w:vAlign w:val="center"/>
                </w:tcPr>
                <w:p w14:paraId="36E0A3B8">
                  <w:pPr>
                    <w:pStyle w:val="36"/>
                    <w:spacing w:line="320" w:lineRule="exact"/>
                    <w:ind w:firstLine="0" w:firstLineChars="0"/>
                    <w:jc w:val="center"/>
                    <w:rPr>
                      <w:rFonts w:hint="default"/>
                      <w:sz w:val="21"/>
                      <w:szCs w:val="21"/>
                    </w:rPr>
                  </w:pPr>
                  <w:r>
                    <w:t>郪江口</w:t>
                  </w:r>
                </w:p>
              </w:tc>
              <w:tc>
                <w:tcPr>
                  <w:tcW w:w="1381" w:type="dxa"/>
                  <w:vAlign w:val="center"/>
                </w:tcPr>
                <w:p w14:paraId="62F5924C">
                  <w:pPr>
                    <w:pStyle w:val="36"/>
                    <w:spacing w:line="320" w:lineRule="exact"/>
                    <w:ind w:firstLine="0" w:firstLineChars="0"/>
                    <w:jc w:val="center"/>
                    <w:rPr>
                      <w:rFonts w:hint="default"/>
                      <w:sz w:val="21"/>
                      <w:szCs w:val="21"/>
                    </w:rPr>
                  </w:pPr>
                  <w:r>
                    <w:rPr>
                      <w:sz w:val="21"/>
                      <w:szCs w:val="21"/>
                    </w:rPr>
                    <w:t>大英县</w:t>
                  </w:r>
                </w:p>
              </w:tc>
              <w:tc>
                <w:tcPr>
                  <w:tcW w:w="1381" w:type="dxa"/>
                  <w:vAlign w:val="center"/>
                </w:tcPr>
                <w:p w14:paraId="01FA6041">
                  <w:pPr>
                    <w:pStyle w:val="36"/>
                    <w:spacing w:line="320" w:lineRule="exact"/>
                    <w:ind w:firstLine="0" w:firstLineChars="0"/>
                    <w:jc w:val="center"/>
                    <w:rPr>
                      <w:rFonts w:hint="default"/>
                      <w:sz w:val="21"/>
                      <w:szCs w:val="21"/>
                    </w:rPr>
                  </w:pPr>
                  <w:r>
                    <w:rPr>
                      <w:sz w:val="21"/>
                      <w:szCs w:val="21"/>
                    </w:rPr>
                    <w:t>国控</w:t>
                  </w:r>
                </w:p>
              </w:tc>
              <w:tc>
                <w:tcPr>
                  <w:tcW w:w="1382" w:type="dxa"/>
                  <w:vAlign w:val="center"/>
                </w:tcPr>
                <w:p w14:paraId="7D4B4DA4">
                  <w:pPr>
                    <w:pStyle w:val="36"/>
                    <w:spacing w:line="320" w:lineRule="exact"/>
                    <w:ind w:firstLine="0" w:firstLineChars="0"/>
                    <w:jc w:val="center"/>
                    <w:rPr>
                      <w:rFonts w:hint="default"/>
                      <w:sz w:val="21"/>
                      <w:szCs w:val="21"/>
                    </w:rPr>
                  </w:pPr>
                  <w:r>
                    <w:rPr>
                      <w:rFonts w:hint="default"/>
                      <w:sz w:val="21"/>
                      <w:szCs w:val="21"/>
                    </w:rPr>
                    <w:t>Ⅲ</w:t>
                  </w:r>
                </w:p>
              </w:tc>
              <w:tc>
                <w:tcPr>
                  <w:tcW w:w="1382" w:type="dxa"/>
                  <w:vAlign w:val="center"/>
                </w:tcPr>
                <w:p w14:paraId="4CEE76FA">
                  <w:pPr>
                    <w:pStyle w:val="36"/>
                    <w:spacing w:line="320" w:lineRule="exact"/>
                    <w:ind w:firstLine="0" w:firstLineChars="0"/>
                    <w:jc w:val="center"/>
                    <w:rPr>
                      <w:rFonts w:hint="default"/>
                      <w:sz w:val="21"/>
                      <w:szCs w:val="21"/>
                    </w:rPr>
                  </w:pPr>
                  <w:r>
                    <w:rPr>
                      <w:sz w:val="21"/>
                      <w:szCs w:val="21"/>
                    </w:rPr>
                    <w:t>/</w:t>
                  </w:r>
                </w:p>
              </w:tc>
              <w:tc>
                <w:tcPr>
                  <w:tcW w:w="1382" w:type="dxa"/>
                  <w:vAlign w:val="center"/>
                </w:tcPr>
                <w:p w14:paraId="73574309">
                  <w:pPr>
                    <w:pStyle w:val="36"/>
                    <w:spacing w:line="320" w:lineRule="exact"/>
                    <w:ind w:firstLine="0" w:firstLineChars="0"/>
                    <w:jc w:val="center"/>
                    <w:rPr>
                      <w:rFonts w:hint="default"/>
                      <w:sz w:val="21"/>
                      <w:szCs w:val="21"/>
                    </w:rPr>
                  </w:pPr>
                  <w:r>
                    <w:rPr>
                      <w:sz w:val="21"/>
                      <w:szCs w:val="21"/>
                    </w:rPr>
                    <w:t>/</w:t>
                  </w:r>
                </w:p>
              </w:tc>
            </w:tr>
          </w:tbl>
          <w:p w14:paraId="0AA276FB">
            <w:pPr>
              <w:pStyle w:val="36"/>
              <w:ind w:firstLine="480"/>
              <w:rPr>
                <w:rFonts w:hint="default"/>
              </w:rPr>
            </w:pPr>
            <w:r>
              <w:t>综上所述，项目所在区域地表水监测断面均满足《地表水环境质量标准》（GB388-2002）III类水域标准要求，地表水环境质量良好。</w:t>
            </w:r>
          </w:p>
          <w:p w14:paraId="15BB23DF">
            <w:pPr>
              <w:pStyle w:val="4"/>
              <w:numPr>
                <w:ilvl w:val="1"/>
                <w:numId w:val="25"/>
              </w:numPr>
              <w:rPr>
                <w:bCs/>
              </w:rPr>
            </w:pPr>
            <w:r>
              <w:rPr>
                <w:rFonts w:hint="eastAsia"/>
                <w:bCs/>
              </w:rPr>
              <w:t>地表水补充监测</w:t>
            </w:r>
          </w:p>
          <w:p w14:paraId="475BEDB0">
            <w:pPr>
              <w:pStyle w:val="36"/>
              <w:ind w:firstLine="480"/>
              <w:rPr>
                <w:rFonts w:hint="default"/>
              </w:rPr>
            </w:pPr>
            <w:r>
              <w:t>为进一步了解本项目所在区域地表水环境质量现状，本次评价委托四川全威安环科技有限公司于2025年09月09日至12日进行了现场监测和采样（川全威（环）检〔2025〕0094号），具体监测内容如下。</w:t>
            </w:r>
          </w:p>
          <w:p w14:paraId="2CBA6450">
            <w:pPr>
              <w:pStyle w:val="36"/>
              <w:ind w:firstLine="482"/>
              <w:rPr>
                <w:rFonts w:hint="default"/>
                <w:b/>
                <w:bCs/>
              </w:rPr>
            </w:pPr>
            <w:r>
              <w:rPr>
                <w:b/>
                <w:bCs/>
              </w:rPr>
              <w:t>①监测布点、监测频次</w:t>
            </w:r>
          </w:p>
          <w:p w14:paraId="05A70FB5">
            <w:pPr>
              <w:pStyle w:val="36"/>
              <w:ind w:firstLine="480"/>
              <w:rPr>
                <w:rFonts w:hint="default"/>
              </w:rPr>
            </w:pPr>
            <w:r>
              <w:t>监测项目、点位及监测频次见下表。</w:t>
            </w:r>
          </w:p>
          <w:p w14:paraId="75124088">
            <w:pPr>
              <w:pStyle w:val="47"/>
              <w:numPr>
                <w:ilvl w:val="0"/>
                <w:numId w:val="26"/>
              </w:numPr>
              <w:spacing w:before="156"/>
            </w:pPr>
            <w:r>
              <w:rPr>
                <w:rFonts w:hint="eastAsia"/>
              </w:rPr>
              <w:t>监测项目、点位及频次表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2644"/>
              <w:gridCol w:w="2006"/>
              <w:gridCol w:w="1068"/>
              <w:gridCol w:w="1444"/>
            </w:tblGrid>
            <w:tr w14:paraId="776B7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tcBorders>
                    <w:tl2br w:val="nil"/>
                    <w:tr2bl w:val="nil"/>
                  </w:tcBorders>
                  <w:vAlign w:val="center"/>
                </w:tcPr>
                <w:p w14:paraId="5842A0EF">
                  <w:pPr>
                    <w:pStyle w:val="38"/>
                    <w:rPr>
                      <w:rFonts w:hint="default"/>
                      <w:b/>
                      <w:bCs/>
                    </w:rPr>
                  </w:pPr>
                  <w:r>
                    <w:rPr>
                      <w:rFonts w:hint="default"/>
                      <w:b/>
                      <w:bCs/>
                    </w:rPr>
                    <w:t>监测类别</w:t>
                  </w:r>
                </w:p>
              </w:tc>
              <w:tc>
                <w:tcPr>
                  <w:tcW w:w="1594" w:type="pct"/>
                  <w:tcBorders>
                    <w:tl2br w:val="nil"/>
                    <w:tr2bl w:val="nil"/>
                  </w:tcBorders>
                  <w:vAlign w:val="center"/>
                </w:tcPr>
                <w:p w14:paraId="0F24D0A9">
                  <w:pPr>
                    <w:pStyle w:val="38"/>
                    <w:rPr>
                      <w:rFonts w:hint="default"/>
                      <w:b/>
                      <w:bCs/>
                    </w:rPr>
                  </w:pPr>
                  <w:r>
                    <w:rPr>
                      <w:rFonts w:hint="default"/>
                      <w:b/>
                      <w:bCs/>
                    </w:rPr>
                    <w:t>监测项目</w:t>
                  </w:r>
                </w:p>
              </w:tc>
              <w:tc>
                <w:tcPr>
                  <w:tcW w:w="1210" w:type="pct"/>
                  <w:tcBorders>
                    <w:tl2br w:val="nil"/>
                    <w:tr2bl w:val="nil"/>
                  </w:tcBorders>
                  <w:vAlign w:val="center"/>
                </w:tcPr>
                <w:p w14:paraId="1265A316">
                  <w:pPr>
                    <w:pStyle w:val="38"/>
                    <w:rPr>
                      <w:rFonts w:hint="default"/>
                      <w:b/>
                      <w:bCs/>
                    </w:rPr>
                  </w:pPr>
                  <w:r>
                    <w:rPr>
                      <w:rFonts w:hint="default"/>
                      <w:b/>
                      <w:bCs/>
                    </w:rPr>
                    <w:t>监测点位</w:t>
                  </w:r>
                </w:p>
              </w:tc>
              <w:tc>
                <w:tcPr>
                  <w:tcW w:w="644" w:type="pct"/>
                  <w:tcBorders>
                    <w:tl2br w:val="nil"/>
                    <w:tr2bl w:val="nil"/>
                  </w:tcBorders>
                  <w:vAlign w:val="center"/>
                </w:tcPr>
                <w:p w14:paraId="602E459A">
                  <w:pPr>
                    <w:pStyle w:val="38"/>
                    <w:rPr>
                      <w:rFonts w:hint="default"/>
                      <w:b/>
                      <w:bCs/>
                    </w:rPr>
                  </w:pPr>
                  <w:r>
                    <w:rPr>
                      <w:rFonts w:hint="default"/>
                      <w:b/>
                      <w:bCs/>
                    </w:rPr>
                    <w:t>点位编号</w:t>
                  </w:r>
                </w:p>
              </w:tc>
              <w:tc>
                <w:tcPr>
                  <w:tcW w:w="871" w:type="pct"/>
                  <w:tcBorders>
                    <w:tl2br w:val="nil"/>
                    <w:tr2bl w:val="nil"/>
                  </w:tcBorders>
                  <w:vAlign w:val="center"/>
                </w:tcPr>
                <w:p w14:paraId="6A311124">
                  <w:pPr>
                    <w:pStyle w:val="38"/>
                    <w:rPr>
                      <w:rFonts w:hint="default"/>
                      <w:b/>
                      <w:bCs/>
                    </w:rPr>
                  </w:pPr>
                  <w:r>
                    <w:rPr>
                      <w:rFonts w:hint="default"/>
                      <w:b/>
                      <w:bCs/>
                    </w:rPr>
                    <w:t>监测频次</w:t>
                  </w:r>
                </w:p>
              </w:tc>
            </w:tr>
            <w:tr w14:paraId="2AA95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679" w:type="pct"/>
                  <w:vMerge w:val="restart"/>
                  <w:tcBorders>
                    <w:tl2br w:val="nil"/>
                    <w:tr2bl w:val="nil"/>
                  </w:tcBorders>
                  <w:vAlign w:val="center"/>
                </w:tcPr>
                <w:p w14:paraId="70C154E6">
                  <w:pPr>
                    <w:jc w:val="center"/>
                  </w:pPr>
                  <w:r>
                    <w:rPr>
                      <w:rFonts w:hint="eastAsia"/>
                      <w:bCs/>
                    </w:rPr>
                    <w:t>地表水</w:t>
                  </w:r>
                </w:p>
              </w:tc>
              <w:tc>
                <w:tcPr>
                  <w:tcW w:w="1594" w:type="pct"/>
                  <w:vMerge w:val="restart"/>
                  <w:tcBorders>
                    <w:tl2br w:val="nil"/>
                    <w:tr2bl w:val="nil"/>
                  </w:tcBorders>
                  <w:vAlign w:val="center"/>
                </w:tcPr>
                <w:p w14:paraId="43E2FF5B">
                  <w:pPr>
                    <w:jc w:val="center"/>
                  </w:pPr>
                  <w:r>
                    <w:rPr>
                      <w:rFonts w:hint="eastAsia"/>
                      <w:szCs w:val="21"/>
                    </w:rPr>
                    <w:t>pH、溶解氧、化学需氧量、五日生化需氧量、氨氮、总磷、石油类、悬浮物</w:t>
                  </w:r>
                </w:p>
              </w:tc>
              <w:tc>
                <w:tcPr>
                  <w:tcW w:w="1210" w:type="pct"/>
                  <w:tcBorders>
                    <w:tl2br w:val="nil"/>
                    <w:tr2bl w:val="nil"/>
                  </w:tcBorders>
                  <w:vAlign w:val="center"/>
                </w:tcPr>
                <w:p w14:paraId="766B0D03">
                  <w:pPr>
                    <w:jc w:val="center"/>
                  </w:pPr>
                  <w:r>
                    <w:rPr>
                      <w:rFonts w:hint="eastAsia"/>
                      <w:szCs w:val="21"/>
                    </w:rPr>
                    <w:t>拆除危桥下游约20m断面</w:t>
                  </w:r>
                </w:p>
              </w:tc>
              <w:tc>
                <w:tcPr>
                  <w:tcW w:w="644" w:type="pct"/>
                  <w:tcBorders>
                    <w:tl2br w:val="nil"/>
                    <w:tr2bl w:val="nil"/>
                  </w:tcBorders>
                  <w:vAlign w:val="center"/>
                </w:tcPr>
                <w:p w14:paraId="03DF2CD2">
                  <w:pPr>
                    <w:jc w:val="center"/>
                    <w:rPr>
                      <w:szCs w:val="21"/>
                    </w:rPr>
                  </w:pPr>
                  <w:r>
                    <w:rPr>
                      <w:rFonts w:hint="eastAsia"/>
                      <w:szCs w:val="21"/>
                    </w:rPr>
                    <w:t>1#</w:t>
                  </w:r>
                </w:p>
              </w:tc>
              <w:tc>
                <w:tcPr>
                  <w:tcW w:w="871" w:type="pct"/>
                  <w:vMerge w:val="restart"/>
                  <w:tcBorders>
                    <w:tl2br w:val="nil"/>
                    <w:tr2bl w:val="nil"/>
                  </w:tcBorders>
                  <w:vAlign w:val="center"/>
                </w:tcPr>
                <w:p w14:paraId="23C72A2A">
                  <w:pPr>
                    <w:jc w:val="center"/>
                  </w:pPr>
                  <w:r>
                    <w:rPr>
                      <w:rFonts w:hint="eastAsia"/>
                      <w:szCs w:val="21"/>
                    </w:rPr>
                    <w:t>每天采样1次，</w:t>
                  </w:r>
                  <w:r>
                    <w:rPr>
                      <w:szCs w:val="21"/>
                    </w:rPr>
                    <w:t>采样</w:t>
                  </w:r>
                  <w:r>
                    <w:rPr>
                      <w:rFonts w:hint="eastAsia"/>
                      <w:szCs w:val="21"/>
                    </w:rPr>
                    <w:t>3</w:t>
                  </w:r>
                  <w:r>
                    <w:rPr>
                      <w:szCs w:val="21"/>
                    </w:rPr>
                    <w:t>天</w:t>
                  </w:r>
                </w:p>
              </w:tc>
            </w:tr>
            <w:tr w14:paraId="68A8E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679" w:type="pct"/>
                  <w:vMerge w:val="continue"/>
                  <w:tcBorders>
                    <w:tl2br w:val="nil"/>
                    <w:tr2bl w:val="nil"/>
                  </w:tcBorders>
                  <w:vAlign w:val="center"/>
                </w:tcPr>
                <w:p w14:paraId="3D97B644">
                  <w:pPr>
                    <w:jc w:val="center"/>
                  </w:pPr>
                </w:p>
              </w:tc>
              <w:tc>
                <w:tcPr>
                  <w:tcW w:w="1594" w:type="pct"/>
                  <w:vMerge w:val="continue"/>
                  <w:tcBorders>
                    <w:tl2br w:val="nil"/>
                    <w:tr2bl w:val="nil"/>
                  </w:tcBorders>
                  <w:vAlign w:val="center"/>
                </w:tcPr>
                <w:p w14:paraId="003828EC">
                  <w:pPr>
                    <w:jc w:val="center"/>
                  </w:pPr>
                </w:p>
              </w:tc>
              <w:tc>
                <w:tcPr>
                  <w:tcW w:w="1210" w:type="pct"/>
                  <w:tcBorders>
                    <w:tl2br w:val="nil"/>
                    <w:tr2bl w:val="nil"/>
                  </w:tcBorders>
                  <w:vAlign w:val="center"/>
                </w:tcPr>
                <w:p w14:paraId="05868D86">
                  <w:pPr>
                    <w:jc w:val="center"/>
                    <w:rPr>
                      <w:szCs w:val="21"/>
                    </w:rPr>
                  </w:pPr>
                  <w:r>
                    <w:rPr>
                      <w:rFonts w:hint="eastAsia"/>
                      <w:szCs w:val="21"/>
                    </w:rPr>
                    <w:t>河道终点下游100m处断面</w:t>
                  </w:r>
                </w:p>
              </w:tc>
              <w:tc>
                <w:tcPr>
                  <w:tcW w:w="644" w:type="pct"/>
                  <w:tcBorders>
                    <w:tl2br w:val="nil"/>
                    <w:tr2bl w:val="nil"/>
                  </w:tcBorders>
                  <w:vAlign w:val="center"/>
                </w:tcPr>
                <w:p w14:paraId="15F01278">
                  <w:pPr>
                    <w:jc w:val="center"/>
                    <w:rPr>
                      <w:szCs w:val="21"/>
                    </w:rPr>
                  </w:pPr>
                  <w:r>
                    <w:rPr>
                      <w:rFonts w:hint="eastAsia"/>
                      <w:szCs w:val="21"/>
                    </w:rPr>
                    <w:t>2#</w:t>
                  </w:r>
                </w:p>
              </w:tc>
              <w:tc>
                <w:tcPr>
                  <w:tcW w:w="871" w:type="pct"/>
                  <w:vMerge w:val="continue"/>
                  <w:tcBorders>
                    <w:tl2br w:val="nil"/>
                    <w:tr2bl w:val="nil"/>
                  </w:tcBorders>
                  <w:vAlign w:val="center"/>
                </w:tcPr>
                <w:p w14:paraId="36013DB4">
                  <w:pPr>
                    <w:jc w:val="center"/>
                    <w:rPr>
                      <w:szCs w:val="21"/>
                    </w:rPr>
                  </w:pPr>
                </w:p>
              </w:tc>
            </w:tr>
          </w:tbl>
          <w:p w14:paraId="32BAE96C">
            <w:pPr>
              <w:pStyle w:val="36"/>
              <w:ind w:firstLine="482"/>
              <w:rPr>
                <w:rFonts w:hint="default"/>
                <w:b/>
                <w:bCs/>
              </w:rPr>
            </w:pPr>
            <w:r>
              <w:rPr>
                <w:b/>
                <w:bCs/>
              </w:rPr>
              <w:t>②监测方法</w:t>
            </w:r>
          </w:p>
          <w:p w14:paraId="47998FCD">
            <w:pPr>
              <w:pStyle w:val="36"/>
              <w:ind w:firstLine="480"/>
              <w:rPr>
                <w:rFonts w:hint="default"/>
              </w:rPr>
            </w:pPr>
            <w:r>
              <w:t>监测项目的监测方法、使用仪器及检出限见下表。</w:t>
            </w:r>
          </w:p>
          <w:p w14:paraId="692E94D2">
            <w:pPr>
              <w:pStyle w:val="47"/>
              <w:numPr>
                <w:ilvl w:val="0"/>
                <w:numId w:val="26"/>
              </w:numPr>
              <w:spacing w:before="156"/>
            </w:pPr>
            <w:r>
              <w:rPr>
                <w:rFonts w:hint="eastAsia"/>
              </w:rPr>
              <w:t>监测方法、方法来源、使用仪器及检出限表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0"/>
              <w:gridCol w:w="1046"/>
              <w:gridCol w:w="2717"/>
              <w:gridCol w:w="2495"/>
              <w:gridCol w:w="1031"/>
            </w:tblGrid>
            <w:tr w14:paraId="344CD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3" w:type="pct"/>
                  <w:tcBorders>
                    <w:tl2br w:val="nil"/>
                    <w:tr2bl w:val="nil"/>
                  </w:tcBorders>
                  <w:vAlign w:val="center"/>
                </w:tcPr>
                <w:p w14:paraId="3B1024F7">
                  <w:pPr>
                    <w:pStyle w:val="38"/>
                    <w:rPr>
                      <w:rFonts w:hint="default"/>
                      <w:b/>
                      <w:bCs/>
                    </w:rPr>
                  </w:pPr>
                  <w:r>
                    <w:rPr>
                      <w:rFonts w:hint="default"/>
                      <w:b/>
                      <w:bCs/>
                    </w:rPr>
                    <w:t>监测类别</w:t>
                  </w:r>
                </w:p>
              </w:tc>
              <w:tc>
                <w:tcPr>
                  <w:tcW w:w="631" w:type="pct"/>
                  <w:tcBorders>
                    <w:tl2br w:val="nil"/>
                    <w:tr2bl w:val="nil"/>
                  </w:tcBorders>
                  <w:vAlign w:val="center"/>
                </w:tcPr>
                <w:p w14:paraId="7566E80D">
                  <w:pPr>
                    <w:pStyle w:val="38"/>
                    <w:rPr>
                      <w:rFonts w:hint="default"/>
                      <w:b/>
                      <w:bCs/>
                    </w:rPr>
                  </w:pPr>
                  <w:r>
                    <w:rPr>
                      <w:rFonts w:hint="default"/>
                      <w:b/>
                      <w:bCs/>
                    </w:rPr>
                    <w:t>监测项目</w:t>
                  </w:r>
                </w:p>
              </w:tc>
              <w:tc>
                <w:tcPr>
                  <w:tcW w:w="1638" w:type="pct"/>
                  <w:tcBorders>
                    <w:tl2br w:val="nil"/>
                    <w:tr2bl w:val="nil"/>
                  </w:tcBorders>
                  <w:vAlign w:val="center"/>
                </w:tcPr>
                <w:p w14:paraId="07E13024">
                  <w:pPr>
                    <w:pStyle w:val="38"/>
                    <w:rPr>
                      <w:rFonts w:hint="default"/>
                      <w:b/>
                      <w:bCs/>
                    </w:rPr>
                  </w:pPr>
                  <w:r>
                    <w:rPr>
                      <w:rFonts w:hint="default"/>
                      <w:b/>
                      <w:bCs/>
                    </w:rPr>
                    <w:t>监测方法</w:t>
                  </w:r>
                </w:p>
              </w:tc>
              <w:tc>
                <w:tcPr>
                  <w:tcW w:w="1504" w:type="pct"/>
                  <w:tcBorders>
                    <w:tl2br w:val="nil"/>
                    <w:tr2bl w:val="nil"/>
                  </w:tcBorders>
                  <w:vAlign w:val="center"/>
                </w:tcPr>
                <w:p w14:paraId="65007A77">
                  <w:pPr>
                    <w:pStyle w:val="38"/>
                    <w:rPr>
                      <w:rFonts w:hint="default"/>
                      <w:b/>
                      <w:bCs/>
                    </w:rPr>
                  </w:pPr>
                  <w:r>
                    <w:rPr>
                      <w:rFonts w:hint="default"/>
                      <w:b/>
                      <w:bCs/>
                    </w:rPr>
                    <w:t>使用仪器</w:t>
                  </w:r>
                </w:p>
              </w:tc>
              <w:tc>
                <w:tcPr>
                  <w:tcW w:w="622" w:type="pct"/>
                  <w:tcBorders>
                    <w:tl2br w:val="nil"/>
                    <w:tr2bl w:val="nil"/>
                  </w:tcBorders>
                  <w:vAlign w:val="center"/>
                </w:tcPr>
                <w:p w14:paraId="5E671992">
                  <w:pPr>
                    <w:pStyle w:val="38"/>
                    <w:rPr>
                      <w:rFonts w:hint="default"/>
                      <w:b/>
                      <w:bCs/>
                    </w:rPr>
                  </w:pPr>
                  <w:r>
                    <w:rPr>
                      <w:rFonts w:hint="default"/>
                      <w:b/>
                      <w:bCs/>
                    </w:rPr>
                    <w:t>检出限</w:t>
                  </w:r>
                </w:p>
              </w:tc>
            </w:tr>
            <w:tr w14:paraId="56295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3" w:type="pct"/>
                  <w:vMerge w:val="restart"/>
                  <w:tcBorders>
                    <w:tl2br w:val="nil"/>
                    <w:tr2bl w:val="nil"/>
                  </w:tcBorders>
                  <w:vAlign w:val="center"/>
                </w:tcPr>
                <w:p w14:paraId="02DDF042">
                  <w:pPr>
                    <w:jc w:val="center"/>
                    <w:rPr>
                      <w:szCs w:val="21"/>
                    </w:rPr>
                  </w:pPr>
                  <w:r>
                    <w:rPr>
                      <w:rFonts w:hint="eastAsia"/>
                      <w:szCs w:val="21"/>
                    </w:rPr>
                    <w:t>地表水</w:t>
                  </w:r>
                </w:p>
              </w:tc>
              <w:tc>
                <w:tcPr>
                  <w:tcW w:w="631" w:type="pct"/>
                  <w:tcBorders>
                    <w:tl2br w:val="nil"/>
                    <w:tr2bl w:val="nil"/>
                  </w:tcBorders>
                  <w:vAlign w:val="center"/>
                </w:tcPr>
                <w:p w14:paraId="1756C342">
                  <w:pPr>
                    <w:jc w:val="center"/>
                    <w:rPr>
                      <w:szCs w:val="21"/>
                    </w:rPr>
                  </w:pPr>
                  <w:r>
                    <w:rPr>
                      <w:rFonts w:hint="eastAsia"/>
                      <w:bCs/>
                      <w:szCs w:val="21"/>
                    </w:rPr>
                    <w:t>pH</w:t>
                  </w:r>
                </w:p>
              </w:tc>
              <w:tc>
                <w:tcPr>
                  <w:tcW w:w="1638" w:type="pct"/>
                  <w:tcBorders>
                    <w:tl2br w:val="nil"/>
                    <w:tr2bl w:val="nil"/>
                  </w:tcBorders>
                  <w:vAlign w:val="center"/>
                </w:tcPr>
                <w:p w14:paraId="768D860E">
                  <w:pPr>
                    <w:jc w:val="center"/>
                    <w:rPr>
                      <w:szCs w:val="21"/>
                    </w:rPr>
                  </w:pPr>
                  <w:r>
                    <w:rPr>
                      <w:rFonts w:hint="eastAsia"/>
                      <w:szCs w:val="21"/>
                    </w:rPr>
                    <w:t xml:space="preserve">水质pH值的测定 电极法 </w:t>
                  </w:r>
                </w:p>
                <w:p w14:paraId="2E5CB814">
                  <w:pPr>
                    <w:jc w:val="center"/>
                    <w:rPr>
                      <w:szCs w:val="21"/>
                    </w:rPr>
                  </w:pPr>
                  <w:r>
                    <w:rPr>
                      <w:rFonts w:hint="eastAsia"/>
                      <w:szCs w:val="21"/>
                    </w:rPr>
                    <w:t>HJ 1147-2020</w:t>
                  </w:r>
                </w:p>
              </w:tc>
              <w:tc>
                <w:tcPr>
                  <w:tcW w:w="1504" w:type="pct"/>
                  <w:tcBorders>
                    <w:tl2br w:val="nil"/>
                    <w:tr2bl w:val="nil"/>
                  </w:tcBorders>
                  <w:vAlign w:val="center"/>
                </w:tcPr>
                <w:p w14:paraId="360EADCF">
                  <w:pPr>
                    <w:jc w:val="center"/>
                    <w:rPr>
                      <w:szCs w:val="21"/>
                    </w:rPr>
                  </w:pPr>
                  <w:r>
                    <w:rPr>
                      <w:szCs w:val="21"/>
                    </w:rPr>
                    <w:t>PHBJ-260便携式pH 计SCQW-A</w:t>
                  </w:r>
                  <w:r>
                    <w:rPr>
                      <w:rFonts w:hint="eastAsia"/>
                      <w:szCs w:val="21"/>
                    </w:rPr>
                    <w:t>082</w:t>
                  </w:r>
                </w:p>
              </w:tc>
              <w:tc>
                <w:tcPr>
                  <w:tcW w:w="622" w:type="pct"/>
                  <w:tcBorders>
                    <w:tl2br w:val="nil"/>
                    <w:tr2bl w:val="nil"/>
                  </w:tcBorders>
                  <w:vAlign w:val="center"/>
                </w:tcPr>
                <w:p w14:paraId="6C2EB02B">
                  <w:pPr>
                    <w:jc w:val="center"/>
                    <w:rPr>
                      <w:szCs w:val="21"/>
                    </w:rPr>
                  </w:pPr>
                  <w:r>
                    <w:rPr>
                      <w:szCs w:val="21"/>
                    </w:rPr>
                    <w:t>/</w:t>
                  </w:r>
                </w:p>
              </w:tc>
            </w:tr>
            <w:tr w14:paraId="428E7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3" w:type="pct"/>
                  <w:vMerge w:val="continue"/>
                  <w:tcBorders>
                    <w:tl2br w:val="nil"/>
                    <w:tr2bl w:val="nil"/>
                  </w:tcBorders>
                  <w:vAlign w:val="center"/>
                </w:tcPr>
                <w:p w14:paraId="0AF70049">
                  <w:pPr>
                    <w:jc w:val="center"/>
                    <w:rPr>
                      <w:szCs w:val="21"/>
                    </w:rPr>
                  </w:pPr>
                </w:p>
              </w:tc>
              <w:tc>
                <w:tcPr>
                  <w:tcW w:w="631" w:type="pct"/>
                  <w:tcBorders>
                    <w:tl2br w:val="nil"/>
                    <w:tr2bl w:val="nil"/>
                  </w:tcBorders>
                  <w:vAlign w:val="center"/>
                </w:tcPr>
                <w:p w14:paraId="40D29E60">
                  <w:pPr>
                    <w:jc w:val="center"/>
                    <w:rPr>
                      <w:bCs/>
                      <w:szCs w:val="21"/>
                    </w:rPr>
                  </w:pPr>
                  <w:r>
                    <w:rPr>
                      <w:bCs/>
                      <w:szCs w:val="21"/>
                    </w:rPr>
                    <w:t>溶解氧</w:t>
                  </w:r>
                </w:p>
              </w:tc>
              <w:tc>
                <w:tcPr>
                  <w:tcW w:w="1638" w:type="pct"/>
                  <w:tcBorders>
                    <w:tl2br w:val="nil"/>
                    <w:tr2bl w:val="nil"/>
                  </w:tcBorders>
                  <w:vAlign w:val="center"/>
                </w:tcPr>
                <w:p w14:paraId="6B12A901">
                  <w:pPr>
                    <w:jc w:val="center"/>
                    <w:rPr>
                      <w:szCs w:val="21"/>
                    </w:rPr>
                  </w:pPr>
                  <w:r>
                    <w:rPr>
                      <w:szCs w:val="21"/>
                    </w:rPr>
                    <w:t>水质 溶解氧的测定 电化学探头法</w:t>
                  </w:r>
                  <w:r>
                    <w:rPr>
                      <w:rFonts w:hint="eastAsia"/>
                      <w:szCs w:val="21"/>
                    </w:rPr>
                    <w:t xml:space="preserve"> </w:t>
                  </w:r>
                  <w:r>
                    <w:rPr>
                      <w:szCs w:val="21"/>
                    </w:rPr>
                    <w:t>HJ 506-2009</w:t>
                  </w:r>
                </w:p>
              </w:tc>
              <w:tc>
                <w:tcPr>
                  <w:tcW w:w="1504" w:type="pct"/>
                  <w:tcBorders>
                    <w:tl2br w:val="nil"/>
                    <w:tr2bl w:val="nil"/>
                  </w:tcBorders>
                  <w:vAlign w:val="center"/>
                </w:tcPr>
                <w:p w14:paraId="45EA8D4A">
                  <w:pPr>
                    <w:jc w:val="center"/>
                    <w:rPr>
                      <w:szCs w:val="21"/>
                    </w:rPr>
                  </w:pPr>
                  <w:r>
                    <w:rPr>
                      <w:szCs w:val="21"/>
                    </w:rPr>
                    <w:t>JPBJ-608便携式溶解氧仪SCQW-A02</w:t>
                  </w:r>
                  <w:r>
                    <w:rPr>
                      <w:rFonts w:hint="eastAsia"/>
                      <w:szCs w:val="21"/>
                    </w:rPr>
                    <w:t>6</w:t>
                  </w:r>
                </w:p>
              </w:tc>
              <w:tc>
                <w:tcPr>
                  <w:tcW w:w="622" w:type="pct"/>
                  <w:tcBorders>
                    <w:tl2br w:val="nil"/>
                    <w:tr2bl w:val="nil"/>
                  </w:tcBorders>
                  <w:vAlign w:val="center"/>
                </w:tcPr>
                <w:p w14:paraId="523B2886">
                  <w:pPr>
                    <w:widowControl/>
                    <w:jc w:val="center"/>
                    <w:textAlignment w:val="center"/>
                    <w:rPr>
                      <w:szCs w:val="21"/>
                    </w:rPr>
                  </w:pPr>
                  <w:r>
                    <w:rPr>
                      <w:szCs w:val="21"/>
                    </w:rPr>
                    <w:t>/</w:t>
                  </w:r>
                </w:p>
              </w:tc>
            </w:tr>
            <w:tr w14:paraId="272FE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3" w:type="pct"/>
                  <w:vMerge w:val="continue"/>
                  <w:tcBorders>
                    <w:tl2br w:val="nil"/>
                    <w:tr2bl w:val="nil"/>
                  </w:tcBorders>
                  <w:vAlign w:val="center"/>
                </w:tcPr>
                <w:p w14:paraId="6DB645E0">
                  <w:pPr>
                    <w:jc w:val="center"/>
                    <w:rPr>
                      <w:szCs w:val="21"/>
                    </w:rPr>
                  </w:pPr>
                </w:p>
              </w:tc>
              <w:tc>
                <w:tcPr>
                  <w:tcW w:w="631" w:type="pct"/>
                  <w:tcBorders>
                    <w:tl2br w:val="nil"/>
                    <w:tr2bl w:val="nil"/>
                  </w:tcBorders>
                  <w:vAlign w:val="center"/>
                </w:tcPr>
                <w:p w14:paraId="04A390F9">
                  <w:pPr>
                    <w:jc w:val="center"/>
                    <w:rPr>
                      <w:bCs/>
                      <w:szCs w:val="21"/>
                    </w:rPr>
                  </w:pPr>
                  <w:r>
                    <w:rPr>
                      <w:rFonts w:hint="eastAsia"/>
                    </w:rPr>
                    <w:t>化学需氧量</w:t>
                  </w:r>
                </w:p>
              </w:tc>
              <w:tc>
                <w:tcPr>
                  <w:tcW w:w="1638" w:type="pct"/>
                  <w:tcBorders>
                    <w:tl2br w:val="nil"/>
                    <w:tr2bl w:val="nil"/>
                  </w:tcBorders>
                  <w:vAlign w:val="center"/>
                </w:tcPr>
                <w:p w14:paraId="11FD57D5">
                  <w:pPr>
                    <w:jc w:val="center"/>
                    <w:rPr>
                      <w:szCs w:val="21"/>
                    </w:rPr>
                  </w:pPr>
                  <w:r>
                    <w:rPr>
                      <w:rFonts w:hint="eastAsia"/>
                      <w:szCs w:val="21"/>
                    </w:rPr>
                    <w:t>水质 化学需氧量的测定 重铬酸盐法 HJ 828-2017</w:t>
                  </w:r>
                </w:p>
              </w:tc>
              <w:tc>
                <w:tcPr>
                  <w:tcW w:w="1504" w:type="pct"/>
                  <w:tcBorders>
                    <w:tl2br w:val="nil"/>
                    <w:tr2bl w:val="nil"/>
                  </w:tcBorders>
                  <w:vAlign w:val="center"/>
                </w:tcPr>
                <w:p w14:paraId="3F1F42C6">
                  <w:pPr>
                    <w:jc w:val="center"/>
                    <w:rPr>
                      <w:szCs w:val="21"/>
                    </w:rPr>
                  </w:pPr>
                  <w:r>
                    <w:rPr>
                      <w:kern w:val="0"/>
                      <w:szCs w:val="21"/>
                    </w:rPr>
                    <w:t>6B-12S型COD消解仪SCQW-B009</w:t>
                  </w:r>
                </w:p>
              </w:tc>
              <w:tc>
                <w:tcPr>
                  <w:tcW w:w="622" w:type="pct"/>
                  <w:tcBorders>
                    <w:tl2br w:val="nil"/>
                    <w:tr2bl w:val="nil"/>
                  </w:tcBorders>
                  <w:vAlign w:val="center"/>
                </w:tcPr>
                <w:p w14:paraId="2D5168D8">
                  <w:pPr>
                    <w:jc w:val="center"/>
                    <w:rPr>
                      <w:szCs w:val="21"/>
                    </w:rPr>
                  </w:pPr>
                  <w:r>
                    <w:rPr>
                      <w:color w:val="000000"/>
                      <w:szCs w:val="21"/>
                    </w:rPr>
                    <w:t>4mg/L</w:t>
                  </w:r>
                </w:p>
              </w:tc>
            </w:tr>
            <w:tr w14:paraId="63AFC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3" w:type="pct"/>
                  <w:vMerge w:val="continue"/>
                  <w:tcBorders>
                    <w:tl2br w:val="nil"/>
                    <w:tr2bl w:val="nil"/>
                  </w:tcBorders>
                  <w:vAlign w:val="center"/>
                </w:tcPr>
                <w:p w14:paraId="72F6BD01">
                  <w:pPr>
                    <w:jc w:val="center"/>
                    <w:rPr>
                      <w:szCs w:val="21"/>
                    </w:rPr>
                  </w:pPr>
                </w:p>
              </w:tc>
              <w:tc>
                <w:tcPr>
                  <w:tcW w:w="631" w:type="pct"/>
                  <w:tcBorders>
                    <w:tl2br w:val="nil"/>
                    <w:tr2bl w:val="nil"/>
                  </w:tcBorders>
                  <w:vAlign w:val="center"/>
                </w:tcPr>
                <w:p w14:paraId="7EBDC466">
                  <w:pPr>
                    <w:jc w:val="center"/>
                  </w:pPr>
                  <w:r>
                    <w:rPr>
                      <w:rFonts w:hint="eastAsia"/>
                    </w:rPr>
                    <w:t>五日生化需氧量</w:t>
                  </w:r>
                </w:p>
              </w:tc>
              <w:tc>
                <w:tcPr>
                  <w:tcW w:w="1638" w:type="pct"/>
                  <w:tcBorders>
                    <w:tl2br w:val="nil"/>
                    <w:tr2bl w:val="nil"/>
                  </w:tcBorders>
                  <w:vAlign w:val="center"/>
                </w:tcPr>
                <w:p w14:paraId="512472C4">
                  <w:pPr>
                    <w:jc w:val="center"/>
                    <w:rPr>
                      <w:szCs w:val="21"/>
                    </w:rPr>
                  </w:pPr>
                  <w:r>
                    <w:rPr>
                      <w:szCs w:val="21"/>
                    </w:rPr>
                    <w:t>水质 五日生化需氧量（BOD5）的测定 稀释与接种法 HJ 505-2009</w:t>
                  </w:r>
                </w:p>
              </w:tc>
              <w:tc>
                <w:tcPr>
                  <w:tcW w:w="1504" w:type="pct"/>
                  <w:tcBorders>
                    <w:tl2br w:val="nil"/>
                    <w:tr2bl w:val="nil"/>
                  </w:tcBorders>
                  <w:vAlign w:val="center"/>
                </w:tcPr>
                <w:p w14:paraId="7E53B0D3">
                  <w:pPr>
                    <w:jc w:val="center"/>
                    <w:rPr>
                      <w:kern w:val="0"/>
                      <w:szCs w:val="21"/>
                    </w:rPr>
                  </w:pPr>
                  <w:r>
                    <w:rPr>
                      <w:szCs w:val="21"/>
                    </w:rPr>
                    <w:t>SHP-250生化培养箱SCQW-B019；JPSJ-605F溶解氧仪SCQW-</w:t>
                  </w:r>
                  <w:r>
                    <w:rPr>
                      <w:rFonts w:hint="eastAsia"/>
                      <w:szCs w:val="21"/>
                    </w:rPr>
                    <w:t>B</w:t>
                  </w:r>
                  <w:r>
                    <w:rPr>
                      <w:szCs w:val="21"/>
                    </w:rPr>
                    <w:t>0</w:t>
                  </w:r>
                  <w:r>
                    <w:rPr>
                      <w:rFonts w:hint="eastAsia"/>
                      <w:szCs w:val="21"/>
                    </w:rPr>
                    <w:t>95</w:t>
                  </w:r>
                </w:p>
              </w:tc>
              <w:tc>
                <w:tcPr>
                  <w:tcW w:w="622" w:type="pct"/>
                  <w:tcBorders>
                    <w:tl2br w:val="nil"/>
                    <w:tr2bl w:val="nil"/>
                  </w:tcBorders>
                  <w:vAlign w:val="center"/>
                </w:tcPr>
                <w:p w14:paraId="6BB396DF">
                  <w:pPr>
                    <w:tabs>
                      <w:tab w:val="left" w:pos="5668"/>
                    </w:tabs>
                    <w:jc w:val="center"/>
                    <w:rPr>
                      <w:color w:val="000000"/>
                      <w:szCs w:val="21"/>
                    </w:rPr>
                  </w:pPr>
                  <w:r>
                    <w:rPr>
                      <w:szCs w:val="21"/>
                    </w:rPr>
                    <w:t>0.5</w:t>
                  </w:r>
                  <w:r>
                    <w:rPr>
                      <w:color w:val="000000"/>
                      <w:szCs w:val="21"/>
                    </w:rPr>
                    <w:t>mg/L</w:t>
                  </w:r>
                </w:p>
              </w:tc>
            </w:tr>
            <w:tr w14:paraId="25A3E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3" w:type="pct"/>
                  <w:vMerge w:val="continue"/>
                  <w:tcBorders>
                    <w:tl2br w:val="nil"/>
                    <w:tr2bl w:val="nil"/>
                  </w:tcBorders>
                  <w:vAlign w:val="center"/>
                </w:tcPr>
                <w:p w14:paraId="6A2067F0">
                  <w:pPr>
                    <w:jc w:val="center"/>
                    <w:rPr>
                      <w:szCs w:val="21"/>
                    </w:rPr>
                  </w:pPr>
                </w:p>
              </w:tc>
              <w:tc>
                <w:tcPr>
                  <w:tcW w:w="631" w:type="pct"/>
                  <w:tcBorders>
                    <w:tl2br w:val="nil"/>
                    <w:tr2bl w:val="nil"/>
                  </w:tcBorders>
                  <w:vAlign w:val="center"/>
                </w:tcPr>
                <w:p w14:paraId="78405739">
                  <w:pPr>
                    <w:jc w:val="center"/>
                  </w:pPr>
                  <w:r>
                    <w:rPr>
                      <w:rFonts w:hint="eastAsia"/>
                    </w:rPr>
                    <w:t>氨氮</w:t>
                  </w:r>
                </w:p>
              </w:tc>
              <w:tc>
                <w:tcPr>
                  <w:tcW w:w="1638" w:type="pct"/>
                  <w:tcBorders>
                    <w:tl2br w:val="nil"/>
                    <w:tr2bl w:val="nil"/>
                  </w:tcBorders>
                  <w:vAlign w:val="center"/>
                </w:tcPr>
                <w:p w14:paraId="575F1B45">
                  <w:pPr>
                    <w:jc w:val="center"/>
                    <w:rPr>
                      <w:szCs w:val="21"/>
                    </w:rPr>
                  </w:pPr>
                  <w:r>
                    <w:rPr>
                      <w:rFonts w:hint="eastAsia"/>
                      <w:szCs w:val="21"/>
                    </w:rPr>
                    <w:t>水质 氨氮的测定 纳氏试剂分光光度法 HJ 535-2009</w:t>
                  </w:r>
                </w:p>
              </w:tc>
              <w:tc>
                <w:tcPr>
                  <w:tcW w:w="1504" w:type="pct"/>
                  <w:vMerge w:val="restart"/>
                  <w:tcBorders>
                    <w:tl2br w:val="nil"/>
                    <w:tr2bl w:val="nil"/>
                  </w:tcBorders>
                  <w:vAlign w:val="center"/>
                </w:tcPr>
                <w:p w14:paraId="76A5FFC1">
                  <w:pPr>
                    <w:jc w:val="center"/>
                    <w:rPr>
                      <w:kern w:val="0"/>
                      <w:szCs w:val="21"/>
                    </w:rPr>
                  </w:pPr>
                  <w:r>
                    <w:rPr>
                      <w:szCs w:val="21"/>
                    </w:rPr>
                    <w:t>UV-1800PC型紫外可见分光光度计SCQW-B013</w:t>
                  </w:r>
                </w:p>
              </w:tc>
              <w:tc>
                <w:tcPr>
                  <w:tcW w:w="622" w:type="pct"/>
                  <w:tcBorders>
                    <w:tl2br w:val="nil"/>
                    <w:tr2bl w:val="nil"/>
                  </w:tcBorders>
                  <w:vAlign w:val="center"/>
                </w:tcPr>
                <w:p w14:paraId="59517936">
                  <w:pPr>
                    <w:jc w:val="center"/>
                    <w:rPr>
                      <w:color w:val="000000"/>
                      <w:szCs w:val="21"/>
                    </w:rPr>
                  </w:pPr>
                  <w:r>
                    <w:rPr>
                      <w:szCs w:val="21"/>
                    </w:rPr>
                    <w:t>0.025mg/L</w:t>
                  </w:r>
                </w:p>
              </w:tc>
            </w:tr>
            <w:tr w14:paraId="7B4AA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3" w:type="pct"/>
                  <w:vMerge w:val="continue"/>
                  <w:tcBorders>
                    <w:tl2br w:val="nil"/>
                    <w:tr2bl w:val="nil"/>
                  </w:tcBorders>
                  <w:vAlign w:val="center"/>
                </w:tcPr>
                <w:p w14:paraId="1CF7DABA">
                  <w:pPr>
                    <w:jc w:val="center"/>
                    <w:rPr>
                      <w:szCs w:val="21"/>
                    </w:rPr>
                  </w:pPr>
                </w:p>
              </w:tc>
              <w:tc>
                <w:tcPr>
                  <w:tcW w:w="631" w:type="pct"/>
                  <w:tcBorders>
                    <w:tl2br w:val="nil"/>
                    <w:tr2bl w:val="nil"/>
                  </w:tcBorders>
                  <w:vAlign w:val="center"/>
                </w:tcPr>
                <w:p w14:paraId="6B8EE45D">
                  <w:pPr>
                    <w:jc w:val="center"/>
                  </w:pPr>
                  <w:r>
                    <w:rPr>
                      <w:rFonts w:hint="eastAsia"/>
                    </w:rPr>
                    <w:t>总磷</w:t>
                  </w:r>
                </w:p>
              </w:tc>
              <w:tc>
                <w:tcPr>
                  <w:tcW w:w="1638" w:type="pct"/>
                  <w:tcBorders>
                    <w:tl2br w:val="nil"/>
                    <w:tr2bl w:val="nil"/>
                  </w:tcBorders>
                  <w:vAlign w:val="center"/>
                </w:tcPr>
                <w:p w14:paraId="63DBB8F9">
                  <w:pPr>
                    <w:jc w:val="center"/>
                    <w:rPr>
                      <w:szCs w:val="21"/>
                    </w:rPr>
                  </w:pPr>
                  <w:r>
                    <w:rPr>
                      <w:rFonts w:hint="eastAsia"/>
                      <w:szCs w:val="21"/>
                    </w:rPr>
                    <w:t>水质 总磷的测定 钼酸铵分光光度法 GB 11893-1989</w:t>
                  </w:r>
                </w:p>
              </w:tc>
              <w:tc>
                <w:tcPr>
                  <w:tcW w:w="1504" w:type="pct"/>
                  <w:vMerge w:val="continue"/>
                  <w:tcBorders>
                    <w:tl2br w:val="nil"/>
                    <w:tr2bl w:val="nil"/>
                  </w:tcBorders>
                  <w:vAlign w:val="center"/>
                </w:tcPr>
                <w:p w14:paraId="7F540597">
                  <w:pPr>
                    <w:jc w:val="center"/>
                    <w:rPr>
                      <w:kern w:val="0"/>
                      <w:szCs w:val="21"/>
                    </w:rPr>
                  </w:pPr>
                </w:p>
              </w:tc>
              <w:tc>
                <w:tcPr>
                  <w:tcW w:w="622" w:type="pct"/>
                  <w:tcBorders>
                    <w:tl2br w:val="nil"/>
                    <w:tr2bl w:val="nil"/>
                  </w:tcBorders>
                  <w:vAlign w:val="center"/>
                </w:tcPr>
                <w:p w14:paraId="55676997">
                  <w:pPr>
                    <w:jc w:val="center"/>
                    <w:rPr>
                      <w:color w:val="000000"/>
                      <w:szCs w:val="21"/>
                    </w:rPr>
                  </w:pPr>
                  <w:r>
                    <w:rPr>
                      <w:rFonts w:hint="eastAsia"/>
                      <w:szCs w:val="21"/>
                    </w:rPr>
                    <w:t>0.01</w:t>
                  </w:r>
                  <w:r>
                    <w:rPr>
                      <w:szCs w:val="21"/>
                    </w:rPr>
                    <w:t>mg/L</w:t>
                  </w:r>
                </w:p>
              </w:tc>
            </w:tr>
            <w:tr w14:paraId="0931B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3" w:type="pct"/>
                  <w:vMerge w:val="continue"/>
                  <w:tcBorders>
                    <w:tl2br w:val="nil"/>
                    <w:tr2bl w:val="nil"/>
                  </w:tcBorders>
                  <w:vAlign w:val="center"/>
                </w:tcPr>
                <w:p w14:paraId="7A642FBF">
                  <w:pPr>
                    <w:jc w:val="center"/>
                    <w:rPr>
                      <w:szCs w:val="21"/>
                    </w:rPr>
                  </w:pPr>
                </w:p>
              </w:tc>
              <w:tc>
                <w:tcPr>
                  <w:tcW w:w="631" w:type="pct"/>
                  <w:tcBorders>
                    <w:tl2br w:val="nil"/>
                    <w:tr2bl w:val="nil"/>
                  </w:tcBorders>
                  <w:vAlign w:val="center"/>
                </w:tcPr>
                <w:p w14:paraId="70889AE9">
                  <w:pPr>
                    <w:jc w:val="center"/>
                  </w:pPr>
                  <w:r>
                    <w:rPr>
                      <w:rFonts w:hint="eastAsia"/>
                    </w:rPr>
                    <w:t>石油类</w:t>
                  </w:r>
                </w:p>
              </w:tc>
              <w:tc>
                <w:tcPr>
                  <w:tcW w:w="1638" w:type="pct"/>
                  <w:tcBorders>
                    <w:tl2br w:val="nil"/>
                    <w:tr2bl w:val="nil"/>
                  </w:tcBorders>
                  <w:vAlign w:val="center"/>
                </w:tcPr>
                <w:p w14:paraId="43ABC578">
                  <w:pPr>
                    <w:jc w:val="center"/>
                    <w:rPr>
                      <w:szCs w:val="21"/>
                    </w:rPr>
                  </w:pPr>
                  <w:r>
                    <w:t>水质 石油类的测定 紫外分光光度法 HJ 970-2018</w:t>
                  </w:r>
                </w:p>
              </w:tc>
              <w:tc>
                <w:tcPr>
                  <w:tcW w:w="1504" w:type="pct"/>
                  <w:vMerge w:val="continue"/>
                  <w:tcBorders>
                    <w:tl2br w:val="nil"/>
                    <w:tr2bl w:val="nil"/>
                  </w:tcBorders>
                  <w:vAlign w:val="center"/>
                </w:tcPr>
                <w:p w14:paraId="2FC36AEE">
                  <w:pPr>
                    <w:pStyle w:val="14"/>
                    <w:snapToGrid w:val="0"/>
                    <w:jc w:val="center"/>
                    <w:rPr>
                      <w:rFonts w:ascii="Times New Roman" w:hAnsi="Times New Roman"/>
                      <w:kern w:val="0"/>
                      <w:sz w:val="21"/>
                      <w:szCs w:val="21"/>
                    </w:rPr>
                  </w:pPr>
                </w:p>
              </w:tc>
              <w:tc>
                <w:tcPr>
                  <w:tcW w:w="622" w:type="pct"/>
                  <w:tcBorders>
                    <w:tl2br w:val="nil"/>
                    <w:tr2bl w:val="nil"/>
                  </w:tcBorders>
                  <w:vAlign w:val="center"/>
                </w:tcPr>
                <w:p w14:paraId="76E9FA3C">
                  <w:pPr>
                    <w:jc w:val="center"/>
                    <w:rPr>
                      <w:color w:val="000000"/>
                      <w:szCs w:val="21"/>
                    </w:rPr>
                  </w:pPr>
                  <w:r>
                    <w:rPr>
                      <w:szCs w:val="21"/>
                    </w:rPr>
                    <w:t>0.01mg/L</w:t>
                  </w:r>
                </w:p>
              </w:tc>
            </w:tr>
            <w:tr w14:paraId="621EF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3" w:type="pct"/>
                  <w:vMerge w:val="continue"/>
                  <w:tcBorders>
                    <w:tl2br w:val="nil"/>
                    <w:tr2bl w:val="nil"/>
                  </w:tcBorders>
                  <w:vAlign w:val="center"/>
                </w:tcPr>
                <w:p w14:paraId="5464C002">
                  <w:pPr>
                    <w:jc w:val="center"/>
                    <w:rPr>
                      <w:szCs w:val="21"/>
                    </w:rPr>
                  </w:pPr>
                </w:p>
              </w:tc>
              <w:tc>
                <w:tcPr>
                  <w:tcW w:w="631" w:type="pct"/>
                  <w:tcBorders>
                    <w:tl2br w:val="nil"/>
                    <w:tr2bl w:val="nil"/>
                  </w:tcBorders>
                  <w:vAlign w:val="center"/>
                </w:tcPr>
                <w:p w14:paraId="3826F255">
                  <w:pPr>
                    <w:jc w:val="center"/>
                  </w:pPr>
                  <w:r>
                    <w:rPr>
                      <w:rFonts w:hint="eastAsia"/>
                    </w:rPr>
                    <w:t>悬浮物</w:t>
                  </w:r>
                </w:p>
              </w:tc>
              <w:tc>
                <w:tcPr>
                  <w:tcW w:w="1638" w:type="pct"/>
                  <w:tcBorders>
                    <w:tl2br w:val="nil"/>
                    <w:tr2bl w:val="nil"/>
                  </w:tcBorders>
                  <w:vAlign w:val="center"/>
                </w:tcPr>
                <w:p w14:paraId="492B660B">
                  <w:pPr>
                    <w:jc w:val="center"/>
                    <w:rPr>
                      <w:szCs w:val="21"/>
                    </w:rPr>
                  </w:pPr>
                  <w:r>
                    <w:rPr>
                      <w:rFonts w:hint="eastAsia"/>
                      <w:szCs w:val="21"/>
                    </w:rPr>
                    <w:t>水质 悬浮物的测定 重量法 GB 11901-1989</w:t>
                  </w:r>
                </w:p>
              </w:tc>
              <w:tc>
                <w:tcPr>
                  <w:tcW w:w="1504" w:type="pct"/>
                  <w:tcBorders>
                    <w:tl2br w:val="nil"/>
                    <w:tr2bl w:val="nil"/>
                  </w:tcBorders>
                  <w:vAlign w:val="center"/>
                </w:tcPr>
                <w:p w14:paraId="20F6928F">
                  <w:pPr>
                    <w:jc w:val="center"/>
                    <w:rPr>
                      <w:kern w:val="0"/>
                      <w:szCs w:val="21"/>
                    </w:rPr>
                  </w:pPr>
                  <w:r>
                    <w:rPr>
                      <w:kern w:val="0"/>
                      <w:szCs w:val="21"/>
                    </w:rPr>
                    <w:t>BSA124S型电子天平SCQW-B021</w:t>
                  </w:r>
                </w:p>
              </w:tc>
              <w:tc>
                <w:tcPr>
                  <w:tcW w:w="622" w:type="pct"/>
                  <w:tcBorders>
                    <w:tl2br w:val="nil"/>
                    <w:tr2bl w:val="nil"/>
                  </w:tcBorders>
                  <w:vAlign w:val="center"/>
                </w:tcPr>
                <w:p w14:paraId="2E613445">
                  <w:pPr>
                    <w:jc w:val="center"/>
                    <w:rPr>
                      <w:color w:val="000000"/>
                      <w:szCs w:val="21"/>
                    </w:rPr>
                  </w:pPr>
                  <w:r>
                    <w:rPr>
                      <w:bCs/>
                      <w:color w:val="000000"/>
                      <w:szCs w:val="21"/>
                    </w:rPr>
                    <w:t>/</w:t>
                  </w:r>
                </w:p>
              </w:tc>
            </w:tr>
          </w:tbl>
          <w:p w14:paraId="58F6ED8E">
            <w:pPr>
              <w:pStyle w:val="36"/>
              <w:ind w:firstLine="482"/>
              <w:rPr>
                <w:rFonts w:hint="default"/>
                <w:b/>
                <w:bCs/>
              </w:rPr>
            </w:pPr>
            <w:r>
              <w:rPr>
                <w:b/>
                <w:bCs/>
              </w:rPr>
              <w:t>③监测结果</w:t>
            </w:r>
          </w:p>
          <w:p w14:paraId="140434A9">
            <w:pPr>
              <w:pStyle w:val="36"/>
              <w:ind w:firstLine="480"/>
              <w:rPr>
                <w:rFonts w:hint="default"/>
              </w:rPr>
            </w:pPr>
            <w:r>
              <w:t>监测结果如下表。</w:t>
            </w:r>
          </w:p>
          <w:p w14:paraId="0064E33B">
            <w:pPr>
              <w:pStyle w:val="47"/>
              <w:numPr>
                <w:ilvl w:val="0"/>
                <w:numId w:val="26"/>
              </w:numPr>
              <w:spacing w:before="156"/>
            </w:pPr>
            <w:r>
              <w:rPr>
                <w:rFonts w:hint="eastAsia"/>
              </w:rPr>
              <w:t>监测结果</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115"/>
              <w:gridCol w:w="1244"/>
              <w:gridCol w:w="1049"/>
              <w:gridCol w:w="1379"/>
              <w:gridCol w:w="1182"/>
              <w:gridCol w:w="746"/>
              <w:gridCol w:w="711"/>
            </w:tblGrid>
            <w:tr w14:paraId="24F17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dxa"/>
                  <w:tcBorders>
                    <w:tl2br w:val="nil"/>
                    <w:tr2bl w:val="nil"/>
                  </w:tcBorders>
                  <w:vAlign w:val="center"/>
                </w:tcPr>
                <w:p w14:paraId="396E0BE0">
                  <w:pPr>
                    <w:pStyle w:val="38"/>
                    <w:rPr>
                      <w:rFonts w:hint="default"/>
                      <w:b/>
                      <w:bCs/>
                    </w:rPr>
                  </w:pPr>
                  <w:r>
                    <w:rPr>
                      <w:b/>
                      <w:bCs/>
                    </w:rPr>
                    <w:t>监测日期</w:t>
                  </w:r>
                </w:p>
              </w:tc>
              <w:tc>
                <w:tcPr>
                  <w:tcW w:w="1115" w:type="dxa"/>
                  <w:tcBorders>
                    <w:tl2br w:val="nil"/>
                    <w:tr2bl w:val="nil"/>
                  </w:tcBorders>
                  <w:vAlign w:val="center"/>
                </w:tcPr>
                <w:p w14:paraId="4DCA681E">
                  <w:pPr>
                    <w:pStyle w:val="38"/>
                    <w:rPr>
                      <w:rFonts w:hint="default"/>
                      <w:b/>
                      <w:bCs/>
                    </w:rPr>
                  </w:pPr>
                  <w:r>
                    <w:rPr>
                      <w:b/>
                      <w:bCs/>
                    </w:rPr>
                    <w:t>监测点位</w:t>
                  </w:r>
                </w:p>
              </w:tc>
              <w:tc>
                <w:tcPr>
                  <w:tcW w:w="1244" w:type="dxa"/>
                  <w:tcBorders>
                    <w:tl2br w:val="nil"/>
                    <w:tr2bl w:val="nil"/>
                  </w:tcBorders>
                  <w:vAlign w:val="center"/>
                </w:tcPr>
                <w:p w14:paraId="690923A8">
                  <w:pPr>
                    <w:pStyle w:val="38"/>
                    <w:rPr>
                      <w:rFonts w:hint="default"/>
                      <w:b/>
                      <w:bCs/>
                    </w:rPr>
                  </w:pPr>
                  <w:r>
                    <w:rPr>
                      <w:b/>
                      <w:bCs/>
                    </w:rPr>
                    <w:t>污染物</w:t>
                  </w:r>
                </w:p>
              </w:tc>
              <w:tc>
                <w:tcPr>
                  <w:tcW w:w="1049" w:type="dxa"/>
                  <w:tcBorders>
                    <w:tl2br w:val="nil"/>
                    <w:tr2bl w:val="nil"/>
                  </w:tcBorders>
                  <w:vAlign w:val="center"/>
                </w:tcPr>
                <w:p w14:paraId="1EA9DF4A">
                  <w:pPr>
                    <w:pStyle w:val="38"/>
                    <w:rPr>
                      <w:rFonts w:hint="default"/>
                      <w:b/>
                      <w:bCs/>
                    </w:rPr>
                  </w:pPr>
                  <w:r>
                    <w:rPr>
                      <w:b/>
                      <w:bCs/>
                    </w:rPr>
                    <w:t>评价标准mg/L</w:t>
                  </w:r>
                </w:p>
              </w:tc>
              <w:tc>
                <w:tcPr>
                  <w:tcW w:w="1379" w:type="dxa"/>
                  <w:tcBorders>
                    <w:tl2br w:val="nil"/>
                    <w:tr2bl w:val="nil"/>
                  </w:tcBorders>
                  <w:vAlign w:val="center"/>
                </w:tcPr>
                <w:p w14:paraId="75E7EC00">
                  <w:pPr>
                    <w:pStyle w:val="38"/>
                    <w:rPr>
                      <w:rFonts w:hint="default"/>
                      <w:b/>
                      <w:bCs/>
                    </w:rPr>
                  </w:pPr>
                  <w:r>
                    <w:rPr>
                      <w:b/>
                      <w:bCs/>
                    </w:rPr>
                    <w:t>浓度范围mg/L</w:t>
                  </w:r>
                </w:p>
              </w:tc>
              <w:tc>
                <w:tcPr>
                  <w:tcW w:w="1182" w:type="dxa"/>
                  <w:tcBorders>
                    <w:tl2br w:val="nil"/>
                    <w:tr2bl w:val="nil"/>
                  </w:tcBorders>
                  <w:vAlign w:val="center"/>
                </w:tcPr>
                <w:p w14:paraId="5D55BF33">
                  <w:pPr>
                    <w:pStyle w:val="38"/>
                    <w:rPr>
                      <w:rFonts w:hint="default"/>
                      <w:b/>
                      <w:bCs/>
                    </w:rPr>
                  </w:pPr>
                  <w:r>
                    <w:rPr>
                      <w:b/>
                      <w:bCs/>
                    </w:rPr>
                    <w:t>最大浓度占标率%</w:t>
                  </w:r>
                </w:p>
              </w:tc>
              <w:tc>
                <w:tcPr>
                  <w:tcW w:w="746" w:type="dxa"/>
                  <w:tcBorders>
                    <w:tl2br w:val="nil"/>
                    <w:tr2bl w:val="nil"/>
                  </w:tcBorders>
                  <w:vAlign w:val="center"/>
                </w:tcPr>
                <w:p w14:paraId="3D94E377">
                  <w:pPr>
                    <w:pStyle w:val="38"/>
                    <w:rPr>
                      <w:rFonts w:hint="default"/>
                      <w:b/>
                      <w:bCs/>
                    </w:rPr>
                  </w:pPr>
                  <w:r>
                    <w:rPr>
                      <w:b/>
                      <w:bCs/>
                    </w:rPr>
                    <w:t>超标率%</w:t>
                  </w:r>
                </w:p>
              </w:tc>
              <w:tc>
                <w:tcPr>
                  <w:tcW w:w="711" w:type="dxa"/>
                  <w:tcBorders>
                    <w:tl2br w:val="nil"/>
                    <w:tr2bl w:val="nil"/>
                  </w:tcBorders>
                  <w:vAlign w:val="center"/>
                </w:tcPr>
                <w:p w14:paraId="13E72134">
                  <w:pPr>
                    <w:pStyle w:val="38"/>
                    <w:rPr>
                      <w:rFonts w:hint="default"/>
                      <w:b/>
                      <w:bCs/>
                    </w:rPr>
                  </w:pPr>
                  <w:r>
                    <w:rPr>
                      <w:b/>
                      <w:bCs/>
                    </w:rPr>
                    <w:t>达标情况</w:t>
                  </w:r>
                </w:p>
              </w:tc>
            </w:tr>
            <w:tr w14:paraId="2597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dxa"/>
                  <w:vMerge w:val="restart"/>
                  <w:tcBorders>
                    <w:tl2br w:val="nil"/>
                    <w:tr2bl w:val="nil"/>
                  </w:tcBorders>
                  <w:vAlign w:val="center"/>
                </w:tcPr>
                <w:p w14:paraId="5EF9D81D">
                  <w:pPr>
                    <w:pStyle w:val="38"/>
                    <w:rPr>
                      <w:rFonts w:hint="default"/>
                    </w:rPr>
                  </w:pPr>
                  <w:r>
                    <w:t>2025.09.09-</w:t>
                  </w:r>
                </w:p>
                <w:p w14:paraId="31E4ACC6">
                  <w:pPr>
                    <w:pStyle w:val="38"/>
                    <w:rPr>
                      <w:rFonts w:hint="default"/>
                    </w:rPr>
                  </w:pPr>
                  <w:r>
                    <w:t>2025.09.11</w:t>
                  </w:r>
                </w:p>
              </w:tc>
              <w:tc>
                <w:tcPr>
                  <w:tcW w:w="1115" w:type="dxa"/>
                  <w:vMerge w:val="restart"/>
                  <w:tcBorders>
                    <w:tl2br w:val="nil"/>
                    <w:tr2bl w:val="nil"/>
                  </w:tcBorders>
                  <w:vAlign w:val="center"/>
                </w:tcPr>
                <w:p w14:paraId="2CC4F269">
                  <w:pPr>
                    <w:pStyle w:val="38"/>
                    <w:rPr>
                      <w:rFonts w:hint="default"/>
                    </w:rPr>
                  </w:pPr>
                  <w:r>
                    <w:t>1#（拆除危桥下游约20m断面）</w:t>
                  </w:r>
                </w:p>
              </w:tc>
              <w:tc>
                <w:tcPr>
                  <w:tcW w:w="1244" w:type="dxa"/>
                  <w:tcBorders>
                    <w:tl2br w:val="nil"/>
                    <w:tr2bl w:val="nil"/>
                  </w:tcBorders>
                  <w:vAlign w:val="center"/>
                </w:tcPr>
                <w:p w14:paraId="1A946EC1">
                  <w:pPr>
                    <w:jc w:val="center"/>
                    <w:rPr>
                      <w:szCs w:val="21"/>
                    </w:rPr>
                  </w:pPr>
                  <w:r>
                    <w:rPr>
                      <w:rFonts w:hint="eastAsia"/>
                      <w:bCs/>
                      <w:szCs w:val="21"/>
                    </w:rPr>
                    <w:t>pH（无量纲）</w:t>
                  </w:r>
                </w:p>
              </w:tc>
              <w:tc>
                <w:tcPr>
                  <w:tcW w:w="1049" w:type="dxa"/>
                  <w:tcBorders>
                    <w:tl2br w:val="nil"/>
                    <w:tr2bl w:val="nil"/>
                  </w:tcBorders>
                  <w:vAlign w:val="center"/>
                </w:tcPr>
                <w:p w14:paraId="4B6995F7">
                  <w:pPr>
                    <w:pStyle w:val="38"/>
                    <w:rPr>
                      <w:rFonts w:hint="default"/>
                    </w:rPr>
                  </w:pPr>
                  <w:r>
                    <w:t>6~9</w:t>
                  </w:r>
                </w:p>
              </w:tc>
              <w:tc>
                <w:tcPr>
                  <w:tcW w:w="1379" w:type="dxa"/>
                  <w:tcBorders>
                    <w:tl2br w:val="nil"/>
                    <w:tr2bl w:val="nil"/>
                  </w:tcBorders>
                  <w:vAlign w:val="center"/>
                </w:tcPr>
                <w:p w14:paraId="2CAAF2E2">
                  <w:pPr>
                    <w:pStyle w:val="38"/>
                    <w:rPr>
                      <w:rFonts w:hint="default"/>
                    </w:rPr>
                  </w:pPr>
                  <w:r>
                    <w:t>7.2~7.3</w:t>
                  </w:r>
                </w:p>
              </w:tc>
              <w:tc>
                <w:tcPr>
                  <w:tcW w:w="1182" w:type="dxa"/>
                  <w:tcBorders>
                    <w:tl2br w:val="nil"/>
                    <w:tr2bl w:val="nil"/>
                  </w:tcBorders>
                  <w:vAlign w:val="center"/>
                </w:tcPr>
                <w:p w14:paraId="35348CE3">
                  <w:pPr>
                    <w:pStyle w:val="38"/>
                    <w:rPr>
                      <w:rFonts w:hint="default"/>
                    </w:rPr>
                  </w:pPr>
                  <w:r>
                    <w:t>/</w:t>
                  </w:r>
                </w:p>
              </w:tc>
              <w:tc>
                <w:tcPr>
                  <w:tcW w:w="746" w:type="dxa"/>
                  <w:tcBorders>
                    <w:tl2br w:val="nil"/>
                    <w:tr2bl w:val="nil"/>
                  </w:tcBorders>
                  <w:vAlign w:val="center"/>
                </w:tcPr>
                <w:p w14:paraId="3C0DB090">
                  <w:pPr>
                    <w:pStyle w:val="38"/>
                    <w:rPr>
                      <w:rFonts w:hint="default"/>
                    </w:rPr>
                  </w:pPr>
                  <w:r>
                    <w:t>/</w:t>
                  </w:r>
                </w:p>
              </w:tc>
              <w:tc>
                <w:tcPr>
                  <w:tcW w:w="711" w:type="dxa"/>
                  <w:tcBorders>
                    <w:tl2br w:val="nil"/>
                    <w:tr2bl w:val="nil"/>
                  </w:tcBorders>
                  <w:vAlign w:val="center"/>
                </w:tcPr>
                <w:p w14:paraId="743B64D1">
                  <w:pPr>
                    <w:pStyle w:val="38"/>
                    <w:rPr>
                      <w:rFonts w:hint="default"/>
                    </w:rPr>
                  </w:pPr>
                  <w:r>
                    <w:t>达标</w:t>
                  </w:r>
                </w:p>
              </w:tc>
            </w:tr>
            <w:tr w14:paraId="64BAC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dxa"/>
                  <w:vMerge w:val="continue"/>
                  <w:tcBorders>
                    <w:tl2br w:val="nil"/>
                    <w:tr2bl w:val="nil"/>
                  </w:tcBorders>
                  <w:vAlign w:val="center"/>
                </w:tcPr>
                <w:p w14:paraId="458814D7">
                  <w:pPr>
                    <w:pStyle w:val="38"/>
                    <w:rPr>
                      <w:rFonts w:hint="default"/>
                    </w:rPr>
                  </w:pPr>
                </w:p>
              </w:tc>
              <w:tc>
                <w:tcPr>
                  <w:tcW w:w="1115" w:type="dxa"/>
                  <w:vMerge w:val="continue"/>
                  <w:tcBorders>
                    <w:tl2br w:val="nil"/>
                    <w:tr2bl w:val="nil"/>
                  </w:tcBorders>
                  <w:vAlign w:val="center"/>
                </w:tcPr>
                <w:p w14:paraId="10944C48">
                  <w:pPr>
                    <w:pStyle w:val="38"/>
                    <w:rPr>
                      <w:rFonts w:hint="default"/>
                    </w:rPr>
                  </w:pPr>
                </w:p>
              </w:tc>
              <w:tc>
                <w:tcPr>
                  <w:tcW w:w="1244" w:type="dxa"/>
                  <w:tcBorders>
                    <w:tl2br w:val="nil"/>
                    <w:tr2bl w:val="nil"/>
                  </w:tcBorders>
                  <w:vAlign w:val="center"/>
                </w:tcPr>
                <w:p w14:paraId="243F2745">
                  <w:pPr>
                    <w:jc w:val="center"/>
                    <w:rPr>
                      <w:szCs w:val="21"/>
                    </w:rPr>
                  </w:pPr>
                  <w:r>
                    <w:rPr>
                      <w:bCs/>
                      <w:szCs w:val="21"/>
                    </w:rPr>
                    <w:t>溶解氧</w:t>
                  </w:r>
                </w:p>
              </w:tc>
              <w:tc>
                <w:tcPr>
                  <w:tcW w:w="1049" w:type="dxa"/>
                  <w:tcBorders>
                    <w:tl2br w:val="nil"/>
                    <w:tr2bl w:val="nil"/>
                  </w:tcBorders>
                  <w:vAlign w:val="center"/>
                </w:tcPr>
                <w:p w14:paraId="25D255FD">
                  <w:pPr>
                    <w:pStyle w:val="38"/>
                    <w:rPr>
                      <w:rFonts w:hint="default"/>
                    </w:rPr>
                  </w:pPr>
                  <w:r>
                    <w:t>≥5</w:t>
                  </w:r>
                </w:p>
              </w:tc>
              <w:tc>
                <w:tcPr>
                  <w:tcW w:w="1379" w:type="dxa"/>
                  <w:tcBorders>
                    <w:tl2br w:val="nil"/>
                    <w:tr2bl w:val="nil"/>
                  </w:tcBorders>
                  <w:vAlign w:val="center"/>
                </w:tcPr>
                <w:p w14:paraId="11398F2C">
                  <w:pPr>
                    <w:pStyle w:val="38"/>
                    <w:rPr>
                      <w:rFonts w:hint="default"/>
                    </w:rPr>
                  </w:pPr>
                  <w:r>
                    <w:t>6.5~6.8</w:t>
                  </w:r>
                </w:p>
              </w:tc>
              <w:tc>
                <w:tcPr>
                  <w:tcW w:w="1182" w:type="dxa"/>
                  <w:tcBorders>
                    <w:tl2br w:val="nil"/>
                    <w:tr2bl w:val="nil"/>
                  </w:tcBorders>
                  <w:vAlign w:val="center"/>
                </w:tcPr>
                <w:p w14:paraId="683650AA">
                  <w:pPr>
                    <w:pStyle w:val="38"/>
                    <w:rPr>
                      <w:rFonts w:hint="default"/>
                    </w:rPr>
                  </w:pPr>
                  <w:r>
                    <w:t>/</w:t>
                  </w:r>
                </w:p>
              </w:tc>
              <w:tc>
                <w:tcPr>
                  <w:tcW w:w="746" w:type="dxa"/>
                  <w:tcBorders>
                    <w:tl2br w:val="nil"/>
                    <w:tr2bl w:val="nil"/>
                  </w:tcBorders>
                  <w:vAlign w:val="center"/>
                </w:tcPr>
                <w:p w14:paraId="06C1871E">
                  <w:pPr>
                    <w:pStyle w:val="38"/>
                    <w:rPr>
                      <w:rFonts w:hint="default"/>
                    </w:rPr>
                  </w:pPr>
                  <w:r>
                    <w:t>/</w:t>
                  </w:r>
                </w:p>
              </w:tc>
              <w:tc>
                <w:tcPr>
                  <w:tcW w:w="711" w:type="dxa"/>
                  <w:tcBorders>
                    <w:tl2br w:val="nil"/>
                    <w:tr2bl w:val="nil"/>
                  </w:tcBorders>
                  <w:vAlign w:val="center"/>
                </w:tcPr>
                <w:p w14:paraId="496938F4">
                  <w:pPr>
                    <w:pStyle w:val="38"/>
                    <w:rPr>
                      <w:rFonts w:hint="default"/>
                    </w:rPr>
                  </w:pPr>
                  <w:r>
                    <w:t>达标</w:t>
                  </w:r>
                </w:p>
              </w:tc>
            </w:tr>
            <w:tr w14:paraId="614ED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dxa"/>
                  <w:vMerge w:val="continue"/>
                  <w:tcBorders>
                    <w:tl2br w:val="nil"/>
                    <w:tr2bl w:val="nil"/>
                  </w:tcBorders>
                  <w:vAlign w:val="center"/>
                </w:tcPr>
                <w:p w14:paraId="6C2B35B3">
                  <w:pPr>
                    <w:pStyle w:val="38"/>
                    <w:rPr>
                      <w:rFonts w:hint="default"/>
                    </w:rPr>
                  </w:pPr>
                </w:p>
              </w:tc>
              <w:tc>
                <w:tcPr>
                  <w:tcW w:w="1115" w:type="dxa"/>
                  <w:vMerge w:val="continue"/>
                  <w:tcBorders>
                    <w:tl2br w:val="nil"/>
                    <w:tr2bl w:val="nil"/>
                  </w:tcBorders>
                  <w:vAlign w:val="center"/>
                </w:tcPr>
                <w:p w14:paraId="50B7F283">
                  <w:pPr>
                    <w:pStyle w:val="38"/>
                    <w:rPr>
                      <w:rFonts w:hint="default"/>
                    </w:rPr>
                  </w:pPr>
                </w:p>
              </w:tc>
              <w:tc>
                <w:tcPr>
                  <w:tcW w:w="1244" w:type="dxa"/>
                  <w:tcBorders>
                    <w:tl2br w:val="nil"/>
                    <w:tr2bl w:val="nil"/>
                  </w:tcBorders>
                  <w:vAlign w:val="center"/>
                </w:tcPr>
                <w:p w14:paraId="3BDF6761">
                  <w:pPr>
                    <w:jc w:val="center"/>
                    <w:rPr>
                      <w:szCs w:val="21"/>
                    </w:rPr>
                  </w:pPr>
                  <w:r>
                    <w:rPr>
                      <w:rFonts w:hint="eastAsia"/>
                      <w:szCs w:val="21"/>
                    </w:rPr>
                    <w:t>化学需氧量</w:t>
                  </w:r>
                </w:p>
              </w:tc>
              <w:tc>
                <w:tcPr>
                  <w:tcW w:w="1049" w:type="dxa"/>
                  <w:tcBorders>
                    <w:tl2br w:val="nil"/>
                    <w:tr2bl w:val="nil"/>
                  </w:tcBorders>
                  <w:vAlign w:val="center"/>
                </w:tcPr>
                <w:p w14:paraId="048DBB46">
                  <w:pPr>
                    <w:pStyle w:val="38"/>
                    <w:rPr>
                      <w:rFonts w:hint="default"/>
                    </w:rPr>
                  </w:pPr>
                  <w:r>
                    <w:t>≤20</w:t>
                  </w:r>
                </w:p>
              </w:tc>
              <w:tc>
                <w:tcPr>
                  <w:tcW w:w="1379" w:type="dxa"/>
                  <w:tcBorders>
                    <w:tl2br w:val="nil"/>
                    <w:tr2bl w:val="nil"/>
                  </w:tcBorders>
                  <w:vAlign w:val="center"/>
                </w:tcPr>
                <w:p w14:paraId="4C562766">
                  <w:pPr>
                    <w:pStyle w:val="38"/>
                    <w:rPr>
                      <w:rFonts w:hint="default"/>
                    </w:rPr>
                  </w:pPr>
                  <w:r>
                    <w:t>13~16</w:t>
                  </w:r>
                </w:p>
              </w:tc>
              <w:tc>
                <w:tcPr>
                  <w:tcW w:w="1182" w:type="dxa"/>
                  <w:tcBorders>
                    <w:tl2br w:val="nil"/>
                    <w:tr2bl w:val="nil"/>
                  </w:tcBorders>
                  <w:vAlign w:val="center"/>
                </w:tcPr>
                <w:p w14:paraId="20324C06">
                  <w:pPr>
                    <w:pStyle w:val="38"/>
                    <w:rPr>
                      <w:rFonts w:hint="default"/>
                    </w:rPr>
                  </w:pPr>
                  <w:r>
                    <w:t>80</w:t>
                  </w:r>
                </w:p>
              </w:tc>
              <w:tc>
                <w:tcPr>
                  <w:tcW w:w="746" w:type="dxa"/>
                  <w:tcBorders>
                    <w:tl2br w:val="nil"/>
                    <w:tr2bl w:val="nil"/>
                  </w:tcBorders>
                  <w:vAlign w:val="center"/>
                </w:tcPr>
                <w:p w14:paraId="449B3F19">
                  <w:pPr>
                    <w:pStyle w:val="38"/>
                    <w:rPr>
                      <w:rFonts w:hint="default"/>
                    </w:rPr>
                  </w:pPr>
                  <w:r>
                    <w:t>0</w:t>
                  </w:r>
                </w:p>
              </w:tc>
              <w:tc>
                <w:tcPr>
                  <w:tcW w:w="711" w:type="dxa"/>
                  <w:tcBorders>
                    <w:tl2br w:val="nil"/>
                    <w:tr2bl w:val="nil"/>
                  </w:tcBorders>
                  <w:vAlign w:val="center"/>
                </w:tcPr>
                <w:p w14:paraId="12D06F69">
                  <w:pPr>
                    <w:pStyle w:val="38"/>
                    <w:rPr>
                      <w:rFonts w:hint="default"/>
                    </w:rPr>
                  </w:pPr>
                  <w:r>
                    <w:t>达标</w:t>
                  </w:r>
                </w:p>
              </w:tc>
            </w:tr>
            <w:tr w14:paraId="2F681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dxa"/>
                  <w:vMerge w:val="continue"/>
                  <w:tcBorders>
                    <w:tl2br w:val="nil"/>
                    <w:tr2bl w:val="nil"/>
                  </w:tcBorders>
                  <w:vAlign w:val="center"/>
                </w:tcPr>
                <w:p w14:paraId="2828016F">
                  <w:pPr>
                    <w:pStyle w:val="38"/>
                    <w:rPr>
                      <w:rFonts w:hint="default"/>
                    </w:rPr>
                  </w:pPr>
                </w:p>
              </w:tc>
              <w:tc>
                <w:tcPr>
                  <w:tcW w:w="1115" w:type="dxa"/>
                  <w:vMerge w:val="continue"/>
                  <w:tcBorders>
                    <w:tl2br w:val="nil"/>
                    <w:tr2bl w:val="nil"/>
                  </w:tcBorders>
                  <w:vAlign w:val="center"/>
                </w:tcPr>
                <w:p w14:paraId="21CBB55A">
                  <w:pPr>
                    <w:pStyle w:val="38"/>
                    <w:rPr>
                      <w:rFonts w:hint="default"/>
                    </w:rPr>
                  </w:pPr>
                </w:p>
              </w:tc>
              <w:tc>
                <w:tcPr>
                  <w:tcW w:w="1244" w:type="dxa"/>
                  <w:tcBorders>
                    <w:tl2br w:val="nil"/>
                    <w:tr2bl w:val="nil"/>
                  </w:tcBorders>
                  <w:vAlign w:val="center"/>
                </w:tcPr>
                <w:p w14:paraId="1EF8EFC0">
                  <w:pPr>
                    <w:jc w:val="center"/>
                    <w:rPr>
                      <w:szCs w:val="21"/>
                    </w:rPr>
                  </w:pPr>
                  <w:r>
                    <w:rPr>
                      <w:rFonts w:hint="eastAsia"/>
                      <w:szCs w:val="21"/>
                    </w:rPr>
                    <w:t>五日生化需氧量</w:t>
                  </w:r>
                </w:p>
              </w:tc>
              <w:tc>
                <w:tcPr>
                  <w:tcW w:w="1049" w:type="dxa"/>
                  <w:tcBorders>
                    <w:tl2br w:val="nil"/>
                    <w:tr2bl w:val="nil"/>
                  </w:tcBorders>
                  <w:vAlign w:val="center"/>
                </w:tcPr>
                <w:p w14:paraId="4F12591D">
                  <w:pPr>
                    <w:pStyle w:val="38"/>
                    <w:rPr>
                      <w:rFonts w:hint="default"/>
                    </w:rPr>
                  </w:pPr>
                  <w:r>
                    <w:t>≤4</w:t>
                  </w:r>
                </w:p>
              </w:tc>
              <w:tc>
                <w:tcPr>
                  <w:tcW w:w="1379" w:type="dxa"/>
                  <w:tcBorders>
                    <w:tl2br w:val="nil"/>
                    <w:tr2bl w:val="nil"/>
                  </w:tcBorders>
                  <w:vAlign w:val="center"/>
                </w:tcPr>
                <w:p w14:paraId="0DF18880">
                  <w:pPr>
                    <w:pStyle w:val="38"/>
                    <w:rPr>
                      <w:rFonts w:hint="default"/>
                    </w:rPr>
                  </w:pPr>
                  <w:r>
                    <w:t>2.1~3.3</w:t>
                  </w:r>
                </w:p>
              </w:tc>
              <w:tc>
                <w:tcPr>
                  <w:tcW w:w="1182" w:type="dxa"/>
                  <w:tcBorders>
                    <w:tl2br w:val="nil"/>
                    <w:tr2bl w:val="nil"/>
                  </w:tcBorders>
                  <w:vAlign w:val="center"/>
                </w:tcPr>
                <w:p w14:paraId="060E5D9C">
                  <w:pPr>
                    <w:pStyle w:val="38"/>
                    <w:rPr>
                      <w:rFonts w:hint="default"/>
                    </w:rPr>
                  </w:pPr>
                  <w:r>
                    <w:t>82.5</w:t>
                  </w:r>
                </w:p>
              </w:tc>
              <w:tc>
                <w:tcPr>
                  <w:tcW w:w="746" w:type="dxa"/>
                  <w:tcBorders>
                    <w:tl2br w:val="nil"/>
                    <w:tr2bl w:val="nil"/>
                  </w:tcBorders>
                  <w:vAlign w:val="center"/>
                </w:tcPr>
                <w:p w14:paraId="7029EB9B">
                  <w:pPr>
                    <w:pStyle w:val="38"/>
                    <w:rPr>
                      <w:rFonts w:hint="default"/>
                    </w:rPr>
                  </w:pPr>
                  <w:r>
                    <w:t>0</w:t>
                  </w:r>
                </w:p>
              </w:tc>
              <w:tc>
                <w:tcPr>
                  <w:tcW w:w="711" w:type="dxa"/>
                  <w:tcBorders>
                    <w:tl2br w:val="nil"/>
                    <w:tr2bl w:val="nil"/>
                  </w:tcBorders>
                  <w:vAlign w:val="center"/>
                </w:tcPr>
                <w:p w14:paraId="13409385">
                  <w:pPr>
                    <w:pStyle w:val="38"/>
                    <w:rPr>
                      <w:rFonts w:hint="default"/>
                    </w:rPr>
                  </w:pPr>
                  <w:r>
                    <w:t>达标</w:t>
                  </w:r>
                </w:p>
              </w:tc>
            </w:tr>
            <w:tr w14:paraId="7E6CE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dxa"/>
                  <w:vMerge w:val="continue"/>
                  <w:tcBorders>
                    <w:tl2br w:val="nil"/>
                    <w:tr2bl w:val="nil"/>
                  </w:tcBorders>
                  <w:vAlign w:val="center"/>
                </w:tcPr>
                <w:p w14:paraId="46A19459">
                  <w:pPr>
                    <w:pStyle w:val="38"/>
                    <w:rPr>
                      <w:rFonts w:hint="default"/>
                    </w:rPr>
                  </w:pPr>
                </w:p>
              </w:tc>
              <w:tc>
                <w:tcPr>
                  <w:tcW w:w="1115" w:type="dxa"/>
                  <w:vMerge w:val="continue"/>
                  <w:tcBorders>
                    <w:tl2br w:val="nil"/>
                    <w:tr2bl w:val="nil"/>
                  </w:tcBorders>
                  <w:vAlign w:val="center"/>
                </w:tcPr>
                <w:p w14:paraId="3FC4ECD4">
                  <w:pPr>
                    <w:pStyle w:val="38"/>
                    <w:rPr>
                      <w:rFonts w:hint="default"/>
                    </w:rPr>
                  </w:pPr>
                </w:p>
              </w:tc>
              <w:tc>
                <w:tcPr>
                  <w:tcW w:w="1244" w:type="dxa"/>
                  <w:tcBorders>
                    <w:tl2br w:val="nil"/>
                    <w:tr2bl w:val="nil"/>
                  </w:tcBorders>
                  <w:vAlign w:val="center"/>
                </w:tcPr>
                <w:p w14:paraId="00BE5A56">
                  <w:pPr>
                    <w:jc w:val="center"/>
                    <w:rPr>
                      <w:szCs w:val="21"/>
                    </w:rPr>
                  </w:pPr>
                  <w:r>
                    <w:rPr>
                      <w:rFonts w:hint="eastAsia"/>
                      <w:szCs w:val="21"/>
                    </w:rPr>
                    <w:t>氨氮</w:t>
                  </w:r>
                </w:p>
              </w:tc>
              <w:tc>
                <w:tcPr>
                  <w:tcW w:w="1049" w:type="dxa"/>
                  <w:tcBorders>
                    <w:tl2br w:val="nil"/>
                    <w:tr2bl w:val="nil"/>
                  </w:tcBorders>
                  <w:vAlign w:val="center"/>
                </w:tcPr>
                <w:p w14:paraId="219C3623">
                  <w:pPr>
                    <w:pStyle w:val="38"/>
                    <w:rPr>
                      <w:rFonts w:hint="default"/>
                    </w:rPr>
                  </w:pPr>
                  <w:r>
                    <w:t>≤1.0</w:t>
                  </w:r>
                </w:p>
              </w:tc>
              <w:tc>
                <w:tcPr>
                  <w:tcW w:w="1379" w:type="dxa"/>
                  <w:tcBorders>
                    <w:tl2br w:val="nil"/>
                    <w:tr2bl w:val="nil"/>
                  </w:tcBorders>
                  <w:vAlign w:val="center"/>
                </w:tcPr>
                <w:p w14:paraId="00D5AC98">
                  <w:pPr>
                    <w:pStyle w:val="38"/>
                    <w:rPr>
                      <w:rFonts w:hint="default"/>
                    </w:rPr>
                  </w:pPr>
                  <w:r>
                    <w:t>0.354~0.486</w:t>
                  </w:r>
                </w:p>
              </w:tc>
              <w:tc>
                <w:tcPr>
                  <w:tcW w:w="1182" w:type="dxa"/>
                  <w:tcBorders>
                    <w:tl2br w:val="nil"/>
                    <w:tr2bl w:val="nil"/>
                  </w:tcBorders>
                  <w:vAlign w:val="center"/>
                </w:tcPr>
                <w:p w14:paraId="204AF3F6">
                  <w:pPr>
                    <w:pStyle w:val="38"/>
                    <w:rPr>
                      <w:rFonts w:hint="default"/>
                    </w:rPr>
                  </w:pPr>
                  <w:r>
                    <w:t>48.6</w:t>
                  </w:r>
                </w:p>
              </w:tc>
              <w:tc>
                <w:tcPr>
                  <w:tcW w:w="746" w:type="dxa"/>
                  <w:tcBorders>
                    <w:tl2br w:val="nil"/>
                    <w:tr2bl w:val="nil"/>
                  </w:tcBorders>
                  <w:vAlign w:val="center"/>
                </w:tcPr>
                <w:p w14:paraId="767DF10E">
                  <w:pPr>
                    <w:pStyle w:val="38"/>
                    <w:rPr>
                      <w:rFonts w:hint="default"/>
                    </w:rPr>
                  </w:pPr>
                  <w:r>
                    <w:t>0</w:t>
                  </w:r>
                </w:p>
              </w:tc>
              <w:tc>
                <w:tcPr>
                  <w:tcW w:w="711" w:type="dxa"/>
                  <w:tcBorders>
                    <w:tl2br w:val="nil"/>
                    <w:tr2bl w:val="nil"/>
                  </w:tcBorders>
                  <w:vAlign w:val="center"/>
                </w:tcPr>
                <w:p w14:paraId="58959B1F">
                  <w:pPr>
                    <w:pStyle w:val="38"/>
                    <w:rPr>
                      <w:rFonts w:hint="default"/>
                    </w:rPr>
                  </w:pPr>
                  <w:r>
                    <w:t>达标</w:t>
                  </w:r>
                </w:p>
              </w:tc>
            </w:tr>
            <w:tr w14:paraId="7E8D6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dxa"/>
                  <w:vMerge w:val="continue"/>
                  <w:tcBorders>
                    <w:tl2br w:val="nil"/>
                    <w:tr2bl w:val="nil"/>
                  </w:tcBorders>
                  <w:vAlign w:val="center"/>
                </w:tcPr>
                <w:p w14:paraId="3358DD02">
                  <w:pPr>
                    <w:pStyle w:val="38"/>
                    <w:rPr>
                      <w:rFonts w:hint="default"/>
                    </w:rPr>
                  </w:pPr>
                </w:p>
              </w:tc>
              <w:tc>
                <w:tcPr>
                  <w:tcW w:w="1115" w:type="dxa"/>
                  <w:vMerge w:val="continue"/>
                  <w:tcBorders>
                    <w:tl2br w:val="nil"/>
                    <w:tr2bl w:val="nil"/>
                  </w:tcBorders>
                  <w:vAlign w:val="center"/>
                </w:tcPr>
                <w:p w14:paraId="732370C3">
                  <w:pPr>
                    <w:pStyle w:val="38"/>
                    <w:rPr>
                      <w:rFonts w:hint="default"/>
                    </w:rPr>
                  </w:pPr>
                </w:p>
              </w:tc>
              <w:tc>
                <w:tcPr>
                  <w:tcW w:w="1244" w:type="dxa"/>
                  <w:tcBorders>
                    <w:tl2br w:val="nil"/>
                    <w:tr2bl w:val="nil"/>
                  </w:tcBorders>
                  <w:vAlign w:val="center"/>
                </w:tcPr>
                <w:p w14:paraId="31A9DD48">
                  <w:pPr>
                    <w:jc w:val="center"/>
                    <w:rPr>
                      <w:szCs w:val="21"/>
                    </w:rPr>
                  </w:pPr>
                  <w:r>
                    <w:rPr>
                      <w:rFonts w:hint="eastAsia"/>
                      <w:szCs w:val="21"/>
                    </w:rPr>
                    <w:t>总磷</w:t>
                  </w:r>
                </w:p>
              </w:tc>
              <w:tc>
                <w:tcPr>
                  <w:tcW w:w="1049" w:type="dxa"/>
                  <w:tcBorders>
                    <w:tl2br w:val="nil"/>
                    <w:tr2bl w:val="nil"/>
                  </w:tcBorders>
                  <w:vAlign w:val="center"/>
                </w:tcPr>
                <w:p w14:paraId="5C9AD11F">
                  <w:pPr>
                    <w:pStyle w:val="38"/>
                    <w:rPr>
                      <w:rFonts w:hint="default"/>
                    </w:rPr>
                  </w:pPr>
                  <w:r>
                    <w:t>≤0.2</w:t>
                  </w:r>
                </w:p>
              </w:tc>
              <w:tc>
                <w:tcPr>
                  <w:tcW w:w="1379" w:type="dxa"/>
                  <w:tcBorders>
                    <w:tl2br w:val="nil"/>
                    <w:tr2bl w:val="nil"/>
                  </w:tcBorders>
                  <w:vAlign w:val="center"/>
                </w:tcPr>
                <w:p w14:paraId="3A55746B">
                  <w:pPr>
                    <w:pStyle w:val="38"/>
                    <w:rPr>
                      <w:rFonts w:hint="default"/>
                    </w:rPr>
                  </w:pPr>
                  <w:r>
                    <w:t>0.15~0.17</w:t>
                  </w:r>
                </w:p>
              </w:tc>
              <w:tc>
                <w:tcPr>
                  <w:tcW w:w="1182" w:type="dxa"/>
                  <w:tcBorders>
                    <w:tl2br w:val="nil"/>
                    <w:tr2bl w:val="nil"/>
                  </w:tcBorders>
                  <w:vAlign w:val="center"/>
                </w:tcPr>
                <w:p w14:paraId="7B6004C2">
                  <w:pPr>
                    <w:pStyle w:val="38"/>
                    <w:rPr>
                      <w:rFonts w:hint="default"/>
                    </w:rPr>
                  </w:pPr>
                  <w:r>
                    <w:t>85</w:t>
                  </w:r>
                </w:p>
              </w:tc>
              <w:tc>
                <w:tcPr>
                  <w:tcW w:w="746" w:type="dxa"/>
                  <w:tcBorders>
                    <w:tl2br w:val="nil"/>
                    <w:tr2bl w:val="nil"/>
                  </w:tcBorders>
                  <w:vAlign w:val="center"/>
                </w:tcPr>
                <w:p w14:paraId="2DA38927">
                  <w:pPr>
                    <w:pStyle w:val="38"/>
                    <w:rPr>
                      <w:rFonts w:hint="default"/>
                    </w:rPr>
                  </w:pPr>
                  <w:r>
                    <w:t>0</w:t>
                  </w:r>
                </w:p>
              </w:tc>
              <w:tc>
                <w:tcPr>
                  <w:tcW w:w="711" w:type="dxa"/>
                  <w:tcBorders>
                    <w:tl2br w:val="nil"/>
                    <w:tr2bl w:val="nil"/>
                  </w:tcBorders>
                  <w:vAlign w:val="center"/>
                </w:tcPr>
                <w:p w14:paraId="75D16E9D">
                  <w:pPr>
                    <w:pStyle w:val="38"/>
                    <w:rPr>
                      <w:rFonts w:hint="default"/>
                    </w:rPr>
                  </w:pPr>
                  <w:r>
                    <w:t>达标</w:t>
                  </w:r>
                </w:p>
              </w:tc>
            </w:tr>
            <w:tr w14:paraId="71BE5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dxa"/>
                  <w:vMerge w:val="continue"/>
                  <w:tcBorders>
                    <w:tl2br w:val="nil"/>
                    <w:tr2bl w:val="nil"/>
                  </w:tcBorders>
                  <w:vAlign w:val="center"/>
                </w:tcPr>
                <w:p w14:paraId="11D723D8">
                  <w:pPr>
                    <w:pStyle w:val="38"/>
                    <w:rPr>
                      <w:rFonts w:hint="default"/>
                    </w:rPr>
                  </w:pPr>
                </w:p>
              </w:tc>
              <w:tc>
                <w:tcPr>
                  <w:tcW w:w="1115" w:type="dxa"/>
                  <w:vMerge w:val="continue"/>
                  <w:tcBorders>
                    <w:tl2br w:val="nil"/>
                    <w:tr2bl w:val="nil"/>
                  </w:tcBorders>
                  <w:vAlign w:val="center"/>
                </w:tcPr>
                <w:p w14:paraId="0586C7C0">
                  <w:pPr>
                    <w:pStyle w:val="38"/>
                    <w:rPr>
                      <w:rFonts w:hint="default"/>
                    </w:rPr>
                  </w:pPr>
                </w:p>
              </w:tc>
              <w:tc>
                <w:tcPr>
                  <w:tcW w:w="1244" w:type="dxa"/>
                  <w:tcBorders>
                    <w:tl2br w:val="nil"/>
                    <w:tr2bl w:val="nil"/>
                  </w:tcBorders>
                  <w:vAlign w:val="center"/>
                </w:tcPr>
                <w:p w14:paraId="1EA9BFA8">
                  <w:pPr>
                    <w:jc w:val="center"/>
                    <w:rPr>
                      <w:szCs w:val="21"/>
                    </w:rPr>
                  </w:pPr>
                  <w:r>
                    <w:rPr>
                      <w:rFonts w:hint="eastAsia"/>
                      <w:szCs w:val="21"/>
                    </w:rPr>
                    <w:t>石油类</w:t>
                  </w:r>
                </w:p>
              </w:tc>
              <w:tc>
                <w:tcPr>
                  <w:tcW w:w="1049" w:type="dxa"/>
                  <w:tcBorders>
                    <w:tl2br w:val="nil"/>
                    <w:tr2bl w:val="nil"/>
                  </w:tcBorders>
                  <w:vAlign w:val="center"/>
                </w:tcPr>
                <w:p w14:paraId="712A5EA1">
                  <w:pPr>
                    <w:pStyle w:val="38"/>
                    <w:rPr>
                      <w:rFonts w:hint="default"/>
                    </w:rPr>
                  </w:pPr>
                  <w:r>
                    <w:t>≤0.05</w:t>
                  </w:r>
                </w:p>
              </w:tc>
              <w:tc>
                <w:tcPr>
                  <w:tcW w:w="1379" w:type="dxa"/>
                  <w:tcBorders>
                    <w:tl2br w:val="nil"/>
                    <w:tr2bl w:val="nil"/>
                  </w:tcBorders>
                  <w:vAlign w:val="center"/>
                </w:tcPr>
                <w:p w14:paraId="017D3516">
                  <w:pPr>
                    <w:pStyle w:val="38"/>
                    <w:rPr>
                      <w:rFonts w:hint="default"/>
                    </w:rPr>
                  </w:pPr>
                  <w:r>
                    <w:t>&lt;0.01</w:t>
                  </w:r>
                </w:p>
              </w:tc>
              <w:tc>
                <w:tcPr>
                  <w:tcW w:w="1182" w:type="dxa"/>
                  <w:tcBorders>
                    <w:tl2br w:val="nil"/>
                    <w:tr2bl w:val="nil"/>
                  </w:tcBorders>
                  <w:vAlign w:val="center"/>
                </w:tcPr>
                <w:p w14:paraId="3B6A445D">
                  <w:pPr>
                    <w:pStyle w:val="38"/>
                    <w:rPr>
                      <w:rFonts w:hint="default"/>
                    </w:rPr>
                  </w:pPr>
                  <w:r>
                    <w:t>20</w:t>
                  </w:r>
                </w:p>
              </w:tc>
              <w:tc>
                <w:tcPr>
                  <w:tcW w:w="746" w:type="dxa"/>
                  <w:tcBorders>
                    <w:tl2br w:val="nil"/>
                    <w:tr2bl w:val="nil"/>
                  </w:tcBorders>
                  <w:vAlign w:val="center"/>
                </w:tcPr>
                <w:p w14:paraId="76CD868A">
                  <w:pPr>
                    <w:pStyle w:val="38"/>
                    <w:rPr>
                      <w:rFonts w:hint="default"/>
                    </w:rPr>
                  </w:pPr>
                  <w:r>
                    <w:t>0</w:t>
                  </w:r>
                </w:p>
              </w:tc>
              <w:tc>
                <w:tcPr>
                  <w:tcW w:w="711" w:type="dxa"/>
                  <w:tcBorders>
                    <w:tl2br w:val="nil"/>
                    <w:tr2bl w:val="nil"/>
                  </w:tcBorders>
                  <w:vAlign w:val="center"/>
                </w:tcPr>
                <w:p w14:paraId="45AF50DF">
                  <w:pPr>
                    <w:pStyle w:val="38"/>
                    <w:rPr>
                      <w:rFonts w:hint="default"/>
                    </w:rPr>
                  </w:pPr>
                  <w:r>
                    <w:t>达标</w:t>
                  </w:r>
                </w:p>
              </w:tc>
            </w:tr>
            <w:tr w14:paraId="7DA53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dxa"/>
                  <w:vMerge w:val="continue"/>
                  <w:tcBorders>
                    <w:tl2br w:val="nil"/>
                    <w:tr2bl w:val="nil"/>
                  </w:tcBorders>
                  <w:vAlign w:val="center"/>
                </w:tcPr>
                <w:p w14:paraId="2DCA00DE">
                  <w:pPr>
                    <w:pStyle w:val="38"/>
                    <w:rPr>
                      <w:rFonts w:hint="default"/>
                    </w:rPr>
                  </w:pPr>
                </w:p>
              </w:tc>
              <w:tc>
                <w:tcPr>
                  <w:tcW w:w="1115" w:type="dxa"/>
                  <w:vMerge w:val="continue"/>
                  <w:tcBorders>
                    <w:tl2br w:val="nil"/>
                    <w:tr2bl w:val="nil"/>
                  </w:tcBorders>
                  <w:vAlign w:val="center"/>
                </w:tcPr>
                <w:p w14:paraId="39901E30">
                  <w:pPr>
                    <w:pStyle w:val="38"/>
                    <w:rPr>
                      <w:rFonts w:hint="default"/>
                    </w:rPr>
                  </w:pPr>
                </w:p>
              </w:tc>
              <w:tc>
                <w:tcPr>
                  <w:tcW w:w="1244" w:type="dxa"/>
                  <w:tcBorders>
                    <w:tl2br w:val="nil"/>
                    <w:tr2bl w:val="nil"/>
                  </w:tcBorders>
                  <w:vAlign w:val="center"/>
                </w:tcPr>
                <w:p w14:paraId="68E2F399">
                  <w:pPr>
                    <w:jc w:val="center"/>
                    <w:rPr>
                      <w:szCs w:val="21"/>
                    </w:rPr>
                  </w:pPr>
                  <w:r>
                    <w:rPr>
                      <w:rFonts w:hint="eastAsia"/>
                      <w:szCs w:val="21"/>
                    </w:rPr>
                    <w:t>性状描述</w:t>
                  </w:r>
                </w:p>
              </w:tc>
              <w:tc>
                <w:tcPr>
                  <w:tcW w:w="5067" w:type="dxa"/>
                  <w:gridSpan w:val="5"/>
                  <w:tcBorders>
                    <w:tl2br w:val="nil"/>
                    <w:tr2bl w:val="nil"/>
                  </w:tcBorders>
                  <w:vAlign w:val="center"/>
                </w:tcPr>
                <w:p w14:paraId="65A81E74">
                  <w:pPr>
                    <w:pStyle w:val="38"/>
                    <w:rPr>
                      <w:rFonts w:hint="default"/>
                    </w:rPr>
                  </w:pPr>
                  <w:r>
                    <w:t>无色、微浊、无味、无油膜</w:t>
                  </w:r>
                </w:p>
              </w:tc>
            </w:tr>
            <w:tr w14:paraId="719C8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dxa"/>
                  <w:vMerge w:val="restart"/>
                  <w:tcBorders>
                    <w:tl2br w:val="nil"/>
                    <w:tr2bl w:val="nil"/>
                  </w:tcBorders>
                  <w:vAlign w:val="center"/>
                </w:tcPr>
                <w:p w14:paraId="46DE2046">
                  <w:pPr>
                    <w:pStyle w:val="38"/>
                    <w:rPr>
                      <w:rFonts w:hint="default"/>
                    </w:rPr>
                  </w:pPr>
                  <w:r>
                    <w:t>2025.09.09-</w:t>
                  </w:r>
                </w:p>
                <w:p w14:paraId="5288EF2D">
                  <w:pPr>
                    <w:pStyle w:val="38"/>
                    <w:rPr>
                      <w:rFonts w:hint="default"/>
                    </w:rPr>
                  </w:pPr>
                  <w:r>
                    <w:t>2025.09.11</w:t>
                  </w:r>
                </w:p>
              </w:tc>
              <w:tc>
                <w:tcPr>
                  <w:tcW w:w="1115" w:type="dxa"/>
                  <w:vMerge w:val="restart"/>
                  <w:tcBorders>
                    <w:tl2br w:val="nil"/>
                    <w:tr2bl w:val="nil"/>
                  </w:tcBorders>
                  <w:vAlign w:val="center"/>
                </w:tcPr>
                <w:p w14:paraId="6A4C71B4">
                  <w:pPr>
                    <w:pStyle w:val="38"/>
                    <w:rPr>
                      <w:rFonts w:hint="default"/>
                    </w:rPr>
                  </w:pPr>
                  <w:r>
                    <w:t>2#（河道终点下游100m处断面）</w:t>
                  </w:r>
                </w:p>
              </w:tc>
              <w:tc>
                <w:tcPr>
                  <w:tcW w:w="1244" w:type="dxa"/>
                  <w:tcBorders>
                    <w:tl2br w:val="nil"/>
                    <w:tr2bl w:val="nil"/>
                  </w:tcBorders>
                  <w:vAlign w:val="center"/>
                </w:tcPr>
                <w:p w14:paraId="11B2F6DC">
                  <w:pPr>
                    <w:jc w:val="center"/>
                    <w:rPr>
                      <w:szCs w:val="21"/>
                    </w:rPr>
                  </w:pPr>
                  <w:r>
                    <w:rPr>
                      <w:rFonts w:hint="eastAsia"/>
                      <w:bCs/>
                      <w:szCs w:val="21"/>
                    </w:rPr>
                    <w:t>pH</w:t>
                  </w:r>
                </w:p>
              </w:tc>
              <w:tc>
                <w:tcPr>
                  <w:tcW w:w="1049" w:type="dxa"/>
                  <w:tcBorders>
                    <w:tl2br w:val="nil"/>
                    <w:tr2bl w:val="nil"/>
                  </w:tcBorders>
                  <w:vAlign w:val="center"/>
                </w:tcPr>
                <w:p w14:paraId="19B5220D">
                  <w:pPr>
                    <w:pStyle w:val="38"/>
                    <w:rPr>
                      <w:rFonts w:hint="default"/>
                    </w:rPr>
                  </w:pPr>
                  <w:r>
                    <w:t>6~9</w:t>
                  </w:r>
                </w:p>
              </w:tc>
              <w:tc>
                <w:tcPr>
                  <w:tcW w:w="1379" w:type="dxa"/>
                  <w:tcBorders>
                    <w:tl2br w:val="nil"/>
                    <w:tr2bl w:val="nil"/>
                  </w:tcBorders>
                  <w:vAlign w:val="center"/>
                </w:tcPr>
                <w:p w14:paraId="54E8152D">
                  <w:pPr>
                    <w:pStyle w:val="38"/>
                    <w:rPr>
                      <w:rFonts w:hint="default"/>
                    </w:rPr>
                  </w:pPr>
                  <w:r>
                    <w:t>7.2~7.3</w:t>
                  </w:r>
                </w:p>
              </w:tc>
              <w:tc>
                <w:tcPr>
                  <w:tcW w:w="1182" w:type="dxa"/>
                  <w:tcBorders>
                    <w:tl2br w:val="nil"/>
                    <w:tr2bl w:val="nil"/>
                  </w:tcBorders>
                  <w:vAlign w:val="center"/>
                </w:tcPr>
                <w:p w14:paraId="668151FC">
                  <w:pPr>
                    <w:pStyle w:val="38"/>
                    <w:rPr>
                      <w:rFonts w:hint="default"/>
                    </w:rPr>
                  </w:pPr>
                  <w:r>
                    <w:t>/</w:t>
                  </w:r>
                </w:p>
              </w:tc>
              <w:tc>
                <w:tcPr>
                  <w:tcW w:w="746" w:type="dxa"/>
                  <w:tcBorders>
                    <w:tl2br w:val="nil"/>
                    <w:tr2bl w:val="nil"/>
                  </w:tcBorders>
                  <w:vAlign w:val="center"/>
                </w:tcPr>
                <w:p w14:paraId="0A332D4E">
                  <w:pPr>
                    <w:pStyle w:val="38"/>
                    <w:rPr>
                      <w:rFonts w:hint="default"/>
                    </w:rPr>
                  </w:pPr>
                  <w:r>
                    <w:t>/</w:t>
                  </w:r>
                </w:p>
              </w:tc>
              <w:tc>
                <w:tcPr>
                  <w:tcW w:w="711" w:type="dxa"/>
                  <w:tcBorders>
                    <w:tl2br w:val="nil"/>
                    <w:tr2bl w:val="nil"/>
                  </w:tcBorders>
                  <w:vAlign w:val="center"/>
                </w:tcPr>
                <w:p w14:paraId="685DCD5E">
                  <w:pPr>
                    <w:pStyle w:val="38"/>
                    <w:rPr>
                      <w:rFonts w:hint="default"/>
                    </w:rPr>
                  </w:pPr>
                  <w:r>
                    <w:t>达标</w:t>
                  </w:r>
                </w:p>
              </w:tc>
            </w:tr>
            <w:tr w14:paraId="5E425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dxa"/>
                  <w:vMerge w:val="continue"/>
                </w:tcPr>
                <w:p w14:paraId="1DCCC606">
                  <w:pPr>
                    <w:pStyle w:val="38"/>
                    <w:rPr>
                      <w:rFonts w:hint="default"/>
                    </w:rPr>
                  </w:pPr>
                </w:p>
              </w:tc>
              <w:tc>
                <w:tcPr>
                  <w:tcW w:w="1115" w:type="dxa"/>
                  <w:vMerge w:val="continue"/>
                </w:tcPr>
                <w:p w14:paraId="53D5A89F">
                  <w:pPr>
                    <w:pStyle w:val="38"/>
                    <w:rPr>
                      <w:rFonts w:hint="default"/>
                    </w:rPr>
                  </w:pPr>
                </w:p>
              </w:tc>
              <w:tc>
                <w:tcPr>
                  <w:tcW w:w="1244" w:type="dxa"/>
                  <w:vAlign w:val="center"/>
                </w:tcPr>
                <w:p w14:paraId="46B2D0CD">
                  <w:pPr>
                    <w:jc w:val="center"/>
                    <w:rPr>
                      <w:szCs w:val="21"/>
                    </w:rPr>
                  </w:pPr>
                  <w:r>
                    <w:rPr>
                      <w:bCs/>
                      <w:szCs w:val="21"/>
                    </w:rPr>
                    <w:t>溶解氧</w:t>
                  </w:r>
                </w:p>
              </w:tc>
              <w:tc>
                <w:tcPr>
                  <w:tcW w:w="1049" w:type="dxa"/>
                  <w:vAlign w:val="center"/>
                </w:tcPr>
                <w:p w14:paraId="550117AC">
                  <w:pPr>
                    <w:pStyle w:val="38"/>
                    <w:rPr>
                      <w:rFonts w:hint="default"/>
                    </w:rPr>
                  </w:pPr>
                  <w:r>
                    <w:t>≥5</w:t>
                  </w:r>
                </w:p>
              </w:tc>
              <w:tc>
                <w:tcPr>
                  <w:tcW w:w="1379" w:type="dxa"/>
                  <w:vAlign w:val="center"/>
                </w:tcPr>
                <w:p w14:paraId="25F5FB1A">
                  <w:pPr>
                    <w:pStyle w:val="38"/>
                    <w:rPr>
                      <w:rFonts w:hint="default"/>
                    </w:rPr>
                  </w:pPr>
                  <w:r>
                    <w:t>6.6~6.7</w:t>
                  </w:r>
                </w:p>
              </w:tc>
              <w:tc>
                <w:tcPr>
                  <w:tcW w:w="1182" w:type="dxa"/>
                  <w:vAlign w:val="center"/>
                </w:tcPr>
                <w:p w14:paraId="68AED136">
                  <w:pPr>
                    <w:pStyle w:val="38"/>
                    <w:rPr>
                      <w:rFonts w:hint="default"/>
                    </w:rPr>
                  </w:pPr>
                  <w:r>
                    <w:t>/</w:t>
                  </w:r>
                </w:p>
              </w:tc>
              <w:tc>
                <w:tcPr>
                  <w:tcW w:w="746" w:type="dxa"/>
                  <w:vAlign w:val="center"/>
                </w:tcPr>
                <w:p w14:paraId="159CEA5F">
                  <w:pPr>
                    <w:pStyle w:val="38"/>
                    <w:rPr>
                      <w:rFonts w:hint="default"/>
                    </w:rPr>
                  </w:pPr>
                  <w:r>
                    <w:t>/</w:t>
                  </w:r>
                </w:p>
              </w:tc>
              <w:tc>
                <w:tcPr>
                  <w:tcW w:w="711" w:type="dxa"/>
                  <w:vAlign w:val="center"/>
                </w:tcPr>
                <w:p w14:paraId="3FD80B9D">
                  <w:pPr>
                    <w:pStyle w:val="38"/>
                    <w:rPr>
                      <w:rFonts w:hint="default"/>
                    </w:rPr>
                  </w:pPr>
                  <w:r>
                    <w:t>达标</w:t>
                  </w:r>
                </w:p>
              </w:tc>
            </w:tr>
            <w:tr w14:paraId="6B890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dxa"/>
                  <w:vMerge w:val="continue"/>
                </w:tcPr>
                <w:p w14:paraId="32DDCC20">
                  <w:pPr>
                    <w:pStyle w:val="38"/>
                    <w:rPr>
                      <w:rFonts w:hint="default"/>
                    </w:rPr>
                  </w:pPr>
                </w:p>
              </w:tc>
              <w:tc>
                <w:tcPr>
                  <w:tcW w:w="1115" w:type="dxa"/>
                  <w:vMerge w:val="continue"/>
                </w:tcPr>
                <w:p w14:paraId="01ECC2E4">
                  <w:pPr>
                    <w:pStyle w:val="38"/>
                    <w:rPr>
                      <w:rFonts w:hint="default"/>
                    </w:rPr>
                  </w:pPr>
                </w:p>
              </w:tc>
              <w:tc>
                <w:tcPr>
                  <w:tcW w:w="1244" w:type="dxa"/>
                  <w:vAlign w:val="center"/>
                </w:tcPr>
                <w:p w14:paraId="72FD6171">
                  <w:pPr>
                    <w:jc w:val="center"/>
                    <w:rPr>
                      <w:szCs w:val="21"/>
                    </w:rPr>
                  </w:pPr>
                  <w:r>
                    <w:rPr>
                      <w:rFonts w:hint="eastAsia"/>
                      <w:szCs w:val="21"/>
                    </w:rPr>
                    <w:t>化学需氧量</w:t>
                  </w:r>
                </w:p>
              </w:tc>
              <w:tc>
                <w:tcPr>
                  <w:tcW w:w="1049" w:type="dxa"/>
                  <w:vAlign w:val="center"/>
                </w:tcPr>
                <w:p w14:paraId="7D902A3B">
                  <w:pPr>
                    <w:pStyle w:val="38"/>
                    <w:rPr>
                      <w:rFonts w:hint="default"/>
                    </w:rPr>
                  </w:pPr>
                  <w:r>
                    <w:t>≤20</w:t>
                  </w:r>
                </w:p>
              </w:tc>
              <w:tc>
                <w:tcPr>
                  <w:tcW w:w="1379" w:type="dxa"/>
                  <w:vAlign w:val="center"/>
                </w:tcPr>
                <w:p w14:paraId="1EB105DB">
                  <w:pPr>
                    <w:pStyle w:val="38"/>
                    <w:rPr>
                      <w:rFonts w:hint="default"/>
                    </w:rPr>
                  </w:pPr>
                  <w:r>
                    <w:t>19~20</w:t>
                  </w:r>
                </w:p>
              </w:tc>
              <w:tc>
                <w:tcPr>
                  <w:tcW w:w="1182" w:type="dxa"/>
                  <w:vAlign w:val="center"/>
                </w:tcPr>
                <w:p w14:paraId="083A761B">
                  <w:pPr>
                    <w:pStyle w:val="38"/>
                    <w:rPr>
                      <w:rFonts w:hint="default"/>
                    </w:rPr>
                  </w:pPr>
                  <w:r>
                    <w:t>100</w:t>
                  </w:r>
                </w:p>
              </w:tc>
              <w:tc>
                <w:tcPr>
                  <w:tcW w:w="746" w:type="dxa"/>
                  <w:vAlign w:val="center"/>
                </w:tcPr>
                <w:p w14:paraId="45D1B197">
                  <w:pPr>
                    <w:pStyle w:val="38"/>
                    <w:rPr>
                      <w:rFonts w:hint="default"/>
                    </w:rPr>
                  </w:pPr>
                  <w:r>
                    <w:t>0</w:t>
                  </w:r>
                </w:p>
              </w:tc>
              <w:tc>
                <w:tcPr>
                  <w:tcW w:w="711" w:type="dxa"/>
                  <w:vAlign w:val="center"/>
                </w:tcPr>
                <w:p w14:paraId="1896C826">
                  <w:pPr>
                    <w:pStyle w:val="38"/>
                    <w:rPr>
                      <w:rFonts w:hint="default"/>
                    </w:rPr>
                  </w:pPr>
                  <w:r>
                    <w:t>达标</w:t>
                  </w:r>
                </w:p>
              </w:tc>
            </w:tr>
            <w:tr w14:paraId="6A9F2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dxa"/>
                  <w:vMerge w:val="continue"/>
                </w:tcPr>
                <w:p w14:paraId="031A3CFB">
                  <w:pPr>
                    <w:pStyle w:val="38"/>
                    <w:rPr>
                      <w:rFonts w:hint="default"/>
                    </w:rPr>
                  </w:pPr>
                </w:p>
              </w:tc>
              <w:tc>
                <w:tcPr>
                  <w:tcW w:w="1115" w:type="dxa"/>
                  <w:vMerge w:val="continue"/>
                </w:tcPr>
                <w:p w14:paraId="20A2135F">
                  <w:pPr>
                    <w:pStyle w:val="38"/>
                    <w:rPr>
                      <w:rFonts w:hint="default"/>
                    </w:rPr>
                  </w:pPr>
                </w:p>
              </w:tc>
              <w:tc>
                <w:tcPr>
                  <w:tcW w:w="1244" w:type="dxa"/>
                  <w:vAlign w:val="center"/>
                </w:tcPr>
                <w:p w14:paraId="04CDE11C">
                  <w:pPr>
                    <w:jc w:val="center"/>
                    <w:rPr>
                      <w:szCs w:val="21"/>
                    </w:rPr>
                  </w:pPr>
                  <w:r>
                    <w:rPr>
                      <w:rFonts w:hint="eastAsia"/>
                      <w:szCs w:val="21"/>
                    </w:rPr>
                    <w:t>五日生化需氧量</w:t>
                  </w:r>
                </w:p>
              </w:tc>
              <w:tc>
                <w:tcPr>
                  <w:tcW w:w="1049" w:type="dxa"/>
                  <w:vAlign w:val="center"/>
                </w:tcPr>
                <w:p w14:paraId="69419F20">
                  <w:pPr>
                    <w:pStyle w:val="38"/>
                    <w:rPr>
                      <w:rFonts w:hint="default"/>
                    </w:rPr>
                  </w:pPr>
                  <w:r>
                    <w:t>≤4</w:t>
                  </w:r>
                </w:p>
              </w:tc>
              <w:tc>
                <w:tcPr>
                  <w:tcW w:w="1379" w:type="dxa"/>
                  <w:vAlign w:val="center"/>
                </w:tcPr>
                <w:p w14:paraId="1582720F">
                  <w:pPr>
                    <w:pStyle w:val="38"/>
                    <w:rPr>
                      <w:rFonts w:hint="default"/>
                    </w:rPr>
                  </w:pPr>
                  <w:r>
                    <w:t>2.4~3.5</w:t>
                  </w:r>
                </w:p>
              </w:tc>
              <w:tc>
                <w:tcPr>
                  <w:tcW w:w="1182" w:type="dxa"/>
                  <w:vAlign w:val="center"/>
                </w:tcPr>
                <w:p w14:paraId="485E5E59">
                  <w:pPr>
                    <w:pStyle w:val="38"/>
                    <w:rPr>
                      <w:rFonts w:hint="default"/>
                    </w:rPr>
                  </w:pPr>
                  <w:r>
                    <w:t>87.5</w:t>
                  </w:r>
                </w:p>
              </w:tc>
              <w:tc>
                <w:tcPr>
                  <w:tcW w:w="746" w:type="dxa"/>
                  <w:vAlign w:val="center"/>
                </w:tcPr>
                <w:p w14:paraId="67565F4F">
                  <w:pPr>
                    <w:pStyle w:val="38"/>
                    <w:rPr>
                      <w:rFonts w:hint="default"/>
                    </w:rPr>
                  </w:pPr>
                  <w:r>
                    <w:t>0</w:t>
                  </w:r>
                </w:p>
              </w:tc>
              <w:tc>
                <w:tcPr>
                  <w:tcW w:w="711" w:type="dxa"/>
                  <w:vAlign w:val="center"/>
                </w:tcPr>
                <w:p w14:paraId="779357E0">
                  <w:pPr>
                    <w:pStyle w:val="38"/>
                    <w:rPr>
                      <w:rFonts w:hint="default"/>
                    </w:rPr>
                  </w:pPr>
                  <w:r>
                    <w:t>达标</w:t>
                  </w:r>
                </w:p>
              </w:tc>
            </w:tr>
            <w:tr w14:paraId="34B05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dxa"/>
                  <w:vMerge w:val="continue"/>
                </w:tcPr>
                <w:p w14:paraId="76D18345">
                  <w:pPr>
                    <w:pStyle w:val="38"/>
                    <w:rPr>
                      <w:rFonts w:hint="default"/>
                    </w:rPr>
                  </w:pPr>
                </w:p>
              </w:tc>
              <w:tc>
                <w:tcPr>
                  <w:tcW w:w="1115" w:type="dxa"/>
                  <w:vMerge w:val="continue"/>
                </w:tcPr>
                <w:p w14:paraId="5EA5DF82">
                  <w:pPr>
                    <w:pStyle w:val="38"/>
                    <w:rPr>
                      <w:rFonts w:hint="default"/>
                    </w:rPr>
                  </w:pPr>
                </w:p>
              </w:tc>
              <w:tc>
                <w:tcPr>
                  <w:tcW w:w="1244" w:type="dxa"/>
                  <w:vAlign w:val="center"/>
                </w:tcPr>
                <w:p w14:paraId="1C7C585E">
                  <w:pPr>
                    <w:jc w:val="center"/>
                    <w:rPr>
                      <w:szCs w:val="21"/>
                    </w:rPr>
                  </w:pPr>
                  <w:r>
                    <w:rPr>
                      <w:rFonts w:hint="eastAsia"/>
                      <w:szCs w:val="21"/>
                    </w:rPr>
                    <w:t>氨氮</w:t>
                  </w:r>
                </w:p>
              </w:tc>
              <w:tc>
                <w:tcPr>
                  <w:tcW w:w="1049" w:type="dxa"/>
                  <w:vAlign w:val="center"/>
                </w:tcPr>
                <w:p w14:paraId="6956D554">
                  <w:pPr>
                    <w:pStyle w:val="38"/>
                    <w:rPr>
                      <w:rFonts w:hint="default"/>
                    </w:rPr>
                  </w:pPr>
                  <w:r>
                    <w:t>≤1.0</w:t>
                  </w:r>
                </w:p>
              </w:tc>
              <w:tc>
                <w:tcPr>
                  <w:tcW w:w="1379" w:type="dxa"/>
                  <w:vAlign w:val="center"/>
                </w:tcPr>
                <w:p w14:paraId="4342E6C9">
                  <w:pPr>
                    <w:pStyle w:val="38"/>
                    <w:rPr>
                      <w:rFonts w:hint="default"/>
                    </w:rPr>
                  </w:pPr>
                  <w:r>
                    <w:t>0.364~0.527</w:t>
                  </w:r>
                </w:p>
              </w:tc>
              <w:tc>
                <w:tcPr>
                  <w:tcW w:w="1182" w:type="dxa"/>
                  <w:vAlign w:val="center"/>
                </w:tcPr>
                <w:p w14:paraId="789C7CBD">
                  <w:pPr>
                    <w:pStyle w:val="38"/>
                    <w:rPr>
                      <w:rFonts w:hint="default"/>
                    </w:rPr>
                  </w:pPr>
                  <w:r>
                    <w:t>52.7</w:t>
                  </w:r>
                </w:p>
              </w:tc>
              <w:tc>
                <w:tcPr>
                  <w:tcW w:w="746" w:type="dxa"/>
                  <w:vAlign w:val="center"/>
                </w:tcPr>
                <w:p w14:paraId="266A690E">
                  <w:pPr>
                    <w:pStyle w:val="38"/>
                    <w:rPr>
                      <w:rFonts w:hint="default"/>
                    </w:rPr>
                  </w:pPr>
                  <w:r>
                    <w:t>0</w:t>
                  </w:r>
                </w:p>
              </w:tc>
              <w:tc>
                <w:tcPr>
                  <w:tcW w:w="711" w:type="dxa"/>
                  <w:vAlign w:val="center"/>
                </w:tcPr>
                <w:p w14:paraId="5B4D0471">
                  <w:pPr>
                    <w:pStyle w:val="38"/>
                    <w:rPr>
                      <w:rFonts w:hint="default"/>
                    </w:rPr>
                  </w:pPr>
                  <w:r>
                    <w:t>达标</w:t>
                  </w:r>
                </w:p>
              </w:tc>
            </w:tr>
            <w:tr w14:paraId="4FFC2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dxa"/>
                  <w:vMerge w:val="continue"/>
                </w:tcPr>
                <w:p w14:paraId="6B55C362">
                  <w:pPr>
                    <w:pStyle w:val="38"/>
                    <w:rPr>
                      <w:rFonts w:hint="default"/>
                    </w:rPr>
                  </w:pPr>
                </w:p>
              </w:tc>
              <w:tc>
                <w:tcPr>
                  <w:tcW w:w="1115" w:type="dxa"/>
                  <w:vMerge w:val="continue"/>
                </w:tcPr>
                <w:p w14:paraId="54356682">
                  <w:pPr>
                    <w:pStyle w:val="38"/>
                    <w:rPr>
                      <w:rFonts w:hint="default"/>
                    </w:rPr>
                  </w:pPr>
                </w:p>
              </w:tc>
              <w:tc>
                <w:tcPr>
                  <w:tcW w:w="1244" w:type="dxa"/>
                  <w:vAlign w:val="center"/>
                </w:tcPr>
                <w:p w14:paraId="1FAA7640">
                  <w:pPr>
                    <w:jc w:val="center"/>
                    <w:rPr>
                      <w:szCs w:val="21"/>
                    </w:rPr>
                  </w:pPr>
                  <w:r>
                    <w:rPr>
                      <w:rFonts w:hint="eastAsia"/>
                      <w:szCs w:val="21"/>
                    </w:rPr>
                    <w:t>总磷</w:t>
                  </w:r>
                </w:p>
              </w:tc>
              <w:tc>
                <w:tcPr>
                  <w:tcW w:w="1049" w:type="dxa"/>
                  <w:vAlign w:val="center"/>
                </w:tcPr>
                <w:p w14:paraId="698733BD">
                  <w:pPr>
                    <w:pStyle w:val="38"/>
                    <w:rPr>
                      <w:rFonts w:hint="default"/>
                    </w:rPr>
                  </w:pPr>
                  <w:r>
                    <w:t>≤0.2</w:t>
                  </w:r>
                </w:p>
              </w:tc>
              <w:tc>
                <w:tcPr>
                  <w:tcW w:w="1379" w:type="dxa"/>
                  <w:vAlign w:val="center"/>
                </w:tcPr>
                <w:p w14:paraId="02D8C63C">
                  <w:pPr>
                    <w:pStyle w:val="38"/>
                    <w:rPr>
                      <w:rFonts w:hint="default"/>
                    </w:rPr>
                  </w:pPr>
                  <w:r>
                    <w:t>0.14~0.15</w:t>
                  </w:r>
                </w:p>
              </w:tc>
              <w:tc>
                <w:tcPr>
                  <w:tcW w:w="1182" w:type="dxa"/>
                  <w:vAlign w:val="center"/>
                </w:tcPr>
                <w:p w14:paraId="5139A6D7">
                  <w:pPr>
                    <w:pStyle w:val="38"/>
                    <w:rPr>
                      <w:rFonts w:hint="default"/>
                    </w:rPr>
                  </w:pPr>
                  <w:r>
                    <w:t>75</w:t>
                  </w:r>
                </w:p>
              </w:tc>
              <w:tc>
                <w:tcPr>
                  <w:tcW w:w="746" w:type="dxa"/>
                  <w:vAlign w:val="center"/>
                </w:tcPr>
                <w:p w14:paraId="2BC2650B">
                  <w:pPr>
                    <w:pStyle w:val="38"/>
                    <w:rPr>
                      <w:rFonts w:hint="default"/>
                    </w:rPr>
                  </w:pPr>
                  <w:r>
                    <w:t>0</w:t>
                  </w:r>
                </w:p>
              </w:tc>
              <w:tc>
                <w:tcPr>
                  <w:tcW w:w="711" w:type="dxa"/>
                  <w:vAlign w:val="center"/>
                </w:tcPr>
                <w:p w14:paraId="5BAB26CB">
                  <w:pPr>
                    <w:pStyle w:val="38"/>
                    <w:rPr>
                      <w:rFonts w:hint="default"/>
                    </w:rPr>
                  </w:pPr>
                  <w:r>
                    <w:t>达标</w:t>
                  </w:r>
                </w:p>
              </w:tc>
            </w:tr>
            <w:tr w14:paraId="386BF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dxa"/>
                  <w:vMerge w:val="continue"/>
                </w:tcPr>
                <w:p w14:paraId="171A758D">
                  <w:pPr>
                    <w:pStyle w:val="38"/>
                    <w:rPr>
                      <w:rFonts w:hint="default"/>
                    </w:rPr>
                  </w:pPr>
                </w:p>
              </w:tc>
              <w:tc>
                <w:tcPr>
                  <w:tcW w:w="1115" w:type="dxa"/>
                  <w:vMerge w:val="continue"/>
                </w:tcPr>
                <w:p w14:paraId="6D1C649B">
                  <w:pPr>
                    <w:pStyle w:val="38"/>
                    <w:rPr>
                      <w:rFonts w:hint="default"/>
                    </w:rPr>
                  </w:pPr>
                </w:p>
              </w:tc>
              <w:tc>
                <w:tcPr>
                  <w:tcW w:w="1244" w:type="dxa"/>
                  <w:vAlign w:val="center"/>
                </w:tcPr>
                <w:p w14:paraId="754C8BF6">
                  <w:pPr>
                    <w:jc w:val="center"/>
                    <w:rPr>
                      <w:szCs w:val="21"/>
                    </w:rPr>
                  </w:pPr>
                  <w:r>
                    <w:rPr>
                      <w:rFonts w:hint="eastAsia"/>
                      <w:szCs w:val="21"/>
                    </w:rPr>
                    <w:t>石油类</w:t>
                  </w:r>
                </w:p>
              </w:tc>
              <w:tc>
                <w:tcPr>
                  <w:tcW w:w="1049" w:type="dxa"/>
                  <w:vAlign w:val="center"/>
                </w:tcPr>
                <w:p w14:paraId="14A24DBD">
                  <w:pPr>
                    <w:pStyle w:val="38"/>
                    <w:rPr>
                      <w:rFonts w:hint="default"/>
                    </w:rPr>
                  </w:pPr>
                  <w:r>
                    <w:t>≤0.05</w:t>
                  </w:r>
                </w:p>
              </w:tc>
              <w:tc>
                <w:tcPr>
                  <w:tcW w:w="1379" w:type="dxa"/>
                  <w:vAlign w:val="center"/>
                </w:tcPr>
                <w:p w14:paraId="318CF865">
                  <w:pPr>
                    <w:pStyle w:val="38"/>
                    <w:rPr>
                      <w:rFonts w:hint="default"/>
                    </w:rPr>
                  </w:pPr>
                  <w:r>
                    <w:t>&lt;0.01</w:t>
                  </w:r>
                </w:p>
              </w:tc>
              <w:tc>
                <w:tcPr>
                  <w:tcW w:w="1182" w:type="dxa"/>
                  <w:vAlign w:val="center"/>
                </w:tcPr>
                <w:p w14:paraId="0821FF08">
                  <w:pPr>
                    <w:pStyle w:val="38"/>
                    <w:rPr>
                      <w:rFonts w:hint="default"/>
                    </w:rPr>
                  </w:pPr>
                  <w:r>
                    <w:t>20</w:t>
                  </w:r>
                </w:p>
              </w:tc>
              <w:tc>
                <w:tcPr>
                  <w:tcW w:w="746" w:type="dxa"/>
                  <w:vAlign w:val="center"/>
                </w:tcPr>
                <w:p w14:paraId="1B417C32">
                  <w:pPr>
                    <w:pStyle w:val="38"/>
                    <w:rPr>
                      <w:rFonts w:hint="default"/>
                    </w:rPr>
                  </w:pPr>
                  <w:r>
                    <w:t>0</w:t>
                  </w:r>
                </w:p>
              </w:tc>
              <w:tc>
                <w:tcPr>
                  <w:tcW w:w="711" w:type="dxa"/>
                  <w:vAlign w:val="center"/>
                </w:tcPr>
                <w:p w14:paraId="3A465D09">
                  <w:pPr>
                    <w:pStyle w:val="38"/>
                    <w:rPr>
                      <w:rFonts w:hint="default"/>
                    </w:rPr>
                  </w:pPr>
                  <w:r>
                    <w:t>达标</w:t>
                  </w:r>
                </w:p>
              </w:tc>
            </w:tr>
            <w:tr w14:paraId="17EEC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dxa"/>
                  <w:vMerge w:val="continue"/>
                </w:tcPr>
                <w:p w14:paraId="211856D4">
                  <w:pPr>
                    <w:pStyle w:val="38"/>
                    <w:rPr>
                      <w:rFonts w:hint="default"/>
                    </w:rPr>
                  </w:pPr>
                </w:p>
              </w:tc>
              <w:tc>
                <w:tcPr>
                  <w:tcW w:w="1115" w:type="dxa"/>
                  <w:vMerge w:val="continue"/>
                </w:tcPr>
                <w:p w14:paraId="3DC7D4C3">
                  <w:pPr>
                    <w:pStyle w:val="38"/>
                    <w:rPr>
                      <w:rFonts w:hint="default"/>
                    </w:rPr>
                  </w:pPr>
                </w:p>
              </w:tc>
              <w:tc>
                <w:tcPr>
                  <w:tcW w:w="1244" w:type="dxa"/>
                  <w:vAlign w:val="center"/>
                </w:tcPr>
                <w:p w14:paraId="363A1D33">
                  <w:pPr>
                    <w:jc w:val="center"/>
                    <w:rPr>
                      <w:szCs w:val="21"/>
                    </w:rPr>
                  </w:pPr>
                  <w:r>
                    <w:rPr>
                      <w:rFonts w:hint="eastAsia"/>
                      <w:szCs w:val="21"/>
                    </w:rPr>
                    <w:t>性状描述</w:t>
                  </w:r>
                </w:p>
              </w:tc>
              <w:tc>
                <w:tcPr>
                  <w:tcW w:w="5067" w:type="dxa"/>
                  <w:gridSpan w:val="5"/>
                  <w:vAlign w:val="center"/>
                </w:tcPr>
                <w:p w14:paraId="6E7EF7A1">
                  <w:pPr>
                    <w:pStyle w:val="38"/>
                    <w:rPr>
                      <w:rFonts w:hint="default"/>
                    </w:rPr>
                  </w:pPr>
                  <w:r>
                    <w:t>无色、微浊、无味、无油膜</w:t>
                  </w:r>
                </w:p>
              </w:tc>
            </w:tr>
          </w:tbl>
          <w:p w14:paraId="3F60DEA4">
            <w:pPr>
              <w:pStyle w:val="36"/>
              <w:ind w:firstLine="480"/>
              <w:rPr>
                <w:rFonts w:hint="default"/>
              </w:rPr>
            </w:pPr>
            <w:r>
              <w:rPr>
                <w:rFonts w:hint="default"/>
              </w:rPr>
              <w:t>从上表可知，项目所在</w:t>
            </w:r>
            <w:r>
              <w:t>河道地表水</w:t>
            </w:r>
            <w:r>
              <w:rPr>
                <w:rFonts w:hint="default"/>
              </w:rPr>
              <w:t>环境满足《</w:t>
            </w:r>
            <w:r>
              <w:t>地表水</w:t>
            </w:r>
            <w:r>
              <w:rPr>
                <w:rFonts w:hint="default"/>
              </w:rPr>
              <w:t>环境质量标准》（GB3</w:t>
            </w:r>
            <w:r>
              <w:t>838</w:t>
            </w:r>
            <w:r>
              <w:rPr>
                <w:rFonts w:hint="default"/>
              </w:rPr>
              <w:t>-20</w:t>
            </w:r>
            <w:r>
              <w:t>0</w:t>
            </w:r>
            <w:r>
              <w:rPr>
                <w:rFonts w:hint="default"/>
              </w:rPr>
              <w:t>2）中Ш类水域标准。</w:t>
            </w:r>
          </w:p>
          <w:p w14:paraId="024A05DC">
            <w:pPr>
              <w:pStyle w:val="4"/>
              <w:numPr>
                <w:ilvl w:val="0"/>
                <w:numId w:val="25"/>
              </w:numPr>
            </w:pPr>
            <w:r>
              <w:rPr>
                <w:rFonts w:hint="eastAsia"/>
              </w:rPr>
              <w:t>声环境质量现状</w:t>
            </w:r>
          </w:p>
          <w:p w14:paraId="6CCF78F3">
            <w:pPr>
              <w:pStyle w:val="36"/>
              <w:ind w:firstLine="480"/>
              <w:rPr>
                <w:rFonts w:hint="default"/>
              </w:rPr>
            </w:pPr>
            <w:r>
              <w:t>根据</w:t>
            </w:r>
            <w:r>
              <w:rPr>
                <w:rFonts w:hint="default"/>
              </w:rPr>
              <w:t>《</w:t>
            </w:r>
            <w:r>
              <w:t>建设项目环境影响报告表编制技术指南（生态影响类）</w:t>
            </w:r>
            <w:r>
              <w:rPr>
                <w:rFonts w:hint="eastAsia"/>
                <w:lang w:eastAsia="zh-CN"/>
              </w:rPr>
              <w:t>（试行）》</w:t>
            </w:r>
            <w:r>
              <w:t>，声环境质量现状监测参照《建设项目环境影响报告表编制技术指南（污染影响类）</w:t>
            </w:r>
            <w:r>
              <w:rPr>
                <w:rFonts w:hint="eastAsia"/>
                <w:lang w:eastAsia="zh-CN"/>
              </w:rPr>
              <w:t>（试行）》</w:t>
            </w:r>
            <w:r>
              <w:t>相关规定开展补充监测。</w:t>
            </w:r>
          </w:p>
          <w:p w14:paraId="6E5FECAD">
            <w:pPr>
              <w:pStyle w:val="36"/>
              <w:ind w:firstLine="480"/>
              <w:rPr>
                <w:rFonts w:hint="default"/>
              </w:rPr>
            </w:pPr>
            <w:r>
              <w:t>本项目位于金元镇场镇内，人口较为密集。为了解本项目的声环境质量现状，本次评价委托四川全威安环科技有限公司于2025年09月09日至12日进行了现场监测和采样（川全威（环）检〔2025〕0094号），具体监测内容如下。</w:t>
            </w:r>
          </w:p>
          <w:p w14:paraId="71079711">
            <w:pPr>
              <w:pStyle w:val="36"/>
              <w:ind w:firstLine="482"/>
              <w:rPr>
                <w:rFonts w:hint="default"/>
                <w:b/>
                <w:bCs/>
              </w:rPr>
            </w:pPr>
            <w:r>
              <w:rPr>
                <w:b/>
                <w:bCs/>
              </w:rPr>
              <w:t>①监测布点、监测频次</w:t>
            </w:r>
          </w:p>
          <w:p w14:paraId="4B3B4882">
            <w:pPr>
              <w:pStyle w:val="36"/>
              <w:ind w:firstLine="480"/>
              <w:rPr>
                <w:rFonts w:hint="default"/>
              </w:rPr>
            </w:pPr>
            <w:r>
              <w:t>共布设7个点，选取具有代表性的声环境特征点位进行监测，具体监测项目、监测点布置、监测频次见下表。</w:t>
            </w:r>
          </w:p>
          <w:p w14:paraId="3C597B45">
            <w:pPr>
              <w:pStyle w:val="47"/>
              <w:numPr>
                <w:ilvl w:val="0"/>
                <w:numId w:val="26"/>
              </w:numPr>
              <w:spacing w:before="156"/>
            </w:pPr>
            <w:r>
              <w:rPr>
                <w:rFonts w:hint="eastAsia"/>
              </w:rPr>
              <w:t>噪声监测布点</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Layout w:type="fixed"/>
              <w:tblCellMar>
                <w:top w:w="0" w:type="dxa"/>
                <w:left w:w="108" w:type="dxa"/>
                <w:bottom w:w="0" w:type="dxa"/>
                <w:right w:w="108" w:type="dxa"/>
              </w:tblCellMar>
            </w:tblPr>
            <w:tblGrid>
              <w:gridCol w:w="1141"/>
              <w:gridCol w:w="1315"/>
              <w:gridCol w:w="3188"/>
              <w:gridCol w:w="1088"/>
              <w:gridCol w:w="1557"/>
            </w:tblGrid>
            <w:tr w14:paraId="4213EB12">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397" w:hRule="atLeast"/>
                <w:jc w:val="center"/>
              </w:trPr>
              <w:tc>
                <w:tcPr>
                  <w:tcW w:w="688" w:type="pct"/>
                  <w:tcBorders>
                    <w:tl2br w:val="nil"/>
                    <w:tr2bl w:val="nil"/>
                  </w:tcBorders>
                  <w:vAlign w:val="center"/>
                </w:tcPr>
                <w:p w14:paraId="4FDAC9F3">
                  <w:pPr>
                    <w:pStyle w:val="38"/>
                    <w:rPr>
                      <w:rFonts w:hint="default"/>
                      <w:b/>
                      <w:bCs/>
                    </w:rPr>
                  </w:pPr>
                  <w:r>
                    <w:rPr>
                      <w:rFonts w:hint="default"/>
                      <w:b/>
                      <w:bCs/>
                    </w:rPr>
                    <w:t>监测类别</w:t>
                  </w:r>
                </w:p>
              </w:tc>
              <w:tc>
                <w:tcPr>
                  <w:tcW w:w="793" w:type="pct"/>
                  <w:tcBorders>
                    <w:tl2br w:val="nil"/>
                    <w:tr2bl w:val="nil"/>
                  </w:tcBorders>
                  <w:vAlign w:val="center"/>
                </w:tcPr>
                <w:p w14:paraId="17825ED9">
                  <w:pPr>
                    <w:pStyle w:val="38"/>
                    <w:rPr>
                      <w:rFonts w:hint="default"/>
                      <w:b/>
                      <w:bCs/>
                    </w:rPr>
                  </w:pPr>
                  <w:r>
                    <w:rPr>
                      <w:rFonts w:hint="default"/>
                      <w:b/>
                      <w:bCs/>
                    </w:rPr>
                    <w:t>监测项目</w:t>
                  </w:r>
                </w:p>
              </w:tc>
              <w:tc>
                <w:tcPr>
                  <w:tcW w:w="1923" w:type="pct"/>
                  <w:tcBorders>
                    <w:tl2br w:val="nil"/>
                    <w:tr2bl w:val="nil"/>
                  </w:tcBorders>
                  <w:vAlign w:val="center"/>
                </w:tcPr>
                <w:p w14:paraId="7F7D7010">
                  <w:pPr>
                    <w:pStyle w:val="38"/>
                    <w:rPr>
                      <w:rFonts w:hint="default"/>
                      <w:b/>
                      <w:bCs/>
                    </w:rPr>
                  </w:pPr>
                  <w:r>
                    <w:rPr>
                      <w:rFonts w:hint="default"/>
                      <w:b/>
                      <w:bCs/>
                    </w:rPr>
                    <w:t>监测点位</w:t>
                  </w:r>
                </w:p>
              </w:tc>
              <w:tc>
                <w:tcPr>
                  <w:tcW w:w="656" w:type="pct"/>
                  <w:tcBorders>
                    <w:tl2br w:val="nil"/>
                    <w:tr2bl w:val="nil"/>
                  </w:tcBorders>
                  <w:vAlign w:val="center"/>
                </w:tcPr>
                <w:p w14:paraId="0A410FB9">
                  <w:pPr>
                    <w:pStyle w:val="38"/>
                    <w:rPr>
                      <w:rFonts w:hint="default"/>
                      <w:b/>
                      <w:bCs/>
                    </w:rPr>
                  </w:pPr>
                  <w:r>
                    <w:rPr>
                      <w:rFonts w:hint="default"/>
                      <w:b/>
                      <w:bCs/>
                    </w:rPr>
                    <w:t>点位编号</w:t>
                  </w:r>
                </w:p>
              </w:tc>
              <w:tc>
                <w:tcPr>
                  <w:tcW w:w="939" w:type="pct"/>
                  <w:tcBorders>
                    <w:tl2br w:val="nil"/>
                    <w:tr2bl w:val="nil"/>
                  </w:tcBorders>
                  <w:vAlign w:val="center"/>
                </w:tcPr>
                <w:p w14:paraId="7D04F40F">
                  <w:pPr>
                    <w:pStyle w:val="38"/>
                    <w:rPr>
                      <w:rFonts w:hint="default"/>
                      <w:b/>
                      <w:bCs/>
                    </w:rPr>
                  </w:pPr>
                  <w:r>
                    <w:rPr>
                      <w:rFonts w:hint="default"/>
                      <w:b/>
                      <w:bCs/>
                    </w:rPr>
                    <w:t>监测频次</w:t>
                  </w:r>
                </w:p>
              </w:tc>
            </w:tr>
            <w:tr w14:paraId="4C51C8A8">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397" w:hRule="atLeast"/>
                <w:jc w:val="center"/>
              </w:trPr>
              <w:tc>
                <w:tcPr>
                  <w:tcW w:w="688" w:type="pct"/>
                  <w:vMerge w:val="restart"/>
                  <w:tcBorders>
                    <w:tl2br w:val="nil"/>
                    <w:tr2bl w:val="nil"/>
                  </w:tcBorders>
                  <w:vAlign w:val="center"/>
                </w:tcPr>
                <w:p w14:paraId="112DE2B1">
                  <w:pPr>
                    <w:pStyle w:val="38"/>
                    <w:rPr>
                      <w:rFonts w:hint="default"/>
                    </w:rPr>
                  </w:pPr>
                  <w:r>
                    <w:t>噪声</w:t>
                  </w:r>
                </w:p>
              </w:tc>
              <w:tc>
                <w:tcPr>
                  <w:tcW w:w="793" w:type="pct"/>
                  <w:vMerge w:val="restart"/>
                  <w:tcBorders>
                    <w:tl2br w:val="nil"/>
                    <w:tr2bl w:val="nil"/>
                  </w:tcBorders>
                  <w:vAlign w:val="center"/>
                </w:tcPr>
                <w:p w14:paraId="285E48EA">
                  <w:pPr>
                    <w:pStyle w:val="38"/>
                    <w:rPr>
                      <w:rFonts w:hint="default"/>
                    </w:rPr>
                  </w:pPr>
                  <w:r>
                    <w:t>声环境噪声</w:t>
                  </w:r>
                </w:p>
              </w:tc>
              <w:tc>
                <w:tcPr>
                  <w:tcW w:w="1923" w:type="pct"/>
                  <w:tcBorders>
                    <w:tl2br w:val="nil"/>
                    <w:tr2bl w:val="nil"/>
                  </w:tcBorders>
                  <w:vAlign w:val="center"/>
                </w:tcPr>
                <w:p w14:paraId="441FFDB8">
                  <w:pPr>
                    <w:jc w:val="center"/>
                  </w:pPr>
                  <w:r>
                    <w:rPr>
                      <w:rFonts w:hint="eastAsia"/>
                      <w:szCs w:val="21"/>
                    </w:rPr>
                    <w:t>金元镇小学墙外1m（105.338852E，30.338852N）</w:t>
                  </w:r>
                </w:p>
              </w:tc>
              <w:tc>
                <w:tcPr>
                  <w:tcW w:w="656" w:type="pct"/>
                  <w:tcBorders>
                    <w:tl2br w:val="nil"/>
                    <w:tr2bl w:val="nil"/>
                  </w:tcBorders>
                  <w:vAlign w:val="center"/>
                </w:tcPr>
                <w:p w14:paraId="1A5544FA">
                  <w:pPr>
                    <w:jc w:val="center"/>
                  </w:pPr>
                  <w:r>
                    <w:t>1#</w:t>
                  </w:r>
                </w:p>
              </w:tc>
              <w:tc>
                <w:tcPr>
                  <w:tcW w:w="939" w:type="pct"/>
                  <w:vMerge w:val="restart"/>
                  <w:tcBorders>
                    <w:tl2br w:val="nil"/>
                    <w:tr2bl w:val="nil"/>
                  </w:tcBorders>
                  <w:vAlign w:val="center"/>
                </w:tcPr>
                <w:p w14:paraId="5443E916">
                  <w:pPr>
                    <w:pStyle w:val="38"/>
                    <w:rPr>
                      <w:rFonts w:hint="default"/>
                    </w:rPr>
                  </w:pPr>
                  <w:r>
                    <w:t>昼夜间各1次，监测1天</w:t>
                  </w:r>
                </w:p>
              </w:tc>
            </w:tr>
            <w:tr w14:paraId="3FEC2291">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397" w:hRule="atLeast"/>
                <w:jc w:val="center"/>
              </w:trPr>
              <w:tc>
                <w:tcPr>
                  <w:tcW w:w="688" w:type="pct"/>
                  <w:vMerge w:val="continue"/>
                  <w:tcBorders>
                    <w:tl2br w:val="nil"/>
                    <w:tr2bl w:val="nil"/>
                  </w:tcBorders>
                  <w:vAlign w:val="center"/>
                </w:tcPr>
                <w:p w14:paraId="788BC2CC">
                  <w:pPr>
                    <w:pStyle w:val="38"/>
                    <w:rPr>
                      <w:rFonts w:hint="default"/>
                    </w:rPr>
                  </w:pPr>
                </w:p>
              </w:tc>
              <w:tc>
                <w:tcPr>
                  <w:tcW w:w="793" w:type="pct"/>
                  <w:vMerge w:val="continue"/>
                  <w:tcBorders>
                    <w:tl2br w:val="nil"/>
                    <w:tr2bl w:val="nil"/>
                  </w:tcBorders>
                  <w:vAlign w:val="center"/>
                </w:tcPr>
                <w:p w14:paraId="24BD1049">
                  <w:pPr>
                    <w:pStyle w:val="38"/>
                    <w:rPr>
                      <w:rFonts w:hint="default"/>
                    </w:rPr>
                  </w:pPr>
                </w:p>
              </w:tc>
              <w:tc>
                <w:tcPr>
                  <w:tcW w:w="1923" w:type="pct"/>
                  <w:tcBorders>
                    <w:tl2br w:val="nil"/>
                    <w:tr2bl w:val="nil"/>
                  </w:tcBorders>
                  <w:vAlign w:val="center"/>
                </w:tcPr>
                <w:p w14:paraId="042683E2">
                  <w:pPr>
                    <w:jc w:val="center"/>
                  </w:pPr>
                  <w:r>
                    <w:rPr>
                      <w:rFonts w:hint="eastAsia"/>
                      <w:szCs w:val="21"/>
                    </w:rPr>
                    <w:t>金元镇上游居民墙外1m（105.340781E，30.547663N）</w:t>
                  </w:r>
                </w:p>
              </w:tc>
              <w:tc>
                <w:tcPr>
                  <w:tcW w:w="656" w:type="pct"/>
                  <w:tcBorders>
                    <w:tl2br w:val="nil"/>
                    <w:tr2bl w:val="nil"/>
                  </w:tcBorders>
                  <w:vAlign w:val="center"/>
                </w:tcPr>
                <w:p w14:paraId="549E33E4">
                  <w:pPr>
                    <w:jc w:val="center"/>
                  </w:pPr>
                  <w:r>
                    <w:t>2#</w:t>
                  </w:r>
                </w:p>
              </w:tc>
              <w:tc>
                <w:tcPr>
                  <w:tcW w:w="939" w:type="pct"/>
                  <w:vMerge w:val="continue"/>
                  <w:tcBorders>
                    <w:tl2br w:val="nil"/>
                    <w:tr2bl w:val="nil"/>
                  </w:tcBorders>
                  <w:vAlign w:val="center"/>
                </w:tcPr>
                <w:p w14:paraId="543993E9">
                  <w:pPr>
                    <w:pStyle w:val="38"/>
                    <w:rPr>
                      <w:rFonts w:hint="default"/>
                    </w:rPr>
                  </w:pPr>
                </w:p>
              </w:tc>
            </w:tr>
            <w:tr w14:paraId="6C451EDD">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397" w:hRule="atLeast"/>
                <w:jc w:val="center"/>
              </w:trPr>
              <w:tc>
                <w:tcPr>
                  <w:tcW w:w="688" w:type="pct"/>
                  <w:vMerge w:val="continue"/>
                  <w:tcBorders>
                    <w:tl2br w:val="nil"/>
                    <w:tr2bl w:val="nil"/>
                  </w:tcBorders>
                  <w:vAlign w:val="center"/>
                </w:tcPr>
                <w:p w14:paraId="60F6F51B">
                  <w:pPr>
                    <w:pStyle w:val="38"/>
                    <w:rPr>
                      <w:rFonts w:hint="default"/>
                    </w:rPr>
                  </w:pPr>
                </w:p>
              </w:tc>
              <w:tc>
                <w:tcPr>
                  <w:tcW w:w="793" w:type="pct"/>
                  <w:vMerge w:val="continue"/>
                  <w:tcBorders>
                    <w:tl2br w:val="nil"/>
                    <w:tr2bl w:val="nil"/>
                  </w:tcBorders>
                  <w:vAlign w:val="center"/>
                </w:tcPr>
                <w:p w14:paraId="7D26043E">
                  <w:pPr>
                    <w:pStyle w:val="38"/>
                    <w:rPr>
                      <w:rFonts w:hint="default"/>
                    </w:rPr>
                  </w:pPr>
                </w:p>
              </w:tc>
              <w:tc>
                <w:tcPr>
                  <w:tcW w:w="1923" w:type="pct"/>
                  <w:tcBorders>
                    <w:tl2br w:val="nil"/>
                    <w:tr2bl w:val="nil"/>
                  </w:tcBorders>
                  <w:vAlign w:val="center"/>
                </w:tcPr>
                <w:p w14:paraId="367DACE5">
                  <w:pPr>
                    <w:jc w:val="center"/>
                  </w:pPr>
                  <w:r>
                    <w:rPr>
                      <w:rFonts w:hint="eastAsia"/>
                      <w:szCs w:val="21"/>
                    </w:rPr>
                    <w:t>金元镇下游居民墙外1m（105.342650E，30.548261N）</w:t>
                  </w:r>
                </w:p>
              </w:tc>
              <w:tc>
                <w:tcPr>
                  <w:tcW w:w="656" w:type="pct"/>
                  <w:tcBorders>
                    <w:tl2br w:val="nil"/>
                    <w:tr2bl w:val="nil"/>
                  </w:tcBorders>
                  <w:vAlign w:val="center"/>
                </w:tcPr>
                <w:p w14:paraId="0E5E961A">
                  <w:pPr>
                    <w:jc w:val="center"/>
                  </w:pPr>
                  <w:r>
                    <w:rPr>
                      <w:rFonts w:hint="eastAsia"/>
                    </w:rPr>
                    <w:t>3#</w:t>
                  </w:r>
                </w:p>
              </w:tc>
              <w:tc>
                <w:tcPr>
                  <w:tcW w:w="939" w:type="pct"/>
                  <w:vMerge w:val="continue"/>
                  <w:tcBorders>
                    <w:tl2br w:val="nil"/>
                    <w:tr2bl w:val="nil"/>
                  </w:tcBorders>
                  <w:vAlign w:val="center"/>
                </w:tcPr>
                <w:p w14:paraId="5DB10CCE">
                  <w:pPr>
                    <w:pStyle w:val="38"/>
                    <w:rPr>
                      <w:rFonts w:hint="default"/>
                    </w:rPr>
                  </w:pPr>
                </w:p>
              </w:tc>
            </w:tr>
            <w:tr w14:paraId="698760E2">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397" w:hRule="atLeast"/>
                <w:jc w:val="center"/>
              </w:trPr>
              <w:tc>
                <w:tcPr>
                  <w:tcW w:w="688" w:type="pct"/>
                  <w:vMerge w:val="continue"/>
                  <w:tcBorders>
                    <w:tl2br w:val="nil"/>
                    <w:tr2bl w:val="nil"/>
                  </w:tcBorders>
                  <w:vAlign w:val="center"/>
                </w:tcPr>
                <w:p w14:paraId="32BDF0EF">
                  <w:pPr>
                    <w:pStyle w:val="38"/>
                    <w:rPr>
                      <w:rFonts w:hint="default"/>
                    </w:rPr>
                  </w:pPr>
                </w:p>
              </w:tc>
              <w:tc>
                <w:tcPr>
                  <w:tcW w:w="793" w:type="pct"/>
                  <w:vMerge w:val="continue"/>
                  <w:tcBorders>
                    <w:tl2br w:val="nil"/>
                    <w:tr2bl w:val="nil"/>
                  </w:tcBorders>
                  <w:vAlign w:val="center"/>
                </w:tcPr>
                <w:p w14:paraId="3BD0C2FD">
                  <w:pPr>
                    <w:pStyle w:val="38"/>
                    <w:rPr>
                      <w:rFonts w:hint="default"/>
                    </w:rPr>
                  </w:pPr>
                </w:p>
              </w:tc>
              <w:tc>
                <w:tcPr>
                  <w:tcW w:w="1923" w:type="pct"/>
                  <w:tcBorders>
                    <w:tl2br w:val="nil"/>
                    <w:tr2bl w:val="nil"/>
                  </w:tcBorders>
                  <w:vAlign w:val="center"/>
                </w:tcPr>
                <w:p w14:paraId="52D5264C">
                  <w:pPr>
                    <w:jc w:val="center"/>
                  </w:pPr>
                  <w:r>
                    <w:rPr>
                      <w:rFonts w:hint="eastAsia"/>
                      <w:szCs w:val="21"/>
                    </w:rPr>
                    <w:t>金元镇幼儿园墙外1m（105.343444E，30.549645N）</w:t>
                  </w:r>
                </w:p>
              </w:tc>
              <w:tc>
                <w:tcPr>
                  <w:tcW w:w="656" w:type="pct"/>
                  <w:tcBorders>
                    <w:tl2br w:val="nil"/>
                    <w:tr2bl w:val="nil"/>
                  </w:tcBorders>
                  <w:vAlign w:val="center"/>
                </w:tcPr>
                <w:p w14:paraId="562B08E6">
                  <w:pPr>
                    <w:jc w:val="center"/>
                  </w:pPr>
                  <w:r>
                    <w:rPr>
                      <w:rFonts w:hint="eastAsia"/>
                    </w:rPr>
                    <w:t>4#</w:t>
                  </w:r>
                </w:p>
              </w:tc>
              <w:tc>
                <w:tcPr>
                  <w:tcW w:w="939" w:type="pct"/>
                  <w:vMerge w:val="continue"/>
                  <w:tcBorders>
                    <w:tl2br w:val="nil"/>
                    <w:tr2bl w:val="nil"/>
                  </w:tcBorders>
                  <w:vAlign w:val="center"/>
                </w:tcPr>
                <w:p w14:paraId="4C0150D9">
                  <w:pPr>
                    <w:pStyle w:val="38"/>
                    <w:rPr>
                      <w:rFonts w:hint="default"/>
                    </w:rPr>
                  </w:pPr>
                </w:p>
              </w:tc>
            </w:tr>
            <w:tr w14:paraId="1C6A7AA0">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397" w:hRule="atLeast"/>
                <w:jc w:val="center"/>
              </w:trPr>
              <w:tc>
                <w:tcPr>
                  <w:tcW w:w="688" w:type="pct"/>
                  <w:vMerge w:val="continue"/>
                  <w:tcBorders>
                    <w:tl2br w:val="nil"/>
                    <w:tr2bl w:val="nil"/>
                  </w:tcBorders>
                  <w:vAlign w:val="center"/>
                </w:tcPr>
                <w:p w14:paraId="099CA5F5">
                  <w:pPr>
                    <w:pStyle w:val="38"/>
                    <w:rPr>
                      <w:rFonts w:hint="default"/>
                    </w:rPr>
                  </w:pPr>
                </w:p>
              </w:tc>
              <w:tc>
                <w:tcPr>
                  <w:tcW w:w="793" w:type="pct"/>
                  <w:vMerge w:val="continue"/>
                  <w:tcBorders>
                    <w:tl2br w:val="nil"/>
                    <w:tr2bl w:val="nil"/>
                  </w:tcBorders>
                  <w:vAlign w:val="center"/>
                </w:tcPr>
                <w:p w14:paraId="5997520A">
                  <w:pPr>
                    <w:pStyle w:val="38"/>
                    <w:rPr>
                      <w:rFonts w:hint="default"/>
                    </w:rPr>
                  </w:pPr>
                </w:p>
              </w:tc>
              <w:tc>
                <w:tcPr>
                  <w:tcW w:w="1923" w:type="pct"/>
                  <w:tcBorders>
                    <w:tl2br w:val="nil"/>
                    <w:tr2bl w:val="nil"/>
                  </w:tcBorders>
                  <w:vAlign w:val="center"/>
                </w:tcPr>
                <w:p w14:paraId="1D331FA7">
                  <w:pPr>
                    <w:jc w:val="center"/>
                  </w:pPr>
                  <w:r>
                    <w:rPr>
                      <w:rFonts w:hint="eastAsia"/>
                      <w:szCs w:val="21"/>
                    </w:rPr>
                    <w:t>金宝村居民墙外1m（105.344114E，30.549745N）</w:t>
                  </w:r>
                </w:p>
              </w:tc>
              <w:tc>
                <w:tcPr>
                  <w:tcW w:w="656" w:type="pct"/>
                  <w:tcBorders>
                    <w:tl2br w:val="nil"/>
                    <w:tr2bl w:val="nil"/>
                  </w:tcBorders>
                  <w:vAlign w:val="center"/>
                </w:tcPr>
                <w:p w14:paraId="4D521139">
                  <w:pPr>
                    <w:jc w:val="center"/>
                  </w:pPr>
                  <w:r>
                    <w:rPr>
                      <w:rFonts w:hint="eastAsia"/>
                    </w:rPr>
                    <w:t>5#</w:t>
                  </w:r>
                </w:p>
              </w:tc>
              <w:tc>
                <w:tcPr>
                  <w:tcW w:w="939" w:type="pct"/>
                  <w:vMerge w:val="continue"/>
                  <w:tcBorders>
                    <w:tl2br w:val="nil"/>
                    <w:tr2bl w:val="nil"/>
                  </w:tcBorders>
                  <w:vAlign w:val="center"/>
                </w:tcPr>
                <w:p w14:paraId="606BA374">
                  <w:pPr>
                    <w:pStyle w:val="38"/>
                    <w:rPr>
                      <w:rFonts w:hint="default"/>
                    </w:rPr>
                  </w:pPr>
                </w:p>
              </w:tc>
            </w:tr>
            <w:tr w14:paraId="3A4FC283">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397" w:hRule="atLeast"/>
                <w:jc w:val="center"/>
              </w:trPr>
              <w:tc>
                <w:tcPr>
                  <w:tcW w:w="688" w:type="pct"/>
                  <w:vMerge w:val="continue"/>
                  <w:tcBorders>
                    <w:tl2br w:val="nil"/>
                    <w:tr2bl w:val="nil"/>
                  </w:tcBorders>
                  <w:vAlign w:val="center"/>
                </w:tcPr>
                <w:p w14:paraId="3BEF0BAA">
                  <w:pPr>
                    <w:pStyle w:val="38"/>
                    <w:rPr>
                      <w:rFonts w:hint="default"/>
                    </w:rPr>
                  </w:pPr>
                </w:p>
              </w:tc>
              <w:tc>
                <w:tcPr>
                  <w:tcW w:w="793" w:type="pct"/>
                  <w:vMerge w:val="continue"/>
                  <w:tcBorders>
                    <w:tl2br w:val="nil"/>
                    <w:tr2bl w:val="nil"/>
                  </w:tcBorders>
                  <w:vAlign w:val="center"/>
                </w:tcPr>
                <w:p w14:paraId="5C9F53CB">
                  <w:pPr>
                    <w:pStyle w:val="38"/>
                    <w:rPr>
                      <w:rFonts w:hint="default"/>
                    </w:rPr>
                  </w:pPr>
                </w:p>
              </w:tc>
              <w:tc>
                <w:tcPr>
                  <w:tcW w:w="1923" w:type="pct"/>
                  <w:tcBorders>
                    <w:tl2br w:val="nil"/>
                    <w:tr2bl w:val="nil"/>
                  </w:tcBorders>
                  <w:vAlign w:val="center"/>
                </w:tcPr>
                <w:p w14:paraId="675E872F">
                  <w:pPr>
                    <w:jc w:val="center"/>
                    <w:rPr>
                      <w:szCs w:val="21"/>
                    </w:rPr>
                  </w:pPr>
                  <w:r>
                    <w:rPr>
                      <w:rFonts w:hint="eastAsia"/>
                      <w:szCs w:val="21"/>
                    </w:rPr>
                    <w:t>施工场地东侧墙外1m（105.344081E，30.550262N）</w:t>
                  </w:r>
                </w:p>
              </w:tc>
              <w:tc>
                <w:tcPr>
                  <w:tcW w:w="656" w:type="pct"/>
                  <w:tcBorders>
                    <w:tl2br w:val="nil"/>
                    <w:tr2bl w:val="nil"/>
                  </w:tcBorders>
                  <w:vAlign w:val="center"/>
                </w:tcPr>
                <w:p w14:paraId="3074FA41">
                  <w:pPr>
                    <w:jc w:val="center"/>
                  </w:pPr>
                  <w:r>
                    <w:rPr>
                      <w:rFonts w:hint="eastAsia"/>
                    </w:rPr>
                    <w:t>6#</w:t>
                  </w:r>
                </w:p>
              </w:tc>
              <w:tc>
                <w:tcPr>
                  <w:tcW w:w="939" w:type="pct"/>
                  <w:vMerge w:val="continue"/>
                  <w:tcBorders>
                    <w:tl2br w:val="nil"/>
                    <w:tr2bl w:val="nil"/>
                  </w:tcBorders>
                  <w:vAlign w:val="center"/>
                </w:tcPr>
                <w:p w14:paraId="12B163D6">
                  <w:pPr>
                    <w:pStyle w:val="38"/>
                    <w:rPr>
                      <w:rFonts w:hint="default"/>
                    </w:rPr>
                  </w:pPr>
                </w:p>
              </w:tc>
            </w:tr>
            <w:tr w14:paraId="7270F6B0">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397" w:hRule="atLeast"/>
                <w:jc w:val="center"/>
              </w:trPr>
              <w:tc>
                <w:tcPr>
                  <w:tcW w:w="688" w:type="pct"/>
                  <w:vMerge w:val="continue"/>
                  <w:tcBorders>
                    <w:tl2br w:val="nil"/>
                    <w:tr2bl w:val="nil"/>
                  </w:tcBorders>
                  <w:vAlign w:val="center"/>
                </w:tcPr>
                <w:p w14:paraId="20E5F728">
                  <w:pPr>
                    <w:pStyle w:val="38"/>
                    <w:rPr>
                      <w:rFonts w:hint="default"/>
                    </w:rPr>
                  </w:pPr>
                </w:p>
              </w:tc>
              <w:tc>
                <w:tcPr>
                  <w:tcW w:w="793" w:type="pct"/>
                  <w:vMerge w:val="continue"/>
                  <w:tcBorders>
                    <w:tl2br w:val="nil"/>
                    <w:tr2bl w:val="nil"/>
                  </w:tcBorders>
                  <w:vAlign w:val="center"/>
                </w:tcPr>
                <w:p w14:paraId="31476BA9">
                  <w:pPr>
                    <w:pStyle w:val="38"/>
                    <w:rPr>
                      <w:rFonts w:hint="default"/>
                    </w:rPr>
                  </w:pPr>
                </w:p>
              </w:tc>
              <w:tc>
                <w:tcPr>
                  <w:tcW w:w="1923" w:type="pct"/>
                  <w:tcBorders>
                    <w:tl2br w:val="nil"/>
                    <w:tr2bl w:val="nil"/>
                  </w:tcBorders>
                  <w:vAlign w:val="center"/>
                </w:tcPr>
                <w:p w14:paraId="1BF9F9BB">
                  <w:pPr>
                    <w:jc w:val="center"/>
                    <w:rPr>
                      <w:szCs w:val="21"/>
                    </w:rPr>
                  </w:pPr>
                  <w:r>
                    <w:rPr>
                      <w:rFonts w:hint="eastAsia"/>
                      <w:szCs w:val="21"/>
                    </w:rPr>
                    <w:t>金元堰附近居民墙外1m（105.343982E，30.550716N）</w:t>
                  </w:r>
                </w:p>
              </w:tc>
              <w:tc>
                <w:tcPr>
                  <w:tcW w:w="656" w:type="pct"/>
                  <w:tcBorders>
                    <w:tl2br w:val="nil"/>
                    <w:tr2bl w:val="nil"/>
                  </w:tcBorders>
                  <w:vAlign w:val="center"/>
                </w:tcPr>
                <w:p w14:paraId="5FEE2B69">
                  <w:pPr>
                    <w:jc w:val="center"/>
                  </w:pPr>
                  <w:r>
                    <w:rPr>
                      <w:rFonts w:hint="eastAsia"/>
                    </w:rPr>
                    <w:t>7#</w:t>
                  </w:r>
                </w:p>
              </w:tc>
              <w:tc>
                <w:tcPr>
                  <w:tcW w:w="939" w:type="pct"/>
                  <w:vMerge w:val="continue"/>
                  <w:tcBorders>
                    <w:tl2br w:val="nil"/>
                    <w:tr2bl w:val="nil"/>
                  </w:tcBorders>
                  <w:vAlign w:val="center"/>
                </w:tcPr>
                <w:p w14:paraId="4F0448FD">
                  <w:pPr>
                    <w:pStyle w:val="38"/>
                    <w:rPr>
                      <w:rFonts w:hint="default"/>
                    </w:rPr>
                  </w:pPr>
                </w:p>
              </w:tc>
            </w:tr>
          </w:tbl>
          <w:p w14:paraId="72B4A38A">
            <w:pPr>
              <w:pStyle w:val="36"/>
              <w:ind w:firstLine="482"/>
              <w:rPr>
                <w:rFonts w:hint="default"/>
                <w:b/>
                <w:bCs/>
              </w:rPr>
            </w:pPr>
            <w:r>
              <w:rPr>
                <w:b/>
                <w:bCs/>
              </w:rPr>
              <w:t>②监测分析方法</w:t>
            </w:r>
          </w:p>
          <w:p w14:paraId="16F2CAAA">
            <w:pPr>
              <w:pStyle w:val="36"/>
              <w:ind w:firstLine="480"/>
              <w:rPr>
                <w:rFonts w:hint="default"/>
              </w:rPr>
            </w:pPr>
            <w:r>
              <w:t>按照《声环境质量标准》（GB3096-2008）及《环境影响评价技术导则-声环境》（HJ2.4-2009）中的规定进行测试，监测方法如下表。</w:t>
            </w:r>
          </w:p>
          <w:p w14:paraId="7B559407">
            <w:pPr>
              <w:pStyle w:val="47"/>
              <w:numPr>
                <w:ilvl w:val="0"/>
                <w:numId w:val="26"/>
              </w:numPr>
              <w:spacing w:before="156"/>
            </w:pPr>
            <w:r>
              <w:rPr>
                <w:rFonts w:hint="eastAsia"/>
              </w:rPr>
              <w:t>测</w:t>
            </w:r>
            <w:r>
              <w:t>方法、使用仪器及检出限表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Layout w:type="fixed"/>
              <w:tblCellMar>
                <w:top w:w="0" w:type="dxa"/>
                <w:left w:w="0" w:type="dxa"/>
                <w:bottom w:w="0" w:type="dxa"/>
                <w:right w:w="0" w:type="dxa"/>
              </w:tblCellMar>
            </w:tblPr>
            <w:tblGrid>
              <w:gridCol w:w="1001"/>
              <w:gridCol w:w="1474"/>
              <w:gridCol w:w="1931"/>
              <w:gridCol w:w="3001"/>
              <w:gridCol w:w="882"/>
            </w:tblGrid>
            <w:tr w14:paraId="24B95183">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0" w:type="dxa"/>
                  <w:bottom w:w="0" w:type="dxa"/>
                  <w:right w:w="0" w:type="dxa"/>
                </w:tblCellMar>
              </w:tblPrEx>
              <w:trPr>
                <w:trHeight w:val="397" w:hRule="atLeast"/>
                <w:jc w:val="center"/>
              </w:trPr>
              <w:tc>
                <w:tcPr>
                  <w:tcW w:w="604" w:type="pct"/>
                  <w:tcBorders>
                    <w:tl2br w:val="nil"/>
                    <w:tr2bl w:val="nil"/>
                  </w:tcBorders>
                  <w:vAlign w:val="center"/>
                </w:tcPr>
                <w:p w14:paraId="1D1CBA32">
                  <w:pPr>
                    <w:pStyle w:val="38"/>
                    <w:rPr>
                      <w:rFonts w:hint="default"/>
                      <w:b/>
                      <w:bCs/>
                    </w:rPr>
                  </w:pPr>
                  <w:r>
                    <w:rPr>
                      <w:rFonts w:hint="default"/>
                      <w:b/>
                      <w:bCs/>
                    </w:rPr>
                    <w:t>监测类别</w:t>
                  </w:r>
                </w:p>
              </w:tc>
              <w:tc>
                <w:tcPr>
                  <w:tcW w:w="888" w:type="pct"/>
                  <w:tcBorders>
                    <w:tl2br w:val="nil"/>
                    <w:tr2bl w:val="nil"/>
                  </w:tcBorders>
                  <w:vAlign w:val="center"/>
                </w:tcPr>
                <w:p w14:paraId="721FC822">
                  <w:pPr>
                    <w:pStyle w:val="38"/>
                    <w:rPr>
                      <w:rFonts w:hint="default"/>
                      <w:b/>
                      <w:bCs/>
                    </w:rPr>
                  </w:pPr>
                  <w:r>
                    <w:rPr>
                      <w:rFonts w:hint="default"/>
                      <w:b/>
                      <w:bCs/>
                    </w:rPr>
                    <w:t>监测项目</w:t>
                  </w:r>
                </w:p>
              </w:tc>
              <w:tc>
                <w:tcPr>
                  <w:tcW w:w="1164" w:type="pct"/>
                  <w:tcBorders>
                    <w:tl2br w:val="nil"/>
                    <w:tr2bl w:val="nil"/>
                  </w:tcBorders>
                  <w:vAlign w:val="center"/>
                </w:tcPr>
                <w:p w14:paraId="484DB47E">
                  <w:pPr>
                    <w:pStyle w:val="38"/>
                    <w:rPr>
                      <w:rFonts w:hint="default"/>
                      <w:b/>
                      <w:bCs/>
                    </w:rPr>
                  </w:pPr>
                  <w:r>
                    <w:rPr>
                      <w:rFonts w:hint="default"/>
                      <w:b/>
                      <w:bCs/>
                    </w:rPr>
                    <w:t>监测方法</w:t>
                  </w:r>
                </w:p>
              </w:tc>
              <w:tc>
                <w:tcPr>
                  <w:tcW w:w="1809" w:type="pct"/>
                  <w:tcBorders>
                    <w:tl2br w:val="nil"/>
                    <w:tr2bl w:val="nil"/>
                  </w:tcBorders>
                  <w:vAlign w:val="center"/>
                </w:tcPr>
                <w:p w14:paraId="68120E3A">
                  <w:pPr>
                    <w:pStyle w:val="38"/>
                    <w:rPr>
                      <w:rFonts w:hint="default"/>
                      <w:b/>
                      <w:bCs/>
                    </w:rPr>
                  </w:pPr>
                  <w:r>
                    <w:rPr>
                      <w:rFonts w:hint="default"/>
                      <w:b/>
                      <w:bCs/>
                    </w:rPr>
                    <w:t>使用仪器</w:t>
                  </w:r>
                </w:p>
              </w:tc>
              <w:tc>
                <w:tcPr>
                  <w:tcW w:w="532" w:type="pct"/>
                  <w:tcBorders>
                    <w:tl2br w:val="nil"/>
                    <w:tr2bl w:val="nil"/>
                  </w:tcBorders>
                  <w:vAlign w:val="center"/>
                </w:tcPr>
                <w:p w14:paraId="17B8B9B7">
                  <w:pPr>
                    <w:pStyle w:val="38"/>
                    <w:rPr>
                      <w:rFonts w:hint="default"/>
                      <w:b/>
                      <w:bCs/>
                    </w:rPr>
                  </w:pPr>
                  <w:r>
                    <w:rPr>
                      <w:rFonts w:hint="default"/>
                      <w:b/>
                      <w:bCs/>
                    </w:rPr>
                    <w:t>检出限</w:t>
                  </w:r>
                </w:p>
              </w:tc>
            </w:tr>
            <w:tr w14:paraId="1BCE2D46">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0" w:type="dxa"/>
                  <w:bottom w:w="0" w:type="dxa"/>
                  <w:right w:w="0" w:type="dxa"/>
                </w:tblCellMar>
              </w:tblPrEx>
              <w:trPr>
                <w:trHeight w:val="397" w:hRule="atLeast"/>
                <w:jc w:val="center"/>
              </w:trPr>
              <w:tc>
                <w:tcPr>
                  <w:tcW w:w="604" w:type="pct"/>
                  <w:tcBorders>
                    <w:tl2br w:val="nil"/>
                    <w:tr2bl w:val="nil"/>
                  </w:tcBorders>
                  <w:vAlign w:val="center"/>
                </w:tcPr>
                <w:p w14:paraId="7478D29F">
                  <w:pPr>
                    <w:pStyle w:val="38"/>
                    <w:rPr>
                      <w:rFonts w:hint="default"/>
                    </w:rPr>
                  </w:pPr>
                  <w:r>
                    <w:rPr>
                      <w:rFonts w:hint="default"/>
                    </w:rPr>
                    <w:t>噪声</w:t>
                  </w:r>
                </w:p>
              </w:tc>
              <w:tc>
                <w:tcPr>
                  <w:tcW w:w="888" w:type="pct"/>
                  <w:tcBorders>
                    <w:tl2br w:val="nil"/>
                    <w:tr2bl w:val="nil"/>
                  </w:tcBorders>
                  <w:vAlign w:val="center"/>
                </w:tcPr>
                <w:p w14:paraId="5A351B44">
                  <w:pPr>
                    <w:pStyle w:val="38"/>
                    <w:rPr>
                      <w:rFonts w:hint="default"/>
                    </w:rPr>
                  </w:pPr>
                  <w:r>
                    <w:rPr>
                      <w:rFonts w:hint="default"/>
                    </w:rPr>
                    <w:t>声环境噪声</w:t>
                  </w:r>
                </w:p>
              </w:tc>
              <w:tc>
                <w:tcPr>
                  <w:tcW w:w="1164" w:type="pct"/>
                  <w:tcBorders>
                    <w:tl2br w:val="nil"/>
                    <w:tr2bl w:val="nil"/>
                  </w:tcBorders>
                  <w:vAlign w:val="center"/>
                </w:tcPr>
                <w:p w14:paraId="4263E322">
                  <w:pPr>
                    <w:pStyle w:val="38"/>
                    <w:rPr>
                      <w:rFonts w:hint="default"/>
                    </w:rPr>
                  </w:pPr>
                  <w:r>
                    <w:rPr>
                      <w:rFonts w:hint="default"/>
                    </w:rPr>
                    <w:t>声环境质量标准 GB 3096-2008</w:t>
                  </w:r>
                </w:p>
              </w:tc>
              <w:tc>
                <w:tcPr>
                  <w:tcW w:w="1809" w:type="pct"/>
                  <w:tcBorders>
                    <w:tl2br w:val="nil"/>
                    <w:tr2bl w:val="nil"/>
                  </w:tcBorders>
                  <w:vAlign w:val="center"/>
                </w:tcPr>
                <w:p w14:paraId="0D0D6A9E">
                  <w:pPr>
                    <w:pStyle w:val="38"/>
                    <w:rPr>
                      <w:rFonts w:hint="default"/>
                    </w:rPr>
                  </w:pPr>
                  <w:r>
                    <w:rPr>
                      <w:rFonts w:hint="default"/>
                      <w:kern w:val="2"/>
                    </w:rPr>
                    <w:t>AWA6228+型多功能声级计SCQW-A</w:t>
                  </w:r>
                  <w:r>
                    <w:rPr>
                      <w:kern w:val="2"/>
                    </w:rPr>
                    <w:t>148</w:t>
                  </w:r>
                  <w:r>
                    <w:rPr>
                      <w:rFonts w:hint="default"/>
                      <w:kern w:val="2"/>
                    </w:rPr>
                    <w:t>；AWA602</w:t>
                  </w:r>
                  <w:r>
                    <w:rPr>
                      <w:kern w:val="2"/>
                    </w:rPr>
                    <w:t>2A</w:t>
                  </w:r>
                  <w:r>
                    <w:rPr>
                      <w:rFonts w:hint="default"/>
                      <w:kern w:val="2"/>
                    </w:rPr>
                    <w:t>声级校准器SCQW-A0</w:t>
                  </w:r>
                  <w:r>
                    <w:rPr>
                      <w:kern w:val="2"/>
                    </w:rPr>
                    <w:t>98</w:t>
                  </w:r>
                </w:p>
              </w:tc>
              <w:tc>
                <w:tcPr>
                  <w:tcW w:w="532" w:type="pct"/>
                  <w:tcBorders>
                    <w:tl2br w:val="nil"/>
                    <w:tr2bl w:val="nil"/>
                  </w:tcBorders>
                  <w:vAlign w:val="center"/>
                </w:tcPr>
                <w:p w14:paraId="56BFEC04">
                  <w:pPr>
                    <w:pStyle w:val="38"/>
                    <w:rPr>
                      <w:rFonts w:hint="default"/>
                    </w:rPr>
                  </w:pPr>
                  <w:r>
                    <w:t>/</w:t>
                  </w:r>
                </w:p>
              </w:tc>
            </w:tr>
          </w:tbl>
          <w:p w14:paraId="4FAB8569">
            <w:pPr>
              <w:pStyle w:val="36"/>
              <w:ind w:firstLine="482"/>
              <w:rPr>
                <w:rFonts w:hint="default"/>
                <w:b/>
                <w:bCs/>
              </w:rPr>
            </w:pPr>
            <w:r>
              <w:rPr>
                <w:b/>
                <w:bCs/>
              </w:rPr>
              <w:t>③监测结果</w:t>
            </w:r>
          </w:p>
          <w:p w14:paraId="0229E2B7">
            <w:pPr>
              <w:pStyle w:val="36"/>
              <w:ind w:firstLine="480"/>
              <w:rPr>
                <w:rFonts w:hint="default"/>
              </w:rPr>
            </w:pPr>
            <w:r>
              <w:rPr>
                <w:rFonts w:hint="default"/>
              </w:rPr>
              <w:t>监测结果统计如下表。</w:t>
            </w:r>
          </w:p>
          <w:p w14:paraId="1BEB4A98">
            <w:pPr>
              <w:pStyle w:val="47"/>
              <w:numPr>
                <w:ilvl w:val="0"/>
                <w:numId w:val="26"/>
              </w:numPr>
              <w:spacing w:before="156"/>
            </w:pPr>
            <w:r>
              <w:rPr>
                <w:rFonts w:hint="eastAsia"/>
              </w:rPr>
              <w:t>噪声监测统计结果（单位：dB(A)）</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164"/>
              <w:gridCol w:w="3374"/>
              <w:gridCol w:w="1425"/>
              <w:gridCol w:w="1162"/>
              <w:gridCol w:w="1164"/>
            </w:tblGrid>
            <w:tr w14:paraId="0C0CA9B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64" w:type="dxa"/>
                  <w:tcBorders>
                    <w:tl2br w:val="nil"/>
                    <w:tr2bl w:val="nil"/>
                  </w:tcBorders>
                  <w:vAlign w:val="center"/>
                </w:tcPr>
                <w:p w14:paraId="2C9960F8">
                  <w:pPr>
                    <w:pStyle w:val="38"/>
                    <w:rPr>
                      <w:rFonts w:hint="default"/>
                      <w:b/>
                      <w:bCs/>
                    </w:rPr>
                  </w:pPr>
                  <w:r>
                    <w:rPr>
                      <w:b/>
                      <w:bCs/>
                    </w:rPr>
                    <w:t>监测日期</w:t>
                  </w:r>
                </w:p>
              </w:tc>
              <w:tc>
                <w:tcPr>
                  <w:tcW w:w="3374" w:type="dxa"/>
                  <w:tcBorders>
                    <w:tl2br w:val="nil"/>
                    <w:tr2bl w:val="nil"/>
                  </w:tcBorders>
                  <w:vAlign w:val="center"/>
                </w:tcPr>
                <w:p w14:paraId="1329D9F8">
                  <w:pPr>
                    <w:pStyle w:val="38"/>
                    <w:rPr>
                      <w:rFonts w:hint="default"/>
                      <w:b/>
                      <w:bCs/>
                    </w:rPr>
                  </w:pPr>
                  <w:r>
                    <w:rPr>
                      <w:b/>
                      <w:bCs/>
                    </w:rPr>
                    <w:t>监测点位</w:t>
                  </w:r>
                </w:p>
              </w:tc>
              <w:tc>
                <w:tcPr>
                  <w:tcW w:w="1425" w:type="dxa"/>
                  <w:tcBorders>
                    <w:tl2br w:val="nil"/>
                    <w:tr2bl w:val="nil"/>
                  </w:tcBorders>
                  <w:vAlign w:val="center"/>
                </w:tcPr>
                <w:p w14:paraId="479BCAB2">
                  <w:pPr>
                    <w:pStyle w:val="38"/>
                    <w:rPr>
                      <w:rFonts w:hint="default"/>
                      <w:b/>
                      <w:bCs/>
                    </w:rPr>
                  </w:pPr>
                  <w:r>
                    <w:rPr>
                      <w:b/>
                      <w:bCs/>
                    </w:rPr>
                    <w:t>监测时段</w:t>
                  </w:r>
                </w:p>
              </w:tc>
              <w:tc>
                <w:tcPr>
                  <w:tcW w:w="1162" w:type="dxa"/>
                  <w:tcBorders>
                    <w:tl2br w:val="nil"/>
                    <w:tr2bl w:val="nil"/>
                  </w:tcBorders>
                  <w:vAlign w:val="center"/>
                </w:tcPr>
                <w:p w14:paraId="3EBBF312">
                  <w:pPr>
                    <w:pStyle w:val="38"/>
                    <w:rPr>
                      <w:rFonts w:hint="default"/>
                      <w:b/>
                      <w:bCs/>
                    </w:rPr>
                  </w:pPr>
                  <w:r>
                    <w:rPr>
                      <w:b/>
                      <w:bCs/>
                    </w:rPr>
                    <w:t>测量值</w:t>
                  </w:r>
                </w:p>
              </w:tc>
              <w:tc>
                <w:tcPr>
                  <w:tcW w:w="1164" w:type="dxa"/>
                  <w:tcBorders>
                    <w:tl2br w:val="nil"/>
                    <w:tr2bl w:val="nil"/>
                  </w:tcBorders>
                  <w:vAlign w:val="center"/>
                </w:tcPr>
                <w:p w14:paraId="4B68BC4D">
                  <w:pPr>
                    <w:pStyle w:val="38"/>
                    <w:rPr>
                      <w:rFonts w:hint="default"/>
                      <w:b/>
                      <w:bCs/>
                    </w:rPr>
                  </w:pPr>
                  <w:r>
                    <w:rPr>
                      <w:b/>
                      <w:bCs/>
                    </w:rPr>
                    <w:t>标准值</w:t>
                  </w:r>
                </w:p>
              </w:tc>
            </w:tr>
            <w:tr w14:paraId="4F21A33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64" w:type="dxa"/>
                  <w:vMerge w:val="restart"/>
                  <w:tcBorders>
                    <w:tl2br w:val="nil"/>
                    <w:tr2bl w:val="nil"/>
                  </w:tcBorders>
                  <w:vAlign w:val="center"/>
                </w:tcPr>
                <w:p w14:paraId="5CD8BAB5">
                  <w:pPr>
                    <w:pStyle w:val="38"/>
                    <w:rPr>
                      <w:rFonts w:hint="default"/>
                      <w:highlight w:val="yellow"/>
                    </w:rPr>
                  </w:pPr>
                  <w:r>
                    <w:t>2025.09.10</w:t>
                  </w:r>
                </w:p>
              </w:tc>
              <w:tc>
                <w:tcPr>
                  <w:tcW w:w="3374" w:type="dxa"/>
                  <w:vMerge w:val="restart"/>
                  <w:tcBorders>
                    <w:tl2br w:val="nil"/>
                    <w:tr2bl w:val="nil"/>
                  </w:tcBorders>
                  <w:vAlign w:val="center"/>
                </w:tcPr>
                <w:p w14:paraId="017FA60C">
                  <w:pPr>
                    <w:jc w:val="center"/>
                    <w:rPr>
                      <w:szCs w:val="21"/>
                      <w:highlight w:val="yellow"/>
                    </w:rPr>
                  </w:pPr>
                  <w:r>
                    <w:rPr>
                      <w:szCs w:val="21"/>
                    </w:rPr>
                    <w:t>1#</w:t>
                  </w:r>
                  <w:r>
                    <w:rPr>
                      <w:rFonts w:hint="eastAsia"/>
                      <w:szCs w:val="21"/>
                    </w:rPr>
                    <w:t>（</w:t>
                  </w:r>
                  <w:r>
                    <w:rPr>
                      <w:szCs w:val="21"/>
                    </w:rPr>
                    <w:t>金元镇小学墙外1m（105.338852E，30.338852N）</w:t>
                  </w:r>
                  <w:r>
                    <w:rPr>
                      <w:rFonts w:hint="eastAsia"/>
                      <w:szCs w:val="21"/>
                    </w:rPr>
                    <w:t>）</w:t>
                  </w:r>
                </w:p>
              </w:tc>
              <w:tc>
                <w:tcPr>
                  <w:tcW w:w="1425" w:type="dxa"/>
                  <w:tcBorders>
                    <w:tl2br w:val="nil"/>
                    <w:tr2bl w:val="nil"/>
                  </w:tcBorders>
                  <w:vAlign w:val="center"/>
                </w:tcPr>
                <w:p w14:paraId="1911CA3E">
                  <w:pPr>
                    <w:jc w:val="center"/>
                    <w:rPr>
                      <w:szCs w:val="21"/>
                      <w:highlight w:val="yellow"/>
                    </w:rPr>
                  </w:pPr>
                  <w:r>
                    <w:rPr>
                      <w:rFonts w:hint="eastAsia"/>
                      <w:szCs w:val="21"/>
                    </w:rPr>
                    <w:t>昼间</w:t>
                  </w:r>
                </w:p>
              </w:tc>
              <w:tc>
                <w:tcPr>
                  <w:tcW w:w="1162" w:type="dxa"/>
                  <w:tcBorders>
                    <w:tl2br w:val="nil"/>
                    <w:tr2bl w:val="nil"/>
                  </w:tcBorders>
                  <w:vAlign w:val="center"/>
                </w:tcPr>
                <w:p w14:paraId="5A88629F">
                  <w:pPr>
                    <w:jc w:val="center"/>
                    <w:rPr>
                      <w:szCs w:val="21"/>
                      <w:highlight w:val="yellow"/>
                    </w:rPr>
                  </w:pPr>
                  <w:r>
                    <w:rPr>
                      <w:rFonts w:hint="eastAsia"/>
                    </w:rPr>
                    <w:t>49</w:t>
                  </w:r>
                </w:p>
              </w:tc>
              <w:tc>
                <w:tcPr>
                  <w:tcW w:w="1164" w:type="dxa"/>
                  <w:tcBorders>
                    <w:tl2br w:val="nil"/>
                    <w:tr2bl w:val="nil"/>
                  </w:tcBorders>
                  <w:vAlign w:val="center"/>
                </w:tcPr>
                <w:p w14:paraId="3D3C58A6">
                  <w:pPr>
                    <w:pStyle w:val="38"/>
                    <w:rPr>
                      <w:rFonts w:hint="default"/>
                    </w:rPr>
                  </w:pPr>
                  <w:r>
                    <w:t>60</w:t>
                  </w:r>
                </w:p>
              </w:tc>
            </w:tr>
            <w:tr w14:paraId="22F31F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64" w:type="dxa"/>
                  <w:vMerge w:val="continue"/>
                  <w:tcBorders>
                    <w:tl2br w:val="nil"/>
                    <w:tr2bl w:val="nil"/>
                  </w:tcBorders>
                  <w:vAlign w:val="center"/>
                </w:tcPr>
                <w:p w14:paraId="588000D9">
                  <w:pPr>
                    <w:pStyle w:val="38"/>
                    <w:rPr>
                      <w:rFonts w:hint="default"/>
                      <w:highlight w:val="yellow"/>
                    </w:rPr>
                  </w:pPr>
                </w:p>
              </w:tc>
              <w:tc>
                <w:tcPr>
                  <w:tcW w:w="3374" w:type="dxa"/>
                  <w:vMerge w:val="continue"/>
                  <w:tcBorders>
                    <w:tl2br w:val="nil"/>
                    <w:tr2bl w:val="nil"/>
                  </w:tcBorders>
                  <w:vAlign w:val="center"/>
                </w:tcPr>
                <w:p w14:paraId="41AD6CAF">
                  <w:pPr>
                    <w:pStyle w:val="38"/>
                    <w:rPr>
                      <w:rFonts w:hint="default"/>
                      <w:highlight w:val="yellow"/>
                    </w:rPr>
                  </w:pPr>
                </w:p>
              </w:tc>
              <w:tc>
                <w:tcPr>
                  <w:tcW w:w="1425" w:type="dxa"/>
                  <w:tcBorders>
                    <w:tl2br w:val="nil"/>
                    <w:tr2bl w:val="nil"/>
                  </w:tcBorders>
                  <w:vAlign w:val="center"/>
                </w:tcPr>
                <w:p w14:paraId="352F45F9">
                  <w:pPr>
                    <w:jc w:val="center"/>
                    <w:rPr>
                      <w:szCs w:val="21"/>
                      <w:highlight w:val="yellow"/>
                    </w:rPr>
                  </w:pPr>
                  <w:r>
                    <w:rPr>
                      <w:rFonts w:hint="eastAsia"/>
                      <w:szCs w:val="21"/>
                    </w:rPr>
                    <w:t>夜间</w:t>
                  </w:r>
                </w:p>
              </w:tc>
              <w:tc>
                <w:tcPr>
                  <w:tcW w:w="1162" w:type="dxa"/>
                  <w:tcBorders>
                    <w:tl2br w:val="nil"/>
                    <w:tr2bl w:val="nil"/>
                  </w:tcBorders>
                  <w:vAlign w:val="center"/>
                </w:tcPr>
                <w:p w14:paraId="719C3779">
                  <w:pPr>
                    <w:jc w:val="center"/>
                    <w:rPr>
                      <w:szCs w:val="21"/>
                      <w:highlight w:val="yellow"/>
                    </w:rPr>
                  </w:pPr>
                  <w:r>
                    <w:rPr>
                      <w:rFonts w:hint="eastAsia"/>
                    </w:rPr>
                    <w:t>46</w:t>
                  </w:r>
                </w:p>
              </w:tc>
              <w:tc>
                <w:tcPr>
                  <w:tcW w:w="1164" w:type="dxa"/>
                  <w:tcBorders>
                    <w:tl2br w:val="nil"/>
                    <w:tr2bl w:val="nil"/>
                  </w:tcBorders>
                  <w:vAlign w:val="center"/>
                </w:tcPr>
                <w:p w14:paraId="11090AE1">
                  <w:pPr>
                    <w:pStyle w:val="38"/>
                    <w:rPr>
                      <w:rFonts w:hint="default"/>
                    </w:rPr>
                  </w:pPr>
                  <w:r>
                    <w:t>50</w:t>
                  </w:r>
                </w:p>
              </w:tc>
            </w:tr>
            <w:tr w14:paraId="2556078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64" w:type="dxa"/>
                  <w:vMerge w:val="continue"/>
                  <w:tcBorders>
                    <w:tl2br w:val="nil"/>
                    <w:tr2bl w:val="nil"/>
                  </w:tcBorders>
                  <w:vAlign w:val="center"/>
                </w:tcPr>
                <w:p w14:paraId="6400A99D">
                  <w:pPr>
                    <w:pStyle w:val="38"/>
                    <w:rPr>
                      <w:rFonts w:hint="default"/>
                      <w:highlight w:val="yellow"/>
                    </w:rPr>
                  </w:pPr>
                </w:p>
              </w:tc>
              <w:tc>
                <w:tcPr>
                  <w:tcW w:w="3374" w:type="dxa"/>
                  <w:vMerge w:val="restart"/>
                  <w:tcBorders>
                    <w:tl2br w:val="nil"/>
                    <w:tr2bl w:val="nil"/>
                  </w:tcBorders>
                  <w:vAlign w:val="center"/>
                </w:tcPr>
                <w:p w14:paraId="0877CDD2">
                  <w:pPr>
                    <w:jc w:val="center"/>
                    <w:rPr>
                      <w:szCs w:val="21"/>
                      <w:highlight w:val="yellow"/>
                    </w:rPr>
                  </w:pPr>
                  <w:r>
                    <w:rPr>
                      <w:szCs w:val="21"/>
                    </w:rPr>
                    <w:t>2#</w:t>
                  </w:r>
                  <w:r>
                    <w:rPr>
                      <w:rFonts w:hint="eastAsia"/>
                      <w:szCs w:val="21"/>
                    </w:rPr>
                    <w:t>（金元镇上游居民墙外1m（105.340781E，30.547663N））</w:t>
                  </w:r>
                </w:p>
              </w:tc>
              <w:tc>
                <w:tcPr>
                  <w:tcW w:w="1425" w:type="dxa"/>
                  <w:tcBorders>
                    <w:tl2br w:val="nil"/>
                    <w:tr2bl w:val="nil"/>
                  </w:tcBorders>
                  <w:vAlign w:val="center"/>
                </w:tcPr>
                <w:p w14:paraId="771FA656">
                  <w:pPr>
                    <w:jc w:val="center"/>
                    <w:rPr>
                      <w:szCs w:val="21"/>
                      <w:highlight w:val="yellow"/>
                    </w:rPr>
                  </w:pPr>
                  <w:r>
                    <w:rPr>
                      <w:rFonts w:hint="eastAsia"/>
                      <w:szCs w:val="21"/>
                    </w:rPr>
                    <w:t>昼间</w:t>
                  </w:r>
                </w:p>
              </w:tc>
              <w:tc>
                <w:tcPr>
                  <w:tcW w:w="1162" w:type="dxa"/>
                  <w:tcBorders>
                    <w:tl2br w:val="nil"/>
                    <w:tr2bl w:val="nil"/>
                  </w:tcBorders>
                  <w:vAlign w:val="center"/>
                </w:tcPr>
                <w:p w14:paraId="143D222A">
                  <w:pPr>
                    <w:jc w:val="center"/>
                    <w:rPr>
                      <w:szCs w:val="21"/>
                      <w:highlight w:val="yellow"/>
                    </w:rPr>
                  </w:pPr>
                  <w:r>
                    <w:rPr>
                      <w:rFonts w:hint="eastAsia"/>
                    </w:rPr>
                    <w:t>48</w:t>
                  </w:r>
                </w:p>
              </w:tc>
              <w:tc>
                <w:tcPr>
                  <w:tcW w:w="1164" w:type="dxa"/>
                  <w:tcBorders>
                    <w:tl2br w:val="nil"/>
                    <w:tr2bl w:val="nil"/>
                  </w:tcBorders>
                  <w:vAlign w:val="center"/>
                </w:tcPr>
                <w:p w14:paraId="08544E8C">
                  <w:pPr>
                    <w:pStyle w:val="38"/>
                    <w:rPr>
                      <w:rFonts w:hint="default"/>
                    </w:rPr>
                  </w:pPr>
                  <w:r>
                    <w:t>60</w:t>
                  </w:r>
                </w:p>
              </w:tc>
            </w:tr>
            <w:tr w14:paraId="29EF5B0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64" w:type="dxa"/>
                  <w:vMerge w:val="continue"/>
                  <w:tcBorders>
                    <w:tl2br w:val="nil"/>
                    <w:tr2bl w:val="nil"/>
                  </w:tcBorders>
                  <w:vAlign w:val="center"/>
                </w:tcPr>
                <w:p w14:paraId="706CC35A">
                  <w:pPr>
                    <w:pStyle w:val="38"/>
                    <w:rPr>
                      <w:rFonts w:hint="default"/>
                      <w:highlight w:val="yellow"/>
                    </w:rPr>
                  </w:pPr>
                </w:p>
              </w:tc>
              <w:tc>
                <w:tcPr>
                  <w:tcW w:w="3374" w:type="dxa"/>
                  <w:vMerge w:val="continue"/>
                  <w:tcBorders>
                    <w:tl2br w:val="nil"/>
                    <w:tr2bl w:val="nil"/>
                  </w:tcBorders>
                  <w:vAlign w:val="center"/>
                </w:tcPr>
                <w:p w14:paraId="178F3BB3">
                  <w:pPr>
                    <w:pStyle w:val="38"/>
                    <w:rPr>
                      <w:rFonts w:hint="default"/>
                      <w:highlight w:val="yellow"/>
                    </w:rPr>
                  </w:pPr>
                </w:p>
              </w:tc>
              <w:tc>
                <w:tcPr>
                  <w:tcW w:w="1425" w:type="dxa"/>
                  <w:tcBorders>
                    <w:tl2br w:val="nil"/>
                    <w:tr2bl w:val="nil"/>
                  </w:tcBorders>
                  <w:vAlign w:val="center"/>
                </w:tcPr>
                <w:p w14:paraId="6CF1F9FF">
                  <w:pPr>
                    <w:jc w:val="center"/>
                    <w:rPr>
                      <w:szCs w:val="21"/>
                      <w:highlight w:val="yellow"/>
                    </w:rPr>
                  </w:pPr>
                  <w:r>
                    <w:rPr>
                      <w:rFonts w:hint="eastAsia"/>
                      <w:szCs w:val="21"/>
                    </w:rPr>
                    <w:t>夜间</w:t>
                  </w:r>
                </w:p>
              </w:tc>
              <w:tc>
                <w:tcPr>
                  <w:tcW w:w="1162" w:type="dxa"/>
                  <w:tcBorders>
                    <w:tl2br w:val="nil"/>
                    <w:tr2bl w:val="nil"/>
                  </w:tcBorders>
                  <w:vAlign w:val="center"/>
                </w:tcPr>
                <w:p w14:paraId="1A109FC7">
                  <w:pPr>
                    <w:jc w:val="center"/>
                    <w:rPr>
                      <w:szCs w:val="21"/>
                      <w:highlight w:val="yellow"/>
                    </w:rPr>
                  </w:pPr>
                  <w:r>
                    <w:rPr>
                      <w:rFonts w:hint="eastAsia"/>
                    </w:rPr>
                    <w:t>42</w:t>
                  </w:r>
                </w:p>
              </w:tc>
              <w:tc>
                <w:tcPr>
                  <w:tcW w:w="1164" w:type="dxa"/>
                  <w:tcBorders>
                    <w:tl2br w:val="nil"/>
                    <w:tr2bl w:val="nil"/>
                  </w:tcBorders>
                  <w:vAlign w:val="center"/>
                </w:tcPr>
                <w:p w14:paraId="0ACE5DC1">
                  <w:pPr>
                    <w:pStyle w:val="38"/>
                    <w:rPr>
                      <w:rFonts w:hint="default"/>
                    </w:rPr>
                  </w:pPr>
                  <w:r>
                    <w:t>50</w:t>
                  </w:r>
                </w:p>
              </w:tc>
            </w:tr>
            <w:tr w14:paraId="6DF6130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64" w:type="dxa"/>
                  <w:vMerge w:val="continue"/>
                  <w:tcBorders>
                    <w:tl2br w:val="nil"/>
                    <w:tr2bl w:val="nil"/>
                  </w:tcBorders>
                  <w:vAlign w:val="center"/>
                </w:tcPr>
                <w:p w14:paraId="5E83F1EF">
                  <w:pPr>
                    <w:pStyle w:val="38"/>
                    <w:rPr>
                      <w:rFonts w:hint="default"/>
                      <w:highlight w:val="yellow"/>
                    </w:rPr>
                  </w:pPr>
                </w:p>
              </w:tc>
              <w:tc>
                <w:tcPr>
                  <w:tcW w:w="3374" w:type="dxa"/>
                  <w:vMerge w:val="restart"/>
                  <w:tcBorders>
                    <w:tl2br w:val="nil"/>
                    <w:tr2bl w:val="nil"/>
                  </w:tcBorders>
                  <w:vAlign w:val="center"/>
                </w:tcPr>
                <w:p w14:paraId="06E5483A">
                  <w:pPr>
                    <w:jc w:val="center"/>
                    <w:rPr>
                      <w:szCs w:val="21"/>
                      <w:highlight w:val="yellow"/>
                    </w:rPr>
                  </w:pPr>
                  <w:r>
                    <w:rPr>
                      <w:szCs w:val="21"/>
                    </w:rPr>
                    <w:t>3#（金元镇下游居民墙外1m（105.342650E，30.548261N）</w:t>
                  </w:r>
                  <w:r>
                    <w:rPr>
                      <w:rFonts w:hint="eastAsia"/>
                      <w:szCs w:val="21"/>
                    </w:rPr>
                    <w:t>）</w:t>
                  </w:r>
                </w:p>
              </w:tc>
              <w:tc>
                <w:tcPr>
                  <w:tcW w:w="1425" w:type="dxa"/>
                  <w:tcBorders>
                    <w:tl2br w:val="nil"/>
                    <w:tr2bl w:val="nil"/>
                  </w:tcBorders>
                  <w:vAlign w:val="center"/>
                </w:tcPr>
                <w:p w14:paraId="251089DA">
                  <w:pPr>
                    <w:jc w:val="center"/>
                    <w:rPr>
                      <w:szCs w:val="21"/>
                      <w:highlight w:val="yellow"/>
                    </w:rPr>
                  </w:pPr>
                  <w:r>
                    <w:rPr>
                      <w:rFonts w:hint="eastAsia"/>
                      <w:szCs w:val="21"/>
                    </w:rPr>
                    <w:t>昼间</w:t>
                  </w:r>
                </w:p>
              </w:tc>
              <w:tc>
                <w:tcPr>
                  <w:tcW w:w="1162" w:type="dxa"/>
                  <w:tcBorders>
                    <w:tl2br w:val="nil"/>
                    <w:tr2bl w:val="nil"/>
                  </w:tcBorders>
                  <w:vAlign w:val="center"/>
                </w:tcPr>
                <w:p w14:paraId="06852D31">
                  <w:pPr>
                    <w:jc w:val="center"/>
                    <w:rPr>
                      <w:szCs w:val="21"/>
                      <w:highlight w:val="yellow"/>
                    </w:rPr>
                  </w:pPr>
                  <w:r>
                    <w:rPr>
                      <w:rFonts w:hint="eastAsia"/>
                      <w:szCs w:val="21"/>
                    </w:rPr>
                    <w:t>41</w:t>
                  </w:r>
                </w:p>
              </w:tc>
              <w:tc>
                <w:tcPr>
                  <w:tcW w:w="1164" w:type="dxa"/>
                  <w:tcBorders>
                    <w:tl2br w:val="nil"/>
                    <w:tr2bl w:val="nil"/>
                  </w:tcBorders>
                  <w:vAlign w:val="center"/>
                </w:tcPr>
                <w:p w14:paraId="3E235EBB">
                  <w:pPr>
                    <w:pStyle w:val="38"/>
                    <w:rPr>
                      <w:rFonts w:hint="default"/>
                    </w:rPr>
                  </w:pPr>
                  <w:r>
                    <w:t>60</w:t>
                  </w:r>
                </w:p>
              </w:tc>
            </w:tr>
            <w:tr w14:paraId="3562424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64" w:type="dxa"/>
                  <w:vMerge w:val="continue"/>
                  <w:tcBorders>
                    <w:tl2br w:val="nil"/>
                    <w:tr2bl w:val="nil"/>
                  </w:tcBorders>
                  <w:vAlign w:val="center"/>
                </w:tcPr>
                <w:p w14:paraId="144517B7">
                  <w:pPr>
                    <w:pStyle w:val="38"/>
                    <w:rPr>
                      <w:rFonts w:hint="default"/>
                      <w:highlight w:val="yellow"/>
                    </w:rPr>
                  </w:pPr>
                </w:p>
              </w:tc>
              <w:tc>
                <w:tcPr>
                  <w:tcW w:w="3374" w:type="dxa"/>
                  <w:vMerge w:val="continue"/>
                  <w:tcBorders>
                    <w:tl2br w:val="nil"/>
                    <w:tr2bl w:val="nil"/>
                  </w:tcBorders>
                  <w:vAlign w:val="center"/>
                </w:tcPr>
                <w:p w14:paraId="39AB7A0F">
                  <w:pPr>
                    <w:pStyle w:val="38"/>
                    <w:rPr>
                      <w:rFonts w:hint="default"/>
                      <w:highlight w:val="yellow"/>
                    </w:rPr>
                  </w:pPr>
                </w:p>
              </w:tc>
              <w:tc>
                <w:tcPr>
                  <w:tcW w:w="1425" w:type="dxa"/>
                  <w:tcBorders>
                    <w:tl2br w:val="nil"/>
                    <w:tr2bl w:val="nil"/>
                  </w:tcBorders>
                  <w:vAlign w:val="center"/>
                </w:tcPr>
                <w:p w14:paraId="02765C3B">
                  <w:pPr>
                    <w:jc w:val="center"/>
                    <w:rPr>
                      <w:szCs w:val="21"/>
                      <w:highlight w:val="yellow"/>
                    </w:rPr>
                  </w:pPr>
                  <w:r>
                    <w:rPr>
                      <w:rFonts w:hint="eastAsia"/>
                      <w:szCs w:val="21"/>
                    </w:rPr>
                    <w:t>夜间</w:t>
                  </w:r>
                </w:p>
              </w:tc>
              <w:tc>
                <w:tcPr>
                  <w:tcW w:w="1162" w:type="dxa"/>
                  <w:tcBorders>
                    <w:tl2br w:val="nil"/>
                    <w:tr2bl w:val="nil"/>
                  </w:tcBorders>
                  <w:vAlign w:val="center"/>
                </w:tcPr>
                <w:p w14:paraId="11BD018D">
                  <w:pPr>
                    <w:jc w:val="center"/>
                    <w:rPr>
                      <w:szCs w:val="21"/>
                      <w:highlight w:val="yellow"/>
                    </w:rPr>
                  </w:pPr>
                  <w:r>
                    <w:rPr>
                      <w:rFonts w:hint="eastAsia"/>
                      <w:szCs w:val="21"/>
                    </w:rPr>
                    <w:t>46</w:t>
                  </w:r>
                </w:p>
              </w:tc>
              <w:tc>
                <w:tcPr>
                  <w:tcW w:w="1164" w:type="dxa"/>
                  <w:tcBorders>
                    <w:tl2br w:val="nil"/>
                    <w:tr2bl w:val="nil"/>
                  </w:tcBorders>
                  <w:vAlign w:val="center"/>
                </w:tcPr>
                <w:p w14:paraId="1AF147F5">
                  <w:pPr>
                    <w:pStyle w:val="38"/>
                    <w:rPr>
                      <w:rFonts w:hint="default"/>
                    </w:rPr>
                  </w:pPr>
                  <w:r>
                    <w:t>50</w:t>
                  </w:r>
                </w:p>
              </w:tc>
            </w:tr>
            <w:tr w14:paraId="31A18BA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64" w:type="dxa"/>
                  <w:vMerge w:val="continue"/>
                  <w:tcBorders>
                    <w:tl2br w:val="nil"/>
                    <w:tr2bl w:val="nil"/>
                  </w:tcBorders>
                  <w:vAlign w:val="center"/>
                </w:tcPr>
                <w:p w14:paraId="15960B3E">
                  <w:pPr>
                    <w:pStyle w:val="38"/>
                    <w:rPr>
                      <w:rFonts w:hint="default"/>
                      <w:highlight w:val="yellow"/>
                    </w:rPr>
                  </w:pPr>
                </w:p>
              </w:tc>
              <w:tc>
                <w:tcPr>
                  <w:tcW w:w="3374" w:type="dxa"/>
                  <w:vMerge w:val="restart"/>
                  <w:tcBorders>
                    <w:tl2br w:val="nil"/>
                    <w:tr2bl w:val="nil"/>
                  </w:tcBorders>
                  <w:vAlign w:val="center"/>
                </w:tcPr>
                <w:p w14:paraId="383A14C1">
                  <w:pPr>
                    <w:jc w:val="center"/>
                    <w:rPr>
                      <w:szCs w:val="21"/>
                      <w:highlight w:val="yellow"/>
                    </w:rPr>
                  </w:pPr>
                  <w:r>
                    <w:rPr>
                      <w:rFonts w:hint="eastAsia"/>
                      <w:szCs w:val="21"/>
                    </w:rPr>
                    <w:t>4#</w:t>
                  </w:r>
                  <w:r>
                    <w:rPr>
                      <w:szCs w:val="21"/>
                    </w:rPr>
                    <w:t>（金元镇幼儿园墙外1m（105.343444E，30.549645N））</w:t>
                  </w:r>
                </w:p>
              </w:tc>
              <w:tc>
                <w:tcPr>
                  <w:tcW w:w="1425" w:type="dxa"/>
                  <w:tcBorders>
                    <w:tl2br w:val="nil"/>
                    <w:tr2bl w:val="nil"/>
                  </w:tcBorders>
                  <w:vAlign w:val="center"/>
                </w:tcPr>
                <w:p w14:paraId="273AF1AD">
                  <w:pPr>
                    <w:jc w:val="center"/>
                    <w:rPr>
                      <w:szCs w:val="21"/>
                      <w:highlight w:val="yellow"/>
                    </w:rPr>
                  </w:pPr>
                  <w:r>
                    <w:rPr>
                      <w:rFonts w:hint="eastAsia"/>
                      <w:szCs w:val="21"/>
                    </w:rPr>
                    <w:t>昼间</w:t>
                  </w:r>
                </w:p>
              </w:tc>
              <w:tc>
                <w:tcPr>
                  <w:tcW w:w="1162" w:type="dxa"/>
                  <w:tcBorders>
                    <w:tl2br w:val="nil"/>
                    <w:tr2bl w:val="nil"/>
                  </w:tcBorders>
                  <w:vAlign w:val="center"/>
                </w:tcPr>
                <w:p w14:paraId="1B565137">
                  <w:pPr>
                    <w:jc w:val="center"/>
                    <w:rPr>
                      <w:szCs w:val="21"/>
                      <w:highlight w:val="yellow"/>
                    </w:rPr>
                  </w:pPr>
                  <w:r>
                    <w:rPr>
                      <w:rFonts w:hint="eastAsia"/>
                      <w:szCs w:val="21"/>
                    </w:rPr>
                    <w:t>45</w:t>
                  </w:r>
                </w:p>
              </w:tc>
              <w:tc>
                <w:tcPr>
                  <w:tcW w:w="1164" w:type="dxa"/>
                  <w:tcBorders>
                    <w:tl2br w:val="nil"/>
                    <w:tr2bl w:val="nil"/>
                  </w:tcBorders>
                  <w:vAlign w:val="center"/>
                </w:tcPr>
                <w:p w14:paraId="59767CE0">
                  <w:pPr>
                    <w:pStyle w:val="38"/>
                    <w:rPr>
                      <w:rFonts w:hint="default"/>
                    </w:rPr>
                  </w:pPr>
                  <w:r>
                    <w:t>60</w:t>
                  </w:r>
                </w:p>
              </w:tc>
            </w:tr>
            <w:tr w14:paraId="3A2846C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64" w:type="dxa"/>
                  <w:vMerge w:val="continue"/>
                  <w:tcBorders>
                    <w:tl2br w:val="nil"/>
                    <w:tr2bl w:val="nil"/>
                  </w:tcBorders>
                  <w:vAlign w:val="center"/>
                </w:tcPr>
                <w:p w14:paraId="1D780759">
                  <w:pPr>
                    <w:pStyle w:val="38"/>
                    <w:rPr>
                      <w:rFonts w:hint="default"/>
                      <w:highlight w:val="yellow"/>
                    </w:rPr>
                  </w:pPr>
                </w:p>
              </w:tc>
              <w:tc>
                <w:tcPr>
                  <w:tcW w:w="3374" w:type="dxa"/>
                  <w:vMerge w:val="continue"/>
                  <w:tcBorders>
                    <w:tl2br w:val="nil"/>
                    <w:tr2bl w:val="nil"/>
                  </w:tcBorders>
                  <w:vAlign w:val="center"/>
                </w:tcPr>
                <w:p w14:paraId="20BEAE36">
                  <w:pPr>
                    <w:pStyle w:val="38"/>
                    <w:rPr>
                      <w:rFonts w:hint="default"/>
                      <w:highlight w:val="yellow"/>
                    </w:rPr>
                  </w:pPr>
                </w:p>
              </w:tc>
              <w:tc>
                <w:tcPr>
                  <w:tcW w:w="1425" w:type="dxa"/>
                  <w:tcBorders>
                    <w:tl2br w:val="nil"/>
                    <w:tr2bl w:val="nil"/>
                  </w:tcBorders>
                  <w:vAlign w:val="center"/>
                </w:tcPr>
                <w:p w14:paraId="4E2E0F07">
                  <w:pPr>
                    <w:jc w:val="center"/>
                    <w:rPr>
                      <w:szCs w:val="21"/>
                      <w:highlight w:val="yellow"/>
                    </w:rPr>
                  </w:pPr>
                  <w:r>
                    <w:rPr>
                      <w:rFonts w:hint="eastAsia"/>
                      <w:szCs w:val="21"/>
                    </w:rPr>
                    <w:t>夜间</w:t>
                  </w:r>
                </w:p>
              </w:tc>
              <w:tc>
                <w:tcPr>
                  <w:tcW w:w="1162" w:type="dxa"/>
                  <w:tcBorders>
                    <w:tl2br w:val="nil"/>
                    <w:tr2bl w:val="nil"/>
                  </w:tcBorders>
                  <w:vAlign w:val="center"/>
                </w:tcPr>
                <w:p w14:paraId="58036F56">
                  <w:pPr>
                    <w:jc w:val="center"/>
                    <w:rPr>
                      <w:szCs w:val="21"/>
                      <w:highlight w:val="yellow"/>
                    </w:rPr>
                  </w:pPr>
                  <w:r>
                    <w:rPr>
                      <w:rFonts w:hint="eastAsia"/>
                      <w:szCs w:val="21"/>
                    </w:rPr>
                    <w:t>45</w:t>
                  </w:r>
                </w:p>
              </w:tc>
              <w:tc>
                <w:tcPr>
                  <w:tcW w:w="1164" w:type="dxa"/>
                  <w:tcBorders>
                    <w:tl2br w:val="nil"/>
                    <w:tr2bl w:val="nil"/>
                  </w:tcBorders>
                  <w:vAlign w:val="center"/>
                </w:tcPr>
                <w:p w14:paraId="16D31062">
                  <w:pPr>
                    <w:pStyle w:val="38"/>
                    <w:rPr>
                      <w:rFonts w:hint="default"/>
                    </w:rPr>
                  </w:pPr>
                  <w:r>
                    <w:t>50</w:t>
                  </w:r>
                </w:p>
              </w:tc>
            </w:tr>
            <w:tr w14:paraId="5D3C17B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64" w:type="dxa"/>
                  <w:vMerge w:val="continue"/>
                  <w:tcBorders>
                    <w:tl2br w:val="nil"/>
                    <w:tr2bl w:val="nil"/>
                  </w:tcBorders>
                  <w:vAlign w:val="center"/>
                </w:tcPr>
                <w:p w14:paraId="363055ED">
                  <w:pPr>
                    <w:pStyle w:val="38"/>
                    <w:rPr>
                      <w:rFonts w:hint="default"/>
                      <w:highlight w:val="yellow"/>
                    </w:rPr>
                  </w:pPr>
                </w:p>
              </w:tc>
              <w:tc>
                <w:tcPr>
                  <w:tcW w:w="3374" w:type="dxa"/>
                  <w:vMerge w:val="restart"/>
                  <w:tcBorders>
                    <w:tl2br w:val="nil"/>
                    <w:tr2bl w:val="nil"/>
                  </w:tcBorders>
                  <w:vAlign w:val="center"/>
                </w:tcPr>
                <w:p w14:paraId="775D34D1">
                  <w:pPr>
                    <w:jc w:val="center"/>
                    <w:rPr>
                      <w:szCs w:val="21"/>
                      <w:highlight w:val="yellow"/>
                    </w:rPr>
                  </w:pPr>
                  <w:r>
                    <w:rPr>
                      <w:rFonts w:hint="eastAsia"/>
                      <w:szCs w:val="21"/>
                    </w:rPr>
                    <w:t>5#（金宝村居民墙外1m（105.344114E，30.549745N））</w:t>
                  </w:r>
                </w:p>
              </w:tc>
              <w:tc>
                <w:tcPr>
                  <w:tcW w:w="1425" w:type="dxa"/>
                  <w:tcBorders>
                    <w:tl2br w:val="nil"/>
                    <w:tr2bl w:val="nil"/>
                  </w:tcBorders>
                  <w:vAlign w:val="center"/>
                </w:tcPr>
                <w:p w14:paraId="4DC04051">
                  <w:pPr>
                    <w:jc w:val="center"/>
                    <w:rPr>
                      <w:kern w:val="0"/>
                      <w:szCs w:val="21"/>
                      <w:highlight w:val="yellow"/>
                    </w:rPr>
                  </w:pPr>
                  <w:r>
                    <w:rPr>
                      <w:rFonts w:hint="eastAsia"/>
                      <w:szCs w:val="21"/>
                    </w:rPr>
                    <w:t>昼间</w:t>
                  </w:r>
                </w:p>
              </w:tc>
              <w:tc>
                <w:tcPr>
                  <w:tcW w:w="1162" w:type="dxa"/>
                  <w:tcBorders>
                    <w:tl2br w:val="nil"/>
                    <w:tr2bl w:val="nil"/>
                  </w:tcBorders>
                  <w:vAlign w:val="center"/>
                </w:tcPr>
                <w:p w14:paraId="63705025">
                  <w:pPr>
                    <w:jc w:val="center"/>
                    <w:rPr>
                      <w:szCs w:val="21"/>
                      <w:highlight w:val="yellow"/>
                    </w:rPr>
                  </w:pPr>
                  <w:r>
                    <w:rPr>
                      <w:rFonts w:hint="eastAsia"/>
                      <w:szCs w:val="21"/>
                    </w:rPr>
                    <w:t>44</w:t>
                  </w:r>
                </w:p>
              </w:tc>
              <w:tc>
                <w:tcPr>
                  <w:tcW w:w="1164" w:type="dxa"/>
                  <w:tcBorders>
                    <w:tl2br w:val="nil"/>
                    <w:tr2bl w:val="nil"/>
                  </w:tcBorders>
                  <w:vAlign w:val="center"/>
                </w:tcPr>
                <w:p w14:paraId="66BF8AC8">
                  <w:pPr>
                    <w:pStyle w:val="38"/>
                    <w:rPr>
                      <w:rFonts w:hint="default"/>
                    </w:rPr>
                  </w:pPr>
                  <w:r>
                    <w:t>60</w:t>
                  </w:r>
                </w:p>
              </w:tc>
            </w:tr>
            <w:tr w14:paraId="2F68E13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397" w:hRule="atLeast"/>
                <w:jc w:val="center"/>
              </w:trPr>
              <w:tc>
                <w:tcPr>
                  <w:tcW w:w="1164" w:type="dxa"/>
                  <w:vMerge w:val="continue"/>
                  <w:tcBorders>
                    <w:tl2br w:val="nil"/>
                    <w:tr2bl w:val="nil"/>
                  </w:tcBorders>
                  <w:vAlign w:val="center"/>
                </w:tcPr>
                <w:p w14:paraId="65668106">
                  <w:pPr>
                    <w:pStyle w:val="38"/>
                    <w:rPr>
                      <w:rFonts w:hint="default"/>
                      <w:highlight w:val="yellow"/>
                    </w:rPr>
                  </w:pPr>
                </w:p>
              </w:tc>
              <w:tc>
                <w:tcPr>
                  <w:tcW w:w="3374" w:type="dxa"/>
                  <w:vMerge w:val="continue"/>
                  <w:tcBorders>
                    <w:tl2br w:val="nil"/>
                    <w:tr2bl w:val="nil"/>
                  </w:tcBorders>
                  <w:vAlign w:val="center"/>
                </w:tcPr>
                <w:p w14:paraId="2870B034">
                  <w:pPr>
                    <w:pStyle w:val="38"/>
                    <w:rPr>
                      <w:rFonts w:hint="default"/>
                      <w:highlight w:val="yellow"/>
                    </w:rPr>
                  </w:pPr>
                </w:p>
              </w:tc>
              <w:tc>
                <w:tcPr>
                  <w:tcW w:w="1425" w:type="dxa"/>
                  <w:tcBorders>
                    <w:tl2br w:val="nil"/>
                    <w:tr2bl w:val="nil"/>
                  </w:tcBorders>
                  <w:vAlign w:val="center"/>
                </w:tcPr>
                <w:p w14:paraId="06247962">
                  <w:pPr>
                    <w:jc w:val="center"/>
                    <w:rPr>
                      <w:kern w:val="0"/>
                      <w:szCs w:val="21"/>
                      <w:highlight w:val="yellow"/>
                    </w:rPr>
                  </w:pPr>
                  <w:r>
                    <w:rPr>
                      <w:rFonts w:hint="eastAsia"/>
                      <w:szCs w:val="21"/>
                    </w:rPr>
                    <w:t>夜间</w:t>
                  </w:r>
                </w:p>
              </w:tc>
              <w:tc>
                <w:tcPr>
                  <w:tcW w:w="1162" w:type="dxa"/>
                  <w:tcBorders>
                    <w:tl2br w:val="nil"/>
                    <w:tr2bl w:val="nil"/>
                  </w:tcBorders>
                  <w:vAlign w:val="center"/>
                </w:tcPr>
                <w:p w14:paraId="40516ACF">
                  <w:pPr>
                    <w:jc w:val="center"/>
                    <w:rPr>
                      <w:szCs w:val="21"/>
                      <w:highlight w:val="yellow"/>
                    </w:rPr>
                  </w:pPr>
                  <w:r>
                    <w:rPr>
                      <w:rFonts w:hint="eastAsia"/>
                      <w:szCs w:val="21"/>
                    </w:rPr>
                    <w:t>41</w:t>
                  </w:r>
                </w:p>
              </w:tc>
              <w:tc>
                <w:tcPr>
                  <w:tcW w:w="1164" w:type="dxa"/>
                  <w:tcBorders>
                    <w:tl2br w:val="nil"/>
                    <w:tr2bl w:val="nil"/>
                  </w:tcBorders>
                  <w:vAlign w:val="center"/>
                </w:tcPr>
                <w:p w14:paraId="0E7B689C">
                  <w:pPr>
                    <w:pStyle w:val="38"/>
                    <w:rPr>
                      <w:rFonts w:hint="default"/>
                    </w:rPr>
                  </w:pPr>
                  <w:r>
                    <w:t>50</w:t>
                  </w:r>
                </w:p>
              </w:tc>
            </w:tr>
            <w:tr w14:paraId="5930729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397" w:hRule="atLeast"/>
                <w:jc w:val="center"/>
              </w:trPr>
              <w:tc>
                <w:tcPr>
                  <w:tcW w:w="1164" w:type="dxa"/>
                  <w:vMerge w:val="continue"/>
                  <w:tcBorders>
                    <w:tl2br w:val="nil"/>
                    <w:tr2bl w:val="nil"/>
                  </w:tcBorders>
                  <w:vAlign w:val="center"/>
                </w:tcPr>
                <w:p w14:paraId="6595E6AE">
                  <w:pPr>
                    <w:pStyle w:val="38"/>
                    <w:rPr>
                      <w:rFonts w:hint="default"/>
                      <w:highlight w:val="yellow"/>
                    </w:rPr>
                  </w:pPr>
                </w:p>
              </w:tc>
              <w:tc>
                <w:tcPr>
                  <w:tcW w:w="3374" w:type="dxa"/>
                  <w:vMerge w:val="restart"/>
                  <w:tcBorders>
                    <w:tl2br w:val="nil"/>
                    <w:tr2bl w:val="nil"/>
                  </w:tcBorders>
                  <w:vAlign w:val="center"/>
                </w:tcPr>
                <w:p w14:paraId="42BF9546">
                  <w:pPr>
                    <w:jc w:val="center"/>
                    <w:rPr>
                      <w:szCs w:val="21"/>
                      <w:highlight w:val="yellow"/>
                    </w:rPr>
                  </w:pPr>
                  <w:r>
                    <w:rPr>
                      <w:rFonts w:hint="eastAsia"/>
                      <w:szCs w:val="21"/>
                    </w:rPr>
                    <w:t>6#（施工场地东侧墙外1m（105.344081E，30.550262N））</w:t>
                  </w:r>
                </w:p>
              </w:tc>
              <w:tc>
                <w:tcPr>
                  <w:tcW w:w="1425" w:type="dxa"/>
                  <w:tcBorders>
                    <w:tl2br w:val="nil"/>
                    <w:tr2bl w:val="nil"/>
                  </w:tcBorders>
                  <w:vAlign w:val="center"/>
                </w:tcPr>
                <w:p w14:paraId="4ACE8621">
                  <w:pPr>
                    <w:jc w:val="center"/>
                    <w:rPr>
                      <w:szCs w:val="21"/>
                      <w:highlight w:val="yellow"/>
                    </w:rPr>
                  </w:pPr>
                  <w:r>
                    <w:rPr>
                      <w:rFonts w:hint="eastAsia"/>
                      <w:szCs w:val="21"/>
                    </w:rPr>
                    <w:t>昼间</w:t>
                  </w:r>
                </w:p>
              </w:tc>
              <w:tc>
                <w:tcPr>
                  <w:tcW w:w="1162" w:type="dxa"/>
                  <w:tcBorders>
                    <w:tl2br w:val="nil"/>
                    <w:tr2bl w:val="nil"/>
                  </w:tcBorders>
                  <w:vAlign w:val="center"/>
                </w:tcPr>
                <w:p w14:paraId="6FFC88CF">
                  <w:pPr>
                    <w:jc w:val="center"/>
                    <w:rPr>
                      <w:szCs w:val="21"/>
                      <w:highlight w:val="yellow"/>
                    </w:rPr>
                  </w:pPr>
                  <w:r>
                    <w:rPr>
                      <w:rFonts w:hint="eastAsia"/>
                      <w:szCs w:val="21"/>
                    </w:rPr>
                    <w:t>45</w:t>
                  </w:r>
                </w:p>
              </w:tc>
              <w:tc>
                <w:tcPr>
                  <w:tcW w:w="1164" w:type="dxa"/>
                  <w:tcBorders>
                    <w:tl2br w:val="nil"/>
                    <w:tr2bl w:val="nil"/>
                  </w:tcBorders>
                  <w:vAlign w:val="center"/>
                </w:tcPr>
                <w:p w14:paraId="461971D2">
                  <w:pPr>
                    <w:pStyle w:val="38"/>
                    <w:rPr>
                      <w:rFonts w:hint="default"/>
                    </w:rPr>
                  </w:pPr>
                  <w:r>
                    <w:t>60</w:t>
                  </w:r>
                </w:p>
              </w:tc>
            </w:tr>
            <w:tr w14:paraId="680F4AA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64" w:type="dxa"/>
                  <w:vMerge w:val="continue"/>
                  <w:tcBorders>
                    <w:tl2br w:val="nil"/>
                    <w:tr2bl w:val="nil"/>
                  </w:tcBorders>
                  <w:vAlign w:val="center"/>
                </w:tcPr>
                <w:p w14:paraId="32A9A509">
                  <w:pPr>
                    <w:pStyle w:val="38"/>
                    <w:rPr>
                      <w:rFonts w:hint="default"/>
                      <w:highlight w:val="yellow"/>
                    </w:rPr>
                  </w:pPr>
                </w:p>
              </w:tc>
              <w:tc>
                <w:tcPr>
                  <w:tcW w:w="3374" w:type="dxa"/>
                  <w:vMerge w:val="continue"/>
                  <w:tcBorders>
                    <w:tl2br w:val="nil"/>
                    <w:tr2bl w:val="nil"/>
                  </w:tcBorders>
                  <w:vAlign w:val="center"/>
                </w:tcPr>
                <w:p w14:paraId="312D265C">
                  <w:pPr>
                    <w:pStyle w:val="38"/>
                    <w:rPr>
                      <w:rFonts w:hint="default"/>
                      <w:highlight w:val="yellow"/>
                    </w:rPr>
                  </w:pPr>
                </w:p>
              </w:tc>
              <w:tc>
                <w:tcPr>
                  <w:tcW w:w="1425" w:type="dxa"/>
                  <w:tcBorders>
                    <w:tl2br w:val="nil"/>
                    <w:tr2bl w:val="nil"/>
                  </w:tcBorders>
                  <w:vAlign w:val="center"/>
                </w:tcPr>
                <w:p w14:paraId="2C2553F7">
                  <w:pPr>
                    <w:jc w:val="center"/>
                    <w:rPr>
                      <w:szCs w:val="21"/>
                      <w:highlight w:val="yellow"/>
                    </w:rPr>
                  </w:pPr>
                  <w:r>
                    <w:rPr>
                      <w:rFonts w:hint="eastAsia"/>
                      <w:szCs w:val="21"/>
                    </w:rPr>
                    <w:t>夜间</w:t>
                  </w:r>
                </w:p>
              </w:tc>
              <w:tc>
                <w:tcPr>
                  <w:tcW w:w="1162" w:type="dxa"/>
                  <w:tcBorders>
                    <w:tl2br w:val="nil"/>
                    <w:tr2bl w:val="nil"/>
                  </w:tcBorders>
                  <w:vAlign w:val="center"/>
                </w:tcPr>
                <w:p w14:paraId="2F12FB94">
                  <w:pPr>
                    <w:jc w:val="center"/>
                    <w:rPr>
                      <w:szCs w:val="21"/>
                      <w:highlight w:val="yellow"/>
                    </w:rPr>
                  </w:pPr>
                  <w:r>
                    <w:rPr>
                      <w:rFonts w:hint="eastAsia"/>
                      <w:szCs w:val="21"/>
                    </w:rPr>
                    <w:t>41</w:t>
                  </w:r>
                </w:p>
              </w:tc>
              <w:tc>
                <w:tcPr>
                  <w:tcW w:w="1164" w:type="dxa"/>
                  <w:tcBorders>
                    <w:tl2br w:val="nil"/>
                    <w:tr2bl w:val="nil"/>
                  </w:tcBorders>
                  <w:vAlign w:val="center"/>
                </w:tcPr>
                <w:p w14:paraId="064A363C">
                  <w:pPr>
                    <w:pStyle w:val="38"/>
                    <w:rPr>
                      <w:rFonts w:hint="default"/>
                    </w:rPr>
                  </w:pPr>
                  <w:r>
                    <w:t>50</w:t>
                  </w:r>
                </w:p>
              </w:tc>
            </w:tr>
            <w:tr w14:paraId="6E121C8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64" w:type="dxa"/>
                  <w:vMerge w:val="continue"/>
                  <w:tcBorders>
                    <w:tl2br w:val="nil"/>
                    <w:tr2bl w:val="nil"/>
                  </w:tcBorders>
                  <w:vAlign w:val="center"/>
                </w:tcPr>
                <w:p w14:paraId="2DAECA1F">
                  <w:pPr>
                    <w:pStyle w:val="38"/>
                    <w:rPr>
                      <w:rFonts w:hint="default"/>
                      <w:highlight w:val="yellow"/>
                    </w:rPr>
                  </w:pPr>
                </w:p>
              </w:tc>
              <w:tc>
                <w:tcPr>
                  <w:tcW w:w="3374" w:type="dxa"/>
                  <w:vMerge w:val="restart"/>
                  <w:tcBorders>
                    <w:tl2br w:val="nil"/>
                    <w:tr2bl w:val="nil"/>
                  </w:tcBorders>
                  <w:vAlign w:val="center"/>
                </w:tcPr>
                <w:p w14:paraId="258CD39E">
                  <w:pPr>
                    <w:jc w:val="center"/>
                    <w:rPr>
                      <w:szCs w:val="21"/>
                      <w:highlight w:val="yellow"/>
                    </w:rPr>
                  </w:pPr>
                  <w:r>
                    <w:rPr>
                      <w:rFonts w:hint="eastAsia"/>
                      <w:szCs w:val="21"/>
                    </w:rPr>
                    <w:t>7#（金元堰附近居民墙外1m（105.343982E，30.550716N））</w:t>
                  </w:r>
                </w:p>
              </w:tc>
              <w:tc>
                <w:tcPr>
                  <w:tcW w:w="1425" w:type="dxa"/>
                  <w:tcBorders>
                    <w:tl2br w:val="nil"/>
                    <w:tr2bl w:val="nil"/>
                  </w:tcBorders>
                  <w:vAlign w:val="center"/>
                </w:tcPr>
                <w:p w14:paraId="269F0B66">
                  <w:pPr>
                    <w:jc w:val="center"/>
                    <w:rPr>
                      <w:szCs w:val="21"/>
                      <w:highlight w:val="yellow"/>
                    </w:rPr>
                  </w:pPr>
                  <w:r>
                    <w:rPr>
                      <w:rFonts w:hint="eastAsia"/>
                      <w:szCs w:val="21"/>
                    </w:rPr>
                    <w:t>昼间</w:t>
                  </w:r>
                </w:p>
              </w:tc>
              <w:tc>
                <w:tcPr>
                  <w:tcW w:w="1162" w:type="dxa"/>
                  <w:tcBorders>
                    <w:tl2br w:val="nil"/>
                    <w:tr2bl w:val="nil"/>
                  </w:tcBorders>
                  <w:vAlign w:val="center"/>
                </w:tcPr>
                <w:p w14:paraId="3E8507F8">
                  <w:pPr>
                    <w:jc w:val="center"/>
                    <w:rPr>
                      <w:szCs w:val="21"/>
                      <w:highlight w:val="yellow"/>
                    </w:rPr>
                  </w:pPr>
                  <w:r>
                    <w:rPr>
                      <w:rFonts w:hint="eastAsia"/>
                      <w:szCs w:val="21"/>
                    </w:rPr>
                    <w:t>51</w:t>
                  </w:r>
                </w:p>
              </w:tc>
              <w:tc>
                <w:tcPr>
                  <w:tcW w:w="1164" w:type="dxa"/>
                  <w:tcBorders>
                    <w:tl2br w:val="nil"/>
                    <w:tr2bl w:val="nil"/>
                  </w:tcBorders>
                  <w:vAlign w:val="center"/>
                </w:tcPr>
                <w:p w14:paraId="108F8C9D">
                  <w:pPr>
                    <w:pStyle w:val="38"/>
                    <w:rPr>
                      <w:rFonts w:hint="default"/>
                    </w:rPr>
                  </w:pPr>
                  <w:r>
                    <w:t>60</w:t>
                  </w:r>
                </w:p>
              </w:tc>
            </w:tr>
            <w:tr w14:paraId="143B39E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64" w:type="dxa"/>
                  <w:vMerge w:val="continue"/>
                  <w:tcBorders>
                    <w:tl2br w:val="nil"/>
                    <w:tr2bl w:val="nil"/>
                  </w:tcBorders>
                  <w:vAlign w:val="center"/>
                </w:tcPr>
                <w:p w14:paraId="47DC66EA">
                  <w:pPr>
                    <w:pStyle w:val="38"/>
                    <w:rPr>
                      <w:rFonts w:hint="default"/>
                      <w:highlight w:val="yellow"/>
                    </w:rPr>
                  </w:pPr>
                </w:p>
              </w:tc>
              <w:tc>
                <w:tcPr>
                  <w:tcW w:w="3374" w:type="dxa"/>
                  <w:vMerge w:val="continue"/>
                  <w:tcBorders>
                    <w:tl2br w:val="nil"/>
                    <w:tr2bl w:val="nil"/>
                  </w:tcBorders>
                  <w:vAlign w:val="center"/>
                </w:tcPr>
                <w:p w14:paraId="6D650821">
                  <w:pPr>
                    <w:pStyle w:val="38"/>
                    <w:rPr>
                      <w:rFonts w:hint="default"/>
                      <w:highlight w:val="yellow"/>
                    </w:rPr>
                  </w:pPr>
                </w:p>
              </w:tc>
              <w:tc>
                <w:tcPr>
                  <w:tcW w:w="1425" w:type="dxa"/>
                  <w:tcBorders>
                    <w:tl2br w:val="nil"/>
                    <w:tr2bl w:val="nil"/>
                  </w:tcBorders>
                  <w:vAlign w:val="center"/>
                </w:tcPr>
                <w:p w14:paraId="57F5D41F">
                  <w:pPr>
                    <w:jc w:val="center"/>
                    <w:rPr>
                      <w:szCs w:val="21"/>
                      <w:highlight w:val="yellow"/>
                    </w:rPr>
                  </w:pPr>
                  <w:r>
                    <w:rPr>
                      <w:rFonts w:hint="eastAsia"/>
                      <w:szCs w:val="21"/>
                    </w:rPr>
                    <w:t>夜间</w:t>
                  </w:r>
                </w:p>
              </w:tc>
              <w:tc>
                <w:tcPr>
                  <w:tcW w:w="1162" w:type="dxa"/>
                  <w:tcBorders>
                    <w:tl2br w:val="nil"/>
                    <w:tr2bl w:val="nil"/>
                  </w:tcBorders>
                  <w:vAlign w:val="center"/>
                </w:tcPr>
                <w:p w14:paraId="0CD7861A">
                  <w:pPr>
                    <w:jc w:val="center"/>
                    <w:rPr>
                      <w:szCs w:val="21"/>
                      <w:highlight w:val="yellow"/>
                    </w:rPr>
                  </w:pPr>
                  <w:r>
                    <w:rPr>
                      <w:rFonts w:hint="eastAsia"/>
                      <w:szCs w:val="21"/>
                    </w:rPr>
                    <w:t>44</w:t>
                  </w:r>
                </w:p>
              </w:tc>
              <w:tc>
                <w:tcPr>
                  <w:tcW w:w="1164" w:type="dxa"/>
                  <w:tcBorders>
                    <w:tl2br w:val="nil"/>
                    <w:tr2bl w:val="nil"/>
                  </w:tcBorders>
                  <w:vAlign w:val="center"/>
                </w:tcPr>
                <w:p w14:paraId="434048F2">
                  <w:pPr>
                    <w:pStyle w:val="38"/>
                    <w:rPr>
                      <w:rFonts w:hint="default"/>
                    </w:rPr>
                  </w:pPr>
                  <w:r>
                    <w:t>50</w:t>
                  </w:r>
                </w:p>
              </w:tc>
            </w:tr>
          </w:tbl>
          <w:p w14:paraId="3F29A338">
            <w:pPr>
              <w:pStyle w:val="36"/>
              <w:ind w:firstLine="480"/>
              <w:rPr>
                <w:rFonts w:hint="default"/>
              </w:rPr>
            </w:pPr>
            <w:r>
              <w:t>声环境现状监测结果表明，项目厂界各监测点位均未超出《声环境质量标准》（GB3096-2008）中2类标准值，该区域的声环境质量现状良好。</w:t>
            </w:r>
          </w:p>
          <w:p w14:paraId="3B6773AF">
            <w:pPr>
              <w:pStyle w:val="4"/>
              <w:numPr>
                <w:ilvl w:val="0"/>
                <w:numId w:val="25"/>
              </w:numPr>
            </w:pPr>
            <w:r>
              <w:rPr>
                <w:rFonts w:hint="eastAsia"/>
              </w:rPr>
              <w:t>河道沉积物现状</w:t>
            </w:r>
          </w:p>
          <w:p w14:paraId="0ACDE056">
            <w:pPr>
              <w:pStyle w:val="36"/>
              <w:ind w:firstLine="480"/>
              <w:rPr>
                <w:rFonts w:hint="default"/>
              </w:rPr>
            </w:pPr>
            <w:r>
              <w:t>为进一步了解本项目所在区域河道沉积物现状，本次评价委托四川全威安环科技有限公司于2025年09月09日至12日进行了现场监测和采样（川全威（环）检〔2025〕0094号），具体监测内容如下。</w:t>
            </w:r>
          </w:p>
          <w:p w14:paraId="1723FBF7">
            <w:pPr>
              <w:pStyle w:val="36"/>
              <w:ind w:firstLine="482"/>
              <w:rPr>
                <w:rFonts w:hint="default"/>
                <w:b/>
                <w:bCs/>
              </w:rPr>
            </w:pPr>
            <w:r>
              <w:rPr>
                <w:b/>
                <w:bCs/>
              </w:rPr>
              <w:t>①监测布点、监测频次</w:t>
            </w:r>
          </w:p>
          <w:p w14:paraId="5A85F976">
            <w:pPr>
              <w:pStyle w:val="36"/>
              <w:ind w:firstLine="480"/>
              <w:rPr>
                <w:rFonts w:hint="default"/>
              </w:rPr>
            </w:pPr>
            <w:r>
              <w:t>监测项目、点位及监测频次见下表。</w:t>
            </w:r>
          </w:p>
          <w:p w14:paraId="60C00FB0">
            <w:pPr>
              <w:pStyle w:val="47"/>
              <w:numPr>
                <w:ilvl w:val="0"/>
                <w:numId w:val="26"/>
              </w:numPr>
              <w:spacing w:before="156"/>
            </w:pPr>
            <w:r>
              <w:rPr>
                <w:rFonts w:hint="eastAsia"/>
              </w:rPr>
              <w:t>监测项目、点位及频次表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2045"/>
              <w:gridCol w:w="2644"/>
              <w:gridCol w:w="1160"/>
              <w:gridCol w:w="1313"/>
            </w:tblGrid>
            <w:tr w14:paraId="0B330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tcBorders>
                    <w:tl2br w:val="nil"/>
                    <w:tr2bl w:val="nil"/>
                  </w:tcBorders>
                  <w:vAlign w:val="center"/>
                </w:tcPr>
                <w:p w14:paraId="4326BB63">
                  <w:pPr>
                    <w:pStyle w:val="38"/>
                    <w:rPr>
                      <w:rFonts w:hint="default"/>
                      <w:b/>
                      <w:bCs/>
                    </w:rPr>
                  </w:pPr>
                  <w:r>
                    <w:rPr>
                      <w:rFonts w:hint="default"/>
                      <w:b/>
                      <w:bCs/>
                    </w:rPr>
                    <w:t>监测类别</w:t>
                  </w:r>
                </w:p>
              </w:tc>
              <w:tc>
                <w:tcPr>
                  <w:tcW w:w="1232" w:type="pct"/>
                  <w:tcBorders>
                    <w:tl2br w:val="nil"/>
                    <w:tr2bl w:val="nil"/>
                  </w:tcBorders>
                  <w:vAlign w:val="center"/>
                </w:tcPr>
                <w:p w14:paraId="3FEFA6BF">
                  <w:pPr>
                    <w:pStyle w:val="38"/>
                    <w:rPr>
                      <w:rFonts w:hint="default"/>
                      <w:b/>
                      <w:bCs/>
                    </w:rPr>
                  </w:pPr>
                  <w:r>
                    <w:rPr>
                      <w:rFonts w:hint="default"/>
                      <w:b/>
                      <w:bCs/>
                    </w:rPr>
                    <w:t>监测项目</w:t>
                  </w:r>
                </w:p>
              </w:tc>
              <w:tc>
                <w:tcPr>
                  <w:tcW w:w="1594" w:type="pct"/>
                  <w:tcBorders>
                    <w:tl2br w:val="nil"/>
                    <w:tr2bl w:val="nil"/>
                  </w:tcBorders>
                  <w:vAlign w:val="center"/>
                </w:tcPr>
                <w:p w14:paraId="67DCC8CC">
                  <w:pPr>
                    <w:pStyle w:val="38"/>
                    <w:rPr>
                      <w:rFonts w:hint="default"/>
                      <w:b/>
                      <w:bCs/>
                    </w:rPr>
                  </w:pPr>
                  <w:r>
                    <w:rPr>
                      <w:rFonts w:hint="default"/>
                      <w:b/>
                      <w:bCs/>
                    </w:rPr>
                    <w:t>监测点位</w:t>
                  </w:r>
                </w:p>
              </w:tc>
              <w:tc>
                <w:tcPr>
                  <w:tcW w:w="700" w:type="pct"/>
                  <w:tcBorders>
                    <w:tl2br w:val="nil"/>
                    <w:tr2bl w:val="nil"/>
                  </w:tcBorders>
                  <w:vAlign w:val="center"/>
                </w:tcPr>
                <w:p w14:paraId="1C102B07">
                  <w:pPr>
                    <w:pStyle w:val="38"/>
                    <w:rPr>
                      <w:rFonts w:hint="default"/>
                      <w:b/>
                      <w:bCs/>
                    </w:rPr>
                  </w:pPr>
                  <w:r>
                    <w:rPr>
                      <w:rFonts w:hint="default"/>
                      <w:b/>
                      <w:bCs/>
                    </w:rPr>
                    <w:t>点位编号</w:t>
                  </w:r>
                </w:p>
              </w:tc>
              <w:tc>
                <w:tcPr>
                  <w:tcW w:w="792" w:type="pct"/>
                  <w:tcBorders>
                    <w:tl2br w:val="nil"/>
                    <w:tr2bl w:val="nil"/>
                  </w:tcBorders>
                  <w:vAlign w:val="center"/>
                </w:tcPr>
                <w:p w14:paraId="334F7B1E">
                  <w:pPr>
                    <w:pStyle w:val="38"/>
                    <w:rPr>
                      <w:rFonts w:hint="default"/>
                      <w:b/>
                      <w:bCs/>
                    </w:rPr>
                  </w:pPr>
                  <w:r>
                    <w:rPr>
                      <w:rFonts w:hint="default"/>
                      <w:b/>
                      <w:bCs/>
                    </w:rPr>
                    <w:t>监测频次</w:t>
                  </w:r>
                </w:p>
              </w:tc>
            </w:tr>
            <w:tr w14:paraId="513BD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679" w:type="pct"/>
                  <w:vMerge w:val="restart"/>
                  <w:tcBorders>
                    <w:tl2br w:val="nil"/>
                    <w:tr2bl w:val="nil"/>
                  </w:tcBorders>
                  <w:vAlign w:val="center"/>
                </w:tcPr>
                <w:p w14:paraId="3F2CF5CC">
                  <w:pPr>
                    <w:jc w:val="center"/>
                  </w:pPr>
                  <w:r>
                    <w:rPr>
                      <w:rFonts w:hint="eastAsia"/>
                      <w:bCs/>
                    </w:rPr>
                    <w:t>沉积物</w:t>
                  </w:r>
                </w:p>
              </w:tc>
              <w:tc>
                <w:tcPr>
                  <w:tcW w:w="1232" w:type="pct"/>
                  <w:vMerge w:val="restart"/>
                  <w:tcBorders>
                    <w:tl2br w:val="nil"/>
                    <w:tr2bl w:val="nil"/>
                  </w:tcBorders>
                  <w:vAlign w:val="center"/>
                </w:tcPr>
                <w:p w14:paraId="3ADE7ABC">
                  <w:pPr>
                    <w:jc w:val="center"/>
                  </w:pPr>
                  <w:r>
                    <w:rPr>
                      <w:rFonts w:hint="eastAsia"/>
                      <w:szCs w:val="21"/>
                    </w:rPr>
                    <w:t>pH、镉、汞、砷、铅、铜、锌、铬、镍</w:t>
                  </w:r>
                </w:p>
              </w:tc>
              <w:tc>
                <w:tcPr>
                  <w:tcW w:w="1594" w:type="pct"/>
                  <w:tcBorders>
                    <w:tl2br w:val="nil"/>
                    <w:tr2bl w:val="nil"/>
                  </w:tcBorders>
                  <w:vAlign w:val="center"/>
                </w:tcPr>
                <w:p w14:paraId="04176028">
                  <w:pPr>
                    <w:jc w:val="center"/>
                  </w:pPr>
                  <w:r>
                    <w:rPr>
                      <w:rFonts w:hint="eastAsia"/>
                      <w:szCs w:val="21"/>
                    </w:rPr>
                    <w:t>拆除危桥下游约20m断面</w:t>
                  </w:r>
                </w:p>
              </w:tc>
              <w:tc>
                <w:tcPr>
                  <w:tcW w:w="700" w:type="pct"/>
                  <w:tcBorders>
                    <w:tl2br w:val="nil"/>
                    <w:tr2bl w:val="nil"/>
                  </w:tcBorders>
                  <w:vAlign w:val="center"/>
                </w:tcPr>
                <w:p w14:paraId="0FD09A8D">
                  <w:pPr>
                    <w:jc w:val="center"/>
                    <w:rPr>
                      <w:szCs w:val="21"/>
                    </w:rPr>
                  </w:pPr>
                  <w:r>
                    <w:rPr>
                      <w:rFonts w:hint="eastAsia"/>
                    </w:rPr>
                    <w:t>1#</w:t>
                  </w:r>
                </w:p>
              </w:tc>
              <w:tc>
                <w:tcPr>
                  <w:tcW w:w="792" w:type="pct"/>
                  <w:vMerge w:val="restart"/>
                  <w:tcBorders>
                    <w:tl2br w:val="nil"/>
                    <w:tr2bl w:val="nil"/>
                  </w:tcBorders>
                  <w:vAlign w:val="center"/>
                </w:tcPr>
                <w:p w14:paraId="50C5D9A8">
                  <w:pPr>
                    <w:jc w:val="center"/>
                  </w:pPr>
                  <w:r>
                    <w:rPr>
                      <w:rFonts w:hint="eastAsia"/>
                      <w:szCs w:val="21"/>
                    </w:rPr>
                    <w:t>每天1次，</w:t>
                  </w:r>
                  <w:r>
                    <w:rPr>
                      <w:szCs w:val="21"/>
                    </w:rPr>
                    <w:t>采样</w:t>
                  </w:r>
                  <w:r>
                    <w:rPr>
                      <w:rFonts w:hint="eastAsia"/>
                      <w:szCs w:val="21"/>
                    </w:rPr>
                    <w:t>1</w:t>
                  </w:r>
                  <w:r>
                    <w:rPr>
                      <w:szCs w:val="21"/>
                    </w:rPr>
                    <w:t>天</w:t>
                  </w:r>
                </w:p>
              </w:tc>
            </w:tr>
            <w:tr w14:paraId="38C4E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679" w:type="pct"/>
                  <w:vMerge w:val="continue"/>
                  <w:tcBorders>
                    <w:tl2br w:val="nil"/>
                    <w:tr2bl w:val="nil"/>
                  </w:tcBorders>
                  <w:vAlign w:val="center"/>
                </w:tcPr>
                <w:p w14:paraId="7EF35CC0">
                  <w:pPr>
                    <w:jc w:val="center"/>
                  </w:pPr>
                </w:p>
              </w:tc>
              <w:tc>
                <w:tcPr>
                  <w:tcW w:w="1232" w:type="pct"/>
                  <w:vMerge w:val="continue"/>
                  <w:tcBorders>
                    <w:tl2br w:val="nil"/>
                    <w:tr2bl w:val="nil"/>
                  </w:tcBorders>
                  <w:vAlign w:val="center"/>
                </w:tcPr>
                <w:p w14:paraId="593A3865">
                  <w:pPr>
                    <w:jc w:val="center"/>
                  </w:pPr>
                </w:p>
              </w:tc>
              <w:tc>
                <w:tcPr>
                  <w:tcW w:w="1594" w:type="pct"/>
                  <w:tcBorders>
                    <w:tl2br w:val="nil"/>
                    <w:tr2bl w:val="nil"/>
                  </w:tcBorders>
                  <w:vAlign w:val="center"/>
                </w:tcPr>
                <w:p w14:paraId="29926444">
                  <w:pPr>
                    <w:jc w:val="center"/>
                    <w:rPr>
                      <w:szCs w:val="21"/>
                    </w:rPr>
                  </w:pPr>
                  <w:r>
                    <w:rPr>
                      <w:rFonts w:hint="eastAsia"/>
                      <w:szCs w:val="21"/>
                    </w:rPr>
                    <w:t>河道终点下游100m处断面</w:t>
                  </w:r>
                </w:p>
              </w:tc>
              <w:tc>
                <w:tcPr>
                  <w:tcW w:w="700" w:type="pct"/>
                  <w:tcBorders>
                    <w:tl2br w:val="nil"/>
                    <w:tr2bl w:val="nil"/>
                  </w:tcBorders>
                  <w:vAlign w:val="center"/>
                </w:tcPr>
                <w:p w14:paraId="701D5BEB">
                  <w:pPr>
                    <w:jc w:val="center"/>
                    <w:rPr>
                      <w:szCs w:val="21"/>
                    </w:rPr>
                  </w:pPr>
                  <w:r>
                    <w:rPr>
                      <w:rFonts w:hint="eastAsia"/>
                    </w:rPr>
                    <w:t>2#</w:t>
                  </w:r>
                </w:p>
              </w:tc>
              <w:tc>
                <w:tcPr>
                  <w:tcW w:w="792" w:type="pct"/>
                  <w:vMerge w:val="continue"/>
                  <w:tcBorders>
                    <w:tl2br w:val="nil"/>
                    <w:tr2bl w:val="nil"/>
                  </w:tcBorders>
                  <w:vAlign w:val="center"/>
                </w:tcPr>
                <w:p w14:paraId="315C30B2">
                  <w:pPr>
                    <w:jc w:val="center"/>
                    <w:rPr>
                      <w:szCs w:val="21"/>
                    </w:rPr>
                  </w:pPr>
                </w:p>
              </w:tc>
            </w:tr>
          </w:tbl>
          <w:p w14:paraId="75C19516">
            <w:pPr>
              <w:pStyle w:val="36"/>
              <w:ind w:firstLine="482"/>
              <w:rPr>
                <w:rFonts w:hint="default"/>
                <w:b/>
                <w:bCs/>
              </w:rPr>
            </w:pPr>
            <w:r>
              <w:rPr>
                <w:b/>
                <w:bCs/>
              </w:rPr>
              <w:t>②监测方法</w:t>
            </w:r>
          </w:p>
          <w:p w14:paraId="1E816328">
            <w:pPr>
              <w:pStyle w:val="36"/>
              <w:ind w:firstLine="480"/>
              <w:rPr>
                <w:rFonts w:hint="default"/>
              </w:rPr>
            </w:pPr>
            <w:r>
              <w:t>监测项目的监测方法、使用仪器及检出限见下表。</w:t>
            </w:r>
          </w:p>
          <w:p w14:paraId="64C5BA3D">
            <w:pPr>
              <w:pStyle w:val="47"/>
              <w:numPr>
                <w:ilvl w:val="0"/>
                <w:numId w:val="26"/>
              </w:numPr>
              <w:spacing w:before="156"/>
            </w:pPr>
            <w:r>
              <w:rPr>
                <w:rFonts w:hint="eastAsia"/>
              </w:rPr>
              <w:t>监测方法、方法来源、使用仪器及检出限表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0"/>
              <w:gridCol w:w="1046"/>
              <w:gridCol w:w="2717"/>
              <w:gridCol w:w="2495"/>
              <w:gridCol w:w="1031"/>
            </w:tblGrid>
            <w:tr w14:paraId="1720C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3" w:type="pct"/>
                  <w:tcBorders>
                    <w:tl2br w:val="nil"/>
                    <w:tr2bl w:val="nil"/>
                  </w:tcBorders>
                  <w:vAlign w:val="center"/>
                </w:tcPr>
                <w:p w14:paraId="1086A5A8">
                  <w:pPr>
                    <w:pStyle w:val="38"/>
                    <w:rPr>
                      <w:rFonts w:hint="default"/>
                      <w:b/>
                      <w:bCs/>
                    </w:rPr>
                  </w:pPr>
                  <w:r>
                    <w:rPr>
                      <w:rFonts w:hint="default"/>
                      <w:b/>
                      <w:bCs/>
                    </w:rPr>
                    <w:t>监测类别</w:t>
                  </w:r>
                </w:p>
              </w:tc>
              <w:tc>
                <w:tcPr>
                  <w:tcW w:w="631" w:type="pct"/>
                  <w:tcBorders>
                    <w:tl2br w:val="nil"/>
                    <w:tr2bl w:val="nil"/>
                  </w:tcBorders>
                  <w:vAlign w:val="center"/>
                </w:tcPr>
                <w:p w14:paraId="188DDC4D">
                  <w:pPr>
                    <w:pStyle w:val="38"/>
                    <w:rPr>
                      <w:rFonts w:hint="default"/>
                      <w:b/>
                      <w:bCs/>
                    </w:rPr>
                  </w:pPr>
                  <w:r>
                    <w:rPr>
                      <w:rFonts w:hint="default"/>
                      <w:b/>
                      <w:bCs/>
                    </w:rPr>
                    <w:t>监测项目</w:t>
                  </w:r>
                </w:p>
              </w:tc>
              <w:tc>
                <w:tcPr>
                  <w:tcW w:w="1638" w:type="pct"/>
                  <w:tcBorders>
                    <w:tl2br w:val="nil"/>
                    <w:tr2bl w:val="nil"/>
                  </w:tcBorders>
                  <w:vAlign w:val="center"/>
                </w:tcPr>
                <w:p w14:paraId="15492747">
                  <w:pPr>
                    <w:pStyle w:val="38"/>
                    <w:rPr>
                      <w:rFonts w:hint="default"/>
                      <w:b/>
                      <w:bCs/>
                    </w:rPr>
                  </w:pPr>
                  <w:r>
                    <w:rPr>
                      <w:rFonts w:hint="default"/>
                      <w:b/>
                      <w:bCs/>
                    </w:rPr>
                    <w:t>监测方法</w:t>
                  </w:r>
                </w:p>
              </w:tc>
              <w:tc>
                <w:tcPr>
                  <w:tcW w:w="1504" w:type="pct"/>
                  <w:tcBorders>
                    <w:tl2br w:val="nil"/>
                    <w:tr2bl w:val="nil"/>
                  </w:tcBorders>
                  <w:vAlign w:val="center"/>
                </w:tcPr>
                <w:p w14:paraId="32749633">
                  <w:pPr>
                    <w:pStyle w:val="38"/>
                    <w:rPr>
                      <w:rFonts w:hint="default"/>
                      <w:b/>
                      <w:bCs/>
                    </w:rPr>
                  </w:pPr>
                  <w:r>
                    <w:rPr>
                      <w:rFonts w:hint="default"/>
                      <w:b/>
                      <w:bCs/>
                    </w:rPr>
                    <w:t>使用仪器</w:t>
                  </w:r>
                </w:p>
              </w:tc>
              <w:tc>
                <w:tcPr>
                  <w:tcW w:w="622" w:type="pct"/>
                  <w:tcBorders>
                    <w:tl2br w:val="nil"/>
                    <w:tr2bl w:val="nil"/>
                  </w:tcBorders>
                  <w:vAlign w:val="center"/>
                </w:tcPr>
                <w:p w14:paraId="3DB30057">
                  <w:pPr>
                    <w:pStyle w:val="38"/>
                    <w:rPr>
                      <w:rFonts w:hint="default"/>
                      <w:b/>
                      <w:bCs/>
                    </w:rPr>
                  </w:pPr>
                  <w:r>
                    <w:rPr>
                      <w:rFonts w:hint="default"/>
                      <w:b/>
                      <w:bCs/>
                    </w:rPr>
                    <w:t>检出限</w:t>
                  </w:r>
                </w:p>
              </w:tc>
            </w:tr>
            <w:tr w14:paraId="58BAC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03" w:type="pct"/>
                  <w:vMerge w:val="restart"/>
                  <w:tcBorders>
                    <w:tl2br w:val="nil"/>
                    <w:tr2bl w:val="nil"/>
                  </w:tcBorders>
                  <w:vAlign w:val="center"/>
                </w:tcPr>
                <w:p w14:paraId="606404E2">
                  <w:pPr>
                    <w:jc w:val="center"/>
                    <w:rPr>
                      <w:szCs w:val="21"/>
                    </w:rPr>
                  </w:pPr>
                  <w:r>
                    <w:rPr>
                      <w:rFonts w:hint="eastAsia"/>
                      <w:szCs w:val="21"/>
                    </w:rPr>
                    <w:t>沉积物</w:t>
                  </w:r>
                </w:p>
              </w:tc>
              <w:tc>
                <w:tcPr>
                  <w:tcW w:w="631" w:type="pct"/>
                  <w:tcBorders>
                    <w:tl2br w:val="nil"/>
                    <w:tr2bl w:val="nil"/>
                  </w:tcBorders>
                  <w:vAlign w:val="center"/>
                </w:tcPr>
                <w:p w14:paraId="781C342E">
                  <w:pPr>
                    <w:pStyle w:val="21"/>
                    <w:snapToGrid w:val="0"/>
                    <w:spacing w:beforeAutospacing="0" w:afterAutospacing="0" w:line="240" w:lineRule="exact"/>
                    <w:jc w:val="center"/>
                    <w:rPr>
                      <w:rFonts w:ascii="Times New Roman" w:hAnsi="Times New Roman"/>
                      <w:sz w:val="21"/>
                      <w:szCs w:val="21"/>
                    </w:rPr>
                  </w:pPr>
                  <w:r>
                    <w:rPr>
                      <w:rFonts w:hint="eastAsia" w:ascii="Times New Roman" w:hAnsi="Times New Roman"/>
                      <w:kern w:val="2"/>
                      <w:sz w:val="21"/>
                      <w:szCs w:val="21"/>
                      <w:lang w:bidi="ar"/>
                    </w:rPr>
                    <w:t>pH</w:t>
                  </w:r>
                </w:p>
              </w:tc>
              <w:tc>
                <w:tcPr>
                  <w:tcW w:w="2716" w:type="dxa"/>
                  <w:tcBorders>
                    <w:tl2br w:val="nil"/>
                    <w:tr2bl w:val="nil"/>
                  </w:tcBorders>
                  <w:vAlign w:val="center"/>
                </w:tcPr>
                <w:p w14:paraId="6D0ABFFF">
                  <w:pPr>
                    <w:jc w:val="center"/>
                    <w:rPr>
                      <w:szCs w:val="21"/>
                    </w:rPr>
                  </w:pPr>
                  <w:r>
                    <w:rPr>
                      <w:rFonts w:hint="eastAsia"/>
                      <w:szCs w:val="21"/>
                    </w:rPr>
                    <w:t>土壤 pH 值的测定 电位法</w:t>
                  </w:r>
                </w:p>
                <w:p w14:paraId="50747A12">
                  <w:pPr>
                    <w:jc w:val="center"/>
                    <w:rPr>
                      <w:szCs w:val="21"/>
                    </w:rPr>
                  </w:pPr>
                  <w:r>
                    <w:rPr>
                      <w:rFonts w:hint="eastAsia"/>
                      <w:szCs w:val="21"/>
                    </w:rPr>
                    <w:t>HJ 962-2018</w:t>
                  </w:r>
                </w:p>
              </w:tc>
              <w:tc>
                <w:tcPr>
                  <w:tcW w:w="2494" w:type="dxa"/>
                  <w:tcBorders>
                    <w:tl2br w:val="nil"/>
                    <w:tr2bl w:val="nil"/>
                  </w:tcBorders>
                  <w:vAlign w:val="center"/>
                </w:tcPr>
                <w:p w14:paraId="1F7BD5B0">
                  <w:pPr>
                    <w:jc w:val="center"/>
                    <w:rPr>
                      <w:szCs w:val="21"/>
                    </w:rPr>
                  </w:pPr>
                  <w:r>
                    <w:rPr>
                      <w:szCs w:val="21"/>
                      <w:lang w:bidi="ar"/>
                    </w:rPr>
                    <w:t>PHS-3C 酸度计H011</w:t>
                  </w:r>
                </w:p>
              </w:tc>
              <w:tc>
                <w:tcPr>
                  <w:tcW w:w="1032" w:type="dxa"/>
                  <w:tcBorders>
                    <w:tl2br w:val="nil"/>
                    <w:tr2bl w:val="nil"/>
                  </w:tcBorders>
                  <w:vAlign w:val="center"/>
                </w:tcPr>
                <w:p w14:paraId="6CC18FE9">
                  <w:pPr>
                    <w:jc w:val="center"/>
                    <w:rPr>
                      <w:szCs w:val="21"/>
                    </w:rPr>
                  </w:pPr>
                  <w:r>
                    <w:rPr>
                      <w:rFonts w:hint="eastAsia"/>
                      <w:szCs w:val="21"/>
                      <w:lang w:bidi="ar"/>
                    </w:rPr>
                    <w:t>/</w:t>
                  </w:r>
                </w:p>
              </w:tc>
            </w:tr>
            <w:tr w14:paraId="0B9A9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3" w:type="pct"/>
                  <w:vMerge w:val="continue"/>
                  <w:tcBorders>
                    <w:tl2br w:val="nil"/>
                    <w:tr2bl w:val="nil"/>
                  </w:tcBorders>
                  <w:vAlign w:val="center"/>
                </w:tcPr>
                <w:p w14:paraId="10B3040D">
                  <w:pPr>
                    <w:jc w:val="center"/>
                    <w:rPr>
                      <w:szCs w:val="21"/>
                    </w:rPr>
                  </w:pPr>
                </w:p>
              </w:tc>
              <w:tc>
                <w:tcPr>
                  <w:tcW w:w="631" w:type="pct"/>
                  <w:tcBorders>
                    <w:tl2br w:val="nil"/>
                    <w:tr2bl w:val="nil"/>
                  </w:tcBorders>
                  <w:vAlign w:val="center"/>
                </w:tcPr>
                <w:p w14:paraId="3EAF2BF5">
                  <w:pPr>
                    <w:pStyle w:val="21"/>
                    <w:snapToGrid w:val="0"/>
                    <w:spacing w:beforeAutospacing="0" w:afterAutospacing="0" w:line="240" w:lineRule="exact"/>
                    <w:jc w:val="center"/>
                    <w:rPr>
                      <w:rFonts w:ascii="Times New Roman" w:hAnsi="Times New Roman"/>
                      <w:bCs/>
                      <w:sz w:val="21"/>
                      <w:szCs w:val="21"/>
                    </w:rPr>
                  </w:pPr>
                  <w:r>
                    <w:rPr>
                      <w:rFonts w:hint="eastAsia" w:ascii="Times New Roman" w:hAnsi="Times New Roman"/>
                      <w:sz w:val="21"/>
                      <w:szCs w:val="21"/>
                    </w:rPr>
                    <w:t>汞</w:t>
                  </w:r>
                </w:p>
              </w:tc>
              <w:tc>
                <w:tcPr>
                  <w:tcW w:w="2716" w:type="dxa"/>
                  <w:vMerge w:val="restart"/>
                  <w:tcBorders>
                    <w:tl2br w:val="nil"/>
                    <w:tr2bl w:val="nil"/>
                  </w:tcBorders>
                  <w:vAlign w:val="center"/>
                </w:tcPr>
                <w:p w14:paraId="6136298C">
                  <w:pPr>
                    <w:jc w:val="center"/>
                    <w:rPr>
                      <w:szCs w:val="21"/>
                    </w:rPr>
                  </w:pPr>
                  <w:r>
                    <w:rPr>
                      <w:rFonts w:hint="eastAsia"/>
                      <w:szCs w:val="21"/>
                    </w:rPr>
                    <w:t>土壤和沉积物 汞、砷、硒、铋、锑的测定 微波消解/原子荧光法 HJ 680-2013</w:t>
                  </w:r>
                </w:p>
              </w:tc>
              <w:tc>
                <w:tcPr>
                  <w:tcW w:w="2494" w:type="dxa"/>
                  <w:vMerge w:val="restart"/>
                  <w:tcBorders>
                    <w:tl2br w:val="nil"/>
                    <w:tr2bl w:val="nil"/>
                  </w:tcBorders>
                  <w:vAlign w:val="center"/>
                </w:tcPr>
                <w:p w14:paraId="75E4CE00">
                  <w:pPr>
                    <w:spacing w:line="240" w:lineRule="exact"/>
                    <w:jc w:val="center"/>
                    <w:rPr>
                      <w:szCs w:val="21"/>
                    </w:rPr>
                  </w:pPr>
                  <w:r>
                    <w:rPr>
                      <w:rFonts w:hint="eastAsia"/>
                      <w:color w:val="000000"/>
                      <w:kern w:val="0"/>
                      <w:szCs w:val="21"/>
                    </w:rPr>
                    <w:t>SK-乐析 原子荧光光谱仪H164</w:t>
                  </w:r>
                </w:p>
              </w:tc>
              <w:tc>
                <w:tcPr>
                  <w:tcW w:w="1032" w:type="dxa"/>
                  <w:tcBorders>
                    <w:tl2br w:val="nil"/>
                    <w:tr2bl w:val="nil"/>
                  </w:tcBorders>
                  <w:vAlign w:val="center"/>
                </w:tcPr>
                <w:p w14:paraId="65BFD6A6">
                  <w:pPr>
                    <w:spacing w:line="240" w:lineRule="exact"/>
                    <w:jc w:val="center"/>
                    <w:rPr>
                      <w:szCs w:val="21"/>
                    </w:rPr>
                  </w:pPr>
                  <w:r>
                    <w:rPr>
                      <w:rFonts w:hint="eastAsia"/>
                      <w:szCs w:val="21"/>
                    </w:rPr>
                    <w:t>0.002mg/kg</w:t>
                  </w:r>
                </w:p>
              </w:tc>
            </w:tr>
            <w:tr w14:paraId="11399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3" w:type="pct"/>
                  <w:vMerge w:val="continue"/>
                  <w:tcBorders>
                    <w:tl2br w:val="nil"/>
                    <w:tr2bl w:val="nil"/>
                  </w:tcBorders>
                  <w:vAlign w:val="center"/>
                </w:tcPr>
                <w:p w14:paraId="450D7AEB">
                  <w:pPr>
                    <w:jc w:val="center"/>
                    <w:rPr>
                      <w:szCs w:val="21"/>
                    </w:rPr>
                  </w:pPr>
                </w:p>
              </w:tc>
              <w:tc>
                <w:tcPr>
                  <w:tcW w:w="631" w:type="pct"/>
                  <w:tcBorders>
                    <w:tl2br w:val="nil"/>
                    <w:tr2bl w:val="nil"/>
                  </w:tcBorders>
                  <w:vAlign w:val="center"/>
                </w:tcPr>
                <w:p w14:paraId="313155B9">
                  <w:pPr>
                    <w:pStyle w:val="21"/>
                    <w:snapToGrid w:val="0"/>
                    <w:spacing w:beforeAutospacing="0" w:afterAutospacing="0" w:line="240" w:lineRule="exact"/>
                    <w:jc w:val="center"/>
                    <w:rPr>
                      <w:rFonts w:ascii="Times New Roman" w:hAnsi="Times New Roman"/>
                      <w:bCs/>
                      <w:sz w:val="21"/>
                      <w:szCs w:val="21"/>
                    </w:rPr>
                  </w:pPr>
                  <w:r>
                    <w:rPr>
                      <w:rFonts w:hint="eastAsia" w:ascii="Times New Roman" w:hAnsi="Times New Roman"/>
                      <w:sz w:val="21"/>
                      <w:szCs w:val="21"/>
                    </w:rPr>
                    <w:t>砷</w:t>
                  </w:r>
                </w:p>
              </w:tc>
              <w:tc>
                <w:tcPr>
                  <w:tcW w:w="1638" w:type="pct"/>
                  <w:vMerge w:val="continue"/>
                  <w:tcBorders>
                    <w:tl2br w:val="nil"/>
                    <w:tr2bl w:val="nil"/>
                  </w:tcBorders>
                  <w:vAlign w:val="center"/>
                </w:tcPr>
                <w:p w14:paraId="4CB27791">
                  <w:pPr>
                    <w:jc w:val="center"/>
                    <w:rPr>
                      <w:szCs w:val="21"/>
                    </w:rPr>
                  </w:pPr>
                </w:p>
              </w:tc>
              <w:tc>
                <w:tcPr>
                  <w:tcW w:w="1504" w:type="pct"/>
                  <w:vMerge w:val="continue"/>
                  <w:tcBorders>
                    <w:tl2br w:val="nil"/>
                    <w:tr2bl w:val="nil"/>
                  </w:tcBorders>
                  <w:vAlign w:val="center"/>
                </w:tcPr>
                <w:p w14:paraId="75A1DBF3">
                  <w:pPr>
                    <w:jc w:val="center"/>
                    <w:rPr>
                      <w:szCs w:val="21"/>
                    </w:rPr>
                  </w:pPr>
                </w:p>
              </w:tc>
              <w:tc>
                <w:tcPr>
                  <w:tcW w:w="1032" w:type="dxa"/>
                  <w:tcBorders>
                    <w:tl2br w:val="nil"/>
                    <w:tr2bl w:val="nil"/>
                  </w:tcBorders>
                  <w:vAlign w:val="center"/>
                </w:tcPr>
                <w:p w14:paraId="5D7FF728">
                  <w:pPr>
                    <w:spacing w:line="240" w:lineRule="exact"/>
                    <w:jc w:val="center"/>
                    <w:rPr>
                      <w:szCs w:val="21"/>
                    </w:rPr>
                  </w:pPr>
                  <w:r>
                    <w:rPr>
                      <w:rFonts w:hint="eastAsia"/>
                      <w:szCs w:val="21"/>
                    </w:rPr>
                    <w:t>0.01mg/kg</w:t>
                  </w:r>
                </w:p>
              </w:tc>
            </w:tr>
            <w:tr w14:paraId="5D06A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3" w:type="pct"/>
                  <w:vMerge w:val="continue"/>
                  <w:tcBorders>
                    <w:tl2br w:val="nil"/>
                    <w:tr2bl w:val="nil"/>
                  </w:tcBorders>
                  <w:vAlign w:val="center"/>
                </w:tcPr>
                <w:p w14:paraId="69BD6AD6">
                  <w:pPr>
                    <w:jc w:val="center"/>
                    <w:rPr>
                      <w:szCs w:val="21"/>
                    </w:rPr>
                  </w:pPr>
                </w:p>
              </w:tc>
              <w:tc>
                <w:tcPr>
                  <w:tcW w:w="631" w:type="pct"/>
                  <w:tcBorders>
                    <w:tl2br w:val="nil"/>
                    <w:tr2bl w:val="nil"/>
                  </w:tcBorders>
                  <w:vAlign w:val="center"/>
                </w:tcPr>
                <w:p w14:paraId="22B87CB8">
                  <w:pPr>
                    <w:pStyle w:val="21"/>
                    <w:snapToGrid w:val="0"/>
                    <w:spacing w:beforeAutospacing="0" w:afterAutospacing="0" w:line="240" w:lineRule="exact"/>
                    <w:jc w:val="center"/>
                    <w:rPr>
                      <w:rFonts w:hint="eastAsia"/>
                    </w:rPr>
                  </w:pPr>
                  <w:r>
                    <w:rPr>
                      <w:rFonts w:hint="eastAsia" w:ascii="Times New Roman" w:hAnsi="Times New Roman"/>
                      <w:sz w:val="21"/>
                      <w:szCs w:val="21"/>
                    </w:rPr>
                    <w:t>镉</w:t>
                  </w:r>
                </w:p>
              </w:tc>
              <w:tc>
                <w:tcPr>
                  <w:tcW w:w="2716" w:type="dxa"/>
                  <w:tcBorders>
                    <w:tl2br w:val="nil"/>
                    <w:tr2bl w:val="nil"/>
                  </w:tcBorders>
                  <w:vAlign w:val="center"/>
                </w:tcPr>
                <w:p w14:paraId="1A9564AE">
                  <w:pPr>
                    <w:jc w:val="center"/>
                    <w:rPr>
                      <w:szCs w:val="21"/>
                    </w:rPr>
                  </w:pPr>
                  <w:r>
                    <w:rPr>
                      <w:rFonts w:hint="eastAsia"/>
                      <w:szCs w:val="21"/>
                    </w:rPr>
                    <w:t>土壤质量 铅、镉的测定 石墨炉原子吸收分光光度法GB/T 17141-1997</w:t>
                  </w:r>
                </w:p>
              </w:tc>
              <w:tc>
                <w:tcPr>
                  <w:tcW w:w="2494" w:type="dxa"/>
                  <w:tcBorders>
                    <w:tl2br w:val="nil"/>
                    <w:tr2bl w:val="nil"/>
                  </w:tcBorders>
                  <w:vAlign w:val="center"/>
                </w:tcPr>
                <w:p w14:paraId="704425C6">
                  <w:pPr>
                    <w:spacing w:line="240" w:lineRule="exact"/>
                    <w:jc w:val="center"/>
                    <w:rPr>
                      <w:kern w:val="0"/>
                      <w:szCs w:val="21"/>
                    </w:rPr>
                  </w:pPr>
                  <w:r>
                    <w:rPr>
                      <w:rFonts w:hint="eastAsia"/>
                      <w:color w:val="000000"/>
                      <w:kern w:val="0"/>
                      <w:szCs w:val="21"/>
                    </w:rPr>
                    <w:t>A3AFG-12 原子吸收分光光度计H177</w:t>
                  </w:r>
                </w:p>
              </w:tc>
              <w:tc>
                <w:tcPr>
                  <w:tcW w:w="1032" w:type="dxa"/>
                  <w:tcBorders>
                    <w:tl2br w:val="nil"/>
                    <w:tr2bl w:val="nil"/>
                  </w:tcBorders>
                  <w:vAlign w:val="center"/>
                </w:tcPr>
                <w:p w14:paraId="016A1079">
                  <w:pPr>
                    <w:spacing w:line="240" w:lineRule="exact"/>
                    <w:jc w:val="center"/>
                    <w:rPr>
                      <w:color w:val="000000"/>
                      <w:szCs w:val="21"/>
                    </w:rPr>
                  </w:pPr>
                  <w:r>
                    <w:rPr>
                      <w:rFonts w:hint="eastAsia"/>
                      <w:szCs w:val="21"/>
                    </w:rPr>
                    <w:t>0.01mg/kg</w:t>
                  </w:r>
                </w:p>
              </w:tc>
            </w:tr>
            <w:tr w14:paraId="18931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3" w:type="pct"/>
                  <w:vMerge w:val="continue"/>
                  <w:tcBorders>
                    <w:tl2br w:val="nil"/>
                    <w:tr2bl w:val="nil"/>
                  </w:tcBorders>
                  <w:vAlign w:val="center"/>
                </w:tcPr>
                <w:p w14:paraId="638F5ECA">
                  <w:pPr>
                    <w:jc w:val="center"/>
                    <w:rPr>
                      <w:szCs w:val="21"/>
                    </w:rPr>
                  </w:pPr>
                </w:p>
              </w:tc>
              <w:tc>
                <w:tcPr>
                  <w:tcW w:w="631" w:type="pct"/>
                  <w:tcBorders>
                    <w:tl2br w:val="nil"/>
                    <w:tr2bl w:val="nil"/>
                  </w:tcBorders>
                  <w:vAlign w:val="center"/>
                </w:tcPr>
                <w:p w14:paraId="0E344A3F">
                  <w:pPr>
                    <w:pStyle w:val="21"/>
                    <w:snapToGrid w:val="0"/>
                    <w:spacing w:beforeAutospacing="0" w:afterAutospacing="0" w:line="240" w:lineRule="exact"/>
                    <w:jc w:val="center"/>
                    <w:rPr>
                      <w:rFonts w:hint="eastAsia"/>
                    </w:rPr>
                  </w:pPr>
                  <w:r>
                    <w:rPr>
                      <w:rFonts w:hint="eastAsia" w:ascii="Times New Roman" w:hAnsi="Times New Roman"/>
                      <w:sz w:val="21"/>
                      <w:szCs w:val="21"/>
                    </w:rPr>
                    <w:t>铅</w:t>
                  </w:r>
                </w:p>
              </w:tc>
              <w:tc>
                <w:tcPr>
                  <w:tcW w:w="2716" w:type="dxa"/>
                  <w:vMerge w:val="restart"/>
                  <w:tcBorders>
                    <w:tl2br w:val="nil"/>
                    <w:tr2bl w:val="nil"/>
                  </w:tcBorders>
                  <w:vAlign w:val="center"/>
                </w:tcPr>
                <w:p w14:paraId="071104B8">
                  <w:pPr>
                    <w:jc w:val="center"/>
                    <w:rPr>
                      <w:szCs w:val="21"/>
                    </w:rPr>
                  </w:pPr>
                  <w:r>
                    <w:rPr>
                      <w:rFonts w:hint="eastAsia"/>
                      <w:szCs w:val="21"/>
                    </w:rPr>
                    <w:t>土壤和沉积物 铜、锌、铅、镍、铬的测定 火焰原子吸收分光光度法 HJ 491-2019</w:t>
                  </w:r>
                </w:p>
              </w:tc>
              <w:tc>
                <w:tcPr>
                  <w:tcW w:w="2494" w:type="dxa"/>
                  <w:vMerge w:val="restart"/>
                  <w:tcBorders>
                    <w:tl2br w:val="nil"/>
                    <w:tr2bl w:val="nil"/>
                  </w:tcBorders>
                  <w:vAlign w:val="center"/>
                </w:tcPr>
                <w:p w14:paraId="32EEB24E">
                  <w:pPr>
                    <w:spacing w:line="240" w:lineRule="exact"/>
                    <w:jc w:val="center"/>
                    <w:rPr>
                      <w:kern w:val="0"/>
                      <w:szCs w:val="21"/>
                    </w:rPr>
                  </w:pPr>
                  <w:r>
                    <w:rPr>
                      <w:rFonts w:hint="eastAsia"/>
                      <w:color w:val="000000"/>
                      <w:kern w:val="0"/>
                      <w:szCs w:val="21"/>
                    </w:rPr>
                    <w:t>A3AFG-12 原子吸收分光光度计H177</w:t>
                  </w:r>
                </w:p>
              </w:tc>
              <w:tc>
                <w:tcPr>
                  <w:tcW w:w="1032" w:type="dxa"/>
                  <w:tcBorders>
                    <w:tl2br w:val="nil"/>
                    <w:tr2bl w:val="nil"/>
                  </w:tcBorders>
                  <w:vAlign w:val="center"/>
                </w:tcPr>
                <w:p w14:paraId="0A3B1B4D">
                  <w:pPr>
                    <w:spacing w:line="240" w:lineRule="exact"/>
                    <w:jc w:val="center"/>
                    <w:rPr>
                      <w:color w:val="000000"/>
                      <w:szCs w:val="21"/>
                    </w:rPr>
                  </w:pPr>
                  <w:r>
                    <w:rPr>
                      <w:rFonts w:hint="eastAsia"/>
                      <w:szCs w:val="21"/>
                    </w:rPr>
                    <w:t>10mg/kg</w:t>
                  </w:r>
                </w:p>
              </w:tc>
            </w:tr>
            <w:tr w14:paraId="69111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3" w:type="pct"/>
                  <w:vMerge w:val="continue"/>
                  <w:tcBorders>
                    <w:tl2br w:val="nil"/>
                    <w:tr2bl w:val="nil"/>
                  </w:tcBorders>
                  <w:vAlign w:val="center"/>
                </w:tcPr>
                <w:p w14:paraId="5F176981">
                  <w:pPr>
                    <w:jc w:val="center"/>
                    <w:rPr>
                      <w:szCs w:val="21"/>
                    </w:rPr>
                  </w:pPr>
                </w:p>
              </w:tc>
              <w:tc>
                <w:tcPr>
                  <w:tcW w:w="631" w:type="pct"/>
                  <w:tcBorders>
                    <w:tl2br w:val="nil"/>
                    <w:tr2bl w:val="nil"/>
                  </w:tcBorders>
                  <w:vAlign w:val="center"/>
                </w:tcPr>
                <w:p w14:paraId="2037652A">
                  <w:pPr>
                    <w:pStyle w:val="21"/>
                    <w:snapToGrid w:val="0"/>
                    <w:spacing w:beforeAutospacing="0" w:afterAutospacing="0" w:line="240" w:lineRule="exact"/>
                    <w:jc w:val="center"/>
                    <w:rPr>
                      <w:rFonts w:hint="eastAsia"/>
                    </w:rPr>
                  </w:pPr>
                  <w:r>
                    <w:rPr>
                      <w:rFonts w:hint="eastAsia" w:ascii="Times New Roman" w:hAnsi="Times New Roman"/>
                      <w:sz w:val="21"/>
                      <w:szCs w:val="21"/>
                    </w:rPr>
                    <w:t>铜</w:t>
                  </w:r>
                </w:p>
              </w:tc>
              <w:tc>
                <w:tcPr>
                  <w:tcW w:w="1638" w:type="pct"/>
                  <w:vMerge w:val="continue"/>
                  <w:tcBorders>
                    <w:tl2br w:val="nil"/>
                    <w:tr2bl w:val="nil"/>
                  </w:tcBorders>
                  <w:vAlign w:val="center"/>
                </w:tcPr>
                <w:p w14:paraId="0830B3EF">
                  <w:pPr>
                    <w:jc w:val="center"/>
                    <w:rPr>
                      <w:szCs w:val="21"/>
                    </w:rPr>
                  </w:pPr>
                </w:p>
              </w:tc>
              <w:tc>
                <w:tcPr>
                  <w:tcW w:w="1504" w:type="pct"/>
                  <w:vMerge w:val="continue"/>
                  <w:tcBorders>
                    <w:tl2br w:val="nil"/>
                    <w:tr2bl w:val="nil"/>
                  </w:tcBorders>
                  <w:vAlign w:val="center"/>
                </w:tcPr>
                <w:p w14:paraId="4F7389BA">
                  <w:pPr>
                    <w:jc w:val="center"/>
                    <w:rPr>
                      <w:kern w:val="0"/>
                      <w:szCs w:val="21"/>
                    </w:rPr>
                  </w:pPr>
                </w:p>
              </w:tc>
              <w:tc>
                <w:tcPr>
                  <w:tcW w:w="1032" w:type="dxa"/>
                  <w:tcBorders>
                    <w:tl2br w:val="nil"/>
                    <w:tr2bl w:val="nil"/>
                  </w:tcBorders>
                  <w:vAlign w:val="center"/>
                </w:tcPr>
                <w:p w14:paraId="1E777D5D">
                  <w:pPr>
                    <w:spacing w:line="240" w:lineRule="exact"/>
                    <w:jc w:val="center"/>
                    <w:rPr>
                      <w:color w:val="000000"/>
                      <w:szCs w:val="21"/>
                    </w:rPr>
                  </w:pPr>
                  <w:r>
                    <w:rPr>
                      <w:rFonts w:hint="eastAsia"/>
                      <w:szCs w:val="21"/>
                    </w:rPr>
                    <w:t>1mg/kg</w:t>
                  </w:r>
                </w:p>
              </w:tc>
            </w:tr>
            <w:tr w14:paraId="24647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3" w:type="pct"/>
                  <w:vMerge w:val="continue"/>
                  <w:tcBorders>
                    <w:tl2br w:val="nil"/>
                    <w:tr2bl w:val="nil"/>
                  </w:tcBorders>
                  <w:vAlign w:val="center"/>
                </w:tcPr>
                <w:p w14:paraId="4F7787D8">
                  <w:pPr>
                    <w:jc w:val="center"/>
                    <w:rPr>
                      <w:szCs w:val="21"/>
                    </w:rPr>
                  </w:pPr>
                </w:p>
              </w:tc>
              <w:tc>
                <w:tcPr>
                  <w:tcW w:w="631" w:type="pct"/>
                  <w:tcBorders>
                    <w:tl2br w:val="nil"/>
                    <w:tr2bl w:val="nil"/>
                  </w:tcBorders>
                  <w:vAlign w:val="center"/>
                </w:tcPr>
                <w:p w14:paraId="37A358D0">
                  <w:pPr>
                    <w:pStyle w:val="21"/>
                    <w:snapToGrid w:val="0"/>
                    <w:spacing w:beforeAutospacing="0" w:afterAutospacing="0" w:line="240" w:lineRule="exact"/>
                    <w:jc w:val="center"/>
                    <w:rPr>
                      <w:rFonts w:hint="eastAsia"/>
                    </w:rPr>
                  </w:pPr>
                  <w:r>
                    <w:rPr>
                      <w:rFonts w:hint="eastAsia" w:ascii="Times New Roman" w:hAnsi="Times New Roman"/>
                      <w:sz w:val="21"/>
                      <w:szCs w:val="21"/>
                    </w:rPr>
                    <w:t>铬</w:t>
                  </w:r>
                </w:p>
              </w:tc>
              <w:tc>
                <w:tcPr>
                  <w:tcW w:w="1638" w:type="pct"/>
                  <w:vMerge w:val="continue"/>
                  <w:tcBorders>
                    <w:tl2br w:val="nil"/>
                    <w:tr2bl w:val="nil"/>
                  </w:tcBorders>
                  <w:vAlign w:val="center"/>
                </w:tcPr>
                <w:p w14:paraId="1092FA42">
                  <w:pPr>
                    <w:jc w:val="center"/>
                    <w:rPr>
                      <w:szCs w:val="21"/>
                    </w:rPr>
                  </w:pPr>
                </w:p>
              </w:tc>
              <w:tc>
                <w:tcPr>
                  <w:tcW w:w="1504" w:type="pct"/>
                  <w:vMerge w:val="continue"/>
                  <w:tcBorders>
                    <w:tl2br w:val="nil"/>
                    <w:tr2bl w:val="nil"/>
                  </w:tcBorders>
                  <w:vAlign w:val="center"/>
                </w:tcPr>
                <w:p w14:paraId="71976F85">
                  <w:pPr>
                    <w:pStyle w:val="14"/>
                    <w:snapToGrid w:val="0"/>
                    <w:jc w:val="center"/>
                    <w:rPr>
                      <w:rFonts w:ascii="Times New Roman" w:hAnsi="Times New Roman"/>
                      <w:kern w:val="0"/>
                      <w:sz w:val="21"/>
                      <w:szCs w:val="21"/>
                    </w:rPr>
                  </w:pPr>
                </w:p>
              </w:tc>
              <w:tc>
                <w:tcPr>
                  <w:tcW w:w="1032" w:type="dxa"/>
                  <w:tcBorders>
                    <w:tl2br w:val="nil"/>
                    <w:tr2bl w:val="nil"/>
                  </w:tcBorders>
                  <w:vAlign w:val="center"/>
                </w:tcPr>
                <w:p w14:paraId="599E2E56">
                  <w:pPr>
                    <w:spacing w:line="240" w:lineRule="exact"/>
                    <w:jc w:val="center"/>
                    <w:rPr>
                      <w:color w:val="000000"/>
                      <w:szCs w:val="21"/>
                    </w:rPr>
                  </w:pPr>
                  <w:r>
                    <w:rPr>
                      <w:rFonts w:hint="eastAsia"/>
                      <w:szCs w:val="21"/>
                    </w:rPr>
                    <w:t>4mg/kg</w:t>
                  </w:r>
                </w:p>
              </w:tc>
            </w:tr>
            <w:tr w14:paraId="050B6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3" w:type="pct"/>
                  <w:vMerge w:val="continue"/>
                  <w:tcBorders>
                    <w:tl2br w:val="nil"/>
                    <w:tr2bl w:val="nil"/>
                  </w:tcBorders>
                  <w:vAlign w:val="center"/>
                </w:tcPr>
                <w:p w14:paraId="3E492B29">
                  <w:pPr>
                    <w:jc w:val="center"/>
                    <w:rPr>
                      <w:szCs w:val="21"/>
                    </w:rPr>
                  </w:pPr>
                </w:p>
              </w:tc>
              <w:tc>
                <w:tcPr>
                  <w:tcW w:w="631" w:type="pct"/>
                  <w:tcBorders>
                    <w:tl2br w:val="nil"/>
                    <w:tr2bl w:val="nil"/>
                  </w:tcBorders>
                  <w:vAlign w:val="center"/>
                </w:tcPr>
                <w:p w14:paraId="1809A12F">
                  <w:pPr>
                    <w:pStyle w:val="21"/>
                    <w:snapToGrid w:val="0"/>
                    <w:spacing w:beforeAutospacing="0" w:afterAutospacing="0" w:line="240" w:lineRule="exact"/>
                    <w:jc w:val="center"/>
                    <w:rPr>
                      <w:rFonts w:hint="eastAsia"/>
                    </w:rPr>
                  </w:pPr>
                  <w:r>
                    <w:rPr>
                      <w:rFonts w:hint="eastAsia" w:ascii="Times New Roman" w:hAnsi="Times New Roman"/>
                      <w:sz w:val="21"/>
                      <w:szCs w:val="21"/>
                    </w:rPr>
                    <w:t>锌</w:t>
                  </w:r>
                </w:p>
              </w:tc>
              <w:tc>
                <w:tcPr>
                  <w:tcW w:w="1638" w:type="pct"/>
                  <w:vMerge w:val="continue"/>
                  <w:tcBorders>
                    <w:tl2br w:val="nil"/>
                    <w:tr2bl w:val="nil"/>
                  </w:tcBorders>
                  <w:vAlign w:val="center"/>
                </w:tcPr>
                <w:p w14:paraId="44794105">
                  <w:pPr>
                    <w:jc w:val="center"/>
                    <w:rPr>
                      <w:szCs w:val="21"/>
                    </w:rPr>
                  </w:pPr>
                </w:p>
              </w:tc>
              <w:tc>
                <w:tcPr>
                  <w:tcW w:w="1504" w:type="pct"/>
                  <w:vMerge w:val="continue"/>
                  <w:tcBorders>
                    <w:tl2br w:val="nil"/>
                    <w:tr2bl w:val="nil"/>
                  </w:tcBorders>
                  <w:vAlign w:val="center"/>
                </w:tcPr>
                <w:p w14:paraId="7AC03873">
                  <w:pPr>
                    <w:jc w:val="center"/>
                    <w:rPr>
                      <w:kern w:val="0"/>
                      <w:szCs w:val="21"/>
                    </w:rPr>
                  </w:pPr>
                </w:p>
              </w:tc>
              <w:tc>
                <w:tcPr>
                  <w:tcW w:w="1032" w:type="dxa"/>
                  <w:tcBorders>
                    <w:tl2br w:val="nil"/>
                    <w:tr2bl w:val="nil"/>
                  </w:tcBorders>
                  <w:vAlign w:val="center"/>
                </w:tcPr>
                <w:p w14:paraId="3B42999A">
                  <w:pPr>
                    <w:spacing w:line="240" w:lineRule="exact"/>
                    <w:jc w:val="center"/>
                    <w:rPr>
                      <w:color w:val="000000"/>
                      <w:szCs w:val="21"/>
                    </w:rPr>
                  </w:pPr>
                  <w:r>
                    <w:rPr>
                      <w:rFonts w:hint="eastAsia"/>
                      <w:szCs w:val="21"/>
                    </w:rPr>
                    <w:t>1mg/kg</w:t>
                  </w:r>
                </w:p>
              </w:tc>
            </w:tr>
            <w:tr w14:paraId="6651E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3" w:type="pct"/>
                  <w:vMerge w:val="continue"/>
                  <w:tcBorders>
                    <w:tl2br w:val="nil"/>
                    <w:tr2bl w:val="nil"/>
                  </w:tcBorders>
                  <w:vAlign w:val="center"/>
                </w:tcPr>
                <w:p w14:paraId="2246D17E">
                  <w:pPr>
                    <w:jc w:val="center"/>
                    <w:rPr>
                      <w:szCs w:val="21"/>
                    </w:rPr>
                  </w:pPr>
                </w:p>
              </w:tc>
              <w:tc>
                <w:tcPr>
                  <w:tcW w:w="631" w:type="pct"/>
                  <w:tcBorders>
                    <w:tl2br w:val="nil"/>
                    <w:tr2bl w:val="nil"/>
                  </w:tcBorders>
                  <w:vAlign w:val="center"/>
                </w:tcPr>
                <w:p w14:paraId="11DF8A7F">
                  <w:pPr>
                    <w:pStyle w:val="21"/>
                    <w:snapToGrid w:val="0"/>
                    <w:spacing w:beforeAutospacing="0" w:afterAutospacing="0" w:line="240" w:lineRule="exact"/>
                    <w:jc w:val="center"/>
                    <w:rPr>
                      <w:rFonts w:hint="eastAsia"/>
                    </w:rPr>
                  </w:pPr>
                  <w:r>
                    <w:rPr>
                      <w:rFonts w:hint="eastAsia" w:ascii="Times New Roman" w:hAnsi="Times New Roman"/>
                      <w:sz w:val="21"/>
                      <w:szCs w:val="21"/>
                    </w:rPr>
                    <w:t>镍</w:t>
                  </w:r>
                </w:p>
              </w:tc>
              <w:tc>
                <w:tcPr>
                  <w:tcW w:w="1638" w:type="pct"/>
                  <w:vMerge w:val="continue"/>
                  <w:tcBorders>
                    <w:tl2br w:val="nil"/>
                    <w:tr2bl w:val="nil"/>
                  </w:tcBorders>
                  <w:vAlign w:val="center"/>
                </w:tcPr>
                <w:p w14:paraId="47D0D4B2">
                  <w:pPr>
                    <w:jc w:val="center"/>
                    <w:rPr>
                      <w:szCs w:val="21"/>
                    </w:rPr>
                  </w:pPr>
                </w:p>
              </w:tc>
              <w:tc>
                <w:tcPr>
                  <w:tcW w:w="1504" w:type="pct"/>
                  <w:vMerge w:val="continue"/>
                  <w:tcBorders>
                    <w:tl2br w:val="nil"/>
                    <w:tr2bl w:val="nil"/>
                  </w:tcBorders>
                  <w:vAlign w:val="center"/>
                </w:tcPr>
                <w:p w14:paraId="317C9119">
                  <w:pPr>
                    <w:jc w:val="center"/>
                    <w:rPr>
                      <w:kern w:val="0"/>
                      <w:szCs w:val="21"/>
                    </w:rPr>
                  </w:pPr>
                </w:p>
              </w:tc>
              <w:tc>
                <w:tcPr>
                  <w:tcW w:w="1032" w:type="dxa"/>
                  <w:tcBorders>
                    <w:tl2br w:val="nil"/>
                    <w:tr2bl w:val="nil"/>
                  </w:tcBorders>
                  <w:vAlign w:val="center"/>
                </w:tcPr>
                <w:p w14:paraId="12D73D28">
                  <w:pPr>
                    <w:spacing w:line="240" w:lineRule="exact"/>
                    <w:jc w:val="center"/>
                    <w:rPr>
                      <w:bCs/>
                      <w:color w:val="000000"/>
                      <w:szCs w:val="21"/>
                    </w:rPr>
                  </w:pPr>
                  <w:r>
                    <w:rPr>
                      <w:rFonts w:hint="eastAsia"/>
                      <w:szCs w:val="21"/>
                    </w:rPr>
                    <w:t>3mg/kg</w:t>
                  </w:r>
                </w:p>
              </w:tc>
            </w:tr>
          </w:tbl>
          <w:p w14:paraId="705F49F6">
            <w:pPr>
              <w:pStyle w:val="36"/>
              <w:ind w:firstLine="482"/>
              <w:rPr>
                <w:rFonts w:hint="default"/>
                <w:b/>
                <w:bCs/>
              </w:rPr>
            </w:pPr>
            <w:r>
              <w:rPr>
                <w:b/>
                <w:bCs/>
              </w:rPr>
              <w:t>③监测结果</w:t>
            </w:r>
          </w:p>
          <w:p w14:paraId="12A5517D">
            <w:pPr>
              <w:pStyle w:val="36"/>
              <w:ind w:firstLine="480"/>
              <w:rPr>
                <w:rFonts w:hint="default"/>
              </w:rPr>
            </w:pPr>
            <w:r>
              <w:t>监测结果如下表。</w:t>
            </w:r>
          </w:p>
          <w:p w14:paraId="6B33EA45">
            <w:pPr>
              <w:pStyle w:val="47"/>
              <w:numPr>
                <w:ilvl w:val="0"/>
                <w:numId w:val="26"/>
              </w:numPr>
              <w:spacing w:before="156"/>
            </w:pPr>
            <w:r>
              <w:rPr>
                <w:rFonts w:hint="eastAsia"/>
              </w:rPr>
              <w:t>监测结果</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115"/>
              <w:gridCol w:w="1244"/>
              <w:gridCol w:w="1049"/>
              <w:gridCol w:w="1379"/>
              <w:gridCol w:w="1182"/>
              <w:gridCol w:w="746"/>
              <w:gridCol w:w="711"/>
            </w:tblGrid>
            <w:tr w14:paraId="44C5B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dxa"/>
                  <w:tcBorders>
                    <w:tl2br w:val="nil"/>
                    <w:tr2bl w:val="nil"/>
                  </w:tcBorders>
                  <w:vAlign w:val="center"/>
                </w:tcPr>
                <w:p w14:paraId="41AF4C4E">
                  <w:pPr>
                    <w:pStyle w:val="38"/>
                    <w:rPr>
                      <w:rFonts w:hint="default"/>
                      <w:b/>
                      <w:bCs/>
                    </w:rPr>
                  </w:pPr>
                  <w:r>
                    <w:rPr>
                      <w:b/>
                      <w:bCs/>
                    </w:rPr>
                    <w:t>监测日期</w:t>
                  </w:r>
                </w:p>
              </w:tc>
              <w:tc>
                <w:tcPr>
                  <w:tcW w:w="1115" w:type="dxa"/>
                  <w:tcBorders>
                    <w:tl2br w:val="nil"/>
                    <w:tr2bl w:val="nil"/>
                  </w:tcBorders>
                  <w:vAlign w:val="center"/>
                </w:tcPr>
                <w:p w14:paraId="7D0F3442">
                  <w:pPr>
                    <w:pStyle w:val="38"/>
                    <w:rPr>
                      <w:rFonts w:hint="default"/>
                      <w:b/>
                      <w:bCs/>
                    </w:rPr>
                  </w:pPr>
                  <w:r>
                    <w:rPr>
                      <w:b/>
                      <w:bCs/>
                    </w:rPr>
                    <w:t>监测点位</w:t>
                  </w:r>
                </w:p>
              </w:tc>
              <w:tc>
                <w:tcPr>
                  <w:tcW w:w="1244" w:type="dxa"/>
                  <w:tcBorders>
                    <w:tl2br w:val="nil"/>
                    <w:tr2bl w:val="nil"/>
                  </w:tcBorders>
                  <w:vAlign w:val="center"/>
                </w:tcPr>
                <w:p w14:paraId="4B54C5B5">
                  <w:pPr>
                    <w:pStyle w:val="38"/>
                    <w:rPr>
                      <w:rFonts w:hint="default"/>
                      <w:b/>
                      <w:bCs/>
                    </w:rPr>
                  </w:pPr>
                  <w:r>
                    <w:rPr>
                      <w:b/>
                      <w:bCs/>
                    </w:rPr>
                    <w:t>污染物</w:t>
                  </w:r>
                </w:p>
              </w:tc>
              <w:tc>
                <w:tcPr>
                  <w:tcW w:w="1049" w:type="dxa"/>
                  <w:tcBorders>
                    <w:tl2br w:val="nil"/>
                    <w:tr2bl w:val="nil"/>
                  </w:tcBorders>
                  <w:vAlign w:val="center"/>
                </w:tcPr>
                <w:p w14:paraId="0E3182CE">
                  <w:pPr>
                    <w:pStyle w:val="38"/>
                    <w:rPr>
                      <w:rFonts w:hint="default"/>
                      <w:b/>
                      <w:bCs/>
                    </w:rPr>
                  </w:pPr>
                  <w:r>
                    <w:rPr>
                      <w:b/>
                      <w:bCs/>
                    </w:rPr>
                    <w:t>评价标准mg/kg</w:t>
                  </w:r>
                </w:p>
              </w:tc>
              <w:tc>
                <w:tcPr>
                  <w:tcW w:w="1379" w:type="dxa"/>
                  <w:tcBorders>
                    <w:tl2br w:val="nil"/>
                    <w:tr2bl w:val="nil"/>
                  </w:tcBorders>
                  <w:vAlign w:val="center"/>
                </w:tcPr>
                <w:p w14:paraId="1C73C858">
                  <w:pPr>
                    <w:pStyle w:val="38"/>
                    <w:rPr>
                      <w:rFonts w:hint="default"/>
                      <w:b/>
                      <w:bCs/>
                    </w:rPr>
                  </w:pPr>
                  <w:r>
                    <w:rPr>
                      <w:b/>
                      <w:bCs/>
                    </w:rPr>
                    <w:t>监测结果mg/kg</w:t>
                  </w:r>
                </w:p>
              </w:tc>
              <w:tc>
                <w:tcPr>
                  <w:tcW w:w="1182" w:type="dxa"/>
                  <w:tcBorders>
                    <w:tl2br w:val="nil"/>
                    <w:tr2bl w:val="nil"/>
                  </w:tcBorders>
                  <w:vAlign w:val="center"/>
                </w:tcPr>
                <w:p w14:paraId="20D99197">
                  <w:pPr>
                    <w:pStyle w:val="38"/>
                    <w:rPr>
                      <w:rFonts w:hint="default"/>
                      <w:b/>
                      <w:bCs/>
                    </w:rPr>
                  </w:pPr>
                  <w:r>
                    <w:rPr>
                      <w:b/>
                      <w:bCs/>
                    </w:rPr>
                    <w:t>最大浓度占标率%</w:t>
                  </w:r>
                </w:p>
              </w:tc>
              <w:tc>
                <w:tcPr>
                  <w:tcW w:w="746" w:type="dxa"/>
                  <w:tcBorders>
                    <w:tl2br w:val="nil"/>
                    <w:tr2bl w:val="nil"/>
                  </w:tcBorders>
                  <w:vAlign w:val="center"/>
                </w:tcPr>
                <w:p w14:paraId="55B31B7B">
                  <w:pPr>
                    <w:pStyle w:val="38"/>
                    <w:rPr>
                      <w:rFonts w:hint="default"/>
                      <w:b/>
                      <w:bCs/>
                    </w:rPr>
                  </w:pPr>
                  <w:r>
                    <w:rPr>
                      <w:b/>
                      <w:bCs/>
                    </w:rPr>
                    <w:t>超标率%</w:t>
                  </w:r>
                </w:p>
              </w:tc>
              <w:tc>
                <w:tcPr>
                  <w:tcW w:w="711" w:type="dxa"/>
                  <w:tcBorders>
                    <w:tl2br w:val="nil"/>
                    <w:tr2bl w:val="nil"/>
                  </w:tcBorders>
                  <w:vAlign w:val="center"/>
                </w:tcPr>
                <w:p w14:paraId="53321E6A">
                  <w:pPr>
                    <w:pStyle w:val="38"/>
                    <w:rPr>
                      <w:rFonts w:hint="default"/>
                      <w:b/>
                      <w:bCs/>
                    </w:rPr>
                  </w:pPr>
                  <w:r>
                    <w:rPr>
                      <w:b/>
                      <w:bCs/>
                    </w:rPr>
                    <w:t>达标情况</w:t>
                  </w:r>
                </w:p>
              </w:tc>
            </w:tr>
            <w:tr w14:paraId="28ED6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dxa"/>
                  <w:vMerge w:val="restart"/>
                  <w:tcBorders>
                    <w:tl2br w:val="nil"/>
                    <w:tr2bl w:val="nil"/>
                  </w:tcBorders>
                  <w:vAlign w:val="center"/>
                </w:tcPr>
                <w:p w14:paraId="6FCF0106">
                  <w:pPr>
                    <w:pStyle w:val="38"/>
                    <w:rPr>
                      <w:rFonts w:hint="default"/>
                    </w:rPr>
                  </w:pPr>
                  <w:r>
                    <w:t>2025.09.10</w:t>
                  </w:r>
                </w:p>
              </w:tc>
              <w:tc>
                <w:tcPr>
                  <w:tcW w:w="1115" w:type="dxa"/>
                  <w:vMerge w:val="restart"/>
                  <w:tcBorders>
                    <w:tl2br w:val="nil"/>
                    <w:tr2bl w:val="nil"/>
                  </w:tcBorders>
                  <w:vAlign w:val="center"/>
                </w:tcPr>
                <w:p w14:paraId="736733DE">
                  <w:pPr>
                    <w:pStyle w:val="38"/>
                    <w:rPr>
                      <w:rFonts w:hint="default"/>
                    </w:rPr>
                  </w:pPr>
                  <w:r>
                    <w:t>1#（拆除危桥下游约20m断面）</w:t>
                  </w:r>
                </w:p>
              </w:tc>
              <w:tc>
                <w:tcPr>
                  <w:tcW w:w="1244" w:type="dxa"/>
                  <w:tcBorders>
                    <w:tl2br w:val="nil"/>
                    <w:tr2bl w:val="nil"/>
                  </w:tcBorders>
                  <w:vAlign w:val="center"/>
                </w:tcPr>
                <w:p w14:paraId="593DD30B">
                  <w:pPr>
                    <w:pStyle w:val="21"/>
                    <w:snapToGrid w:val="0"/>
                    <w:spacing w:beforeAutospacing="0" w:afterAutospacing="0" w:line="240" w:lineRule="exact"/>
                    <w:jc w:val="center"/>
                    <w:rPr>
                      <w:rFonts w:hint="eastAsia"/>
                    </w:rPr>
                  </w:pPr>
                  <w:r>
                    <w:rPr>
                      <w:rFonts w:hint="eastAsia" w:ascii="Times New Roman" w:hAnsi="Times New Roman" w:cs="Times New Roman"/>
                      <w:sz w:val="21"/>
                      <w:szCs w:val="21"/>
                      <w:lang w:bidi="ar-SA"/>
                    </w:rPr>
                    <w:t>pH（无量纲）</w:t>
                  </w:r>
                </w:p>
              </w:tc>
              <w:tc>
                <w:tcPr>
                  <w:tcW w:w="1049" w:type="dxa"/>
                  <w:tcBorders>
                    <w:tl2br w:val="nil"/>
                    <w:tr2bl w:val="nil"/>
                  </w:tcBorders>
                  <w:vAlign w:val="center"/>
                </w:tcPr>
                <w:p w14:paraId="33D62F87">
                  <w:pPr>
                    <w:pStyle w:val="38"/>
                    <w:rPr>
                      <w:rFonts w:hint="default"/>
                    </w:rPr>
                  </w:pPr>
                  <w:r>
                    <w:t>/</w:t>
                  </w:r>
                </w:p>
              </w:tc>
              <w:tc>
                <w:tcPr>
                  <w:tcW w:w="1379" w:type="dxa"/>
                  <w:tcBorders>
                    <w:tl2br w:val="nil"/>
                    <w:tr2bl w:val="nil"/>
                  </w:tcBorders>
                  <w:vAlign w:val="center"/>
                </w:tcPr>
                <w:p w14:paraId="3AEA226A">
                  <w:pPr>
                    <w:pStyle w:val="38"/>
                    <w:rPr>
                      <w:rFonts w:hint="default"/>
                    </w:rPr>
                  </w:pPr>
                  <w:r>
                    <w:t>6.82</w:t>
                  </w:r>
                </w:p>
              </w:tc>
              <w:tc>
                <w:tcPr>
                  <w:tcW w:w="1182" w:type="dxa"/>
                  <w:tcBorders>
                    <w:tl2br w:val="nil"/>
                    <w:tr2bl w:val="nil"/>
                  </w:tcBorders>
                  <w:vAlign w:val="center"/>
                </w:tcPr>
                <w:p w14:paraId="43370437">
                  <w:pPr>
                    <w:pStyle w:val="38"/>
                    <w:rPr>
                      <w:rFonts w:hint="default"/>
                    </w:rPr>
                  </w:pPr>
                  <w:r>
                    <w:t>/</w:t>
                  </w:r>
                </w:p>
              </w:tc>
              <w:tc>
                <w:tcPr>
                  <w:tcW w:w="746" w:type="dxa"/>
                  <w:tcBorders>
                    <w:tl2br w:val="nil"/>
                    <w:tr2bl w:val="nil"/>
                  </w:tcBorders>
                  <w:vAlign w:val="center"/>
                </w:tcPr>
                <w:p w14:paraId="30A9854D">
                  <w:pPr>
                    <w:pStyle w:val="38"/>
                    <w:rPr>
                      <w:rFonts w:hint="default"/>
                    </w:rPr>
                  </w:pPr>
                  <w:r>
                    <w:t>/</w:t>
                  </w:r>
                </w:p>
              </w:tc>
              <w:tc>
                <w:tcPr>
                  <w:tcW w:w="711" w:type="dxa"/>
                  <w:tcBorders>
                    <w:tl2br w:val="nil"/>
                    <w:tr2bl w:val="nil"/>
                  </w:tcBorders>
                  <w:vAlign w:val="center"/>
                </w:tcPr>
                <w:p w14:paraId="726BB436">
                  <w:pPr>
                    <w:pStyle w:val="38"/>
                    <w:rPr>
                      <w:rFonts w:hint="default"/>
                    </w:rPr>
                  </w:pPr>
                  <w:r>
                    <w:t>达标</w:t>
                  </w:r>
                </w:p>
              </w:tc>
            </w:tr>
            <w:tr w14:paraId="0A10E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dxa"/>
                  <w:vMerge w:val="continue"/>
                  <w:tcBorders>
                    <w:tl2br w:val="nil"/>
                    <w:tr2bl w:val="nil"/>
                  </w:tcBorders>
                  <w:vAlign w:val="center"/>
                </w:tcPr>
                <w:p w14:paraId="35DFC536">
                  <w:pPr>
                    <w:pStyle w:val="38"/>
                    <w:rPr>
                      <w:rFonts w:hint="default"/>
                    </w:rPr>
                  </w:pPr>
                </w:p>
              </w:tc>
              <w:tc>
                <w:tcPr>
                  <w:tcW w:w="1115" w:type="dxa"/>
                  <w:vMerge w:val="continue"/>
                  <w:tcBorders>
                    <w:tl2br w:val="nil"/>
                    <w:tr2bl w:val="nil"/>
                  </w:tcBorders>
                  <w:vAlign w:val="center"/>
                </w:tcPr>
                <w:p w14:paraId="649D81C8">
                  <w:pPr>
                    <w:pStyle w:val="38"/>
                    <w:rPr>
                      <w:rFonts w:hint="default"/>
                    </w:rPr>
                  </w:pPr>
                </w:p>
              </w:tc>
              <w:tc>
                <w:tcPr>
                  <w:tcW w:w="1244" w:type="dxa"/>
                  <w:tcBorders>
                    <w:tl2br w:val="nil"/>
                    <w:tr2bl w:val="nil"/>
                  </w:tcBorders>
                  <w:vAlign w:val="center"/>
                </w:tcPr>
                <w:p w14:paraId="0988B558">
                  <w:pPr>
                    <w:pStyle w:val="21"/>
                    <w:snapToGrid w:val="0"/>
                    <w:spacing w:beforeAutospacing="0" w:afterAutospacing="0" w:line="240" w:lineRule="exact"/>
                    <w:jc w:val="center"/>
                    <w:rPr>
                      <w:rFonts w:hint="eastAsia"/>
                    </w:rPr>
                  </w:pPr>
                  <w:r>
                    <w:rPr>
                      <w:rFonts w:hint="eastAsia" w:ascii="Times New Roman" w:hAnsi="Times New Roman" w:cs="Times New Roman"/>
                      <w:sz w:val="21"/>
                      <w:szCs w:val="21"/>
                      <w:lang w:bidi="ar-SA"/>
                    </w:rPr>
                    <w:t>汞</w:t>
                  </w:r>
                </w:p>
              </w:tc>
              <w:tc>
                <w:tcPr>
                  <w:tcW w:w="1049" w:type="dxa"/>
                  <w:tcBorders>
                    <w:tl2br w:val="nil"/>
                    <w:tr2bl w:val="nil"/>
                  </w:tcBorders>
                  <w:vAlign w:val="center"/>
                </w:tcPr>
                <w:p w14:paraId="5CA1A2B8">
                  <w:pPr>
                    <w:pStyle w:val="38"/>
                    <w:rPr>
                      <w:rFonts w:hint="default"/>
                    </w:rPr>
                  </w:pPr>
                  <w:r>
                    <w:t>2.4</w:t>
                  </w:r>
                </w:p>
              </w:tc>
              <w:tc>
                <w:tcPr>
                  <w:tcW w:w="1379" w:type="dxa"/>
                  <w:tcBorders>
                    <w:tl2br w:val="nil"/>
                    <w:tr2bl w:val="nil"/>
                  </w:tcBorders>
                  <w:vAlign w:val="center"/>
                </w:tcPr>
                <w:p w14:paraId="3FEC5E10">
                  <w:pPr>
                    <w:pStyle w:val="38"/>
                    <w:rPr>
                      <w:rFonts w:hint="default"/>
                    </w:rPr>
                  </w:pPr>
                  <w:r>
                    <w:t>0.275</w:t>
                  </w:r>
                </w:p>
              </w:tc>
              <w:tc>
                <w:tcPr>
                  <w:tcW w:w="1182" w:type="dxa"/>
                  <w:tcBorders>
                    <w:tl2br w:val="nil"/>
                    <w:tr2bl w:val="nil"/>
                  </w:tcBorders>
                  <w:vAlign w:val="center"/>
                </w:tcPr>
                <w:p w14:paraId="69E150E5">
                  <w:pPr>
                    <w:pStyle w:val="38"/>
                    <w:rPr>
                      <w:rFonts w:hint="default"/>
                    </w:rPr>
                  </w:pPr>
                  <w:r>
                    <w:t>11.46</w:t>
                  </w:r>
                </w:p>
              </w:tc>
              <w:tc>
                <w:tcPr>
                  <w:tcW w:w="746" w:type="dxa"/>
                  <w:tcBorders>
                    <w:tl2br w:val="nil"/>
                    <w:tr2bl w:val="nil"/>
                  </w:tcBorders>
                  <w:vAlign w:val="center"/>
                </w:tcPr>
                <w:p w14:paraId="03E94D2B">
                  <w:pPr>
                    <w:pStyle w:val="38"/>
                    <w:rPr>
                      <w:rFonts w:hint="default"/>
                    </w:rPr>
                  </w:pPr>
                  <w:r>
                    <w:t>0</w:t>
                  </w:r>
                </w:p>
              </w:tc>
              <w:tc>
                <w:tcPr>
                  <w:tcW w:w="711" w:type="dxa"/>
                  <w:tcBorders>
                    <w:tl2br w:val="nil"/>
                    <w:tr2bl w:val="nil"/>
                  </w:tcBorders>
                  <w:vAlign w:val="center"/>
                </w:tcPr>
                <w:p w14:paraId="28421448">
                  <w:pPr>
                    <w:pStyle w:val="38"/>
                    <w:rPr>
                      <w:rFonts w:hint="default"/>
                    </w:rPr>
                  </w:pPr>
                  <w:r>
                    <w:t>达标</w:t>
                  </w:r>
                </w:p>
              </w:tc>
            </w:tr>
            <w:tr w14:paraId="577D7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dxa"/>
                  <w:vMerge w:val="continue"/>
                  <w:tcBorders>
                    <w:tl2br w:val="nil"/>
                    <w:tr2bl w:val="nil"/>
                  </w:tcBorders>
                  <w:vAlign w:val="center"/>
                </w:tcPr>
                <w:p w14:paraId="459573D3">
                  <w:pPr>
                    <w:pStyle w:val="38"/>
                    <w:rPr>
                      <w:rFonts w:hint="default"/>
                    </w:rPr>
                  </w:pPr>
                </w:p>
              </w:tc>
              <w:tc>
                <w:tcPr>
                  <w:tcW w:w="1115" w:type="dxa"/>
                  <w:vMerge w:val="continue"/>
                  <w:tcBorders>
                    <w:tl2br w:val="nil"/>
                    <w:tr2bl w:val="nil"/>
                  </w:tcBorders>
                  <w:vAlign w:val="center"/>
                </w:tcPr>
                <w:p w14:paraId="11894F87">
                  <w:pPr>
                    <w:pStyle w:val="38"/>
                    <w:rPr>
                      <w:rFonts w:hint="default"/>
                    </w:rPr>
                  </w:pPr>
                </w:p>
              </w:tc>
              <w:tc>
                <w:tcPr>
                  <w:tcW w:w="1244" w:type="dxa"/>
                  <w:tcBorders>
                    <w:tl2br w:val="nil"/>
                    <w:tr2bl w:val="nil"/>
                  </w:tcBorders>
                  <w:vAlign w:val="center"/>
                </w:tcPr>
                <w:p w14:paraId="5BBCBAC5">
                  <w:pPr>
                    <w:pStyle w:val="21"/>
                    <w:snapToGrid w:val="0"/>
                    <w:spacing w:beforeAutospacing="0" w:afterAutospacing="0" w:line="240" w:lineRule="exact"/>
                    <w:jc w:val="center"/>
                    <w:rPr>
                      <w:rFonts w:hint="eastAsia"/>
                    </w:rPr>
                  </w:pPr>
                  <w:r>
                    <w:rPr>
                      <w:rFonts w:hint="eastAsia" w:ascii="Times New Roman" w:hAnsi="Times New Roman" w:cs="Times New Roman"/>
                      <w:sz w:val="21"/>
                      <w:szCs w:val="21"/>
                      <w:lang w:bidi="ar-SA"/>
                    </w:rPr>
                    <w:t>砷</w:t>
                  </w:r>
                </w:p>
              </w:tc>
              <w:tc>
                <w:tcPr>
                  <w:tcW w:w="1049" w:type="dxa"/>
                  <w:tcBorders>
                    <w:tl2br w:val="nil"/>
                    <w:tr2bl w:val="nil"/>
                  </w:tcBorders>
                  <w:vAlign w:val="center"/>
                </w:tcPr>
                <w:p w14:paraId="7255F167">
                  <w:pPr>
                    <w:pStyle w:val="38"/>
                    <w:rPr>
                      <w:rFonts w:hint="default"/>
                    </w:rPr>
                  </w:pPr>
                  <w:r>
                    <w:t>30</w:t>
                  </w:r>
                </w:p>
              </w:tc>
              <w:tc>
                <w:tcPr>
                  <w:tcW w:w="1379" w:type="dxa"/>
                  <w:tcBorders>
                    <w:tl2br w:val="nil"/>
                    <w:tr2bl w:val="nil"/>
                  </w:tcBorders>
                  <w:vAlign w:val="center"/>
                </w:tcPr>
                <w:p w14:paraId="661AF473">
                  <w:pPr>
                    <w:pStyle w:val="38"/>
                    <w:rPr>
                      <w:rFonts w:hint="default"/>
                    </w:rPr>
                  </w:pPr>
                  <w:r>
                    <w:t>5.17</w:t>
                  </w:r>
                </w:p>
              </w:tc>
              <w:tc>
                <w:tcPr>
                  <w:tcW w:w="1182" w:type="dxa"/>
                  <w:tcBorders>
                    <w:tl2br w:val="nil"/>
                    <w:tr2bl w:val="nil"/>
                  </w:tcBorders>
                  <w:vAlign w:val="center"/>
                </w:tcPr>
                <w:p w14:paraId="3320DFAE">
                  <w:pPr>
                    <w:pStyle w:val="38"/>
                    <w:rPr>
                      <w:rFonts w:hint="default"/>
                    </w:rPr>
                  </w:pPr>
                  <w:r>
                    <w:t>17.23</w:t>
                  </w:r>
                </w:p>
              </w:tc>
              <w:tc>
                <w:tcPr>
                  <w:tcW w:w="746" w:type="dxa"/>
                  <w:tcBorders>
                    <w:tl2br w:val="nil"/>
                    <w:tr2bl w:val="nil"/>
                  </w:tcBorders>
                  <w:vAlign w:val="center"/>
                </w:tcPr>
                <w:p w14:paraId="0F31F260">
                  <w:pPr>
                    <w:pStyle w:val="38"/>
                    <w:rPr>
                      <w:rFonts w:hint="default"/>
                    </w:rPr>
                  </w:pPr>
                  <w:r>
                    <w:t>0</w:t>
                  </w:r>
                </w:p>
              </w:tc>
              <w:tc>
                <w:tcPr>
                  <w:tcW w:w="711" w:type="dxa"/>
                  <w:tcBorders>
                    <w:tl2br w:val="nil"/>
                    <w:tr2bl w:val="nil"/>
                  </w:tcBorders>
                  <w:vAlign w:val="center"/>
                </w:tcPr>
                <w:p w14:paraId="0A2C1064">
                  <w:pPr>
                    <w:pStyle w:val="38"/>
                    <w:rPr>
                      <w:rFonts w:hint="default"/>
                    </w:rPr>
                  </w:pPr>
                  <w:r>
                    <w:t>达标</w:t>
                  </w:r>
                </w:p>
              </w:tc>
            </w:tr>
            <w:tr w14:paraId="70038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dxa"/>
                  <w:vMerge w:val="continue"/>
                  <w:tcBorders>
                    <w:tl2br w:val="nil"/>
                    <w:tr2bl w:val="nil"/>
                  </w:tcBorders>
                  <w:vAlign w:val="center"/>
                </w:tcPr>
                <w:p w14:paraId="02A5CA25">
                  <w:pPr>
                    <w:pStyle w:val="38"/>
                    <w:rPr>
                      <w:rFonts w:hint="default"/>
                    </w:rPr>
                  </w:pPr>
                </w:p>
              </w:tc>
              <w:tc>
                <w:tcPr>
                  <w:tcW w:w="1115" w:type="dxa"/>
                  <w:vMerge w:val="continue"/>
                  <w:tcBorders>
                    <w:tl2br w:val="nil"/>
                    <w:tr2bl w:val="nil"/>
                  </w:tcBorders>
                  <w:vAlign w:val="center"/>
                </w:tcPr>
                <w:p w14:paraId="2D4898C0">
                  <w:pPr>
                    <w:pStyle w:val="38"/>
                    <w:rPr>
                      <w:rFonts w:hint="default"/>
                    </w:rPr>
                  </w:pPr>
                </w:p>
              </w:tc>
              <w:tc>
                <w:tcPr>
                  <w:tcW w:w="1244" w:type="dxa"/>
                  <w:tcBorders>
                    <w:tl2br w:val="nil"/>
                    <w:tr2bl w:val="nil"/>
                  </w:tcBorders>
                  <w:vAlign w:val="center"/>
                </w:tcPr>
                <w:p w14:paraId="5518D724">
                  <w:pPr>
                    <w:pStyle w:val="21"/>
                    <w:snapToGrid w:val="0"/>
                    <w:spacing w:beforeAutospacing="0" w:afterAutospacing="0" w:line="240" w:lineRule="exact"/>
                    <w:jc w:val="center"/>
                    <w:rPr>
                      <w:rFonts w:hint="eastAsia"/>
                    </w:rPr>
                  </w:pPr>
                  <w:r>
                    <w:rPr>
                      <w:rFonts w:hint="eastAsia" w:ascii="Times New Roman" w:hAnsi="Times New Roman" w:cs="Times New Roman"/>
                      <w:sz w:val="21"/>
                      <w:szCs w:val="21"/>
                      <w:lang w:bidi="ar-SA"/>
                    </w:rPr>
                    <w:t>镉</w:t>
                  </w:r>
                </w:p>
              </w:tc>
              <w:tc>
                <w:tcPr>
                  <w:tcW w:w="1049" w:type="dxa"/>
                  <w:tcBorders>
                    <w:tl2br w:val="nil"/>
                    <w:tr2bl w:val="nil"/>
                  </w:tcBorders>
                  <w:vAlign w:val="center"/>
                </w:tcPr>
                <w:p w14:paraId="3502654F">
                  <w:pPr>
                    <w:pStyle w:val="38"/>
                    <w:rPr>
                      <w:rFonts w:hint="default"/>
                    </w:rPr>
                  </w:pPr>
                  <w:r>
                    <w:t>0.3</w:t>
                  </w:r>
                </w:p>
              </w:tc>
              <w:tc>
                <w:tcPr>
                  <w:tcW w:w="1379" w:type="dxa"/>
                  <w:tcBorders>
                    <w:tl2br w:val="nil"/>
                    <w:tr2bl w:val="nil"/>
                  </w:tcBorders>
                  <w:vAlign w:val="center"/>
                </w:tcPr>
                <w:p w14:paraId="37F54A63">
                  <w:pPr>
                    <w:pStyle w:val="38"/>
                    <w:rPr>
                      <w:rFonts w:hint="default"/>
                    </w:rPr>
                  </w:pPr>
                  <w:r>
                    <w:t>0.07</w:t>
                  </w:r>
                </w:p>
              </w:tc>
              <w:tc>
                <w:tcPr>
                  <w:tcW w:w="1182" w:type="dxa"/>
                  <w:tcBorders>
                    <w:tl2br w:val="nil"/>
                    <w:tr2bl w:val="nil"/>
                  </w:tcBorders>
                  <w:vAlign w:val="center"/>
                </w:tcPr>
                <w:p w14:paraId="583384C4">
                  <w:pPr>
                    <w:pStyle w:val="38"/>
                    <w:rPr>
                      <w:rFonts w:hint="default"/>
                    </w:rPr>
                  </w:pPr>
                  <w:r>
                    <w:t>23.33</w:t>
                  </w:r>
                </w:p>
              </w:tc>
              <w:tc>
                <w:tcPr>
                  <w:tcW w:w="746" w:type="dxa"/>
                  <w:tcBorders>
                    <w:tl2br w:val="nil"/>
                    <w:tr2bl w:val="nil"/>
                  </w:tcBorders>
                  <w:vAlign w:val="center"/>
                </w:tcPr>
                <w:p w14:paraId="4B793403">
                  <w:pPr>
                    <w:pStyle w:val="38"/>
                    <w:rPr>
                      <w:rFonts w:hint="default"/>
                    </w:rPr>
                  </w:pPr>
                  <w:r>
                    <w:t>0</w:t>
                  </w:r>
                </w:p>
              </w:tc>
              <w:tc>
                <w:tcPr>
                  <w:tcW w:w="711" w:type="dxa"/>
                  <w:tcBorders>
                    <w:tl2br w:val="nil"/>
                    <w:tr2bl w:val="nil"/>
                  </w:tcBorders>
                  <w:vAlign w:val="center"/>
                </w:tcPr>
                <w:p w14:paraId="03CD24A5">
                  <w:pPr>
                    <w:pStyle w:val="38"/>
                    <w:rPr>
                      <w:rFonts w:hint="default"/>
                    </w:rPr>
                  </w:pPr>
                  <w:r>
                    <w:t>达标</w:t>
                  </w:r>
                </w:p>
              </w:tc>
            </w:tr>
            <w:tr w14:paraId="17812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dxa"/>
                  <w:vMerge w:val="continue"/>
                  <w:tcBorders>
                    <w:tl2br w:val="nil"/>
                    <w:tr2bl w:val="nil"/>
                  </w:tcBorders>
                  <w:vAlign w:val="center"/>
                </w:tcPr>
                <w:p w14:paraId="5185D7AC">
                  <w:pPr>
                    <w:pStyle w:val="38"/>
                    <w:rPr>
                      <w:rFonts w:hint="default"/>
                    </w:rPr>
                  </w:pPr>
                </w:p>
              </w:tc>
              <w:tc>
                <w:tcPr>
                  <w:tcW w:w="1115" w:type="dxa"/>
                  <w:vMerge w:val="continue"/>
                  <w:tcBorders>
                    <w:tl2br w:val="nil"/>
                    <w:tr2bl w:val="nil"/>
                  </w:tcBorders>
                  <w:vAlign w:val="center"/>
                </w:tcPr>
                <w:p w14:paraId="16AFBF13">
                  <w:pPr>
                    <w:pStyle w:val="38"/>
                    <w:rPr>
                      <w:rFonts w:hint="default"/>
                    </w:rPr>
                  </w:pPr>
                </w:p>
              </w:tc>
              <w:tc>
                <w:tcPr>
                  <w:tcW w:w="1244" w:type="dxa"/>
                  <w:tcBorders>
                    <w:tl2br w:val="nil"/>
                    <w:tr2bl w:val="nil"/>
                  </w:tcBorders>
                  <w:vAlign w:val="center"/>
                </w:tcPr>
                <w:p w14:paraId="6F41EA5B">
                  <w:pPr>
                    <w:pStyle w:val="21"/>
                    <w:snapToGrid w:val="0"/>
                    <w:spacing w:beforeAutospacing="0" w:afterAutospacing="0" w:line="240" w:lineRule="exact"/>
                    <w:jc w:val="center"/>
                    <w:rPr>
                      <w:rFonts w:hint="eastAsia"/>
                    </w:rPr>
                  </w:pPr>
                  <w:r>
                    <w:rPr>
                      <w:rFonts w:hint="eastAsia" w:ascii="Times New Roman" w:hAnsi="Times New Roman" w:cs="Times New Roman"/>
                      <w:sz w:val="21"/>
                      <w:szCs w:val="21"/>
                      <w:lang w:bidi="ar-SA"/>
                    </w:rPr>
                    <w:t>铅</w:t>
                  </w:r>
                </w:p>
              </w:tc>
              <w:tc>
                <w:tcPr>
                  <w:tcW w:w="1049" w:type="dxa"/>
                  <w:tcBorders>
                    <w:tl2br w:val="nil"/>
                    <w:tr2bl w:val="nil"/>
                  </w:tcBorders>
                  <w:vAlign w:val="center"/>
                </w:tcPr>
                <w:p w14:paraId="4EC89693">
                  <w:pPr>
                    <w:pStyle w:val="38"/>
                    <w:rPr>
                      <w:rFonts w:hint="default"/>
                    </w:rPr>
                  </w:pPr>
                  <w:r>
                    <w:t>120</w:t>
                  </w:r>
                </w:p>
              </w:tc>
              <w:tc>
                <w:tcPr>
                  <w:tcW w:w="1379" w:type="dxa"/>
                  <w:tcBorders>
                    <w:tl2br w:val="nil"/>
                    <w:tr2bl w:val="nil"/>
                  </w:tcBorders>
                  <w:vAlign w:val="center"/>
                </w:tcPr>
                <w:p w14:paraId="00456670">
                  <w:pPr>
                    <w:pStyle w:val="38"/>
                    <w:rPr>
                      <w:rFonts w:hint="default"/>
                    </w:rPr>
                  </w:pPr>
                  <w:r>
                    <w:t>38</w:t>
                  </w:r>
                </w:p>
              </w:tc>
              <w:tc>
                <w:tcPr>
                  <w:tcW w:w="1182" w:type="dxa"/>
                  <w:tcBorders>
                    <w:tl2br w:val="nil"/>
                    <w:tr2bl w:val="nil"/>
                  </w:tcBorders>
                  <w:vAlign w:val="center"/>
                </w:tcPr>
                <w:p w14:paraId="017792C9">
                  <w:pPr>
                    <w:pStyle w:val="38"/>
                    <w:rPr>
                      <w:rFonts w:hint="default"/>
                    </w:rPr>
                  </w:pPr>
                  <w:r>
                    <w:t>31.67</w:t>
                  </w:r>
                </w:p>
              </w:tc>
              <w:tc>
                <w:tcPr>
                  <w:tcW w:w="746" w:type="dxa"/>
                  <w:tcBorders>
                    <w:tl2br w:val="nil"/>
                    <w:tr2bl w:val="nil"/>
                  </w:tcBorders>
                  <w:vAlign w:val="center"/>
                </w:tcPr>
                <w:p w14:paraId="6346D00F">
                  <w:pPr>
                    <w:pStyle w:val="38"/>
                    <w:rPr>
                      <w:rFonts w:hint="default"/>
                    </w:rPr>
                  </w:pPr>
                  <w:r>
                    <w:t>0</w:t>
                  </w:r>
                </w:p>
              </w:tc>
              <w:tc>
                <w:tcPr>
                  <w:tcW w:w="711" w:type="dxa"/>
                  <w:tcBorders>
                    <w:tl2br w:val="nil"/>
                    <w:tr2bl w:val="nil"/>
                  </w:tcBorders>
                  <w:vAlign w:val="center"/>
                </w:tcPr>
                <w:p w14:paraId="2EA8A9A7">
                  <w:pPr>
                    <w:pStyle w:val="38"/>
                    <w:rPr>
                      <w:rFonts w:hint="default"/>
                    </w:rPr>
                  </w:pPr>
                  <w:r>
                    <w:t>达标</w:t>
                  </w:r>
                </w:p>
              </w:tc>
            </w:tr>
            <w:tr w14:paraId="5BBF1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dxa"/>
                  <w:vMerge w:val="continue"/>
                  <w:tcBorders>
                    <w:tl2br w:val="nil"/>
                    <w:tr2bl w:val="nil"/>
                  </w:tcBorders>
                  <w:vAlign w:val="center"/>
                </w:tcPr>
                <w:p w14:paraId="51DF05BB">
                  <w:pPr>
                    <w:pStyle w:val="38"/>
                    <w:rPr>
                      <w:rFonts w:hint="default"/>
                    </w:rPr>
                  </w:pPr>
                </w:p>
              </w:tc>
              <w:tc>
                <w:tcPr>
                  <w:tcW w:w="1115" w:type="dxa"/>
                  <w:vMerge w:val="continue"/>
                  <w:tcBorders>
                    <w:tl2br w:val="nil"/>
                    <w:tr2bl w:val="nil"/>
                  </w:tcBorders>
                  <w:vAlign w:val="center"/>
                </w:tcPr>
                <w:p w14:paraId="73EBB39E">
                  <w:pPr>
                    <w:pStyle w:val="38"/>
                    <w:rPr>
                      <w:rFonts w:hint="default"/>
                    </w:rPr>
                  </w:pPr>
                </w:p>
              </w:tc>
              <w:tc>
                <w:tcPr>
                  <w:tcW w:w="1244" w:type="dxa"/>
                  <w:tcBorders>
                    <w:tl2br w:val="nil"/>
                    <w:tr2bl w:val="nil"/>
                  </w:tcBorders>
                  <w:vAlign w:val="center"/>
                </w:tcPr>
                <w:p w14:paraId="3456A8B0">
                  <w:pPr>
                    <w:pStyle w:val="21"/>
                    <w:snapToGrid w:val="0"/>
                    <w:spacing w:beforeAutospacing="0" w:afterAutospacing="0" w:line="240" w:lineRule="exact"/>
                    <w:jc w:val="center"/>
                    <w:rPr>
                      <w:rFonts w:hint="eastAsia"/>
                    </w:rPr>
                  </w:pPr>
                  <w:r>
                    <w:rPr>
                      <w:rFonts w:hint="eastAsia" w:ascii="Times New Roman" w:hAnsi="Times New Roman" w:cs="Times New Roman"/>
                      <w:sz w:val="21"/>
                      <w:szCs w:val="21"/>
                      <w:lang w:bidi="ar-SA"/>
                    </w:rPr>
                    <w:t>铜</w:t>
                  </w:r>
                </w:p>
              </w:tc>
              <w:tc>
                <w:tcPr>
                  <w:tcW w:w="1049" w:type="dxa"/>
                  <w:tcBorders>
                    <w:tl2br w:val="nil"/>
                    <w:tr2bl w:val="nil"/>
                  </w:tcBorders>
                  <w:vAlign w:val="center"/>
                </w:tcPr>
                <w:p w14:paraId="7B923E2D">
                  <w:pPr>
                    <w:pStyle w:val="38"/>
                    <w:rPr>
                      <w:rFonts w:hint="default"/>
                    </w:rPr>
                  </w:pPr>
                  <w:r>
                    <w:t>100</w:t>
                  </w:r>
                </w:p>
              </w:tc>
              <w:tc>
                <w:tcPr>
                  <w:tcW w:w="1379" w:type="dxa"/>
                  <w:tcBorders>
                    <w:tl2br w:val="nil"/>
                    <w:tr2bl w:val="nil"/>
                  </w:tcBorders>
                  <w:vAlign w:val="center"/>
                </w:tcPr>
                <w:p w14:paraId="3468472C">
                  <w:pPr>
                    <w:pStyle w:val="38"/>
                    <w:rPr>
                      <w:rFonts w:hint="default"/>
                    </w:rPr>
                  </w:pPr>
                  <w:r>
                    <w:t>38</w:t>
                  </w:r>
                </w:p>
              </w:tc>
              <w:tc>
                <w:tcPr>
                  <w:tcW w:w="1182" w:type="dxa"/>
                  <w:tcBorders>
                    <w:tl2br w:val="nil"/>
                    <w:tr2bl w:val="nil"/>
                  </w:tcBorders>
                  <w:vAlign w:val="center"/>
                </w:tcPr>
                <w:p w14:paraId="1F7F4285">
                  <w:pPr>
                    <w:pStyle w:val="38"/>
                    <w:rPr>
                      <w:rFonts w:hint="default"/>
                    </w:rPr>
                  </w:pPr>
                  <w:r>
                    <w:t>38</w:t>
                  </w:r>
                </w:p>
              </w:tc>
              <w:tc>
                <w:tcPr>
                  <w:tcW w:w="746" w:type="dxa"/>
                  <w:tcBorders>
                    <w:tl2br w:val="nil"/>
                    <w:tr2bl w:val="nil"/>
                  </w:tcBorders>
                  <w:vAlign w:val="center"/>
                </w:tcPr>
                <w:p w14:paraId="7027B27E">
                  <w:pPr>
                    <w:pStyle w:val="38"/>
                    <w:rPr>
                      <w:rFonts w:hint="default"/>
                    </w:rPr>
                  </w:pPr>
                  <w:r>
                    <w:t>0</w:t>
                  </w:r>
                </w:p>
              </w:tc>
              <w:tc>
                <w:tcPr>
                  <w:tcW w:w="711" w:type="dxa"/>
                  <w:tcBorders>
                    <w:tl2br w:val="nil"/>
                    <w:tr2bl w:val="nil"/>
                  </w:tcBorders>
                  <w:vAlign w:val="center"/>
                </w:tcPr>
                <w:p w14:paraId="3DF7853C">
                  <w:pPr>
                    <w:pStyle w:val="38"/>
                    <w:rPr>
                      <w:rFonts w:hint="default"/>
                    </w:rPr>
                  </w:pPr>
                  <w:r>
                    <w:t>达标</w:t>
                  </w:r>
                </w:p>
              </w:tc>
            </w:tr>
            <w:tr w14:paraId="75EC3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dxa"/>
                  <w:vMerge w:val="continue"/>
                  <w:tcBorders>
                    <w:tl2br w:val="nil"/>
                    <w:tr2bl w:val="nil"/>
                  </w:tcBorders>
                  <w:vAlign w:val="center"/>
                </w:tcPr>
                <w:p w14:paraId="4C50ABE0">
                  <w:pPr>
                    <w:pStyle w:val="38"/>
                    <w:rPr>
                      <w:rFonts w:hint="default"/>
                    </w:rPr>
                  </w:pPr>
                </w:p>
              </w:tc>
              <w:tc>
                <w:tcPr>
                  <w:tcW w:w="1115" w:type="dxa"/>
                  <w:vMerge w:val="continue"/>
                  <w:tcBorders>
                    <w:tl2br w:val="nil"/>
                    <w:tr2bl w:val="nil"/>
                  </w:tcBorders>
                  <w:vAlign w:val="center"/>
                </w:tcPr>
                <w:p w14:paraId="4DDE7F20">
                  <w:pPr>
                    <w:pStyle w:val="38"/>
                    <w:rPr>
                      <w:rFonts w:hint="default"/>
                    </w:rPr>
                  </w:pPr>
                </w:p>
              </w:tc>
              <w:tc>
                <w:tcPr>
                  <w:tcW w:w="1244" w:type="dxa"/>
                  <w:tcBorders>
                    <w:tl2br w:val="nil"/>
                    <w:tr2bl w:val="nil"/>
                  </w:tcBorders>
                  <w:vAlign w:val="center"/>
                </w:tcPr>
                <w:p w14:paraId="6BBFC4CA">
                  <w:pPr>
                    <w:pStyle w:val="21"/>
                    <w:snapToGrid w:val="0"/>
                    <w:spacing w:beforeAutospacing="0" w:afterAutospacing="0" w:line="240" w:lineRule="exact"/>
                    <w:jc w:val="center"/>
                    <w:rPr>
                      <w:rFonts w:hint="eastAsia"/>
                    </w:rPr>
                  </w:pPr>
                  <w:r>
                    <w:rPr>
                      <w:rFonts w:hint="eastAsia" w:ascii="Times New Roman" w:hAnsi="Times New Roman" w:cs="Times New Roman"/>
                      <w:sz w:val="21"/>
                      <w:szCs w:val="21"/>
                      <w:lang w:bidi="ar-SA"/>
                    </w:rPr>
                    <w:t>铬</w:t>
                  </w:r>
                </w:p>
              </w:tc>
              <w:tc>
                <w:tcPr>
                  <w:tcW w:w="1049" w:type="dxa"/>
                  <w:tcBorders>
                    <w:tl2br w:val="nil"/>
                    <w:tr2bl w:val="nil"/>
                  </w:tcBorders>
                  <w:vAlign w:val="center"/>
                </w:tcPr>
                <w:p w14:paraId="36ED753D">
                  <w:pPr>
                    <w:pStyle w:val="38"/>
                    <w:rPr>
                      <w:rFonts w:hint="default"/>
                    </w:rPr>
                  </w:pPr>
                  <w:r>
                    <w:t>200</w:t>
                  </w:r>
                </w:p>
              </w:tc>
              <w:tc>
                <w:tcPr>
                  <w:tcW w:w="1379" w:type="dxa"/>
                  <w:tcBorders>
                    <w:tl2br w:val="nil"/>
                    <w:tr2bl w:val="nil"/>
                  </w:tcBorders>
                  <w:vAlign w:val="center"/>
                </w:tcPr>
                <w:p w14:paraId="4EB788BD">
                  <w:pPr>
                    <w:pStyle w:val="38"/>
                    <w:rPr>
                      <w:rFonts w:hint="default"/>
                    </w:rPr>
                  </w:pPr>
                  <w:r>
                    <w:t>67</w:t>
                  </w:r>
                </w:p>
              </w:tc>
              <w:tc>
                <w:tcPr>
                  <w:tcW w:w="1182" w:type="dxa"/>
                  <w:tcBorders>
                    <w:tl2br w:val="nil"/>
                    <w:tr2bl w:val="nil"/>
                  </w:tcBorders>
                  <w:vAlign w:val="center"/>
                </w:tcPr>
                <w:p w14:paraId="7205A3DB">
                  <w:pPr>
                    <w:pStyle w:val="38"/>
                    <w:rPr>
                      <w:rFonts w:hint="default"/>
                    </w:rPr>
                  </w:pPr>
                  <w:r>
                    <w:t>33.5</w:t>
                  </w:r>
                </w:p>
              </w:tc>
              <w:tc>
                <w:tcPr>
                  <w:tcW w:w="746" w:type="dxa"/>
                  <w:tcBorders>
                    <w:tl2br w:val="nil"/>
                    <w:tr2bl w:val="nil"/>
                  </w:tcBorders>
                  <w:vAlign w:val="center"/>
                </w:tcPr>
                <w:p w14:paraId="5D6C09A9">
                  <w:pPr>
                    <w:pStyle w:val="38"/>
                    <w:rPr>
                      <w:rFonts w:hint="default"/>
                    </w:rPr>
                  </w:pPr>
                  <w:r>
                    <w:t>0</w:t>
                  </w:r>
                </w:p>
              </w:tc>
              <w:tc>
                <w:tcPr>
                  <w:tcW w:w="711" w:type="dxa"/>
                  <w:tcBorders>
                    <w:tl2br w:val="nil"/>
                    <w:tr2bl w:val="nil"/>
                  </w:tcBorders>
                  <w:vAlign w:val="center"/>
                </w:tcPr>
                <w:p w14:paraId="14BB710A">
                  <w:pPr>
                    <w:pStyle w:val="38"/>
                    <w:rPr>
                      <w:rFonts w:hint="default"/>
                    </w:rPr>
                  </w:pPr>
                  <w:r>
                    <w:t>达标</w:t>
                  </w:r>
                </w:p>
              </w:tc>
            </w:tr>
            <w:tr w14:paraId="6A55B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dxa"/>
                  <w:vMerge w:val="continue"/>
                  <w:tcBorders>
                    <w:tl2br w:val="nil"/>
                    <w:tr2bl w:val="nil"/>
                  </w:tcBorders>
                  <w:vAlign w:val="center"/>
                </w:tcPr>
                <w:p w14:paraId="02B4EBBD">
                  <w:pPr>
                    <w:pStyle w:val="38"/>
                    <w:rPr>
                      <w:rFonts w:hint="default"/>
                    </w:rPr>
                  </w:pPr>
                </w:p>
              </w:tc>
              <w:tc>
                <w:tcPr>
                  <w:tcW w:w="1115" w:type="dxa"/>
                  <w:vMerge w:val="continue"/>
                  <w:tcBorders>
                    <w:tl2br w:val="nil"/>
                    <w:tr2bl w:val="nil"/>
                  </w:tcBorders>
                  <w:vAlign w:val="center"/>
                </w:tcPr>
                <w:p w14:paraId="71C4539A">
                  <w:pPr>
                    <w:pStyle w:val="38"/>
                    <w:rPr>
                      <w:rFonts w:hint="default"/>
                    </w:rPr>
                  </w:pPr>
                </w:p>
              </w:tc>
              <w:tc>
                <w:tcPr>
                  <w:tcW w:w="1244" w:type="dxa"/>
                  <w:tcBorders>
                    <w:tl2br w:val="nil"/>
                    <w:tr2bl w:val="nil"/>
                  </w:tcBorders>
                  <w:vAlign w:val="center"/>
                </w:tcPr>
                <w:p w14:paraId="13C81FA8">
                  <w:pPr>
                    <w:pStyle w:val="21"/>
                    <w:snapToGrid w:val="0"/>
                    <w:spacing w:beforeAutospacing="0" w:afterAutospacing="0" w:line="240" w:lineRule="exact"/>
                    <w:jc w:val="center"/>
                    <w:rPr>
                      <w:rFonts w:hint="eastAsia"/>
                    </w:rPr>
                  </w:pPr>
                  <w:r>
                    <w:rPr>
                      <w:rFonts w:hint="eastAsia" w:ascii="Times New Roman" w:hAnsi="Times New Roman" w:cs="Times New Roman"/>
                      <w:sz w:val="21"/>
                      <w:szCs w:val="21"/>
                      <w:lang w:bidi="ar-SA"/>
                    </w:rPr>
                    <w:t>锌</w:t>
                  </w:r>
                </w:p>
              </w:tc>
              <w:tc>
                <w:tcPr>
                  <w:tcW w:w="1049" w:type="dxa"/>
                  <w:tcBorders>
                    <w:tl2br w:val="nil"/>
                    <w:tr2bl w:val="nil"/>
                  </w:tcBorders>
                  <w:vAlign w:val="center"/>
                </w:tcPr>
                <w:p w14:paraId="7F731903">
                  <w:pPr>
                    <w:pStyle w:val="38"/>
                    <w:rPr>
                      <w:rFonts w:hint="default"/>
                    </w:rPr>
                  </w:pPr>
                  <w:r>
                    <w:t>250</w:t>
                  </w:r>
                </w:p>
              </w:tc>
              <w:tc>
                <w:tcPr>
                  <w:tcW w:w="1379" w:type="dxa"/>
                  <w:tcBorders>
                    <w:tl2br w:val="nil"/>
                    <w:tr2bl w:val="nil"/>
                  </w:tcBorders>
                  <w:vAlign w:val="center"/>
                </w:tcPr>
                <w:p w14:paraId="7D939600">
                  <w:pPr>
                    <w:pStyle w:val="38"/>
                    <w:rPr>
                      <w:rFonts w:hint="default"/>
                    </w:rPr>
                  </w:pPr>
                  <w:r>
                    <w:t>72</w:t>
                  </w:r>
                </w:p>
              </w:tc>
              <w:tc>
                <w:tcPr>
                  <w:tcW w:w="1182" w:type="dxa"/>
                  <w:tcBorders>
                    <w:tl2br w:val="nil"/>
                    <w:tr2bl w:val="nil"/>
                  </w:tcBorders>
                  <w:vAlign w:val="center"/>
                </w:tcPr>
                <w:p w14:paraId="21EE7F67">
                  <w:pPr>
                    <w:pStyle w:val="38"/>
                    <w:rPr>
                      <w:rFonts w:hint="default"/>
                    </w:rPr>
                  </w:pPr>
                  <w:r>
                    <w:t>28.8</w:t>
                  </w:r>
                </w:p>
              </w:tc>
              <w:tc>
                <w:tcPr>
                  <w:tcW w:w="746" w:type="dxa"/>
                  <w:tcBorders>
                    <w:tl2br w:val="nil"/>
                    <w:tr2bl w:val="nil"/>
                  </w:tcBorders>
                  <w:vAlign w:val="center"/>
                </w:tcPr>
                <w:p w14:paraId="559A6091">
                  <w:pPr>
                    <w:pStyle w:val="38"/>
                    <w:rPr>
                      <w:rFonts w:hint="default"/>
                    </w:rPr>
                  </w:pPr>
                  <w:r>
                    <w:t>0</w:t>
                  </w:r>
                </w:p>
              </w:tc>
              <w:tc>
                <w:tcPr>
                  <w:tcW w:w="711" w:type="dxa"/>
                  <w:tcBorders>
                    <w:tl2br w:val="nil"/>
                    <w:tr2bl w:val="nil"/>
                  </w:tcBorders>
                  <w:vAlign w:val="center"/>
                </w:tcPr>
                <w:p w14:paraId="1E7785D3">
                  <w:pPr>
                    <w:pStyle w:val="38"/>
                    <w:rPr>
                      <w:rFonts w:hint="default"/>
                    </w:rPr>
                  </w:pPr>
                  <w:r>
                    <w:t>达标</w:t>
                  </w:r>
                </w:p>
              </w:tc>
            </w:tr>
            <w:tr w14:paraId="6C6BB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dxa"/>
                  <w:vMerge w:val="continue"/>
                  <w:tcBorders>
                    <w:tl2br w:val="nil"/>
                    <w:tr2bl w:val="nil"/>
                  </w:tcBorders>
                  <w:vAlign w:val="center"/>
                </w:tcPr>
                <w:p w14:paraId="76AA0941">
                  <w:pPr>
                    <w:pStyle w:val="38"/>
                    <w:rPr>
                      <w:rFonts w:hint="default"/>
                    </w:rPr>
                  </w:pPr>
                </w:p>
              </w:tc>
              <w:tc>
                <w:tcPr>
                  <w:tcW w:w="1115" w:type="dxa"/>
                  <w:vMerge w:val="continue"/>
                  <w:tcBorders>
                    <w:tl2br w:val="nil"/>
                    <w:tr2bl w:val="nil"/>
                  </w:tcBorders>
                  <w:vAlign w:val="center"/>
                </w:tcPr>
                <w:p w14:paraId="74320104">
                  <w:pPr>
                    <w:pStyle w:val="38"/>
                    <w:rPr>
                      <w:rFonts w:hint="default"/>
                    </w:rPr>
                  </w:pPr>
                </w:p>
              </w:tc>
              <w:tc>
                <w:tcPr>
                  <w:tcW w:w="1244" w:type="dxa"/>
                  <w:tcBorders>
                    <w:tl2br w:val="nil"/>
                    <w:tr2bl w:val="nil"/>
                  </w:tcBorders>
                  <w:vAlign w:val="center"/>
                </w:tcPr>
                <w:p w14:paraId="3D5DE0C7">
                  <w:pPr>
                    <w:pStyle w:val="21"/>
                    <w:snapToGrid w:val="0"/>
                    <w:spacing w:beforeAutospacing="0" w:afterAutospacing="0" w:line="240" w:lineRule="exact"/>
                    <w:jc w:val="center"/>
                    <w:rPr>
                      <w:rFonts w:hint="eastAsia"/>
                    </w:rPr>
                  </w:pPr>
                  <w:r>
                    <w:rPr>
                      <w:rFonts w:hint="eastAsia" w:ascii="Times New Roman" w:hAnsi="Times New Roman" w:cs="Times New Roman"/>
                      <w:sz w:val="21"/>
                      <w:szCs w:val="21"/>
                      <w:lang w:bidi="ar-SA"/>
                    </w:rPr>
                    <w:t>镍</w:t>
                  </w:r>
                </w:p>
              </w:tc>
              <w:tc>
                <w:tcPr>
                  <w:tcW w:w="1049" w:type="dxa"/>
                  <w:tcBorders>
                    <w:tl2br w:val="nil"/>
                    <w:tr2bl w:val="nil"/>
                  </w:tcBorders>
                  <w:vAlign w:val="center"/>
                </w:tcPr>
                <w:p w14:paraId="5585028A">
                  <w:pPr>
                    <w:pStyle w:val="38"/>
                    <w:rPr>
                      <w:rFonts w:hint="default"/>
                    </w:rPr>
                  </w:pPr>
                  <w:r>
                    <w:t>100</w:t>
                  </w:r>
                </w:p>
              </w:tc>
              <w:tc>
                <w:tcPr>
                  <w:tcW w:w="1379" w:type="dxa"/>
                  <w:tcBorders>
                    <w:tl2br w:val="nil"/>
                    <w:tr2bl w:val="nil"/>
                  </w:tcBorders>
                  <w:vAlign w:val="center"/>
                </w:tcPr>
                <w:p w14:paraId="6ABF5693">
                  <w:pPr>
                    <w:pStyle w:val="38"/>
                    <w:rPr>
                      <w:rFonts w:hint="default"/>
                    </w:rPr>
                  </w:pPr>
                  <w:r>
                    <w:t>24</w:t>
                  </w:r>
                </w:p>
              </w:tc>
              <w:tc>
                <w:tcPr>
                  <w:tcW w:w="1182" w:type="dxa"/>
                  <w:tcBorders>
                    <w:tl2br w:val="nil"/>
                    <w:tr2bl w:val="nil"/>
                  </w:tcBorders>
                  <w:vAlign w:val="center"/>
                </w:tcPr>
                <w:p w14:paraId="49693B90">
                  <w:pPr>
                    <w:pStyle w:val="38"/>
                    <w:rPr>
                      <w:rFonts w:hint="default"/>
                    </w:rPr>
                  </w:pPr>
                  <w:r>
                    <w:t>24</w:t>
                  </w:r>
                </w:p>
              </w:tc>
              <w:tc>
                <w:tcPr>
                  <w:tcW w:w="746" w:type="dxa"/>
                  <w:tcBorders>
                    <w:tl2br w:val="nil"/>
                    <w:tr2bl w:val="nil"/>
                  </w:tcBorders>
                  <w:vAlign w:val="center"/>
                </w:tcPr>
                <w:p w14:paraId="651EEE4F">
                  <w:pPr>
                    <w:pStyle w:val="38"/>
                    <w:rPr>
                      <w:rFonts w:hint="default"/>
                    </w:rPr>
                  </w:pPr>
                  <w:r>
                    <w:t>0</w:t>
                  </w:r>
                </w:p>
              </w:tc>
              <w:tc>
                <w:tcPr>
                  <w:tcW w:w="711" w:type="dxa"/>
                  <w:tcBorders>
                    <w:tl2br w:val="nil"/>
                    <w:tr2bl w:val="nil"/>
                  </w:tcBorders>
                  <w:vAlign w:val="center"/>
                </w:tcPr>
                <w:p w14:paraId="6EA93539">
                  <w:pPr>
                    <w:pStyle w:val="38"/>
                    <w:rPr>
                      <w:rFonts w:hint="default"/>
                    </w:rPr>
                  </w:pPr>
                  <w:r>
                    <w:t>达标</w:t>
                  </w:r>
                </w:p>
              </w:tc>
            </w:tr>
            <w:tr w14:paraId="5EF92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dxa"/>
                  <w:vMerge w:val="restart"/>
                  <w:tcBorders>
                    <w:tl2br w:val="nil"/>
                    <w:tr2bl w:val="nil"/>
                  </w:tcBorders>
                  <w:vAlign w:val="center"/>
                </w:tcPr>
                <w:p w14:paraId="7AF6C3F1">
                  <w:pPr>
                    <w:pStyle w:val="38"/>
                    <w:rPr>
                      <w:rFonts w:hint="default"/>
                    </w:rPr>
                  </w:pPr>
                  <w:r>
                    <w:t>2025.09.10</w:t>
                  </w:r>
                </w:p>
              </w:tc>
              <w:tc>
                <w:tcPr>
                  <w:tcW w:w="1115" w:type="dxa"/>
                  <w:vMerge w:val="restart"/>
                  <w:tcBorders>
                    <w:tl2br w:val="nil"/>
                    <w:tr2bl w:val="nil"/>
                  </w:tcBorders>
                  <w:vAlign w:val="center"/>
                </w:tcPr>
                <w:p w14:paraId="67C7F3DA">
                  <w:pPr>
                    <w:pStyle w:val="38"/>
                    <w:rPr>
                      <w:rFonts w:hint="default"/>
                    </w:rPr>
                  </w:pPr>
                  <w:r>
                    <w:t>2#（河道终点下游100m处断面）</w:t>
                  </w:r>
                </w:p>
              </w:tc>
              <w:tc>
                <w:tcPr>
                  <w:tcW w:w="1244" w:type="dxa"/>
                  <w:tcBorders>
                    <w:tl2br w:val="nil"/>
                    <w:tr2bl w:val="nil"/>
                  </w:tcBorders>
                  <w:vAlign w:val="center"/>
                </w:tcPr>
                <w:p w14:paraId="7CE2E369">
                  <w:pPr>
                    <w:pStyle w:val="21"/>
                    <w:snapToGrid w:val="0"/>
                    <w:spacing w:beforeAutospacing="0" w:afterAutospacing="0" w:line="240" w:lineRule="exact"/>
                    <w:jc w:val="center"/>
                    <w:rPr>
                      <w:rFonts w:ascii="Times New Roman" w:hAnsi="Times New Roman" w:cs="Times New Roman"/>
                      <w:kern w:val="2"/>
                      <w:sz w:val="21"/>
                      <w:lang w:bidi="ar-SA"/>
                    </w:rPr>
                  </w:pPr>
                  <w:r>
                    <w:rPr>
                      <w:rFonts w:hint="eastAsia" w:ascii="Times New Roman" w:hAnsi="Times New Roman" w:cs="Times New Roman"/>
                      <w:sz w:val="21"/>
                      <w:szCs w:val="21"/>
                      <w:lang w:bidi="ar-SA"/>
                    </w:rPr>
                    <w:t>pH（无量纲）</w:t>
                  </w:r>
                </w:p>
              </w:tc>
              <w:tc>
                <w:tcPr>
                  <w:tcW w:w="1049" w:type="dxa"/>
                  <w:tcBorders>
                    <w:tl2br w:val="nil"/>
                    <w:tr2bl w:val="nil"/>
                  </w:tcBorders>
                  <w:vAlign w:val="center"/>
                </w:tcPr>
                <w:p w14:paraId="273B1E98">
                  <w:pPr>
                    <w:pStyle w:val="38"/>
                    <w:rPr>
                      <w:rFonts w:hint="default"/>
                    </w:rPr>
                  </w:pPr>
                  <w:r>
                    <w:t>/</w:t>
                  </w:r>
                </w:p>
              </w:tc>
              <w:tc>
                <w:tcPr>
                  <w:tcW w:w="1379" w:type="dxa"/>
                  <w:tcBorders>
                    <w:tl2br w:val="nil"/>
                    <w:tr2bl w:val="nil"/>
                  </w:tcBorders>
                  <w:vAlign w:val="center"/>
                </w:tcPr>
                <w:p w14:paraId="221172FB">
                  <w:pPr>
                    <w:pStyle w:val="38"/>
                    <w:rPr>
                      <w:rFonts w:hint="default"/>
                    </w:rPr>
                  </w:pPr>
                  <w:r>
                    <w:t>6.89</w:t>
                  </w:r>
                </w:p>
              </w:tc>
              <w:tc>
                <w:tcPr>
                  <w:tcW w:w="1182" w:type="dxa"/>
                  <w:tcBorders>
                    <w:tl2br w:val="nil"/>
                    <w:tr2bl w:val="nil"/>
                  </w:tcBorders>
                  <w:vAlign w:val="center"/>
                </w:tcPr>
                <w:p w14:paraId="1274BEC9">
                  <w:pPr>
                    <w:pStyle w:val="38"/>
                    <w:rPr>
                      <w:rFonts w:hint="default"/>
                    </w:rPr>
                  </w:pPr>
                  <w:r>
                    <w:t>/</w:t>
                  </w:r>
                </w:p>
              </w:tc>
              <w:tc>
                <w:tcPr>
                  <w:tcW w:w="746" w:type="dxa"/>
                  <w:tcBorders>
                    <w:tl2br w:val="nil"/>
                    <w:tr2bl w:val="nil"/>
                  </w:tcBorders>
                  <w:vAlign w:val="center"/>
                </w:tcPr>
                <w:p w14:paraId="23C7CFF5">
                  <w:pPr>
                    <w:pStyle w:val="38"/>
                    <w:rPr>
                      <w:rFonts w:hint="default"/>
                    </w:rPr>
                  </w:pPr>
                  <w:r>
                    <w:t>/</w:t>
                  </w:r>
                </w:p>
              </w:tc>
              <w:tc>
                <w:tcPr>
                  <w:tcW w:w="711" w:type="dxa"/>
                  <w:tcBorders>
                    <w:tl2br w:val="nil"/>
                    <w:tr2bl w:val="nil"/>
                  </w:tcBorders>
                  <w:vAlign w:val="center"/>
                </w:tcPr>
                <w:p w14:paraId="4381A08D">
                  <w:pPr>
                    <w:pStyle w:val="38"/>
                    <w:rPr>
                      <w:rFonts w:hint="default"/>
                    </w:rPr>
                  </w:pPr>
                  <w:r>
                    <w:t>达标</w:t>
                  </w:r>
                </w:p>
              </w:tc>
            </w:tr>
            <w:tr w14:paraId="3D6C2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dxa"/>
                  <w:vMerge w:val="continue"/>
                </w:tcPr>
                <w:p w14:paraId="16E8F6F8">
                  <w:pPr>
                    <w:pStyle w:val="38"/>
                    <w:rPr>
                      <w:rFonts w:hint="default"/>
                    </w:rPr>
                  </w:pPr>
                </w:p>
              </w:tc>
              <w:tc>
                <w:tcPr>
                  <w:tcW w:w="1115" w:type="dxa"/>
                  <w:vMerge w:val="continue"/>
                </w:tcPr>
                <w:p w14:paraId="02573F52">
                  <w:pPr>
                    <w:pStyle w:val="38"/>
                    <w:rPr>
                      <w:rFonts w:hint="default"/>
                    </w:rPr>
                  </w:pPr>
                </w:p>
              </w:tc>
              <w:tc>
                <w:tcPr>
                  <w:tcW w:w="1244" w:type="dxa"/>
                  <w:vAlign w:val="center"/>
                </w:tcPr>
                <w:p w14:paraId="6824DB3E">
                  <w:pPr>
                    <w:pStyle w:val="21"/>
                    <w:snapToGrid w:val="0"/>
                    <w:spacing w:beforeAutospacing="0" w:afterAutospacing="0" w:line="240" w:lineRule="exact"/>
                    <w:jc w:val="center"/>
                    <w:rPr>
                      <w:rFonts w:ascii="Times New Roman" w:hAnsi="Times New Roman" w:cs="Times New Roman"/>
                      <w:kern w:val="2"/>
                      <w:sz w:val="21"/>
                      <w:lang w:bidi="ar-SA"/>
                    </w:rPr>
                  </w:pPr>
                  <w:r>
                    <w:rPr>
                      <w:rFonts w:hint="eastAsia" w:ascii="Times New Roman" w:hAnsi="Times New Roman" w:cs="Times New Roman"/>
                      <w:sz w:val="21"/>
                      <w:szCs w:val="21"/>
                      <w:lang w:bidi="ar-SA"/>
                    </w:rPr>
                    <w:t>汞</w:t>
                  </w:r>
                </w:p>
              </w:tc>
              <w:tc>
                <w:tcPr>
                  <w:tcW w:w="1049" w:type="dxa"/>
                  <w:vAlign w:val="center"/>
                </w:tcPr>
                <w:p w14:paraId="68FBCB0A">
                  <w:pPr>
                    <w:pStyle w:val="38"/>
                    <w:rPr>
                      <w:rFonts w:hint="default"/>
                    </w:rPr>
                  </w:pPr>
                  <w:r>
                    <w:t>2.4</w:t>
                  </w:r>
                </w:p>
              </w:tc>
              <w:tc>
                <w:tcPr>
                  <w:tcW w:w="1379" w:type="dxa"/>
                  <w:vAlign w:val="center"/>
                </w:tcPr>
                <w:p w14:paraId="1EA93698">
                  <w:pPr>
                    <w:widowControl/>
                    <w:jc w:val="center"/>
                    <w:textAlignment w:val="center"/>
                    <w:rPr>
                      <w:kern w:val="0"/>
                      <w:szCs w:val="21"/>
                    </w:rPr>
                  </w:pPr>
                  <w:r>
                    <w:rPr>
                      <w:rFonts w:hint="eastAsia"/>
                      <w:color w:val="000000"/>
                      <w:spacing w:val="-11"/>
                      <w:kern w:val="0"/>
                      <w:szCs w:val="21"/>
                      <w:lang w:bidi="ar"/>
                    </w:rPr>
                    <w:t>0.336</w:t>
                  </w:r>
                </w:p>
              </w:tc>
              <w:tc>
                <w:tcPr>
                  <w:tcW w:w="1182" w:type="dxa"/>
                  <w:vAlign w:val="center"/>
                </w:tcPr>
                <w:p w14:paraId="5CA037A3">
                  <w:pPr>
                    <w:pStyle w:val="38"/>
                    <w:rPr>
                      <w:rFonts w:hint="default"/>
                    </w:rPr>
                  </w:pPr>
                  <w:r>
                    <w:t>14</w:t>
                  </w:r>
                </w:p>
              </w:tc>
              <w:tc>
                <w:tcPr>
                  <w:tcW w:w="746" w:type="dxa"/>
                  <w:vAlign w:val="center"/>
                </w:tcPr>
                <w:p w14:paraId="098360EE">
                  <w:pPr>
                    <w:pStyle w:val="38"/>
                    <w:rPr>
                      <w:rFonts w:hint="default"/>
                    </w:rPr>
                  </w:pPr>
                  <w:r>
                    <w:t>0</w:t>
                  </w:r>
                </w:p>
              </w:tc>
              <w:tc>
                <w:tcPr>
                  <w:tcW w:w="711" w:type="dxa"/>
                  <w:vAlign w:val="center"/>
                </w:tcPr>
                <w:p w14:paraId="102A2F7B">
                  <w:pPr>
                    <w:pStyle w:val="38"/>
                    <w:rPr>
                      <w:rFonts w:hint="default"/>
                    </w:rPr>
                  </w:pPr>
                  <w:r>
                    <w:t>达标</w:t>
                  </w:r>
                </w:p>
              </w:tc>
            </w:tr>
            <w:tr w14:paraId="23066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dxa"/>
                  <w:vMerge w:val="continue"/>
                </w:tcPr>
                <w:p w14:paraId="79B38969">
                  <w:pPr>
                    <w:pStyle w:val="38"/>
                    <w:rPr>
                      <w:rFonts w:hint="default"/>
                    </w:rPr>
                  </w:pPr>
                </w:p>
              </w:tc>
              <w:tc>
                <w:tcPr>
                  <w:tcW w:w="1115" w:type="dxa"/>
                  <w:vMerge w:val="continue"/>
                </w:tcPr>
                <w:p w14:paraId="77AB7A27">
                  <w:pPr>
                    <w:pStyle w:val="38"/>
                    <w:rPr>
                      <w:rFonts w:hint="default"/>
                    </w:rPr>
                  </w:pPr>
                </w:p>
              </w:tc>
              <w:tc>
                <w:tcPr>
                  <w:tcW w:w="1244" w:type="dxa"/>
                  <w:vAlign w:val="center"/>
                </w:tcPr>
                <w:p w14:paraId="087A117F">
                  <w:pPr>
                    <w:pStyle w:val="21"/>
                    <w:snapToGrid w:val="0"/>
                    <w:spacing w:beforeAutospacing="0" w:afterAutospacing="0" w:line="240" w:lineRule="exact"/>
                    <w:jc w:val="center"/>
                    <w:rPr>
                      <w:rFonts w:ascii="Times New Roman" w:hAnsi="Times New Roman" w:cs="Times New Roman"/>
                      <w:kern w:val="2"/>
                      <w:sz w:val="21"/>
                      <w:lang w:bidi="ar-SA"/>
                    </w:rPr>
                  </w:pPr>
                  <w:r>
                    <w:rPr>
                      <w:rFonts w:hint="eastAsia" w:ascii="Times New Roman" w:hAnsi="Times New Roman" w:cs="Times New Roman"/>
                      <w:sz w:val="21"/>
                      <w:szCs w:val="21"/>
                      <w:lang w:bidi="ar-SA"/>
                    </w:rPr>
                    <w:t>砷</w:t>
                  </w:r>
                </w:p>
              </w:tc>
              <w:tc>
                <w:tcPr>
                  <w:tcW w:w="1049" w:type="dxa"/>
                  <w:vAlign w:val="center"/>
                </w:tcPr>
                <w:p w14:paraId="4DFDFB32">
                  <w:pPr>
                    <w:pStyle w:val="38"/>
                    <w:rPr>
                      <w:rFonts w:hint="default"/>
                    </w:rPr>
                  </w:pPr>
                  <w:r>
                    <w:t>30</w:t>
                  </w:r>
                </w:p>
              </w:tc>
              <w:tc>
                <w:tcPr>
                  <w:tcW w:w="1379" w:type="dxa"/>
                  <w:vAlign w:val="center"/>
                </w:tcPr>
                <w:p w14:paraId="239A80A3">
                  <w:pPr>
                    <w:widowControl/>
                    <w:jc w:val="center"/>
                    <w:textAlignment w:val="center"/>
                    <w:rPr>
                      <w:kern w:val="0"/>
                      <w:szCs w:val="21"/>
                    </w:rPr>
                  </w:pPr>
                  <w:r>
                    <w:rPr>
                      <w:rFonts w:hint="eastAsia"/>
                      <w:color w:val="000000"/>
                      <w:spacing w:val="-11"/>
                      <w:kern w:val="0"/>
                      <w:szCs w:val="21"/>
                      <w:lang w:bidi="ar"/>
                    </w:rPr>
                    <w:t>4.38</w:t>
                  </w:r>
                </w:p>
              </w:tc>
              <w:tc>
                <w:tcPr>
                  <w:tcW w:w="1182" w:type="dxa"/>
                  <w:vAlign w:val="center"/>
                </w:tcPr>
                <w:p w14:paraId="7945AE06">
                  <w:pPr>
                    <w:pStyle w:val="38"/>
                    <w:rPr>
                      <w:rFonts w:hint="default"/>
                    </w:rPr>
                  </w:pPr>
                  <w:r>
                    <w:t>14.6</w:t>
                  </w:r>
                </w:p>
              </w:tc>
              <w:tc>
                <w:tcPr>
                  <w:tcW w:w="746" w:type="dxa"/>
                  <w:vAlign w:val="center"/>
                </w:tcPr>
                <w:p w14:paraId="013220F5">
                  <w:pPr>
                    <w:pStyle w:val="38"/>
                    <w:rPr>
                      <w:rFonts w:hint="default"/>
                    </w:rPr>
                  </w:pPr>
                  <w:r>
                    <w:t>0</w:t>
                  </w:r>
                </w:p>
              </w:tc>
              <w:tc>
                <w:tcPr>
                  <w:tcW w:w="711" w:type="dxa"/>
                  <w:vAlign w:val="center"/>
                </w:tcPr>
                <w:p w14:paraId="7B270562">
                  <w:pPr>
                    <w:pStyle w:val="38"/>
                    <w:rPr>
                      <w:rFonts w:hint="default"/>
                    </w:rPr>
                  </w:pPr>
                  <w:r>
                    <w:t>达标</w:t>
                  </w:r>
                </w:p>
              </w:tc>
            </w:tr>
            <w:tr w14:paraId="52DFF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dxa"/>
                  <w:vMerge w:val="continue"/>
                </w:tcPr>
                <w:p w14:paraId="4849816C">
                  <w:pPr>
                    <w:pStyle w:val="38"/>
                    <w:rPr>
                      <w:rFonts w:hint="default"/>
                    </w:rPr>
                  </w:pPr>
                </w:p>
              </w:tc>
              <w:tc>
                <w:tcPr>
                  <w:tcW w:w="1115" w:type="dxa"/>
                  <w:vMerge w:val="continue"/>
                </w:tcPr>
                <w:p w14:paraId="46F6E64C">
                  <w:pPr>
                    <w:pStyle w:val="38"/>
                    <w:rPr>
                      <w:rFonts w:hint="default"/>
                    </w:rPr>
                  </w:pPr>
                </w:p>
              </w:tc>
              <w:tc>
                <w:tcPr>
                  <w:tcW w:w="1244" w:type="dxa"/>
                  <w:vAlign w:val="center"/>
                </w:tcPr>
                <w:p w14:paraId="08EDD831">
                  <w:pPr>
                    <w:pStyle w:val="21"/>
                    <w:snapToGrid w:val="0"/>
                    <w:spacing w:beforeAutospacing="0" w:afterAutospacing="0" w:line="240" w:lineRule="exact"/>
                    <w:jc w:val="center"/>
                    <w:rPr>
                      <w:rFonts w:ascii="Times New Roman" w:hAnsi="Times New Roman" w:cs="Times New Roman"/>
                      <w:kern w:val="2"/>
                      <w:sz w:val="21"/>
                      <w:lang w:bidi="ar-SA"/>
                    </w:rPr>
                  </w:pPr>
                  <w:r>
                    <w:rPr>
                      <w:rFonts w:hint="eastAsia" w:ascii="Times New Roman" w:hAnsi="Times New Roman" w:cs="Times New Roman"/>
                      <w:sz w:val="21"/>
                      <w:szCs w:val="21"/>
                      <w:lang w:bidi="ar-SA"/>
                    </w:rPr>
                    <w:t>镉</w:t>
                  </w:r>
                </w:p>
              </w:tc>
              <w:tc>
                <w:tcPr>
                  <w:tcW w:w="1049" w:type="dxa"/>
                  <w:vAlign w:val="center"/>
                </w:tcPr>
                <w:p w14:paraId="278B7677">
                  <w:pPr>
                    <w:pStyle w:val="38"/>
                    <w:rPr>
                      <w:rFonts w:hint="default"/>
                    </w:rPr>
                  </w:pPr>
                  <w:r>
                    <w:t>0.3</w:t>
                  </w:r>
                </w:p>
              </w:tc>
              <w:tc>
                <w:tcPr>
                  <w:tcW w:w="1379" w:type="dxa"/>
                  <w:vAlign w:val="center"/>
                </w:tcPr>
                <w:p w14:paraId="2C4C8295">
                  <w:pPr>
                    <w:widowControl/>
                    <w:jc w:val="center"/>
                    <w:textAlignment w:val="center"/>
                    <w:rPr>
                      <w:kern w:val="0"/>
                      <w:szCs w:val="21"/>
                    </w:rPr>
                  </w:pPr>
                  <w:r>
                    <w:rPr>
                      <w:rFonts w:hint="eastAsia"/>
                      <w:color w:val="000000"/>
                      <w:spacing w:val="-11"/>
                      <w:kern w:val="0"/>
                      <w:szCs w:val="21"/>
                      <w:lang w:bidi="ar"/>
                    </w:rPr>
                    <w:t>0.10</w:t>
                  </w:r>
                </w:p>
              </w:tc>
              <w:tc>
                <w:tcPr>
                  <w:tcW w:w="1182" w:type="dxa"/>
                  <w:vAlign w:val="center"/>
                </w:tcPr>
                <w:p w14:paraId="0E3A4F52">
                  <w:pPr>
                    <w:pStyle w:val="38"/>
                    <w:rPr>
                      <w:rFonts w:hint="default"/>
                    </w:rPr>
                  </w:pPr>
                  <w:r>
                    <w:t>33.33</w:t>
                  </w:r>
                </w:p>
              </w:tc>
              <w:tc>
                <w:tcPr>
                  <w:tcW w:w="746" w:type="dxa"/>
                  <w:vAlign w:val="center"/>
                </w:tcPr>
                <w:p w14:paraId="6E01B150">
                  <w:pPr>
                    <w:pStyle w:val="38"/>
                    <w:rPr>
                      <w:rFonts w:hint="default"/>
                    </w:rPr>
                  </w:pPr>
                  <w:r>
                    <w:t>0</w:t>
                  </w:r>
                </w:p>
              </w:tc>
              <w:tc>
                <w:tcPr>
                  <w:tcW w:w="711" w:type="dxa"/>
                  <w:vAlign w:val="center"/>
                </w:tcPr>
                <w:p w14:paraId="51FC3090">
                  <w:pPr>
                    <w:pStyle w:val="38"/>
                    <w:rPr>
                      <w:rFonts w:hint="default"/>
                    </w:rPr>
                  </w:pPr>
                  <w:r>
                    <w:t>达标</w:t>
                  </w:r>
                </w:p>
              </w:tc>
            </w:tr>
            <w:tr w14:paraId="7DD19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dxa"/>
                  <w:vMerge w:val="continue"/>
                </w:tcPr>
                <w:p w14:paraId="74232FC4">
                  <w:pPr>
                    <w:pStyle w:val="38"/>
                    <w:rPr>
                      <w:rFonts w:hint="default"/>
                    </w:rPr>
                  </w:pPr>
                </w:p>
              </w:tc>
              <w:tc>
                <w:tcPr>
                  <w:tcW w:w="1115" w:type="dxa"/>
                  <w:vMerge w:val="continue"/>
                </w:tcPr>
                <w:p w14:paraId="04EC5962">
                  <w:pPr>
                    <w:pStyle w:val="38"/>
                    <w:rPr>
                      <w:rFonts w:hint="default"/>
                    </w:rPr>
                  </w:pPr>
                </w:p>
              </w:tc>
              <w:tc>
                <w:tcPr>
                  <w:tcW w:w="1244" w:type="dxa"/>
                  <w:vAlign w:val="center"/>
                </w:tcPr>
                <w:p w14:paraId="7A2DBCB8">
                  <w:pPr>
                    <w:pStyle w:val="21"/>
                    <w:snapToGrid w:val="0"/>
                    <w:spacing w:beforeAutospacing="0" w:afterAutospacing="0" w:line="240" w:lineRule="exact"/>
                    <w:jc w:val="center"/>
                    <w:rPr>
                      <w:rFonts w:ascii="Times New Roman" w:hAnsi="Times New Roman" w:cs="Times New Roman"/>
                      <w:kern w:val="2"/>
                      <w:sz w:val="21"/>
                      <w:lang w:bidi="ar-SA"/>
                    </w:rPr>
                  </w:pPr>
                  <w:r>
                    <w:rPr>
                      <w:rFonts w:hint="eastAsia" w:ascii="Times New Roman" w:hAnsi="Times New Roman" w:cs="Times New Roman"/>
                      <w:sz w:val="21"/>
                      <w:szCs w:val="21"/>
                      <w:lang w:bidi="ar-SA"/>
                    </w:rPr>
                    <w:t>铅</w:t>
                  </w:r>
                </w:p>
              </w:tc>
              <w:tc>
                <w:tcPr>
                  <w:tcW w:w="1049" w:type="dxa"/>
                  <w:vAlign w:val="center"/>
                </w:tcPr>
                <w:p w14:paraId="47ADE0EB">
                  <w:pPr>
                    <w:pStyle w:val="38"/>
                    <w:rPr>
                      <w:rFonts w:hint="default"/>
                    </w:rPr>
                  </w:pPr>
                  <w:r>
                    <w:t>120</w:t>
                  </w:r>
                </w:p>
              </w:tc>
              <w:tc>
                <w:tcPr>
                  <w:tcW w:w="1379" w:type="dxa"/>
                  <w:vAlign w:val="center"/>
                </w:tcPr>
                <w:p w14:paraId="749A7DCC">
                  <w:pPr>
                    <w:widowControl/>
                    <w:jc w:val="center"/>
                    <w:textAlignment w:val="center"/>
                    <w:rPr>
                      <w:kern w:val="0"/>
                      <w:szCs w:val="21"/>
                    </w:rPr>
                  </w:pPr>
                  <w:r>
                    <w:rPr>
                      <w:rFonts w:hint="eastAsia"/>
                      <w:color w:val="000000"/>
                      <w:spacing w:val="-11"/>
                      <w:kern w:val="0"/>
                      <w:szCs w:val="21"/>
                      <w:lang w:bidi="ar"/>
                    </w:rPr>
                    <w:t>28</w:t>
                  </w:r>
                </w:p>
              </w:tc>
              <w:tc>
                <w:tcPr>
                  <w:tcW w:w="1182" w:type="dxa"/>
                  <w:vAlign w:val="center"/>
                </w:tcPr>
                <w:p w14:paraId="65D8E08F">
                  <w:pPr>
                    <w:pStyle w:val="38"/>
                    <w:rPr>
                      <w:rFonts w:hint="default"/>
                    </w:rPr>
                  </w:pPr>
                  <w:r>
                    <w:t>23.33</w:t>
                  </w:r>
                </w:p>
              </w:tc>
              <w:tc>
                <w:tcPr>
                  <w:tcW w:w="746" w:type="dxa"/>
                  <w:vAlign w:val="center"/>
                </w:tcPr>
                <w:p w14:paraId="4C2BCC0E">
                  <w:pPr>
                    <w:pStyle w:val="38"/>
                    <w:rPr>
                      <w:rFonts w:hint="default"/>
                    </w:rPr>
                  </w:pPr>
                  <w:r>
                    <w:t>0</w:t>
                  </w:r>
                </w:p>
              </w:tc>
              <w:tc>
                <w:tcPr>
                  <w:tcW w:w="711" w:type="dxa"/>
                  <w:vAlign w:val="center"/>
                </w:tcPr>
                <w:p w14:paraId="47400376">
                  <w:pPr>
                    <w:pStyle w:val="38"/>
                    <w:rPr>
                      <w:rFonts w:hint="default"/>
                    </w:rPr>
                  </w:pPr>
                  <w:r>
                    <w:t>达标</w:t>
                  </w:r>
                </w:p>
              </w:tc>
            </w:tr>
            <w:tr w14:paraId="3C7D3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dxa"/>
                  <w:vMerge w:val="continue"/>
                </w:tcPr>
                <w:p w14:paraId="6DE2F4AF">
                  <w:pPr>
                    <w:pStyle w:val="38"/>
                    <w:rPr>
                      <w:rFonts w:hint="default"/>
                    </w:rPr>
                  </w:pPr>
                </w:p>
              </w:tc>
              <w:tc>
                <w:tcPr>
                  <w:tcW w:w="1115" w:type="dxa"/>
                  <w:vMerge w:val="continue"/>
                </w:tcPr>
                <w:p w14:paraId="36D1BF35">
                  <w:pPr>
                    <w:pStyle w:val="38"/>
                    <w:rPr>
                      <w:rFonts w:hint="default"/>
                    </w:rPr>
                  </w:pPr>
                </w:p>
              </w:tc>
              <w:tc>
                <w:tcPr>
                  <w:tcW w:w="1244" w:type="dxa"/>
                  <w:vAlign w:val="center"/>
                </w:tcPr>
                <w:p w14:paraId="27A121CE">
                  <w:pPr>
                    <w:pStyle w:val="21"/>
                    <w:snapToGrid w:val="0"/>
                    <w:spacing w:beforeAutospacing="0" w:afterAutospacing="0" w:line="240" w:lineRule="exact"/>
                    <w:jc w:val="center"/>
                    <w:rPr>
                      <w:rFonts w:ascii="Times New Roman" w:hAnsi="Times New Roman" w:cs="Times New Roman"/>
                      <w:kern w:val="2"/>
                      <w:sz w:val="21"/>
                      <w:lang w:bidi="ar-SA"/>
                    </w:rPr>
                  </w:pPr>
                  <w:r>
                    <w:rPr>
                      <w:rFonts w:hint="eastAsia" w:ascii="Times New Roman" w:hAnsi="Times New Roman" w:cs="Times New Roman"/>
                      <w:sz w:val="21"/>
                      <w:szCs w:val="21"/>
                      <w:lang w:bidi="ar-SA"/>
                    </w:rPr>
                    <w:t>铜</w:t>
                  </w:r>
                </w:p>
              </w:tc>
              <w:tc>
                <w:tcPr>
                  <w:tcW w:w="1049" w:type="dxa"/>
                  <w:vAlign w:val="center"/>
                </w:tcPr>
                <w:p w14:paraId="6B9AB599">
                  <w:pPr>
                    <w:pStyle w:val="38"/>
                    <w:rPr>
                      <w:rFonts w:hint="default"/>
                    </w:rPr>
                  </w:pPr>
                  <w:r>
                    <w:t>100</w:t>
                  </w:r>
                </w:p>
              </w:tc>
              <w:tc>
                <w:tcPr>
                  <w:tcW w:w="1379" w:type="dxa"/>
                  <w:vAlign w:val="center"/>
                </w:tcPr>
                <w:p w14:paraId="29359FA7">
                  <w:pPr>
                    <w:widowControl/>
                    <w:jc w:val="center"/>
                    <w:textAlignment w:val="center"/>
                    <w:rPr>
                      <w:kern w:val="0"/>
                      <w:szCs w:val="21"/>
                    </w:rPr>
                  </w:pPr>
                  <w:r>
                    <w:rPr>
                      <w:rFonts w:hint="eastAsia"/>
                      <w:color w:val="000000"/>
                      <w:spacing w:val="-11"/>
                      <w:kern w:val="0"/>
                      <w:szCs w:val="21"/>
                      <w:lang w:bidi="ar"/>
                    </w:rPr>
                    <w:t>37</w:t>
                  </w:r>
                </w:p>
              </w:tc>
              <w:tc>
                <w:tcPr>
                  <w:tcW w:w="1182" w:type="dxa"/>
                  <w:vAlign w:val="center"/>
                </w:tcPr>
                <w:p w14:paraId="093A80E5">
                  <w:pPr>
                    <w:pStyle w:val="38"/>
                    <w:rPr>
                      <w:rFonts w:hint="default"/>
                    </w:rPr>
                  </w:pPr>
                  <w:r>
                    <w:t>37</w:t>
                  </w:r>
                </w:p>
              </w:tc>
              <w:tc>
                <w:tcPr>
                  <w:tcW w:w="746" w:type="dxa"/>
                  <w:vAlign w:val="center"/>
                </w:tcPr>
                <w:p w14:paraId="246F7FA6">
                  <w:pPr>
                    <w:pStyle w:val="38"/>
                    <w:rPr>
                      <w:rFonts w:hint="default"/>
                    </w:rPr>
                  </w:pPr>
                  <w:r>
                    <w:t>0</w:t>
                  </w:r>
                </w:p>
              </w:tc>
              <w:tc>
                <w:tcPr>
                  <w:tcW w:w="711" w:type="dxa"/>
                  <w:vAlign w:val="center"/>
                </w:tcPr>
                <w:p w14:paraId="6480CE75">
                  <w:pPr>
                    <w:pStyle w:val="38"/>
                    <w:rPr>
                      <w:rFonts w:hint="default"/>
                    </w:rPr>
                  </w:pPr>
                  <w:r>
                    <w:t>达标</w:t>
                  </w:r>
                </w:p>
              </w:tc>
            </w:tr>
            <w:tr w14:paraId="6D763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dxa"/>
                  <w:vMerge w:val="continue"/>
                </w:tcPr>
                <w:p w14:paraId="2BF86D5B">
                  <w:pPr>
                    <w:pStyle w:val="38"/>
                    <w:rPr>
                      <w:rFonts w:hint="default"/>
                    </w:rPr>
                  </w:pPr>
                </w:p>
              </w:tc>
              <w:tc>
                <w:tcPr>
                  <w:tcW w:w="1115" w:type="dxa"/>
                  <w:vMerge w:val="continue"/>
                </w:tcPr>
                <w:p w14:paraId="74880D94">
                  <w:pPr>
                    <w:pStyle w:val="38"/>
                    <w:rPr>
                      <w:rFonts w:hint="default"/>
                    </w:rPr>
                  </w:pPr>
                </w:p>
              </w:tc>
              <w:tc>
                <w:tcPr>
                  <w:tcW w:w="1244" w:type="dxa"/>
                  <w:vAlign w:val="center"/>
                </w:tcPr>
                <w:p w14:paraId="227DD895">
                  <w:pPr>
                    <w:pStyle w:val="21"/>
                    <w:snapToGrid w:val="0"/>
                    <w:spacing w:beforeAutospacing="0" w:afterAutospacing="0" w:line="240" w:lineRule="exact"/>
                    <w:jc w:val="center"/>
                    <w:rPr>
                      <w:rFonts w:ascii="Times New Roman" w:hAnsi="Times New Roman" w:cs="Times New Roman"/>
                      <w:kern w:val="2"/>
                      <w:sz w:val="21"/>
                      <w:lang w:bidi="ar-SA"/>
                    </w:rPr>
                  </w:pPr>
                  <w:r>
                    <w:rPr>
                      <w:rFonts w:hint="eastAsia" w:ascii="Times New Roman" w:hAnsi="Times New Roman" w:cs="Times New Roman"/>
                      <w:sz w:val="21"/>
                      <w:szCs w:val="21"/>
                      <w:lang w:bidi="ar-SA"/>
                    </w:rPr>
                    <w:t>铬</w:t>
                  </w:r>
                </w:p>
              </w:tc>
              <w:tc>
                <w:tcPr>
                  <w:tcW w:w="1049" w:type="dxa"/>
                  <w:vAlign w:val="center"/>
                </w:tcPr>
                <w:p w14:paraId="50EAA2AC">
                  <w:pPr>
                    <w:pStyle w:val="38"/>
                    <w:rPr>
                      <w:rFonts w:hint="default"/>
                    </w:rPr>
                  </w:pPr>
                  <w:r>
                    <w:t>200</w:t>
                  </w:r>
                </w:p>
              </w:tc>
              <w:tc>
                <w:tcPr>
                  <w:tcW w:w="1379" w:type="dxa"/>
                  <w:vAlign w:val="center"/>
                </w:tcPr>
                <w:p w14:paraId="546F7274">
                  <w:pPr>
                    <w:widowControl/>
                    <w:jc w:val="center"/>
                    <w:textAlignment w:val="center"/>
                    <w:rPr>
                      <w:kern w:val="0"/>
                      <w:szCs w:val="21"/>
                    </w:rPr>
                  </w:pPr>
                  <w:r>
                    <w:rPr>
                      <w:rFonts w:hint="eastAsia"/>
                      <w:color w:val="000000"/>
                      <w:spacing w:val="-11"/>
                      <w:kern w:val="0"/>
                      <w:szCs w:val="21"/>
                      <w:lang w:bidi="ar"/>
                    </w:rPr>
                    <w:t>68</w:t>
                  </w:r>
                </w:p>
              </w:tc>
              <w:tc>
                <w:tcPr>
                  <w:tcW w:w="1182" w:type="dxa"/>
                  <w:vAlign w:val="center"/>
                </w:tcPr>
                <w:p w14:paraId="5286C167">
                  <w:pPr>
                    <w:pStyle w:val="38"/>
                    <w:rPr>
                      <w:rFonts w:hint="default"/>
                    </w:rPr>
                  </w:pPr>
                  <w:r>
                    <w:t>34</w:t>
                  </w:r>
                </w:p>
              </w:tc>
              <w:tc>
                <w:tcPr>
                  <w:tcW w:w="746" w:type="dxa"/>
                  <w:vAlign w:val="center"/>
                </w:tcPr>
                <w:p w14:paraId="16B67086">
                  <w:pPr>
                    <w:pStyle w:val="38"/>
                    <w:rPr>
                      <w:rFonts w:hint="default"/>
                    </w:rPr>
                  </w:pPr>
                  <w:r>
                    <w:t>0</w:t>
                  </w:r>
                </w:p>
              </w:tc>
              <w:tc>
                <w:tcPr>
                  <w:tcW w:w="711" w:type="dxa"/>
                  <w:vAlign w:val="center"/>
                </w:tcPr>
                <w:p w14:paraId="700791EE">
                  <w:pPr>
                    <w:pStyle w:val="38"/>
                    <w:rPr>
                      <w:rFonts w:hint="default"/>
                    </w:rPr>
                  </w:pPr>
                  <w:r>
                    <w:t>达标</w:t>
                  </w:r>
                </w:p>
              </w:tc>
            </w:tr>
            <w:tr w14:paraId="7A5F5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dxa"/>
                  <w:vMerge w:val="continue"/>
                </w:tcPr>
                <w:p w14:paraId="6BDDB6D1">
                  <w:pPr>
                    <w:pStyle w:val="38"/>
                    <w:rPr>
                      <w:rFonts w:hint="default"/>
                    </w:rPr>
                  </w:pPr>
                </w:p>
              </w:tc>
              <w:tc>
                <w:tcPr>
                  <w:tcW w:w="1115" w:type="dxa"/>
                  <w:vMerge w:val="continue"/>
                </w:tcPr>
                <w:p w14:paraId="33BB59F3">
                  <w:pPr>
                    <w:pStyle w:val="38"/>
                    <w:rPr>
                      <w:rFonts w:hint="default"/>
                    </w:rPr>
                  </w:pPr>
                </w:p>
              </w:tc>
              <w:tc>
                <w:tcPr>
                  <w:tcW w:w="1244" w:type="dxa"/>
                  <w:vAlign w:val="center"/>
                </w:tcPr>
                <w:p w14:paraId="35769A04">
                  <w:pPr>
                    <w:pStyle w:val="21"/>
                    <w:snapToGrid w:val="0"/>
                    <w:spacing w:beforeAutospacing="0" w:afterAutospacing="0" w:line="240" w:lineRule="exact"/>
                    <w:jc w:val="center"/>
                    <w:rPr>
                      <w:rFonts w:ascii="Times New Roman" w:hAnsi="Times New Roman" w:cs="Times New Roman"/>
                      <w:kern w:val="2"/>
                      <w:sz w:val="21"/>
                      <w:lang w:bidi="ar-SA"/>
                    </w:rPr>
                  </w:pPr>
                  <w:r>
                    <w:rPr>
                      <w:rFonts w:hint="eastAsia" w:ascii="Times New Roman" w:hAnsi="Times New Roman" w:cs="Times New Roman"/>
                      <w:sz w:val="21"/>
                      <w:szCs w:val="21"/>
                      <w:lang w:bidi="ar-SA"/>
                    </w:rPr>
                    <w:t>锌</w:t>
                  </w:r>
                </w:p>
              </w:tc>
              <w:tc>
                <w:tcPr>
                  <w:tcW w:w="1049" w:type="dxa"/>
                  <w:vAlign w:val="center"/>
                </w:tcPr>
                <w:p w14:paraId="21FF6405">
                  <w:pPr>
                    <w:pStyle w:val="38"/>
                    <w:rPr>
                      <w:rFonts w:hint="default"/>
                    </w:rPr>
                  </w:pPr>
                  <w:r>
                    <w:t>250</w:t>
                  </w:r>
                </w:p>
              </w:tc>
              <w:tc>
                <w:tcPr>
                  <w:tcW w:w="1379" w:type="dxa"/>
                  <w:vAlign w:val="center"/>
                </w:tcPr>
                <w:p w14:paraId="5DACE21D">
                  <w:pPr>
                    <w:widowControl/>
                    <w:jc w:val="center"/>
                    <w:textAlignment w:val="center"/>
                    <w:rPr>
                      <w:kern w:val="0"/>
                      <w:szCs w:val="21"/>
                    </w:rPr>
                  </w:pPr>
                  <w:r>
                    <w:rPr>
                      <w:rFonts w:hint="eastAsia"/>
                      <w:color w:val="000000"/>
                      <w:spacing w:val="-11"/>
                      <w:kern w:val="0"/>
                      <w:szCs w:val="21"/>
                      <w:lang w:bidi="ar"/>
                    </w:rPr>
                    <w:t>77</w:t>
                  </w:r>
                </w:p>
              </w:tc>
              <w:tc>
                <w:tcPr>
                  <w:tcW w:w="1182" w:type="dxa"/>
                  <w:vAlign w:val="center"/>
                </w:tcPr>
                <w:p w14:paraId="4C6B6B9E">
                  <w:pPr>
                    <w:pStyle w:val="38"/>
                    <w:rPr>
                      <w:rFonts w:hint="default"/>
                    </w:rPr>
                  </w:pPr>
                  <w:r>
                    <w:t>30.8</w:t>
                  </w:r>
                </w:p>
              </w:tc>
              <w:tc>
                <w:tcPr>
                  <w:tcW w:w="746" w:type="dxa"/>
                  <w:vAlign w:val="center"/>
                </w:tcPr>
                <w:p w14:paraId="500C7A9E">
                  <w:pPr>
                    <w:pStyle w:val="38"/>
                    <w:rPr>
                      <w:rFonts w:hint="default"/>
                    </w:rPr>
                  </w:pPr>
                  <w:r>
                    <w:t>0</w:t>
                  </w:r>
                </w:p>
              </w:tc>
              <w:tc>
                <w:tcPr>
                  <w:tcW w:w="711" w:type="dxa"/>
                  <w:vAlign w:val="center"/>
                </w:tcPr>
                <w:p w14:paraId="09C8E0A9">
                  <w:pPr>
                    <w:pStyle w:val="38"/>
                    <w:rPr>
                      <w:rFonts w:hint="default"/>
                    </w:rPr>
                  </w:pPr>
                  <w:r>
                    <w:t>达标</w:t>
                  </w:r>
                </w:p>
              </w:tc>
            </w:tr>
            <w:tr w14:paraId="4CED8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dxa"/>
                  <w:vMerge w:val="continue"/>
                </w:tcPr>
                <w:p w14:paraId="37A719F2">
                  <w:pPr>
                    <w:pStyle w:val="38"/>
                    <w:rPr>
                      <w:rFonts w:hint="default"/>
                    </w:rPr>
                  </w:pPr>
                </w:p>
              </w:tc>
              <w:tc>
                <w:tcPr>
                  <w:tcW w:w="1115" w:type="dxa"/>
                  <w:vMerge w:val="continue"/>
                </w:tcPr>
                <w:p w14:paraId="209B25DE">
                  <w:pPr>
                    <w:pStyle w:val="38"/>
                    <w:rPr>
                      <w:rFonts w:hint="default"/>
                    </w:rPr>
                  </w:pPr>
                </w:p>
              </w:tc>
              <w:tc>
                <w:tcPr>
                  <w:tcW w:w="1244" w:type="dxa"/>
                  <w:vAlign w:val="center"/>
                </w:tcPr>
                <w:p w14:paraId="7B087E07">
                  <w:pPr>
                    <w:pStyle w:val="21"/>
                    <w:snapToGrid w:val="0"/>
                    <w:spacing w:beforeAutospacing="0" w:afterAutospacing="0" w:line="240" w:lineRule="exact"/>
                    <w:jc w:val="center"/>
                    <w:rPr>
                      <w:rFonts w:hint="eastAsia"/>
                    </w:rPr>
                  </w:pPr>
                  <w:r>
                    <w:rPr>
                      <w:rFonts w:hint="eastAsia" w:ascii="Times New Roman" w:hAnsi="Times New Roman" w:cs="Times New Roman"/>
                      <w:sz w:val="21"/>
                      <w:szCs w:val="21"/>
                      <w:lang w:bidi="ar-SA"/>
                    </w:rPr>
                    <w:t>镍</w:t>
                  </w:r>
                </w:p>
              </w:tc>
              <w:tc>
                <w:tcPr>
                  <w:tcW w:w="1049" w:type="dxa"/>
                  <w:vAlign w:val="center"/>
                </w:tcPr>
                <w:p w14:paraId="0FD7BE38">
                  <w:pPr>
                    <w:pStyle w:val="38"/>
                    <w:rPr>
                      <w:rFonts w:hint="default"/>
                    </w:rPr>
                  </w:pPr>
                  <w:r>
                    <w:t>100</w:t>
                  </w:r>
                </w:p>
              </w:tc>
              <w:tc>
                <w:tcPr>
                  <w:tcW w:w="1379" w:type="dxa"/>
                  <w:vAlign w:val="center"/>
                </w:tcPr>
                <w:p w14:paraId="62A91E91">
                  <w:pPr>
                    <w:widowControl/>
                    <w:jc w:val="center"/>
                    <w:textAlignment w:val="center"/>
                  </w:pPr>
                  <w:r>
                    <w:rPr>
                      <w:rFonts w:hint="eastAsia"/>
                      <w:color w:val="000000"/>
                      <w:spacing w:val="-11"/>
                      <w:kern w:val="0"/>
                      <w:szCs w:val="21"/>
                      <w:lang w:bidi="ar"/>
                    </w:rPr>
                    <w:t>50</w:t>
                  </w:r>
                </w:p>
              </w:tc>
              <w:tc>
                <w:tcPr>
                  <w:tcW w:w="1182" w:type="dxa"/>
                  <w:vAlign w:val="center"/>
                </w:tcPr>
                <w:p w14:paraId="0D0691AC">
                  <w:pPr>
                    <w:pStyle w:val="38"/>
                    <w:rPr>
                      <w:rFonts w:hint="default"/>
                    </w:rPr>
                  </w:pPr>
                  <w:r>
                    <w:t>50</w:t>
                  </w:r>
                </w:p>
              </w:tc>
              <w:tc>
                <w:tcPr>
                  <w:tcW w:w="746" w:type="dxa"/>
                  <w:vAlign w:val="center"/>
                </w:tcPr>
                <w:p w14:paraId="500F23AA">
                  <w:pPr>
                    <w:pStyle w:val="38"/>
                    <w:rPr>
                      <w:rFonts w:hint="default"/>
                    </w:rPr>
                  </w:pPr>
                  <w:r>
                    <w:t>0</w:t>
                  </w:r>
                </w:p>
              </w:tc>
              <w:tc>
                <w:tcPr>
                  <w:tcW w:w="711" w:type="dxa"/>
                  <w:vAlign w:val="center"/>
                </w:tcPr>
                <w:p w14:paraId="6FD802BA">
                  <w:pPr>
                    <w:pStyle w:val="38"/>
                    <w:rPr>
                      <w:rFonts w:hint="default"/>
                    </w:rPr>
                  </w:pPr>
                  <w:r>
                    <w:t>达标</w:t>
                  </w:r>
                </w:p>
              </w:tc>
            </w:tr>
          </w:tbl>
          <w:p w14:paraId="508D658F">
            <w:pPr>
              <w:pStyle w:val="36"/>
              <w:ind w:firstLine="480"/>
              <w:rPr>
                <w:rFonts w:hint="default"/>
              </w:rPr>
            </w:pPr>
            <w:r>
              <w:rPr>
                <w:rFonts w:hint="default"/>
              </w:rPr>
              <w:t>从上表可知，项目所在</w:t>
            </w:r>
            <w:r>
              <w:t>河道沉积物</w:t>
            </w:r>
            <w:r>
              <w:rPr>
                <w:rFonts w:hint="default"/>
              </w:rPr>
              <w:t>满足</w:t>
            </w:r>
            <w:r>
              <w:rPr>
                <w:szCs w:val="21"/>
              </w:rPr>
              <w:t>《土壤环境质量农用地土壤污染风险管控标准（试行）》（GB15618-2018）表1相关要求，低于农用地土壤污染风险筛选值，沉积物还田后农产品质量安全、农作物生长或土壤生态环境风险低</w:t>
            </w:r>
            <w:r>
              <w:rPr>
                <w:rFonts w:hint="default"/>
              </w:rPr>
              <w:t>。</w:t>
            </w:r>
          </w:p>
        </w:tc>
      </w:tr>
      <w:tr w14:paraId="372F0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0" w:hRule="atLeast"/>
          <w:jc w:val="center"/>
        </w:trPr>
        <w:tc>
          <w:tcPr>
            <w:tcW w:w="771" w:type="dxa"/>
            <w:vAlign w:val="center"/>
          </w:tcPr>
          <w:p w14:paraId="09E698C2">
            <w:pPr>
              <w:jc w:val="center"/>
              <w:rPr>
                <w:sz w:val="24"/>
              </w:rPr>
            </w:pPr>
            <w:r>
              <w:rPr>
                <w:rFonts w:hint="eastAsia"/>
                <w:sz w:val="24"/>
              </w:rPr>
              <w:t>与项目有关的原有环境污染和生态破坏问题</w:t>
            </w:r>
          </w:p>
        </w:tc>
        <w:tc>
          <w:tcPr>
            <w:tcW w:w="8515" w:type="dxa"/>
            <w:vAlign w:val="center"/>
          </w:tcPr>
          <w:p w14:paraId="6E7EFFAC">
            <w:pPr>
              <w:spacing w:line="440" w:lineRule="exact"/>
              <w:ind w:firstLine="480" w:firstLineChars="200"/>
              <w:rPr>
                <w:sz w:val="24"/>
              </w:rPr>
            </w:pPr>
            <w:r>
              <w:rPr>
                <w:sz w:val="24"/>
              </w:rPr>
              <w:t>本项目为新建项目，位于四川省遂宁市大英县</w:t>
            </w:r>
            <w:r>
              <w:rPr>
                <w:rFonts w:hint="eastAsia"/>
                <w:sz w:val="24"/>
              </w:rPr>
              <w:t>金元</w:t>
            </w:r>
            <w:r>
              <w:rPr>
                <w:sz w:val="24"/>
              </w:rPr>
              <w:t>镇，根据现场踏勘，工程河段</w:t>
            </w:r>
            <w:r>
              <w:rPr>
                <w:rFonts w:hint="eastAsia"/>
                <w:sz w:val="24"/>
              </w:rPr>
              <w:t>护坡</w:t>
            </w:r>
            <w:r>
              <w:rPr>
                <w:sz w:val="24"/>
              </w:rPr>
              <w:t>现状已经出现多处破损、裂缝、空洞，岸坡基础存在垮塌风险，河道护脚由于面板较薄，基础埋深不足等情况，现状已无法满足防洪固岸要求</w:t>
            </w:r>
            <w:r>
              <w:rPr>
                <w:rFonts w:hint="eastAsia"/>
                <w:sz w:val="24"/>
              </w:rPr>
              <w:t>。</w:t>
            </w:r>
            <w:r>
              <w:rPr>
                <w:sz w:val="24"/>
              </w:rPr>
              <w:t>项目所在地不存在与本项目有关的原有污染问题。</w:t>
            </w:r>
          </w:p>
          <w:p w14:paraId="19236857">
            <w:pPr>
              <w:spacing w:line="440" w:lineRule="exact"/>
              <w:ind w:firstLine="480" w:firstLineChars="200"/>
              <w:rPr>
                <w:sz w:val="24"/>
              </w:rPr>
            </w:pPr>
            <w:r>
              <w:rPr>
                <w:sz w:val="24"/>
              </w:rPr>
              <w:t>本项目通过河道整治，改善了河段行洪条件，限制了两岸岸坡冲刷，有效解决河道淤积、水质污染、防洪排涝等问题，保证了岸坡稳定，减轻</w:t>
            </w:r>
            <w:r>
              <w:rPr>
                <w:rFonts w:hint="eastAsia"/>
                <w:sz w:val="24"/>
              </w:rPr>
              <w:t>了</w:t>
            </w:r>
            <w:r>
              <w:rPr>
                <w:sz w:val="24"/>
              </w:rPr>
              <w:t>人类生产活动和自然过程对</w:t>
            </w:r>
            <w:r>
              <w:rPr>
                <w:rFonts w:hint="eastAsia"/>
                <w:sz w:val="24"/>
              </w:rPr>
              <w:t>金水河</w:t>
            </w:r>
            <w:r>
              <w:rPr>
                <w:sz w:val="24"/>
              </w:rPr>
              <w:t>干扰破坏，保护水资源，完善了大英县防洪、灌溉体系，促进了当地社会经济的发展。</w:t>
            </w:r>
          </w:p>
          <w:p w14:paraId="7E669902">
            <w:pPr>
              <w:spacing w:line="440" w:lineRule="exact"/>
              <w:ind w:firstLine="480" w:firstLineChars="200"/>
              <w:rPr>
                <w:sz w:val="24"/>
              </w:rPr>
            </w:pPr>
            <w:r>
              <w:rPr>
                <w:sz w:val="24"/>
              </w:rPr>
              <w:t>项目工程区</w:t>
            </w:r>
            <w:r>
              <w:rPr>
                <w:rFonts w:hint="eastAsia"/>
                <w:sz w:val="24"/>
              </w:rPr>
              <w:t>现状</w:t>
            </w:r>
            <w:r>
              <w:rPr>
                <w:sz w:val="24"/>
              </w:rPr>
              <w:t>情况见下图：</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9"/>
              <w:gridCol w:w="4150"/>
            </w:tblGrid>
            <w:tr w14:paraId="7FC09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4" w:hRule="atLeast"/>
              </w:trPr>
              <w:tc>
                <w:tcPr>
                  <w:tcW w:w="4149" w:type="dxa"/>
                </w:tcPr>
                <w:p w14:paraId="4108E5E6">
                  <w:pPr>
                    <w:rPr>
                      <w:szCs w:val="21"/>
                    </w:rPr>
                  </w:pPr>
                  <w:r>
                    <w:drawing>
                      <wp:inline distT="0" distB="0" distL="0" distR="0">
                        <wp:extent cx="2548890" cy="1931035"/>
                        <wp:effectExtent l="0" t="0" r="0" b="0"/>
                        <wp:docPr id="5934347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34723" name="图片 1"/>
                                <pic:cNvPicPr>
                                  <a:picLocks noChangeAspect="1"/>
                                </pic:cNvPicPr>
                              </pic:nvPicPr>
                              <pic:blipFill>
                                <a:blip r:embed="rId33"/>
                                <a:srcRect t="14627"/>
                                <a:stretch>
                                  <a:fillRect/>
                                </a:stretch>
                              </pic:blipFill>
                              <pic:spPr>
                                <a:xfrm>
                                  <a:off x="0" y="0"/>
                                  <a:ext cx="2548890" cy="1931035"/>
                                </a:xfrm>
                                <a:prstGeom prst="rect">
                                  <a:avLst/>
                                </a:prstGeom>
                              </pic:spPr>
                            </pic:pic>
                          </a:graphicData>
                        </a:graphic>
                      </wp:inline>
                    </w:drawing>
                  </w:r>
                </w:p>
              </w:tc>
              <w:tc>
                <w:tcPr>
                  <w:tcW w:w="4150" w:type="dxa"/>
                </w:tcPr>
                <w:p w14:paraId="0D689248">
                  <w:pPr>
                    <w:rPr>
                      <w:szCs w:val="21"/>
                    </w:rPr>
                  </w:pPr>
                  <w:r>
                    <w:rPr>
                      <w:rFonts w:hint="eastAsia"/>
                      <w:szCs w:val="21"/>
                    </w:rPr>
                    <w:drawing>
                      <wp:inline distT="0" distB="0" distL="114300" distR="114300">
                        <wp:extent cx="2534285" cy="1900555"/>
                        <wp:effectExtent l="0" t="0" r="18415" b="4445"/>
                        <wp:docPr id="35" name="图片 35" descr="拆除危桥现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拆除危桥现状1"/>
                                <pic:cNvPicPr>
                                  <a:picLocks noChangeAspect="1"/>
                                </pic:cNvPicPr>
                              </pic:nvPicPr>
                              <pic:blipFill>
                                <a:blip r:embed="rId34"/>
                                <a:stretch>
                                  <a:fillRect/>
                                </a:stretch>
                              </pic:blipFill>
                              <pic:spPr>
                                <a:xfrm>
                                  <a:off x="0" y="0"/>
                                  <a:ext cx="2534285" cy="1900555"/>
                                </a:xfrm>
                                <a:prstGeom prst="rect">
                                  <a:avLst/>
                                </a:prstGeom>
                              </pic:spPr>
                            </pic:pic>
                          </a:graphicData>
                        </a:graphic>
                      </wp:inline>
                    </w:drawing>
                  </w:r>
                </w:p>
              </w:tc>
            </w:tr>
            <w:tr w14:paraId="1372A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9" w:type="dxa"/>
                </w:tcPr>
                <w:p w14:paraId="19D22FFF">
                  <w:pPr>
                    <w:pStyle w:val="46"/>
                    <w:spacing w:after="156"/>
                    <w:rPr>
                      <w:rFonts w:hint="default"/>
                    </w:rPr>
                  </w:pPr>
                  <w:r>
                    <w:t>基础破碎段现状图</w:t>
                  </w:r>
                </w:p>
              </w:tc>
              <w:tc>
                <w:tcPr>
                  <w:tcW w:w="4150" w:type="dxa"/>
                </w:tcPr>
                <w:p w14:paraId="2F881AA3">
                  <w:pPr>
                    <w:pStyle w:val="46"/>
                    <w:spacing w:after="156"/>
                    <w:rPr>
                      <w:rFonts w:hint="default"/>
                    </w:rPr>
                  </w:pPr>
                  <w:r>
                    <w:t>工程拆除危桥现状图</w:t>
                  </w:r>
                </w:p>
              </w:tc>
            </w:tr>
            <w:tr w14:paraId="42DC1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9" w:type="dxa"/>
                </w:tcPr>
                <w:p w14:paraId="2F7AAA91">
                  <w:pPr>
                    <w:rPr>
                      <w:szCs w:val="21"/>
                    </w:rPr>
                  </w:pPr>
                  <w:r>
                    <w:drawing>
                      <wp:inline distT="0" distB="0" distL="0" distR="0">
                        <wp:extent cx="2564765" cy="1836420"/>
                        <wp:effectExtent l="0" t="0" r="6985" b="11430"/>
                        <wp:docPr id="7368523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52359" name="图片 1"/>
                                <pic:cNvPicPr>
                                  <a:picLocks noChangeAspect="1"/>
                                </pic:cNvPicPr>
                              </pic:nvPicPr>
                              <pic:blipFill>
                                <a:blip r:embed="rId35"/>
                                <a:stretch>
                                  <a:fillRect/>
                                </a:stretch>
                              </pic:blipFill>
                              <pic:spPr>
                                <a:xfrm>
                                  <a:off x="0" y="0"/>
                                  <a:ext cx="2564765" cy="1836420"/>
                                </a:xfrm>
                                <a:prstGeom prst="rect">
                                  <a:avLst/>
                                </a:prstGeom>
                              </pic:spPr>
                            </pic:pic>
                          </a:graphicData>
                        </a:graphic>
                      </wp:inline>
                    </w:drawing>
                  </w:r>
                </w:p>
              </w:tc>
              <w:tc>
                <w:tcPr>
                  <w:tcW w:w="4150" w:type="dxa"/>
                </w:tcPr>
                <w:p w14:paraId="0FEE450F">
                  <w:pPr>
                    <w:rPr>
                      <w:szCs w:val="21"/>
                    </w:rPr>
                  </w:pPr>
                  <w:r>
                    <w:drawing>
                      <wp:inline distT="0" distB="0" distL="0" distR="0">
                        <wp:extent cx="2526030" cy="1856740"/>
                        <wp:effectExtent l="0" t="0" r="7620" b="10160"/>
                        <wp:docPr id="15339468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946832" name="图片 1"/>
                                <pic:cNvPicPr>
                                  <a:picLocks noChangeAspect="1"/>
                                </pic:cNvPicPr>
                              </pic:nvPicPr>
                              <pic:blipFill>
                                <a:blip r:embed="rId36"/>
                                <a:stretch>
                                  <a:fillRect/>
                                </a:stretch>
                              </pic:blipFill>
                              <pic:spPr>
                                <a:xfrm>
                                  <a:off x="0" y="0"/>
                                  <a:ext cx="2526030" cy="1856740"/>
                                </a:xfrm>
                                <a:prstGeom prst="rect">
                                  <a:avLst/>
                                </a:prstGeom>
                              </pic:spPr>
                            </pic:pic>
                          </a:graphicData>
                        </a:graphic>
                      </wp:inline>
                    </w:drawing>
                  </w:r>
                </w:p>
              </w:tc>
            </w:tr>
            <w:tr w14:paraId="70D40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9" w:type="dxa"/>
                </w:tcPr>
                <w:p w14:paraId="103B8DFE">
                  <w:pPr>
                    <w:pStyle w:val="46"/>
                    <w:spacing w:after="156"/>
                    <w:rPr>
                      <w:rFonts w:hint="default"/>
                    </w:rPr>
                  </w:pPr>
                  <w:r>
                    <w:t>金溪桥下游现状图</w:t>
                  </w:r>
                </w:p>
              </w:tc>
              <w:tc>
                <w:tcPr>
                  <w:tcW w:w="4150" w:type="dxa"/>
                </w:tcPr>
                <w:p w14:paraId="57C30CEF">
                  <w:pPr>
                    <w:pStyle w:val="46"/>
                    <w:spacing w:after="156"/>
                    <w:rPr>
                      <w:rFonts w:hint="default"/>
                    </w:rPr>
                  </w:pPr>
                  <w:r>
                    <w:t>护脚破损现状图</w:t>
                  </w:r>
                </w:p>
              </w:tc>
            </w:tr>
            <w:tr w14:paraId="49EE7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9" w:type="dxa"/>
                </w:tcPr>
                <w:p w14:paraId="11301803">
                  <w:pPr>
                    <w:rPr>
                      <w:szCs w:val="21"/>
                    </w:rPr>
                  </w:pPr>
                  <w:r>
                    <w:rPr>
                      <w:rFonts w:hint="eastAsia"/>
                      <w:szCs w:val="21"/>
                    </w:rPr>
                    <w:drawing>
                      <wp:inline distT="0" distB="0" distL="114300" distR="114300">
                        <wp:extent cx="2466975" cy="3289300"/>
                        <wp:effectExtent l="0" t="0" r="9525" b="6350"/>
                        <wp:docPr id="37" name="图片 37" descr="堰改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堰改闸2"/>
                                <pic:cNvPicPr>
                                  <a:picLocks noChangeAspect="1"/>
                                </pic:cNvPicPr>
                              </pic:nvPicPr>
                              <pic:blipFill>
                                <a:blip r:embed="rId37"/>
                                <a:stretch>
                                  <a:fillRect/>
                                </a:stretch>
                              </pic:blipFill>
                              <pic:spPr>
                                <a:xfrm>
                                  <a:off x="0" y="0"/>
                                  <a:ext cx="2466975" cy="3289300"/>
                                </a:xfrm>
                                <a:prstGeom prst="rect">
                                  <a:avLst/>
                                </a:prstGeom>
                              </pic:spPr>
                            </pic:pic>
                          </a:graphicData>
                        </a:graphic>
                      </wp:inline>
                    </w:drawing>
                  </w:r>
                </w:p>
              </w:tc>
              <w:tc>
                <w:tcPr>
                  <w:tcW w:w="4150" w:type="dxa"/>
                </w:tcPr>
                <w:p w14:paraId="7D15D738">
                  <w:pPr>
                    <w:rPr>
                      <w:szCs w:val="21"/>
                    </w:rPr>
                  </w:pPr>
                  <w:r>
                    <w:rPr>
                      <w:rFonts w:hint="eastAsia"/>
                      <w:szCs w:val="21"/>
                    </w:rPr>
                    <w:drawing>
                      <wp:inline distT="0" distB="0" distL="114300" distR="114300">
                        <wp:extent cx="2466975" cy="3289300"/>
                        <wp:effectExtent l="0" t="0" r="9525" b="6350"/>
                        <wp:docPr id="36" name="图片 36" descr="河道边现状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河道边现状8"/>
                                <pic:cNvPicPr>
                                  <a:picLocks noChangeAspect="1"/>
                                </pic:cNvPicPr>
                              </pic:nvPicPr>
                              <pic:blipFill>
                                <a:blip r:embed="rId38"/>
                                <a:stretch>
                                  <a:fillRect/>
                                </a:stretch>
                              </pic:blipFill>
                              <pic:spPr>
                                <a:xfrm>
                                  <a:off x="0" y="0"/>
                                  <a:ext cx="2466975" cy="3289300"/>
                                </a:xfrm>
                                <a:prstGeom prst="rect">
                                  <a:avLst/>
                                </a:prstGeom>
                              </pic:spPr>
                            </pic:pic>
                          </a:graphicData>
                        </a:graphic>
                      </wp:inline>
                    </w:drawing>
                  </w:r>
                </w:p>
              </w:tc>
            </w:tr>
            <w:tr w14:paraId="34C8E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9" w:type="dxa"/>
                </w:tcPr>
                <w:p w14:paraId="5D8BD06F">
                  <w:pPr>
                    <w:pStyle w:val="46"/>
                    <w:spacing w:after="156"/>
                    <w:rPr>
                      <w:rFonts w:hint="default"/>
                    </w:rPr>
                  </w:pPr>
                  <w:r>
                    <w:t>工程堰改闸现状图</w:t>
                  </w:r>
                </w:p>
              </w:tc>
              <w:tc>
                <w:tcPr>
                  <w:tcW w:w="4150" w:type="dxa"/>
                </w:tcPr>
                <w:p w14:paraId="57C8288F">
                  <w:pPr>
                    <w:pStyle w:val="46"/>
                    <w:spacing w:after="156"/>
                    <w:rPr>
                      <w:rFonts w:hint="default"/>
                    </w:rPr>
                  </w:pPr>
                  <w:r>
                    <w:t>河道现状图</w:t>
                  </w:r>
                </w:p>
              </w:tc>
            </w:tr>
          </w:tbl>
          <w:p w14:paraId="1A75E06A">
            <w:pPr>
              <w:spacing w:line="440" w:lineRule="exact"/>
              <w:ind w:firstLine="480" w:firstLineChars="200"/>
              <w:rPr>
                <w:sz w:val="24"/>
              </w:rPr>
            </w:pPr>
          </w:p>
        </w:tc>
      </w:tr>
      <w:tr w14:paraId="5D0F0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0" w:hRule="atLeast"/>
          <w:jc w:val="center"/>
        </w:trPr>
        <w:tc>
          <w:tcPr>
            <w:tcW w:w="771" w:type="dxa"/>
            <w:vAlign w:val="center"/>
          </w:tcPr>
          <w:p w14:paraId="21E9FBD7">
            <w:pPr>
              <w:jc w:val="center"/>
              <w:rPr>
                <w:sz w:val="24"/>
              </w:rPr>
            </w:pPr>
            <w:r>
              <w:rPr>
                <w:sz w:val="24"/>
              </w:rPr>
              <w:t>环境保护目标</w:t>
            </w:r>
          </w:p>
        </w:tc>
        <w:tc>
          <w:tcPr>
            <w:tcW w:w="8515" w:type="dxa"/>
            <w:vAlign w:val="center"/>
          </w:tcPr>
          <w:p w14:paraId="286F1D6E">
            <w:pPr>
              <w:pStyle w:val="4"/>
              <w:numPr>
                <w:ilvl w:val="0"/>
                <w:numId w:val="0"/>
              </w:numPr>
              <w:ind w:left="425" w:hanging="425"/>
            </w:pPr>
            <w:r>
              <w:t>1、</w:t>
            </w:r>
            <w:r>
              <w:rPr>
                <w:rFonts w:hint="eastAsia"/>
              </w:rPr>
              <w:t>大气环境</w:t>
            </w:r>
          </w:p>
          <w:p w14:paraId="49C8D2E3">
            <w:pPr>
              <w:pStyle w:val="36"/>
              <w:ind w:firstLine="480"/>
              <w:rPr>
                <w:rFonts w:hint="default"/>
              </w:rPr>
            </w:pPr>
            <w:r>
              <w:t>本项目位于金元镇场镇内，人口较为紧密，环境空气保护目标为工程区外500m范围内的敏感点、居民，其中紧邻河道右岸的金元镇居民约65户，150人；紧邻河道左岸的金元小学、汽修厂、金元派出所、金元镇幼儿园，合计约100人；河道南侧70m的金元镇居民约120户，300人；河道南侧150m的金山公园住户3户，约6人；河道南侧200m的马家沟住户2户，约4人；河道东南侧150m的金宝村住户15户，约40人；河道东侧450m的胡家小沟住户8户，约20人；河道东侧350m的竹子田坎住户18户，约50人；河道北侧紧邻河道终点金元堰的干湾住户6户，约15人；河道北侧170m的邓家湾住户20户，约50人；河道北侧200m的坟山湾住户3户，约6人；河道西北侧450m的李家湾住户9户，约20人；河道西南侧400m的夏家湾住户8户，约20人。</w:t>
            </w:r>
          </w:p>
          <w:p w14:paraId="384F24B5">
            <w:pPr>
              <w:pStyle w:val="36"/>
              <w:ind w:firstLine="480"/>
              <w:rPr>
                <w:rFonts w:hint="default"/>
              </w:rPr>
            </w:pPr>
            <w:r>
              <w:t>建设项目评价区内的环境空气质量达到《环境空气质量标准》（GB3095-2012）二级标准。</w:t>
            </w:r>
          </w:p>
          <w:p w14:paraId="4F401037">
            <w:pPr>
              <w:pStyle w:val="4"/>
              <w:numPr>
                <w:ilvl w:val="0"/>
                <w:numId w:val="0"/>
              </w:numPr>
              <w:ind w:left="425" w:hanging="425"/>
            </w:pPr>
            <w:r>
              <w:t>2、</w:t>
            </w:r>
            <w:r>
              <w:rPr>
                <w:rFonts w:hint="eastAsia"/>
              </w:rPr>
              <w:t>地表水环境</w:t>
            </w:r>
          </w:p>
          <w:p w14:paraId="67BAED5D">
            <w:pPr>
              <w:pStyle w:val="36"/>
              <w:ind w:firstLine="480"/>
              <w:rPr>
                <w:rFonts w:hint="default"/>
              </w:rPr>
            </w:pPr>
            <w:r>
              <w:t>本项目施工废水自然蒸发，不流入河流，运营期不产生废水。本项目涉及河流为治理河道的金水河和胜利溪，地表水环境达到《地表水环境质量标准》（GB3838-2002）</w:t>
            </w:r>
            <w:r>
              <w:rPr>
                <w:rFonts w:hint="default"/>
              </w:rPr>
              <w:t>Ⅲ</w:t>
            </w:r>
            <w:r>
              <w:t>类水域标准要求。</w:t>
            </w:r>
          </w:p>
          <w:p w14:paraId="0930EB65">
            <w:pPr>
              <w:pStyle w:val="4"/>
              <w:numPr>
                <w:ilvl w:val="0"/>
                <w:numId w:val="0"/>
              </w:numPr>
              <w:ind w:left="425" w:hanging="425"/>
            </w:pPr>
            <w:r>
              <w:t>3、</w:t>
            </w:r>
            <w:r>
              <w:rPr>
                <w:rFonts w:hint="eastAsia"/>
              </w:rPr>
              <w:t>声环境</w:t>
            </w:r>
          </w:p>
          <w:p w14:paraId="34C336AB">
            <w:pPr>
              <w:pStyle w:val="36"/>
              <w:ind w:firstLine="480"/>
              <w:rPr>
                <w:rFonts w:hint="default"/>
              </w:rPr>
            </w:pPr>
            <w:r>
              <w:rPr>
                <w:rFonts w:hint="default"/>
              </w:rPr>
              <w:t>本项目厂界外50m范围内</w:t>
            </w:r>
            <w:r>
              <w:t>为</w:t>
            </w:r>
            <w:r>
              <w:rPr>
                <w:rFonts w:hint="default"/>
              </w:rPr>
              <w:t>声环境保护目标。</w:t>
            </w:r>
            <w:r>
              <w:t>区域噪声应达到《声环境质量标准》（GB3096-2008）2类标准要求。</w:t>
            </w:r>
          </w:p>
          <w:p w14:paraId="401501B5">
            <w:pPr>
              <w:pStyle w:val="4"/>
              <w:numPr>
                <w:ilvl w:val="0"/>
                <w:numId w:val="0"/>
              </w:numPr>
              <w:ind w:left="425" w:hanging="425"/>
            </w:pPr>
            <w:r>
              <w:t>4、</w:t>
            </w:r>
            <w:r>
              <w:rPr>
                <w:rFonts w:hint="eastAsia"/>
              </w:rPr>
              <w:t>生态环境</w:t>
            </w:r>
          </w:p>
          <w:p w14:paraId="00EF5074">
            <w:pPr>
              <w:autoSpaceDE w:val="0"/>
              <w:autoSpaceDN w:val="0"/>
              <w:adjustRightInd w:val="0"/>
              <w:snapToGrid w:val="0"/>
              <w:spacing w:line="440" w:lineRule="exact"/>
              <w:ind w:firstLine="480" w:firstLineChars="200"/>
              <w:rPr>
                <w:sz w:val="24"/>
              </w:rPr>
            </w:pPr>
            <w:r>
              <w:rPr>
                <w:rFonts w:hint="eastAsia"/>
                <w:sz w:val="24"/>
              </w:rPr>
              <w:t>本项目生态环境保护目标为项目用地范围及外延500m范围内，以不破坏区域内生态系统完整性为标准，控制和减轻由项目建设对地表植被和土壤的破坏而造成的水土流失、保护地表植被。</w:t>
            </w:r>
          </w:p>
          <w:p w14:paraId="77EE217E">
            <w:pPr>
              <w:pStyle w:val="36"/>
              <w:ind w:firstLine="480"/>
              <w:rPr>
                <w:rFonts w:hint="default"/>
              </w:rPr>
            </w:pPr>
            <w:r>
              <w:t>根据现场调查，项目周边不涉及自然保护区、森林公园、风景名胜区、珍稀濒危动植物保护区、集中式饮用水源保护区以及鱼类“三场”等敏感区域，本项目周边主要为工程河段沿线居民，项目外环境简单</w:t>
            </w:r>
            <w:r>
              <w:rPr>
                <w:rFonts w:hint="default"/>
              </w:rPr>
              <w:t>。</w:t>
            </w:r>
          </w:p>
          <w:p w14:paraId="0587D730">
            <w:pPr>
              <w:pStyle w:val="4"/>
              <w:numPr>
                <w:ilvl w:val="0"/>
                <w:numId w:val="0"/>
              </w:numPr>
              <w:ind w:left="425" w:hanging="425"/>
            </w:pPr>
            <w:r>
              <w:t>5、</w:t>
            </w:r>
            <w:r>
              <w:rPr>
                <w:rFonts w:hint="eastAsia"/>
              </w:rPr>
              <w:t>地下水环境</w:t>
            </w:r>
          </w:p>
          <w:p w14:paraId="4757078E">
            <w:pPr>
              <w:pStyle w:val="36"/>
              <w:ind w:firstLine="480"/>
              <w:rPr>
                <w:rFonts w:hint="default"/>
              </w:rPr>
            </w:pPr>
            <w:r>
              <w:rPr>
                <w:rFonts w:hint="default"/>
              </w:rPr>
              <w:t>本项目</w:t>
            </w:r>
            <w:r>
              <w:t>工程区</w:t>
            </w:r>
            <w:r>
              <w:rPr>
                <w:rFonts w:hint="default"/>
              </w:rPr>
              <w:t>外500m范围内无地下水集中式饮用水水源和热水、矿泉水、温泉等特殊地下水资源。</w:t>
            </w:r>
          </w:p>
          <w:p w14:paraId="70C9B87C">
            <w:pPr>
              <w:pStyle w:val="36"/>
              <w:ind w:firstLine="480"/>
              <w:rPr>
                <w:rFonts w:hint="default"/>
              </w:rPr>
            </w:pPr>
            <w:r>
              <w:t>本项目环境保护目标见下表。</w:t>
            </w:r>
          </w:p>
          <w:p w14:paraId="05B76E74">
            <w:pPr>
              <w:pStyle w:val="47"/>
              <w:numPr>
                <w:ilvl w:val="0"/>
                <w:numId w:val="26"/>
              </w:numPr>
              <w:spacing w:before="156"/>
            </w:pPr>
            <w:r>
              <w:rPr>
                <w:rFonts w:hint="eastAsia"/>
              </w:rPr>
              <w:t>环境保护目标一览表</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758"/>
              <w:gridCol w:w="733"/>
              <w:gridCol w:w="759"/>
              <w:gridCol w:w="1704"/>
              <w:gridCol w:w="2565"/>
            </w:tblGrid>
            <w:tr w14:paraId="78C27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Merge w:val="restart"/>
                  <w:vAlign w:val="center"/>
                </w:tcPr>
                <w:p w14:paraId="6914FFED">
                  <w:pPr>
                    <w:pStyle w:val="38"/>
                    <w:rPr>
                      <w:rFonts w:hint="default" w:eastAsia="黑体"/>
                      <w:b/>
                      <w:bCs/>
                    </w:rPr>
                  </w:pPr>
                  <w:r>
                    <w:rPr>
                      <w:rFonts w:eastAsia="黑体"/>
                      <w:b/>
                      <w:bCs/>
                    </w:rPr>
                    <w:t>环境要素</w:t>
                  </w:r>
                </w:p>
              </w:tc>
              <w:tc>
                <w:tcPr>
                  <w:tcW w:w="1060" w:type="pct"/>
                  <w:vMerge w:val="restart"/>
                  <w:vAlign w:val="center"/>
                </w:tcPr>
                <w:p w14:paraId="65AB123E">
                  <w:pPr>
                    <w:pStyle w:val="38"/>
                    <w:rPr>
                      <w:rFonts w:hint="default" w:eastAsia="黑体"/>
                      <w:b/>
                      <w:bCs/>
                    </w:rPr>
                  </w:pPr>
                  <w:r>
                    <w:rPr>
                      <w:rFonts w:eastAsia="黑体"/>
                      <w:b/>
                      <w:bCs/>
                    </w:rPr>
                    <w:t>主要保护目标</w:t>
                  </w:r>
                </w:p>
              </w:tc>
              <w:tc>
                <w:tcPr>
                  <w:tcW w:w="442" w:type="pct"/>
                  <w:vMerge w:val="restart"/>
                  <w:vAlign w:val="center"/>
                </w:tcPr>
                <w:p w14:paraId="6EE7CAFC">
                  <w:pPr>
                    <w:pStyle w:val="38"/>
                    <w:rPr>
                      <w:rFonts w:hint="default" w:eastAsia="黑体"/>
                      <w:b/>
                      <w:bCs/>
                    </w:rPr>
                  </w:pPr>
                  <w:r>
                    <w:rPr>
                      <w:rFonts w:eastAsia="黑体"/>
                      <w:b/>
                      <w:bCs/>
                    </w:rPr>
                    <w:t>方位</w:t>
                  </w:r>
                </w:p>
              </w:tc>
              <w:tc>
                <w:tcPr>
                  <w:tcW w:w="457" w:type="pct"/>
                  <w:vMerge w:val="restart"/>
                  <w:vAlign w:val="center"/>
                </w:tcPr>
                <w:p w14:paraId="4D63060E">
                  <w:pPr>
                    <w:pStyle w:val="38"/>
                    <w:rPr>
                      <w:rFonts w:hint="default" w:eastAsia="黑体"/>
                      <w:b/>
                      <w:bCs/>
                    </w:rPr>
                  </w:pPr>
                  <w:r>
                    <w:rPr>
                      <w:rFonts w:eastAsia="黑体"/>
                      <w:b/>
                      <w:bCs/>
                    </w:rPr>
                    <w:t>距离</w:t>
                  </w:r>
                </w:p>
              </w:tc>
              <w:tc>
                <w:tcPr>
                  <w:tcW w:w="1028" w:type="pct"/>
                  <w:vMerge w:val="restart"/>
                  <w:vAlign w:val="center"/>
                </w:tcPr>
                <w:p w14:paraId="6AEC1F20">
                  <w:pPr>
                    <w:pStyle w:val="38"/>
                    <w:rPr>
                      <w:rFonts w:hint="default" w:eastAsia="黑体"/>
                      <w:b/>
                      <w:bCs/>
                    </w:rPr>
                  </w:pPr>
                  <w:r>
                    <w:rPr>
                      <w:rFonts w:eastAsia="黑体"/>
                      <w:b/>
                      <w:bCs/>
                    </w:rPr>
                    <w:t>受影响规模</w:t>
                  </w:r>
                </w:p>
              </w:tc>
              <w:tc>
                <w:tcPr>
                  <w:tcW w:w="1546" w:type="pct"/>
                  <w:vMerge w:val="restart"/>
                  <w:vAlign w:val="center"/>
                </w:tcPr>
                <w:p w14:paraId="7F72F8DF">
                  <w:pPr>
                    <w:pStyle w:val="38"/>
                    <w:rPr>
                      <w:rFonts w:hint="default" w:eastAsia="黑体"/>
                      <w:b/>
                      <w:bCs/>
                    </w:rPr>
                  </w:pPr>
                  <w:r>
                    <w:rPr>
                      <w:rFonts w:eastAsia="黑体"/>
                      <w:b/>
                      <w:bCs/>
                    </w:rPr>
                    <w:t>保护级别</w:t>
                  </w:r>
                </w:p>
              </w:tc>
            </w:tr>
            <w:tr w14:paraId="69C45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Merge w:val="continue"/>
                  <w:vAlign w:val="center"/>
                </w:tcPr>
                <w:p w14:paraId="56B8432E">
                  <w:pPr>
                    <w:pStyle w:val="38"/>
                    <w:rPr>
                      <w:rFonts w:hint="default"/>
                    </w:rPr>
                  </w:pPr>
                </w:p>
              </w:tc>
              <w:tc>
                <w:tcPr>
                  <w:tcW w:w="1060" w:type="pct"/>
                  <w:vMerge w:val="continue"/>
                  <w:vAlign w:val="center"/>
                </w:tcPr>
                <w:p w14:paraId="75F60E0E">
                  <w:pPr>
                    <w:pStyle w:val="38"/>
                    <w:rPr>
                      <w:rFonts w:hint="default"/>
                    </w:rPr>
                  </w:pPr>
                </w:p>
              </w:tc>
              <w:tc>
                <w:tcPr>
                  <w:tcW w:w="442" w:type="pct"/>
                  <w:vMerge w:val="continue"/>
                  <w:vAlign w:val="center"/>
                </w:tcPr>
                <w:p w14:paraId="7B8620D3">
                  <w:pPr>
                    <w:pStyle w:val="38"/>
                    <w:rPr>
                      <w:rFonts w:hint="default"/>
                    </w:rPr>
                  </w:pPr>
                </w:p>
              </w:tc>
              <w:tc>
                <w:tcPr>
                  <w:tcW w:w="457" w:type="pct"/>
                  <w:vMerge w:val="continue"/>
                  <w:vAlign w:val="center"/>
                </w:tcPr>
                <w:p w14:paraId="63A634AA">
                  <w:pPr>
                    <w:pStyle w:val="38"/>
                    <w:rPr>
                      <w:rFonts w:hint="default"/>
                    </w:rPr>
                  </w:pPr>
                </w:p>
              </w:tc>
              <w:tc>
                <w:tcPr>
                  <w:tcW w:w="1028" w:type="pct"/>
                  <w:vMerge w:val="continue"/>
                  <w:vAlign w:val="center"/>
                </w:tcPr>
                <w:p w14:paraId="7A3F3AE4">
                  <w:pPr>
                    <w:pStyle w:val="38"/>
                    <w:rPr>
                      <w:rFonts w:hint="default"/>
                    </w:rPr>
                  </w:pPr>
                </w:p>
              </w:tc>
              <w:tc>
                <w:tcPr>
                  <w:tcW w:w="1546" w:type="pct"/>
                  <w:vMerge w:val="continue"/>
                  <w:vAlign w:val="center"/>
                </w:tcPr>
                <w:p w14:paraId="66C33490">
                  <w:pPr>
                    <w:pStyle w:val="38"/>
                    <w:rPr>
                      <w:rFonts w:hint="default"/>
                    </w:rPr>
                  </w:pPr>
                </w:p>
              </w:tc>
            </w:tr>
            <w:tr w14:paraId="4F3E9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Merge w:val="restart"/>
                  <w:vAlign w:val="center"/>
                </w:tcPr>
                <w:p w14:paraId="2D176241">
                  <w:pPr>
                    <w:pStyle w:val="38"/>
                    <w:rPr>
                      <w:rFonts w:hint="default"/>
                    </w:rPr>
                  </w:pPr>
                  <w:r>
                    <w:t>大气环境</w:t>
                  </w:r>
                </w:p>
              </w:tc>
              <w:tc>
                <w:tcPr>
                  <w:tcW w:w="1060" w:type="pct"/>
                  <w:vAlign w:val="center"/>
                </w:tcPr>
                <w:p w14:paraId="7521199F">
                  <w:pPr>
                    <w:pStyle w:val="38"/>
                    <w:rPr>
                      <w:rFonts w:hint="default"/>
                    </w:rPr>
                  </w:pPr>
                  <w:r>
                    <w:rPr>
                      <w:rFonts w:ascii="宋体" w:hAnsi="宋体" w:cs="宋体"/>
                      <w:kern w:val="2"/>
                      <w:lang w:bidi="ar"/>
                    </w:rPr>
                    <w:t>金元镇居民</w:t>
                  </w:r>
                </w:p>
              </w:tc>
              <w:tc>
                <w:tcPr>
                  <w:tcW w:w="442" w:type="pct"/>
                  <w:vAlign w:val="center"/>
                </w:tcPr>
                <w:p w14:paraId="11E0E9F1">
                  <w:pPr>
                    <w:pStyle w:val="38"/>
                    <w:rPr>
                      <w:rFonts w:hint="default"/>
                    </w:rPr>
                  </w:pPr>
                  <w:r>
                    <w:rPr>
                      <w:rFonts w:ascii="宋体" w:hAnsi="宋体" w:cs="宋体"/>
                      <w:kern w:val="2"/>
                      <w:lang w:bidi="ar"/>
                    </w:rPr>
                    <w:t>右岸</w:t>
                  </w:r>
                </w:p>
              </w:tc>
              <w:tc>
                <w:tcPr>
                  <w:tcW w:w="457" w:type="pct"/>
                  <w:vAlign w:val="center"/>
                </w:tcPr>
                <w:p w14:paraId="7C7B7BB8">
                  <w:pPr>
                    <w:pStyle w:val="38"/>
                    <w:rPr>
                      <w:rFonts w:hint="default"/>
                    </w:rPr>
                  </w:pPr>
                  <w:r>
                    <w:rPr>
                      <w:rFonts w:ascii="宋体" w:hAnsi="宋体" w:cs="宋体"/>
                      <w:kern w:val="2"/>
                      <w:lang w:bidi="ar"/>
                    </w:rPr>
                    <w:t>紧邻</w:t>
                  </w:r>
                </w:p>
              </w:tc>
              <w:tc>
                <w:tcPr>
                  <w:tcW w:w="1028" w:type="pct"/>
                  <w:vAlign w:val="center"/>
                </w:tcPr>
                <w:p w14:paraId="28463263">
                  <w:pPr>
                    <w:pStyle w:val="38"/>
                    <w:rPr>
                      <w:rFonts w:hint="default"/>
                    </w:rPr>
                  </w:pPr>
                  <w:r>
                    <w:rPr>
                      <w:rFonts w:ascii="宋体" w:hAnsi="宋体" w:cs="宋体"/>
                      <w:kern w:val="2"/>
                      <w:lang w:bidi="ar"/>
                    </w:rPr>
                    <w:t>约65户，150人</w:t>
                  </w:r>
                </w:p>
              </w:tc>
              <w:tc>
                <w:tcPr>
                  <w:tcW w:w="1546" w:type="pct"/>
                  <w:vMerge w:val="restart"/>
                  <w:vAlign w:val="center"/>
                </w:tcPr>
                <w:p w14:paraId="2807D336">
                  <w:pPr>
                    <w:pStyle w:val="38"/>
                    <w:rPr>
                      <w:rFonts w:hint="default"/>
                    </w:rPr>
                  </w:pPr>
                  <w:r>
                    <w:t>《环境空气质量标准》（GB3095-2012）二级标准</w:t>
                  </w:r>
                </w:p>
              </w:tc>
            </w:tr>
            <w:tr w14:paraId="056F9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Merge w:val="continue"/>
                  <w:vAlign w:val="center"/>
                </w:tcPr>
                <w:p w14:paraId="2E493F3D">
                  <w:pPr>
                    <w:pStyle w:val="38"/>
                    <w:rPr>
                      <w:rFonts w:hint="default"/>
                    </w:rPr>
                  </w:pPr>
                </w:p>
              </w:tc>
              <w:tc>
                <w:tcPr>
                  <w:tcW w:w="1060" w:type="pct"/>
                  <w:vAlign w:val="center"/>
                </w:tcPr>
                <w:p w14:paraId="4B0BDAC8">
                  <w:pPr>
                    <w:pStyle w:val="38"/>
                    <w:rPr>
                      <w:rFonts w:hint="default"/>
                    </w:rPr>
                  </w:pPr>
                  <w:r>
                    <w:rPr>
                      <w:rFonts w:ascii="宋体" w:hAnsi="宋体" w:cs="宋体"/>
                      <w:kern w:val="2"/>
                      <w:lang w:bidi="ar"/>
                    </w:rPr>
                    <w:t>金元小学、汽修厂、金元派出所、金元镇幼儿园</w:t>
                  </w:r>
                </w:p>
              </w:tc>
              <w:tc>
                <w:tcPr>
                  <w:tcW w:w="442" w:type="pct"/>
                  <w:vAlign w:val="center"/>
                </w:tcPr>
                <w:p w14:paraId="20D4F968">
                  <w:pPr>
                    <w:pStyle w:val="38"/>
                    <w:rPr>
                      <w:rFonts w:hint="default"/>
                    </w:rPr>
                  </w:pPr>
                  <w:r>
                    <w:rPr>
                      <w:rFonts w:ascii="宋体" w:hAnsi="宋体" w:cs="宋体"/>
                      <w:kern w:val="2"/>
                      <w:lang w:bidi="ar"/>
                    </w:rPr>
                    <w:t>左岸</w:t>
                  </w:r>
                </w:p>
              </w:tc>
              <w:tc>
                <w:tcPr>
                  <w:tcW w:w="457" w:type="pct"/>
                  <w:vAlign w:val="center"/>
                </w:tcPr>
                <w:p w14:paraId="2570E0F3">
                  <w:pPr>
                    <w:pStyle w:val="38"/>
                    <w:rPr>
                      <w:rFonts w:hint="default"/>
                    </w:rPr>
                  </w:pPr>
                  <w:r>
                    <w:rPr>
                      <w:rFonts w:ascii="宋体" w:hAnsi="宋体" w:cs="宋体"/>
                      <w:kern w:val="2"/>
                      <w:lang w:bidi="ar"/>
                    </w:rPr>
                    <w:t>紧邻</w:t>
                  </w:r>
                </w:p>
              </w:tc>
              <w:tc>
                <w:tcPr>
                  <w:tcW w:w="1028" w:type="pct"/>
                  <w:vAlign w:val="center"/>
                </w:tcPr>
                <w:p w14:paraId="76729FC4">
                  <w:pPr>
                    <w:pStyle w:val="38"/>
                    <w:rPr>
                      <w:rFonts w:hint="default"/>
                    </w:rPr>
                  </w:pPr>
                  <w:r>
                    <w:rPr>
                      <w:rFonts w:ascii="宋体" w:hAnsi="宋体" w:cs="宋体"/>
                      <w:kern w:val="2"/>
                      <w:lang w:bidi="ar"/>
                    </w:rPr>
                    <w:t>约100人</w:t>
                  </w:r>
                </w:p>
              </w:tc>
              <w:tc>
                <w:tcPr>
                  <w:tcW w:w="1546" w:type="pct"/>
                  <w:vMerge w:val="continue"/>
                  <w:vAlign w:val="center"/>
                </w:tcPr>
                <w:p w14:paraId="26682C13">
                  <w:pPr>
                    <w:pStyle w:val="38"/>
                    <w:rPr>
                      <w:rFonts w:hint="default"/>
                    </w:rPr>
                  </w:pPr>
                </w:p>
              </w:tc>
            </w:tr>
            <w:tr w14:paraId="35CE5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Merge w:val="continue"/>
                  <w:vAlign w:val="center"/>
                </w:tcPr>
                <w:p w14:paraId="2411B46D">
                  <w:pPr>
                    <w:pStyle w:val="38"/>
                    <w:rPr>
                      <w:rFonts w:hint="default"/>
                    </w:rPr>
                  </w:pPr>
                </w:p>
              </w:tc>
              <w:tc>
                <w:tcPr>
                  <w:tcW w:w="1060" w:type="pct"/>
                  <w:vAlign w:val="center"/>
                </w:tcPr>
                <w:p w14:paraId="564391CA">
                  <w:pPr>
                    <w:pStyle w:val="38"/>
                    <w:rPr>
                      <w:rFonts w:hint="default"/>
                    </w:rPr>
                  </w:pPr>
                  <w:r>
                    <w:rPr>
                      <w:rFonts w:ascii="宋体" w:hAnsi="宋体" w:cs="宋体"/>
                      <w:kern w:val="2"/>
                      <w:lang w:bidi="ar"/>
                    </w:rPr>
                    <w:t>金元镇居民</w:t>
                  </w:r>
                </w:p>
              </w:tc>
              <w:tc>
                <w:tcPr>
                  <w:tcW w:w="442" w:type="pct"/>
                  <w:vAlign w:val="center"/>
                </w:tcPr>
                <w:p w14:paraId="793CC434">
                  <w:pPr>
                    <w:pStyle w:val="38"/>
                    <w:rPr>
                      <w:rFonts w:hint="default"/>
                    </w:rPr>
                  </w:pPr>
                  <w:r>
                    <w:rPr>
                      <w:rFonts w:ascii="宋体" w:hAnsi="宋体" w:cs="宋体"/>
                      <w:kern w:val="2"/>
                      <w:lang w:bidi="ar"/>
                    </w:rPr>
                    <w:t>南侧</w:t>
                  </w:r>
                </w:p>
              </w:tc>
              <w:tc>
                <w:tcPr>
                  <w:tcW w:w="457" w:type="pct"/>
                  <w:vAlign w:val="center"/>
                </w:tcPr>
                <w:p w14:paraId="2B3FE638">
                  <w:pPr>
                    <w:pStyle w:val="38"/>
                    <w:rPr>
                      <w:rFonts w:hint="default"/>
                    </w:rPr>
                  </w:pPr>
                  <w:r>
                    <w:rPr>
                      <w:rFonts w:ascii="宋体" w:hAnsi="宋体" w:cs="宋体"/>
                      <w:kern w:val="2"/>
                      <w:lang w:bidi="ar"/>
                    </w:rPr>
                    <w:t>70m</w:t>
                  </w:r>
                </w:p>
              </w:tc>
              <w:tc>
                <w:tcPr>
                  <w:tcW w:w="1028" w:type="pct"/>
                  <w:vAlign w:val="center"/>
                </w:tcPr>
                <w:p w14:paraId="4D6FB867">
                  <w:pPr>
                    <w:pStyle w:val="38"/>
                    <w:rPr>
                      <w:rFonts w:hint="default"/>
                    </w:rPr>
                  </w:pPr>
                  <w:r>
                    <w:rPr>
                      <w:rFonts w:ascii="宋体" w:hAnsi="宋体" w:cs="宋体"/>
                      <w:kern w:val="2"/>
                      <w:lang w:bidi="ar"/>
                    </w:rPr>
                    <w:t>约120户，300人</w:t>
                  </w:r>
                </w:p>
              </w:tc>
              <w:tc>
                <w:tcPr>
                  <w:tcW w:w="1546" w:type="pct"/>
                  <w:vMerge w:val="continue"/>
                  <w:vAlign w:val="center"/>
                </w:tcPr>
                <w:p w14:paraId="52021AE3">
                  <w:pPr>
                    <w:pStyle w:val="38"/>
                    <w:rPr>
                      <w:rFonts w:hint="default"/>
                    </w:rPr>
                  </w:pPr>
                </w:p>
              </w:tc>
            </w:tr>
            <w:tr w14:paraId="02FC0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Merge w:val="continue"/>
                  <w:vAlign w:val="center"/>
                </w:tcPr>
                <w:p w14:paraId="48EB3AFD">
                  <w:pPr>
                    <w:pStyle w:val="38"/>
                    <w:rPr>
                      <w:rFonts w:hint="default"/>
                    </w:rPr>
                  </w:pPr>
                </w:p>
              </w:tc>
              <w:tc>
                <w:tcPr>
                  <w:tcW w:w="1060" w:type="pct"/>
                  <w:vAlign w:val="center"/>
                </w:tcPr>
                <w:p w14:paraId="0342D0A8">
                  <w:pPr>
                    <w:pStyle w:val="38"/>
                    <w:rPr>
                      <w:rFonts w:hint="default"/>
                    </w:rPr>
                  </w:pPr>
                  <w:r>
                    <w:rPr>
                      <w:rFonts w:ascii="宋体" w:hAnsi="宋体" w:cs="宋体"/>
                      <w:kern w:val="2"/>
                      <w:lang w:bidi="ar"/>
                    </w:rPr>
                    <w:t>金山公园住户</w:t>
                  </w:r>
                </w:p>
              </w:tc>
              <w:tc>
                <w:tcPr>
                  <w:tcW w:w="442" w:type="pct"/>
                  <w:vAlign w:val="center"/>
                </w:tcPr>
                <w:p w14:paraId="354B8138">
                  <w:pPr>
                    <w:pStyle w:val="38"/>
                    <w:rPr>
                      <w:rFonts w:hint="default"/>
                    </w:rPr>
                  </w:pPr>
                  <w:r>
                    <w:rPr>
                      <w:rFonts w:ascii="宋体" w:hAnsi="宋体" w:cs="宋体"/>
                      <w:kern w:val="2"/>
                      <w:lang w:bidi="ar"/>
                    </w:rPr>
                    <w:t>南侧</w:t>
                  </w:r>
                </w:p>
              </w:tc>
              <w:tc>
                <w:tcPr>
                  <w:tcW w:w="457" w:type="pct"/>
                  <w:vAlign w:val="center"/>
                </w:tcPr>
                <w:p w14:paraId="2CA90010">
                  <w:pPr>
                    <w:pStyle w:val="38"/>
                    <w:rPr>
                      <w:rFonts w:hint="default"/>
                    </w:rPr>
                  </w:pPr>
                  <w:r>
                    <w:rPr>
                      <w:rFonts w:ascii="宋体" w:hAnsi="宋体" w:cs="宋体"/>
                      <w:kern w:val="2"/>
                      <w:lang w:bidi="ar"/>
                    </w:rPr>
                    <w:t>150m</w:t>
                  </w:r>
                </w:p>
              </w:tc>
              <w:tc>
                <w:tcPr>
                  <w:tcW w:w="1028" w:type="pct"/>
                  <w:vAlign w:val="center"/>
                </w:tcPr>
                <w:p w14:paraId="6A743190">
                  <w:pPr>
                    <w:pStyle w:val="38"/>
                    <w:rPr>
                      <w:rFonts w:hint="default"/>
                    </w:rPr>
                  </w:pPr>
                  <w:r>
                    <w:rPr>
                      <w:rFonts w:ascii="宋体" w:hAnsi="宋体" w:cs="宋体"/>
                      <w:kern w:val="2"/>
                      <w:lang w:bidi="ar"/>
                    </w:rPr>
                    <w:t>3户，约6人</w:t>
                  </w:r>
                </w:p>
              </w:tc>
              <w:tc>
                <w:tcPr>
                  <w:tcW w:w="1546" w:type="pct"/>
                  <w:vMerge w:val="continue"/>
                  <w:vAlign w:val="center"/>
                </w:tcPr>
                <w:p w14:paraId="069E53A8">
                  <w:pPr>
                    <w:pStyle w:val="38"/>
                    <w:rPr>
                      <w:rFonts w:hint="default"/>
                    </w:rPr>
                  </w:pPr>
                </w:p>
              </w:tc>
            </w:tr>
            <w:tr w14:paraId="7491A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Merge w:val="continue"/>
                  <w:vAlign w:val="center"/>
                </w:tcPr>
                <w:p w14:paraId="1AC70BBF">
                  <w:pPr>
                    <w:pStyle w:val="38"/>
                    <w:rPr>
                      <w:rFonts w:hint="default"/>
                    </w:rPr>
                  </w:pPr>
                </w:p>
              </w:tc>
              <w:tc>
                <w:tcPr>
                  <w:tcW w:w="1060" w:type="pct"/>
                  <w:vAlign w:val="center"/>
                </w:tcPr>
                <w:p w14:paraId="611A4DAB">
                  <w:pPr>
                    <w:pStyle w:val="38"/>
                    <w:rPr>
                      <w:rFonts w:hint="default"/>
                    </w:rPr>
                  </w:pPr>
                  <w:r>
                    <w:rPr>
                      <w:rFonts w:ascii="宋体" w:hAnsi="宋体" w:cs="宋体"/>
                      <w:kern w:val="2"/>
                      <w:lang w:bidi="ar"/>
                    </w:rPr>
                    <w:t>马家沟住户</w:t>
                  </w:r>
                </w:p>
              </w:tc>
              <w:tc>
                <w:tcPr>
                  <w:tcW w:w="442" w:type="pct"/>
                  <w:vAlign w:val="center"/>
                </w:tcPr>
                <w:p w14:paraId="49227B34">
                  <w:pPr>
                    <w:pStyle w:val="38"/>
                    <w:rPr>
                      <w:rFonts w:hint="default"/>
                    </w:rPr>
                  </w:pPr>
                  <w:r>
                    <w:rPr>
                      <w:rFonts w:ascii="宋体" w:hAnsi="宋体" w:cs="宋体"/>
                      <w:kern w:val="2"/>
                      <w:lang w:bidi="ar"/>
                    </w:rPr>
                    <w:t>南侧</w:t>
                  </w:r>
                </w:p>
              </w:tc>
              <w:tc>
                <w:tcPr>
                  <w:tcW w:w="457" w:type="pct"/>
                  <w:vAlign w:val="center"/>
                </w:tcPr>
                <w:p w14:paraId="4ADD4AD0">
                  <w:pPr>
                    <w:pStyle w:val="38"/>
                    <w:rPr>
                      <w:rFonts w:hint="default"/>
                    </w:rPr>
                  </w:pPr>
                  <w:r>
                    <w:rPr>
                      <w:rFonts w:ascii="宋体" w:hAnsi="宋体" w:cs="宋体"/>
                      <w:kern w:val="2"/>
                      <w:lang w:bidi="ar"/>
                    </w:rPr>
                    <w:t>200m</w:t>
                  </w:r>
                </w:p>
              </w:tc>
              <w:tc>
                <w:tcPr>
                  <w:tcW w:w="1028" w:type="pct"/>
                  <w:vAlign w:val="center"/>
                </w:tcPr>
                <w:p w14:paraId="268BEDFF">
                  <w:pPr>
                    <w:pStyle w:val="38"/>
                    <w:rPr>
                      <w:rFonts w:hint="default"/>
                    </w:rPr>
                  </w:pPr>
                  <w:r>
                    <w:rPr>
                      <w:rFonts w:ascii="宋体" w:hAnsi="宋体" w:cs="宋体"/>
                      <w:kern w:val="2"/>
                      <w:lang w:bidi="ar"/>
                    </w:rPr>
                    <w:t>2户，约4人</w:t>
                  </w:r>
                </w:p>
              </w:tc>
              <w:tc>
                <w:tcPr>
                  <w:tcW w:w="1546" w:type="pct"/>
                  <w:vMerge w:val="continue"/>
                  <w:vAlign w:val="center"/>
                </w:tcPr>
                <w:p w14:paraId="613620B5">
                  <w:pPr>
                    <w:pStyle w:val="38"/>
                    <w:rPr>
                      <w:rFonts w:hint="default"/>
                    </w:rPr>
                  </w:pPr>
                </w:p>
              </w:tc>
            </w:tr>
            <w:tr w14:paraId="59A76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Merge w:val="continue"/>
                  <w:vAlign w:val="center"/>
                </w:tcPr>
                <w:p w14:paraId="13D1CA75">
                  <w:pPr>
                    <w:pStyle w:val="38"/>
                    <w:rPr>
                      <w:rFonts w:hint="default"/>
                    </w:rPr>
                  </w:pPr>
                </w:p>
              </w:tc>
              <w:tc>
                <w:tcPr>
                  <w:tcW w:w="1060" w:type="pct"/>
                  <w:vAlign w:val="center"/>
                </w:tcPr>
                <w:p w14:paraId="7250B342">
                  <w:pPr>
                    <w:pStyle w:val="38"/>
                    <w:rPr>
                      <w:rFonts w:hint="default"/>
                    </w:rPr>
                  </w:pPr>
                  <w:r>
                    <w:rPr>
                      <w:rFonts w:ascii="宋体" w:hAnsi="宋体" w:cs="宋体"/>
                      <w:kern w:val="2"/>
                      <w:lang w:bidi="ar"/>
                    </w:rPr>
                    <w:t>金宝村住户</w:t>
                  </w:r>
                </w:p>
              </w:tc>
              <w:tc>
                <w:tcPr>
                  <w:tcW w:w="442" w:type="pct"/>
                  <w:vAlign w:val="center"/>
                </w:tcPr>
                <w:p w14:paraId="1CF9D321">
                  <w:pPr>
                    <w:pStyle w:val="38"/>
                    <w:rPr>
                      <w:rFonts w:hint="default"/>
                    </w:rPr>
                  </w:pPr>
                  <w:r>
                    <w:rPr>
                      <w:rFonts w:ascii="宋体" w:hAnsi="宋体" w:cs="宋体"/>
                      <w:kern w:val="2"/>
                      <w:lang w:bidi="ar"/>
                    </w:rPr>
                    <w:t>东南侧</w:t>
                  </w:r>
                </w:p>
              </w:tc>
              <w:tc>
                <w:tcPr>
                  <w:tcW w:w="457" w:type="pct"/>
                  <w:vAlign w:val="center"/>
                </w:tcPr>
                <w:p w14:paraId="37255F0C">
                  <w:pPr>
                    <w:pStyle w:val="38"/>
                    <w:rPr>
                      <w:rFonts w:hint="default"/>
                    </w:rPr>
                  </w:pPr>
                  <w:r>
                    <w:rPr>
                      <w:rFonts w:ascii="宋体" w:hAnsi="宋体" w:cs="宋体"/>
                      <w:kern w:val="2"/>
                      <w:lang w:bidi="ar"/>
                    </w:rPr>
                    <w:t>150m</w:t>
                  </w:r>
                </w:p>
              </w:tc>
              <w:tc>
                <w:tcPr>
                  <w:tcW w:w="1028" w:type="pct"/>
                  <w:vAlign w:val="center"/>
                </w:tcPr>
                <w:p w14:paraId="2FBC22D5">
                  <w:pPr>
                    <w:pStyle w:val="38"/>
                    <w:rPr>
                      <w:rFonts w:hint="default"/>
                    </w:rPr>
                  </w:pPr>
                  <w:r>
                    <w:rPr>
                      <w:rFonts w:ascii="宋体" w:hAnsi="宋体" w:cs="宋体"/>
                      <w:kern w:val="2"/>
                      <w:lang w:bidi="ar"/>
                    </w:rPr>
                    <w:t>15户，约40人</w:t>
                  </w:r>
                </w:p>
              </w:tc>
              <w:tc>
                <w:tcPr>
                  <w:tcW w:w="1546" w:type="pct"/>
                  <w:vMerge w:val="continue"/>
                  <w:vAlign w:val="center"/>
                </w:tcPr>
                <w:p w14:paraId="5F910631">
                  <w:pPr>
                    <w:pStyle w:val="38"/>
                    <w:rPr>
                      <w:rFonts w:hint="default"/>
                    </w:rPr>
                  </w:pPr>
                </w:p>
              </w:tc>
            </w:tr>
            <w:tr w14:paraId="53EAD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Merge w:val="continue"/>
                  <w:vAlign w:val="center"/>
                </w:tcPr>
                <w:p w14:paraId="05BC405D">
                  <w:pPr>
                    <w:pStyle w:val="38"/>
                    <w:rPr>
                      <w:rFonts w:hint="default"/>
                    </w:rPr>
                  </w:pPr>
                </w:p>
              </w:tc>
              <w:tc>
                <w:tcPr>
                  <w:tcW w:w="1060" w:type="pct"/>
                  <w:vAlign w:val="center"/>
                </w:tcPr>
                <w:p w14:paraId="21FDF3F9">
                  <w:pPr>
                    <w:pStyle w:val="38"/>
                    <w:rPr>
                      <w:rFonts w:hint="default"/>
                    </w:rPr>
                  </w:pPr>
                  <w:r>
                    <w:rPr>
                      <w:rFonts w:ascii="宋体" w:hAnsi="宋体" w:cs="宋体"/>
                      <w:kern w:val="2"/>
                      <w:lang w:bidi="ar"/>
                    </w:rPr>
                    <w:t>胡家小沟住户</w:t>
                  </w:r>
                </w:p>
              </w:tc>
              <w:tc>
                <w:tcPr>
                  <w:tcW w:w="442" w:type="pct"/>
                  <w:vAlign w:val="center"/>
                </w:tcPr>
                <w:p w14:paraId="2685562D">
                  <w:pPr>
                    <w:pStyle w:val="38"/>
                    <w:rPr>
                      <w:rFonts w:hint="default"/>
                    </w:rPr>
                  </w:pPr>
                  <w:r>
                    <w:rPr>
                      <w:rFonts w:ascii="宋体" w:hAnsi="宋体" w:cs="宋体"/>
                      <w:kern w:val="2"/>
                      <w:lang w:bidi="ar"/>
                    </w:rPr>
                    <w:t>东侧</w:t>
                  </w:r>
                </w:p>
              </w:tc>
              <w:tc>
                <w:tcPr>
                  <w:tcW w:w="457" w:type="pct"/>
                  <w:vAlign w:val="center"/>
                </w:tcPr>
                <w:p w14:paraId="6447B118">
                  <w:pPr>
                    <w:pStyle w:val="38"/>
                    <w:rPr>
                      <w:rFonts w:hint="default"/>
                    </w:rPr>
                  </w:pPr>
                  <w:r>
                    <w:rPr>
                      <w:rFonts w:ascii="宋体" w:hAnsi="宋体" w:cs="宋体"/>
                      <w:kern w:val="2"/>
                      <w:lang w:bidi="ar"/>
                    </w:rPr>
                    <w:t>450m</w:t>
                  </w:r>
                </w:p>
              </w:tc>
              <w:tc>
                <w:tcPr>
                  <w:tcW w:w="1028" w:type="pct"/>
                  <w:vAlign w:val="center"/>
                </w:tcPr>
                <w:p w14:paraId="2D61E121">
                  <w:pPr>
                    <w:pStyle w:val="38"/>
                    <w:rPr>
                      <w:rFonts w:hint="default"/>
                    </w:rPr>
                  </w:pPr>
                  <w:r>
                    <w:rPr>
                      <w:rFonts w:ascii="宋体" w:hAnsi="宋体" w:cs="宋体"/>
                      <w:kern w:val="2"/>
                      <w:lang w:bidi="ar"/>
                    </w:rPr>
                    <w:t>8户，约20人</w:t>
                  </w:r>
                </w:p>
              </w:tc>
              <w:tc>
                <w:tcPr>
                  <w:tcW w:w="1546" w:type="pct"/>
                  <w:vMerge w:val="continue"/>
                  <w:vAlign w:val="center"/>
                </w:tcPr>
                <w:p w14:paraId="1F0668AF">
                  <w:pPr>
                    <w:pStyle w:val="38"/>
                    <w:rPr>
                      <w:rFonts w:hint="default"/>
                    </w:rPr>
                  </w:pPr>
                </w:p>
              </w:tc>
            </w:tr>
            <w:tr w14:paraId="65417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Merge w:val="continue"/>
                  <w:vAlign w:val="center"/>
                </w:tcPr>
                <w:p w14:paraId="73270C3B">
                  <w:pPr>
                    <w:pStyle w:val="38"/>
                    <w:rPr>
                      <w:rFonts w:hint="default"/>
                    </w:rPr>
                  </w:pPr>
                </w:p>
              </w:tc>
              <w:tc>
                <w:tcPr>
                  <w:tcW w:w="1060" w:type="pct"/>
                  <w:vAlign w:val="center"/>
                </w:tcPr>
                <w:p w14:paraId="3C0D20C1">
                  <w:pPr>
                    <w:pStyle w:val="38"/>
                    <w:rPr>
                      <w:rFonts w:hint="default"/>
                    </w:rPr>
                  </w:pPr>
                  <w:r>
                    <w:rPr>
                      <w:rFonts w:ascii="宋体" w:hAnsi="宋体" w:cs="宋体"/>
                      <w:kern w:val="2"/>
                      <w:lang w:bidi="ar"/>
                    </w:rPr>
                    <w:t>竹子田坎住户</w:t>
                  </w:r>
                </w:p>
              </w:tc>
              <w:tc>
                <w:tcPr>
                  <w:tcW w:w="442" w:type="pct"/>
                  <w:vAlign w:val="center"/>
                </w:tcPr>
                <w:p w14:paraId="5EAE668D">
                  <w:pPr>
                    <w:pStyle w:val="38"/>
                    <w:rPr>
                      <w:rFonts w:hint="default"/>
                    </w:rPr>
                  </w:pPr>
                  <w:r>
                    <w:rPr>
                      <w:rFonts w:ascii="宋体" w:hAnsi="宋体" w:cs="宋体"/>
                      <w:kern w:val="2"/>
                      <w:lang w:bidi="ar"/>
                    </w:rPr>
                    <w:t>东侧</w:t>
                  </w:r>
                </w:p>
              </w:tc>
              <w:tc>
                <w:tcPr>
                  <w:tcW w:w="457" w:type="pct"/>
                  <w:vAlign w:val="center"/>
                </w:tcPr>
                <w:p w14:paraId="63A11247">
                  <w:pPr>
                    <w:pStyle w:val="38"/>
                    <w:rPr>
                      <w:rFonts w:hint="default"/>
                    </w:rPr>
                  </w:pPr>
                  <w:r>
                    <w:rPr>
                      <w:rFonts w:ascii="宋体" w:hAnsi="宋体" w:cs="宋体"/>
                      <w:kern w:val="2"/>
                      <w:lang w:bidi="ar"/>
                    </w:rPr>
                    <w:t>350m</w:t>
                  </w:r>
                </w:p>
              </w:tc>
              <w:tc>
                <w:tcPr>
                  <w:tcW w:w="1028" w:type="pct"/>
                  <w:vAlign w:val="center"/>
                </w:tcPr>
                <w:p w14:paraId="35470C94">
                  <w:pPr>
                    <w:pStyle w:val="38"/>
                    <w:rPr>
                      <w:rFonts w:hint="default"/>
                    </w:rPr>
                  </w:pPr>
                  <w:r>
                    <w:rPr>
                      <w:rFonts w:ascii="宋体" w:hAnsi="宋体" w:cs="宋体"/>
                      <w:kern w:val="2"/>
                      <w:lang w:bidi="ar"/>
                    </w:rPr>
                    <w:t>18户，约50人</w:t>
                  </w:r>
                </w:p>
              </w:tc>
              <w:tc>
                <w:tcPr>
                  <w:tcW w:w="1546" w:type="pct"/>
                  <w:vMerge w:val="continue"/>
                  <w:vAlign w:val="center"/>
                </w:tcPr>
                <w:p w14:paraId="01BA5AFE">
                  <w:pPr>
                    <w:pStyle w:val="38"/>
                    <w:rPr>
                      <w:rFonts w:hint="default"/>
                    </w:rPr>
                  </w:pPr>
                </w:p>
              </w:tc>
            </w:tr>
            <w:tr w14:paraId="0F183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Merge w:val="continue"/>
                  <w:vAlign w:val="center"/>
                </w:tcPr>
                <w:p w14:paraId="1AB99F27">
                  <w:pPr>
                    <w:pStyle w:val="38"/>
                    <w:rPr>
                      <w:rFonts w:hint="default"/>
                    </w:rPr>
                  </w:pPr>
                </w:p>
              </w:tc>
              <w:tc>
                <w:tcPr>
                  <w:tcW w:w="1060" w:type="pct"/>
                  <w:vAlign w:val="center"/>
                </w:tcPr>
                <w:p w14:paraId="5E1B5550">
                  <w:pPr>
                    <w:pStyle w:val="38"/>
                    <w:rPr>
                      <w:rFonts w:ascii="宋体" w:hAnsi="宋体" w:cs="宋体"/>
                      <w:kern w:val="2"/>
                      <w:lang w:bidi="ar"/>
                    </w:rPr>
                  </w:pPr>
                  <w:r>
                    <w:rPr>
                      <w:rFonts w:ascii="宋体" w:hAnsi="宋体" w:cs="宋体"/>
                      <w:kern w:val="2"/>
                      <w:lang w:bidi="ar"/>
                    </w:rPr>
                    <w:t>干湾住户</w:t>
                  </w:r>
                </w:p>
              </w:tc>
              <w:tc>
                <w:tcPr>
                  <w:tcW w:w="442" w:type="pct"/>
                  <w:vAlign w:val="center"/>
                </w:tcPr>
                <w:p w14:paraId="59A4B61A">
                  <w:pPr>
                    <w:pStyle w:val="38"/>
                    <w:rPr>
                      <w:rFonts w:ascii="宋体" w:hAnsi="宋体" w:cs="宋体"/>
                      <w:kern w:val="2"/>
                      <w:lang w:bidi="ar"/>
                    </w:rPr>
                  </w:pPr>
                  <w:r>
                    <w:rPr>
                      <w:rFonts w:ascii="宋体" w:hAnsi="宋体" w:cs="宋体"/>
                      <w:kern w:val="2"/>
                      <w:lang w:bidi="ar"/>
                    </w:rPr>
                    <w:t>北侧</w:t>
                  </w:r>
                </w:p>
              </w:tc>
              <w:tc>
                <w:tcPr>
                  <w:tcW w:w="457" w:type="pct"/>
                  <w:vAlign w:val="center"/>
                </w:tcPr>
                <w:p w14:paraId="1EEAEDB2">
                  <w:pPr>
                    <w:pStyle w:val="38"/>
                    <w:rPr>
                      <w:rFonts w:ascii="宋体" w:hAnsi="宋体" w:cs="宋体"/>
                      <w:kern w:val="2"/>
                      <w:lang w:bidi="ar"/>
                    </w:rPr>
                  </w:pPr>
                  <w:r>
                    <w:rPr>
                      <w:rFonts w:ascii="宋体" w:hAnsi="宋体" w:cs="宋体"/>
                      <w:kern w:val="2"/>
                      <w:lang w:bidi="ar"/>
                    </w:rPr>
                    <w:t>紧邻</w:t>
                  </w:r>
                </w:p>
              </w:tc>
              <w:tc>
                <w:tcPr>
                  <w:tcW w:w="1028" w:type="pct"/>
                  <w:vAlign w:val="center"/>
                </w:tcPr>
                <w:p w14:paraId="35AD8EDF">
                  <w:pPr>
                    <w:pStyle w:val="38"/>
                    <w:rPr>
                      <w:rFonts w:ascii="宋体" w:hAnsi="宋体" w:cs="宋体"/>
                      <w:kern w:val="2"/>
                      <w:lang w:bidi="ar"/>
                    </w:rPr>
                  </w:pPr>
                  <w:r>
                    <w:rPr>
                      <w:rFonts w:ascii="宋体" w:hAnsi="宋体" w:cs="宋体"/>
                      <w:kern w:val="2"/>
                      <w:lang w:bidi="ar"/>
                    </w:rPr>
                    <w:t>6户，约15人</w:t>
                  </w:r>
                </w:p>
              </w:tc>
              <w:tc>
                <w:tcPr>
                  <w:tcW w:w="1546" w:type="pct"/>
                  <w:vMerge w:val="continue"/>
                  <w:vAlign w:val="center"/>
                </w:tcPr>
                <w:p w14:paraId="5E4EC63E">
                  <w:pPr>
                    <w:pStyle w:val="38"/>
                    <w:rPr>
                      <w:rFonts w:hint="default"/>
                    </w:rPr>
                  </w:pPr>
                </w:p>
              </w:tc>
            </w:tr>
            <w:tr w14:paraId="048FE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Merge w:val="continue"/>
                  <w:vAlign w:val="center"/>
                </w:tcPr>
                <w:p w14:paraId="2E53941B">
                  <w:pPr>
                    <w:pStyle w:val="38"/>
                    <w:rPr>
                      <w:rFonts w:hint="default"/>
                    </w:rPr>
                  </w:pPr>
                </w:p>
              </w:tc>
              <w:tc>
                <w:tcPr>
                  <w:tcW w:w="1060" w:type="pct"/>
                  <w:vAlign w:val="center"/>
                </w:tcPr>
                <w:p w14:paraId="5765AA19">
                  <w:pPr>
                    <w:pStyle w:val="38"/>
                    <w:rPr>
                      <w:rFonts w:ascii="宋体" w:hAnsi="宋体" w:cs="宋体"/>
                      <w:kern w:val="2"/>
                      <w:lang w:bidi="ar"/>
                    </w:rPr>
                  </w:pPr>
                  <w:r>
                    <w:rPr>
                      <w:rFonts w:ascii="宋体" w:hAnsi="宋体" w:cs="宋体"/>
                      <w:kern w:val="2"/>
                      <w:lang w:bidi="ar"/>
                    </w:rPr>
                    <w:t>邓家湾住户</w:t>
                  </w:r>
                </w:p>
              </w:tc>
              <w:tc>
                <w:tcPr>
                  <w:tcW w:w="442" w:type="pct"/>
                  <w:vAlign w:val="center"/>
                </w:tcPr>
                <w:p w14:paraId="723B5633">
                  <w:pPr>
                    <w:pStyle w:val="38"/>
                    <w:rPr>
                      <w:rFonts w:ascii="宋体" w:hAnsi="宋体" w:cs="宋体"/>
                      <w:kern w:val="2"/>
                      <w:lang w:bidi="ar"/>
                    </w:rPr>
                  </w:pPr>
                  <w:r>
                    <w:rPr>
                      <w:rFonts w:ascii="宋体" w:hAnsi="宋体" w:cs="宋体"/>
                      <w:kern w:val="2"/>
                      <w:lang w:bidi="ar"/>
                    </w:rPr>
                    <w:t>北侧</w:t>
                  </w:r>
                </w:p>
              </w:tc>
              <w:tc>
                <w:tcPr>
                  <w:tcW w:w="457" w:type="pct"/>
                  <w:vAlign w:val="center"/>
                </w:tcPr>
                <w:p w14:paraId="6966C98D">
                  <w:pPr>
                    <w:pStyle w:val="38"/>
                    <w:rPr>
                      <w:rFonts w:ascii="宋体" w:hAnsi="宋体" w:cs="宋体"/>
                      <w:kern w:val="2"/>
                      <w:lang w:bidi="ar"/>
                    </w:rPr>
                  </w:pPr>
                  <w:r>
                    <w:rPr>
                      <w:rFonts w:ascii="宋体" w:hAnsi="宋体" w:cs="宋体"/>
                      <w:kern w:val="2"/>
                      <w:lang w:bidi="ar"/>
                    </w:rPr>
                    <w:t>170m</w:t>
                  </w:r>
                </w:p>
              </w:tc>
              <w:tc>
                <w:tcPr>
                  <w:tcW w:w="1028" w:type="pct"/>
                  <w:vAlign w:val="center"/>
                </w:tcPr>
                <w:p w14:paraId="274F1D23">
                  <w:pPr>
                    <w:pStyle w:val="38"/>
                    <w:rPr>
                      <w:rFonts w:ascii="宋体" w:hAnsi="宋体" w:cs="宋体"/>
                      <w:kern w:val="2"/>
                      <w:lang w:bidi="ar"/>
                    </w:rPr>
                  </w:pPr>
                  <w:r>
                    <w:rPr>
                      <w:rFonts w:ascii="宋体" w:hAnsi="宋体" w:cs="宋体"/>
                      <w:kern w:val="2"/>
                      <w:lang w:bidi="ar"/>
                    </w:rPr>
                    <w:t>20户，约50人</w:t>
                  </w:r>
                </w:p>
              </w:tc>
              <w:tc>
                <w:tcPr>
                  <w:tcW w:w="1546" w:type="pct"/>
                  <w:vMerge w:val="continue"/>
                  <w:vAlign w:val="center"/>
                </w:tcPr>
                <w:p w14:paraId="211D854F">
                  <w:pPr>
                    <w:pStyle w:val="38"/>
                    <w:rPr>
                      <w:rFonts w:hint="default"/>
                    </w:rPr>
                  </w:pPr>
                </w:p>
              </w:tc>
            </w:tr>
            <w:tr w14:paraId="3D8CC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Merge w:val="continue"/>
                  <w:vAlign w:val="center"/>
                </w:tcPr>
                <w:p w14:paraId="1F9E4A97">
                  <w:pPr>
                    <w:pStyle w:val="38"/>
                    <w:rPr>
                      <w:rFonts w:hint="default"/>
                    </w:rPr>
                  </w:pPr>
                </w:p>
              </w:tc>
              <w:tc>
                <w:tcPr>
                  <w:tcW w:w="1060" w:type="pct"/>
                  <w:vAlign w:val="center"/>
                </w:tcPr>
                <w:p w14:paraId="16A036EF">
                  <w:pPr>
                    <w:pStyle w:val="38"/>
                    <w:rPr>
                      <w:rFonts w:ascii="宋体" w:hAnsi="宋体" w:cs="宋体"/>
                      <w:kern w:val="2"/>
                      <w:lang w:bidi="ar"/>
                    </w:rPr>
                  </w:pPr>
                  <w:r>
                    <w:rPr>
                      <w:rFonts w:ascii="宋体" w:hAnsi="宋体" w:cs="宋体"/>
                      <w:kern w:val="2"/>
                      <w:lang w:bidi="ar"/>
                    </w:rPr>
                    <w:t>坟山湾住户</w:t>
                  </w:r>
                </w:p>
              </w:tc>
              <w:tc>
                <w:tcPr>
                  <w:tcW w:w="442" w:type="pct"/>
                  <w:vAlign w:val="center"/>
                </w:tcPr>
                <w:p w14:paraId="1B682B85">
                  <w:pPr>
                    <w:pStyle w:val="38"/>
                    <w:rPr>
                      <w:rFonts w:ascii="宋体" w:hAnsi="宋体" w:cs="宋体"/>
                      <w:kern w:val="2"/>
                      <w:lang w:bidi="ar"/>
                    </w:rPr>
                  </w:pPr>
                  <w:r>
                    <w:rPr>
                      <w:rFonts w:ascii="宋体" w:hAnsi="宋体" w:cs="宋体"/>
                      <w:kern w:val="2"/>
                      <w:lang w:bidi="ar"/>
                    </w:rPr>
                    <w:t>北侧</w:t>
                  </w:r>
                </w:p>
              </w:tc>
              <w:tc>
                <w:tcPr>
                  <w:tcW w:w="457" w:type="pct"/>
                  <w:vAlign w:val="center"/>
                </w:tcPr>
                <w:p w14:paraId="065A45BE">
                  <w:pPr>
                    <w:pStyle w:val="38"/>
                    <w:rPr>
                      <w:rFonts w:ascii="宋体" w:hAnsi="宋体" w:cs="宋体"/>
                      <w:kern w:val="2"/>
                      <w:lang w:bidi="ar"/>
                    </w:rPr>
                  </w:pPr>
                  <w:r>
                    <w:rPr>
                      <w:rFonts w:ascii="宋体" w:hAnsi="宋体" w:cs="宋体"/>
                      <w:kern w:val="2"/>
                      <w:lang w:bidi="ar"/>
                    </w:rPr>
                    <w:t>200m</w:t>
                  </w:r>
                </w:p>
              </w:tc>
              <w:tc>
                <w:tcPr>
                  <w:tcW w:w="1028" w:type="pct"/>
                  <w:vAlign w:val="center"/>
                </w:tcPr>
                <w:p w14:paraId="503234E2">
                  <w:pPr>
                    <w:pStyle w:val="38"/>
                    <w:rPr>
                      <w:rFonts w:ascii="宋体" w:hAnsi="宋体" w:cs="宋体"/>
                      <w:kern w:val="2"/>
                      <w:lang w:bidi="ar"/>
                    </w:rPr>
                  </w:pPr>
                  <w:r>
                    <w:rPr>
                      <w:rFonts w:ascii="宋体" w:hAnsi="宋体" w:cs="宋体"/>
                      <w:kern w:val="2"/>
                      <w:lang w:bidi="ar"/>
                    </w:rPr>
                    <w:t>3户，约6人</w:t>
                  </w:r>
                </w:p>
              </w:tc>
              <w:tc>
                <w:tcPr>
                  <w:tcW w:w="1546" w:type="pct"/>
                  <w:vMerge w:val="continue"/>
                  <w:vAlign w:val="center"/>
                </w:tcPr>
                <w:p w14:paraId="3123980C">
                  <w:pPr>
                    <w:pStyle w:val="38"/>
                    <w:rPr>
                      <w:rFonts w:hint="default"/>
                    </w:rPr>
                  </w:pPr>
                </w:p>
              </w:tc>
            </w:tr>
            <w:tr w14:paraId="53F06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Merge w:val="continue"/>
                  <w:vAlign w:val="center"/>
                </w:tcPr>
                <w:p w14:paraId="5C6C67C8">
                  <w:pPr>
                    <w:pStyle w:val="38"/>
                    <w:rPr>
                      <w:rFonts w:hint="default"/>
                    </w:rPr>
                  </w:pPr>
                </w:p>
              </w:tc>
              <w:tc>
                <w:tcPr>
                  <w:tcW w:w="1060" w:type="pct"/>
                  <w:vAlign w:val="center"/>
                </w:tcPr>
                <w:p w14:paraId="45D644C3">
                  <w:pPr>
                    <w:pStyle w:val="38"/>
                    <w:rPr>
                      <w:rFonts w:ascii="宋体" w:hAnsi="宋体" w:cs="宋体"/>
                      <w:kern w:val="2"/>
                      <w:lang w:bidi="ar"/>
                    </w:rPr>
                  </w:pPr>
                  <w:r>
                    <w:rPr>
                      <w:rFonts w:ascii="宋体" w:hAnsi="宋体" w:cs="宋体"/>
                      <w:kern w:val="2"/>
                      <w:lang w:bidi="ar"/>
                    </w:rPr>
                    <w:t>李家湾住户</w:t>
                  </w:r>
                </w:p>
              </w:tc>
              <w:tc>
                <w:tcPr>
                  <w:tcW w:w="442" w:type="pct"/>
                  <w:vAlign w:val="center"/>
                </w:tcPr>
                <w:p w14:paraId="4818D644">
                  <w:pPr>
                    <w:pStyle w:val="38"/>
                    <w:rPr>
                      <w:rFonts w:ascii="宋体" w:hAnsi="宋体" w:cs="宋体"/>
                      <w:kern w:val="2"/>
                      <w:lang w:bidi="ar"/>
                    </w:rPr>
                  </w:pPr>
                  <w:r>
                    <w:rPr>
                      <w:rFonts w:ascii="宋体" w:hAnsi="宋体" w:cs="宋体"/>
                      <w:kern w:val="2"/>
                      <w:lang w:bidi="ar"/>
                    </w:rPr>
                    <w:t>西北侧</w:t>
                  </w:r>
                </w:p>
              </w:tc>
              <w:tc>
                <w:tcPr>
                  <w:tcW w:w="457" w:type="pct"/>
                  <w:vAlign w:val="center"/>
                </w:tcPr>
                <w:p w14:paraId="7BE0B7FB">
                  <w:pPr>
                    <w:pStyle w:val="38"/>
                    <w:rPr>
                      <w:rFonts w:ascii="宋体" w:hAnsi="宋体" w:cs="宋体"/>
                      <w:kern w:val="2"/>
                      <w:lang w:bidi="ar"/>
                    </w:rPr>
                  </w:pPr>
                  <w:r>
                    <w:rPr>
                      <w:rFonts w:ascii="宋体" w:hAnsi="宋体" w:cs="宋体"/>
                      <w:kern w:val="2"/>
                      <w:lang w:bidi="ar"/>
                    </w:rPr>
                    <w:t>450m</w:t>
                  </w:r>
                </w:p>
              </w:tc>
              <w:tc>
                <w:tcPr>
                  <w:tcW w:w="1028" w:type="pct"/>
                  <w:vAlign w:val="center"/>
                </w:tcPr>
                <w:p w14:paraId="76FF0ABF">
                  <w:pPr>
                    <w:pStyle w:val="38"/>
                    <w:rPr>
                      <w:rFonts w:ascii="宋体" w:hAnsi="宋体" w:cs="宋体"/>
                      <w:kern w:val="2"/>
                      <w:lang w:bidi="ar"/>
                    </w:rPr>
                  </w:pPr>
                  <w:r>
                    <w:rPr>
                      <w:rFonts w:ascii="宋体" w:hAnsi="宋体" w:cs="宋体"/>
                      <w:kern w:val="2"/>
                      <w:lang w:bidi="ar"/>
                    </w:rPr>
                    <w:t>9户，约20人</w:t>
                  </w:r>
                </w:p>
              </w:tc>
              <w:tc>
                <w:tcPr>
                  <w:tcW w:w="1546" w:type="pct"/>
                  <w:vMerge w:val="continue"/>
                  <w:vAlign w:val="center"/>
                </w:tcPr>
                <w:p w14:paraId="314C3740">
                  <w:pPr>
                    <w:pStyle w:val="38"/>
                    <w:rPr>
                      <w:rFonts w:hint="default"/>
                    </w:rPr>
                  </w:pPr>
                </w:p>
              </w:tc>
            </w:tr>
            <w:tr w14:paraId="05D23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Merge w:val="continue"/>
                  <w:vAlign w:val="center"/>
                </w:tcPr>
                <w:p w14:paraId="47D75264">
                  <w:pPr>
                    <w:pStyle w:val="38"/>
                    <w:rPr>
                      <w:rFonts w:hint="default"/>
                    </w:rPr>
                  </w:pPr>
                </w:p>
              </w:tc>
              <w:tc>
                <w:tcPr>
                  <w:tcW w:w="1060" w:type="pct"/>
                  <w:vAlign w:val="center"/>
                </w:tcPr>
                <w:p w14:paraId="2A80A976">
                  <w:pPr>
                    <w:pStyle w:val="38"/>
                    <w:rPr>
                      <w:rFonts w:ascii="宋体" w:hAnsi="宋体" w:cs="宋体"/>
                      <w:kern w:val="2"/>
                      <w:lang w:bidi="ar"/>
                    </w:rPr>
                  </w:pPr>
                  <w:r>
                    <w:rPr>
                      <w:rFonts w:ascii="宋体" w:hAnsi="宋体" w:cs="宋体"/>
                      <w:kern w:val="2"/>
                      <w:lang w:bidi="ar"/>
                    </w:rPr>
                    <w:t>夏家湾住户</w:t>
                  </w:r>
                </w:p>
              </w:tc>
              <w:tc>
                <w:tcPr>
                  <w:tcW w:w="442" w:type="pct"/>
                  <w:vAlign w:val="center"/>
                </w:tcPr>
                <w:p w14:paraId="24F1D342">
                  <w:pPr>
                    <w:pStyle w:val="38"/>
                    <w:rPr>
                      <w:rFonts w:ascii="宋体" w:hAnsi="宋体" w:cs="宋体"/>
                      <w:kern w:val="2"/>
                      <w:lang w:bidi="ar"/>
                    </w:rPr>
                  </w:pPr>
                  <w:r>
                    <w:rPr>
                      <w:rFonts w:ascii="宋体" w:hAnsi="宋体" w:cs="宋体"/>
                      <w:kern w:val="2"/>
                      <w:lang w:bidi="ar"/>
                    </w:rPr>
                    <w:t>西南侧</w:t>
                  </w:r>
                </w:p>
              </w:tc>
              <w:tc>
                <w:tcPr>
                  <w:tcW w:w="457" w:type="pct"/>
                  <w:vAlign w:val="center"/>
                </w:tcPr>
                <w:p w14:paraId="6C425813">
                  <w:pPr>
                    <w:pStyle w:val="38"/>
                    <w:rPr>
                      <w:rFonts w:ascii="宋体" w:hAnsi="宋体" w:cs="宋体"/>
                      <w:kern w:val="2"/>
                      <w:lang w:bidi="ar"/>
                    </w:rPr>
                  </w:pPr>
                  <w:r>
                    <w:rPr>
                      <w:rFonts w:ascii="宋体" w:hAnsi="宋体" w:cs="宋体"/>
                      <w:kern w:val="2"/>
                      <w:lang w:bidi="ar"/>
                    </w:rPr>
                    <w:t>400m</w:t>
                  </w:r>
                </w:p>
              </w:tc>
              <w:tc>
                <w:tcPr>
                  <w:tcW w:w="1028" w:type="pct"/>
                  <w:vAlign w:val="center"/>
                </w:tcPr>
                <w:p w14:paraId="4839CD95">
                  <w:pPr>
                    <w:pStyle w:val="38"/>
                    <w:rPr>
                      <w:rFonts w:ascii="宋体" w:hAnsi="宋体" w:cs="宋体"/>
                      <w:kern w:val="2"/>
                      <w:lang w:bidi="ar"/>
                    </w:rPr>
                  </w:pPr>
                  <w:r>
                    <w:rPr>
                      <w:rFonts w:ascii="宋体" w:hAnsi="宋体" w:cs="宋体"/>
                      <w:kern w:val="2"/>
                      <w:lang w:bidi="ar"/>
                    </w:rPr>
                    <w:t>8户，约20人</w:t>
                  </w:r>
                </w:p>
              </w:tc>
              <w:tc>
                <w:tcPr>
                  <w:tcW w:w="1546" w:type="pct"/>
                  <w:vMerge w:val="continue"/>
                  <w:vAlign w:val="center"/>
                </w:tcPr>
                <w:p w14:paraId="6C90B08E">
                  <w:pPr>
                    <w:pStyle w:val="38"/>
                    <w:rPr>
                      <w:rFonts w:hint="default"/>
                    </w:rPr>
                  </w:pPr>
                </w:p>
              </w:tc>
            </w:tr>
            <w:tr w14:paraId="20A36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464" w:type="pct"/>
                  <w:vAlign w:val="center"/>
                </w:tcPr>
                <w:p w14:paraId="6CE9AFBF">
                  <w:pPr>
                    <w:pStyle w:val="38"/>
                    <w:rPr>
                      <w:rFonts w:hint="default"/>
                    </w:rPr>
                  </w:pPr>
                  <w:r>
                    <w:t>地表水环境</w:t>
                  </w:r>
                </w:p>
              </w:tc>
              <w:tc>
                <w:tcPr>
                  <w:tcW w:w="1960" w:type="pct"/>
                  <w:gridSpan w:val="3"/>
                  <w:vAlign w:val="center"/>
                </w:tcPr>
                <w:p w14:paraId="5C081823">
                  <w:pPr>
                    <w:pStyle w:val="38"/>
                    <w:rPr>
                      <w:rFonts w:hint="default"/>
                    </w:rPr>
                  </w:pPr>
                  <w:r>
                    <w:t>胜利溪、金水河</w:t>
                  </w:r>
                </w:p>
              </w:tc>
              <w:tc>
                <w:tcPr>
                  <w:tcW w:w="1028" w:type="pct"/>
                  <w:vAlign w:val="center"/>
                </w:tcPr>
                <w:p w14:paraId="3D92EA54">
                  <w:pPr>
                    <w:pStyle w:val="38"/>
                    <w:rPr>
                      <w:rFonts w:hint="default"/>
                    </w:rPr>
                  </w:pPr>
                  <w:r>
                    <w:t>拟治理河段</w:t>
                  </w:r>
                </w:p>
              </w:tc>
              <w:tc>
                <w:tcPr>
                  <w:tcW w:w="1546" w:type="pct"/>
                  <w:vAlign w:val="center"/>
                </w:tcPr>
                <w:p w14:paraId="48347CC5">
                  <w:pPr>
                    <w:pStyle w:val="38"/>
                    <w:rPr>
                      <w:rFonts w:hint="default"/>
                    </w:rPr>
                  </w:pPr>
                  <w:r>
                    <w:t>《地表水环境质量标准》（GB3838-2002）</w:t>
                  </w:r>
                  <w:r>
                    <w:rPr>
                      <w:rFonts w:hint="default"/>
                    </w:rPr>
                    <w:t>Ⅲ</w:t>
                  </w:r>
                  <w:r>
                    <w:t>类标准</w:t>
                  </w:r>
                </w:p>
              </w:tc>
            </w:tr>
            <w:tr w14:paraId="7D213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64" w:type="pct"/>
                  <w:vMerge w:val="restart"/>
                  <w:vAlign w:val="center"/>
                </w:tcPr>
                <w:p w14:paraId="38900420">
                  <w:pPr>
                    <w:pStyle w:val="38"/>
                    <w:rPr>
                      <w:rFonts w:hint="default"/>
                    </w:rPr>
                  </w:pPr>
                  <w:r>
                    <w:t>声环境</w:t>
                  </w:r>
                </w:p>
              </w:tc>
              <w:tc>
                <w:tcPr>
                  <w:tcW w:w="1060" w:type="pct"/>
                  <w:vAlign w:val="center"/>
                </w:tcPr>
                <w:p w14:paraId="07FB1B91">
                  <w:pPr>
                    <w:pStyle w:val="38"/>
                    <w:rPr>
                      <w:rFonts w:hint="default"/>
                    </w:rPr>
                  </w:pPr>
                  <w:r>
                    <w:rPr>
                      <w:rFonts w:ascii="宋体" w:hAnsi="宋体" w:cs="宋体"/>
                      <w:kern w:val="2"/>
                      <w:lang w:bidi="ar"/>
                    </w:rPr>
                    <w:t>金元镇居民</w:t>
                  </w:r>
                </w:p>
              </w:tc>
              <w:tc>
                <w:tcPr>
                  <w:tcW w:w="442" w:type="pct"/>
                  <w:vAlign w:val="center"/>
                </w:tcPr>
                <w:p w14:paraId="475D3848">
                  <w:pPr>
                    <w:pStyle w:val="38"/>
                    <w:rPr>
                      <w:rFonts w:hint="default"/>
                    </w:rPr>
                  </w:pPr>
                  <w:r>
                    <w:rPr>
                      <w:rFonts w:ascii="宋体" w:hAnsi="宋体" w:cs="宋体"/>
                      <w:kern w:val="2"/>
                      <w:lang w:bidi="ar"/>
                    </w:rPr>
                    <w:t>右岸</w:t>
                  </w:r>
                </w:p>
              </w:tc>
              <w:tc>
                <w:tcPr>
                  <w:tcW w:w="457" w:type="pct"/>
                  <w:vAlign w:val="center"/>
                </w:tcPr>
                <w:p w14:paraId="5E44FB3F">
                  <w:pPr>
                    <w:pStyle w:val="38"/>
                    <w:rPr>
                      <w:rFonts w:hint="default"/>
                    </w:rPr>
                  </w:pPr>
                  <w:r>
                    <w:rPr>
                      <w:rFonts w:ascii="宋体" w:hAnsi="宋体" w:cs="宋体"/>
                      <w:kern w:val="2"/>
                      <w:lang w:bidi="ar"/>
                    </w:rPr>
                    <w:t>紧邻</w:t>
                  </w:r>
                </w:p>
              </w:tc>
              <w:tc>
                <w:tcPr>
                  <w:tcW w:w="1028" w:type="pct"/>
                  <w:vAlign w:val="center"/>
                </w:tcPr>
                <w:p w14:paraId="1767789B">
                  <w:pPr>
                    <w:pStyle w:val="38"/>
                    <w:rPr>
                      <w:rFonts w:hint="default"/>
                    </w:rPr>
                  </w:pPr>
                  <w:r>
                    <w:rPr>
                      <w:rFonts w:ascii="宋体" w:hAnsi="宋体" w:cs="宋体"/>
                      <w:kern w:val="2"/>
                      <w:lang w:bidi="ar"/>
                    </w:rPr>
                    <w:t>约65户，150人</w:t>
                  </w:r>
                </w:p>
              </w:tc>
              <w:tc>
                <w:tcPr>
                  <w:tcW w:w="1546" w:type="pct"/>
                  <w:vMerge w:val="restart"/>
                  <w:vAlign w:val="center"/>
                </w:tcPr>
                <w:p w14:paraId="778A882E">
                  <w:pPr>
                    <w:pStyle w:val="38"/>
                    <w:rPr>
                      <w:rFonts w:hint="default"/>
                    </w:rPr>
                  </w:pPr>
                  <w:r>
                    <w:t>《声环境质量标准》</w:t>
                  </w:r>
                </w:p>
                <w:p w14:paraId="18973D8E">
                  <w:pPr>
                    <w:pStyle w:val="38"/>
                    <w:rPr>
                      <w:rFonts w:hint="default"/>
                    </w:rPr>
                  </w:pPr>
                  <w:r>
                    <w:t>（GB3096-2008）中2类</w:t>
                  </w:r>
                </w:p>
              </w:tc>
            </w:tr>
            <w:tr w14:paraId="4C9A4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64" w:type="pct"/>
                  <w:vMerge w:val="continue"/>
                  <w:vAlign w:val="center"/>
                </w:tcPr>
                <w:p w14:paraId="7EA1A6C1">
                  <w:pPr>
                    <w:pStyle w:val="38"/>
                    <w:rPr>
                      <w:rFonts w:hint="default"/>
                    </w:rPr>
                  </w:pPr>
                </w:p>
              </w:tc>
              <w:tc>
                <w:tcPr>
                  <w:tcW w:w="1060" w:type="pct"/>
                  <w:vAlign w:val="center"/>
                </w:tcPr>
                <w:p w14:paraId="1A87268A">
                  <w:pPr>
                    <w:pStyle w:val="38"/>
                    <w:rPr>
                      <w:rFonts w:hint="default"/>
                    </w:rPr>
                  </w:pPr>
                  <w:r>
                    <w:rPr>
                      <w:rFonts w:ascii="宋体" w:hAnsi="宋体" w:cs="宋体"/>
                      <w:kern w:val="2"/>
                      <w:lang w:bidi="ar"/>
                    </w:rPr>
                    <w:t>金元小学、汽修厂、金元派出所、金元镇幼儿园</w:t>
                  </w:r>
                </w:p>
              </w:tc>
              <w:tc>
                <w:tcPr>
                  <w:tcW w:w="442" w:type="pct"/>
                  <w:vAlign w:val="center"/>
                </w:tcPr>
                <w:p w14:paraId="4DDE2950">
                  <w:pPr>
                    <w:pStyle w:val="38"/>
                    <w:rPr>
                      <w:rFonts w:hint="default"/>
                    </w:rPr>
                  </w:pPr>
                  <w:r>
                    <w:rPr>
                      <w:rFonts w:ascii="宋体" w:hAnsi="宋体" w:cs="宋体"/>
                      <w:kern w:val="2"/>
                      <w:lang w:bidi="ar"/>
                    </w:rPr>
                    <w:t>左岸</w:t>
                  </w:r>
                </w:p>
              </w:tc>
              <w:tc>
                <w:tcPr>
                  <w:tcW w:w="457" w:type="pct"/>
                  <w:vAlign w:val="center"/>
                </w:tcPr>
                <w:p w14:paraId="5EE3D035">
                  <w:pPr>
                    <w:pStyle w:val="38"/>
                    <w:rPr>
                      <w:rFonts w:hint="default"/>
                    </w:rPr>
                  </w:pPr>
                  <w:r>
                    <w:rPr>
                      <w:rFonts w:ascii="宋体" w:hAnsi="宋体" w:cs="宋体"/>
                      <w:kern w:val="2"/>
                      <w:lang w:bidi="ar"/>
                    </w:rPr>
                    <w:t>紧邻</w:t>
                  </w:r>
                </w:p>
              </w:tc>
              <w:tc>
                <w:tcPr>
                  <w:tcW w:w="1028" w:type="pct"/>
                  <w:vAlign w:val="center"/>
                </w:tcPr>
                <w:p w14:paraId="64B75B8A">
                  <w:pPr>
                    <w:pStyle w:val="38"/>
                    <w:rPr>
                      <w:rFonts w:hint="default"/>
                    </w:rPr>
                  </w:pPr>
                  <w:r>
                    <w:rPr>
                      <w:rFonts w:ascii="宋体" w:hAnsi="宋体" w:cs="宋体"/>
                      <w:kern w:val="2"/>
                      <w:lang w:bidi="ar"/>
                    </w:rPr>
                    <w:t>约100人</w:t>
                  </w:r>
                </w:p>
              </w:tc>
              <w:tc>
                <w:tcPr>
                  <w:tcW w:w="1546" w:type="pct"/>
                  <w:vMerge w:val="continue"/>
                  <w:vAlign w:val="center"/>
                </w:tcPr>
                <w:p w14:paraId="693FB89D">
                  <w:pPr>
                    <w:pStyle w:val="38"/>
                    <w:rPr>
                      <w:rFonts w:hint="default"/>
                    </w:rPr>
                  </w:pPr>
                </w:p>
              </w:tc>
            </w:tr>
            <w:tr w14:paraId="13314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64" w:type="pct"/>
                  <w:vMerge w:val="continue"/>
                  <w:vAlign w:val="center"/>
                </w:tcPr>
                <w:p w14:paraId="557EA449">
                  <w:pPr>
                    <w:pStyle w:val="38"/>
                    <w:rPr>
                      <w:rFonts w:hint="default"/>
                    </w:rPr>
                  </w:pPr>
                </w:p>
              </w:tc>
              <w:tc>
                <w:tcPr>
                  <w:tcW w:w="1060" w:type="pct"/>
                  <w:vAlign w:val="center"/>
                </w:tcPr>
                <w:p w14:paraId="76716181">
                  <w:pPr>
                    <w:pStyle w:val="38"/>
                    <w:rPr>
                      <w:rFonts w:hint="default"/>
                    </w:rPr>
                  </w:pPr>
                  <w:r>
                    <w:rPr>
                      <w:rFonts w:ascii="宋体" w:hAnsi="宋体" w:cs="宋体"/>
                      <w:kern w:val="2"/>
                      <w:lang w:bidi="ar"/>
                    </w:rPr>
                    <w:t>金元镇居民</w:t>
                  </w:r>
                </w:p>
              </w:tc>
              <w:tc>
                <w:tcPr>
                  <w:tcW w:w="442" w:type="pct"/>
                  <w:vAlign w:val="center"/>
                </w:tcPr>
                <w:p w14:paraId="76B67BA9">
                  <w:pPr>
                    <w:pStyle w:val="38"/>
                    <w:rPr>
                      <w:rFonts w:hint="default"/>
                    </w:rPr>
                  </w:pPr>
                  <w:r>
                    <w:rPr>
                      <w:rFonts w:ascii="宋体" w:hAnsi="宋体" w:cs="宋体"/>
                      <w:kern w:val="2"/>
                      <w:lang w:bidi="ar"/>
                    </w:rPr>
                    <w:t>南侧</w:t>
                  </w:r>
                </w:p>
              </w:tc>
              <w:tc>
                <w:tcPr>
                  <w:tcW w:w="457" w:type="pct"/>
                  <w:vAlign w:val="center"/>
                </w:tcPr>
                <w:p w14:paraId="51B2EE84">
                  <w:pPr>
                    <w:pStyle w:val="38"/>
                    <w:rPr>
                      <w:rFonts w:hint="default"/>
                    </w:rPr>
                  </w:pPr>
                  <w:r>
                    <w:rPr>
                      <w:rFonts w:ascii="宋体" w:hAnsi="宋体" w:cs="宋体"/>
                      <w:kern w:val="2"/>
                      <w:lang w:bidi="ar"/>
                    </w:rPr>
                    <w:t>70m</w:t>
                  </w:r>
                </w:p>
              </w:tc>
              <w:tc>
                <w:tcPr>
                  <w:tcW w:w="1028" w:type="pct"/>
                  <w:vAlign w:val="center"/>
                </w:tcPr>
                <w:p w14:paraId="58751BFD">
                  <w:pPr>
                    <w:pStyle w:val="38"/>
                    <w:rPr>
                      <w:rFonts w:hint="default"/>
                    </w:rPr>
                  </w:pPr>
                  <w:r>
                    <w:rPr>
                      <w:rFonts w:ascii="宋体" w:hAnsi="宋体" w:cs="宋体"/>
                      <w:kern w:val="2"/>
                      <w:lang w:bidi="ar"/>
                    </w:rPr>
                    <w:t>约120户，300人</w:t>
                  </w:r>
                </w:p>
              </w:tc>
              <w:tc>
                <w:tcPr>
                  <w:tcW w:w="1546" w:type="pct"/>
                  <w:vMerge w:val="continue"/>
                  <w:vAlign w:val="center"/>
                </w:tcPr>
                <w:p w14:paraId="1FBF912E">
                  <w:pPr>
                    <w:pStyle w:val="38"/>
                    <w:rPr>
                      <w:rFonts w:hint="default"/>
                    </w:rPr>
                  </w:pPr>
                </w:p>
              </w:tc>
            </w:tr>
            <w:tr w14:paraId="4E793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64" w:type="pct"/>
                  <w:vMerge w:val="continue"/>
                  <w:vAlign w:val="center"/>
                </w:tcPr>
                <w:p w14:paraId="640FD5EB">
                  <w:pPr>
                    <w:pStyle w:val="38"/>
                    <w:rPr>
                      <w:rFonts w:hint="default"/>
                    </w:rPr>
                  </w:pPr>
                </w:p>
              </w:tc>
              <w:tc>
                <w:tcPr>
                  <w:tcW w:w="1060" w:type="pct"/>
                  <w:vAlign w:val="center"/>
                </w:tcPr>
                <w:p w14:paraId="4E8E8517">
                  <w:pPr>
                    <w:pStyle w:val="38"/>
                    <w:rPr>
                      <w:rFonts w:ascii="宋体" w:hAnsi="宋体" w:cs="宋体"/>
                      <w:kern w:val="2"/>
                      <w:lang w:bidi="ar"/>
                    </w:rPr>
                  </w:pPr>
                  <w:r>
                    <w:rPr>
                      <w:rFonts w:ascii="宋体" w:hAnsi="宋体" w:cs="宋体"/>
                      <w:kern w:val="2"/>
                      <w:lang w:bidi="ar"/>
                    </w:rPr>
                    <w:t>干湾住户</w:t>
                  </w:r>
                </w:p>
              </w:tc>
              <w:tc>
                <w:tcPr>
                  <w:tcW w:w="442" w:type="pct"/>
                  <w:vAlign w:val="center"/>
                </w:tcPr>
                <w:p w14:paraId="4C94B2B3">
                  <w:pPr>
                    <w:pStyle w:val="38"/>
                    <w:rPr>
                      <w:rFonts w:ascii="宋体" w:hAnsi="宋体" w:cs="宋体"/>
                      <w:kern w:val="2"/>
                      <w:lang w:bidi="ar"/>
                    </w:rPr>
                  </w:pPr>
                  <w:r>
                    <w:rPr>
                      <w:rFonts w:ascii="宋体" w:hAnsi="宋体" w:cs="宋体"/>
                      <w:kern w:val="2"/>
                      <w:lang w:bidi="ar"/>
                    </w:rPr>
                    <w:t>北侧</w:t>
                  </w:r>
                </w:p>
              </w:tc>
              <w:tc>
                <w:tcPr>
                  <w:tcW w:w="457" w:type="pct"/>
                  <w:vAlign w:val="center"/>
                </w:tcPr>
                <w:p w14:paraId="7F9853B7">
                  <w:pPr>
                    <w:pStyle w:val="38"/>
                    <w:rPr>
                      <w:rFonts w:ascii="宋体" w:hAnsi="宋体" w:cs="宋体"/>
                      <w:kern w:val="2"/>
                      <w:lang w:bidi="ar"/>
                    </w:rPr>
                  </w:pPr>
                  <w:r>
                    <w:rPr>
                      <w:rFonts w:ascii="宋体" w:hAnsi="宋体" w:cs="宋体"/>
                      <w:kern w:val="2"/>
                      <w:lang w:bidi="ar"/>
                    </w:rPr>
                    <w:t>紧邻</w:t>
                  </w:r>
                </w:p>
              </w:tc>
              <w:tc>
                <w:tcPr>
                  <w:tcW w:w="1028" w:type="pct"/>
                  <w:vAlign w:val="center"/>
                </w:tcPr>
                <w:p w14:paraId="11D099C1">
                  <w:pPr>
                    <w:pStyle w:val="38"/>
                    <w:rPr>
                      <w:rFonts w:ascii="宋体" w:hAnsi="宋体" w:cs="宋体"/>
                      <w:kern w:val="2"/>
                      <w:lang w:bidi="ar"/>
                    </w:rPr>
                  </w:pPr>
                  <w:r>
                    <w:rPr>
                      <w:rFonts w:ascii="宋体" w:hAnsi="宋体" w:cs="宋体"/>
                      <w:kern w:val="2"/>
                      <w:lang w:bidi="ar"/>
                    </w:rPr>
                    <w:t>6户，约15人</w:t>
                  </w:r>
                </w:p>
              </w:tc>
              <w:tc>
                <w:tcPr>
                  <w:tcW w:w="1546" w:type="pct"/>
                  <w:vMerge w:val="continue"/>
                  <w:vAlign w:val="center"/>
                </w:tcPr>
                <w:p w14:paraId="0AA747C6">
                  <w:pPr>
                    <w:pStyle w:val="38"/>
                    <w:rPr>
                      <w:rFonts w:hint="default"/>
                    </w:rPr>
                  </w:pPr>
                </w:p>
              </w:tc>
            </w:tr>
            <w:tr w14:paraId="00AB7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3" w:hRule="atLeast"/>
                <w:jc w:val="center"/>
              </w:trPr>
              <w:tc>
                <w:tcPr>
                  <w:tcW w:w="464" w:type="pct"/>
                  <w:vAlign w:val="center"/>
                </w:tcPr>
                <w:p w14:paraId="1B033672">
                  <w:pPr>
                    <w:pStyle w:val="38"/>
                    <w:rPr>
                      <w:rFonts w:hint="default"/>
                    </w:rPr>
                  </w:pPr>
                  <w:r>
                    <w:t>生态环境</w:t>
                  </w:r>
                </w:p>
              </w:tc>
              <w:tc>
                <w:tcPr>
                  <w:tcW w:w="2988" w:type="pct"/>
                  <w:gridSpan w:val="4"/>
                  <w:vAlign w:val="center"/>
                </w:tcPr>
                <w:p w14:paraId="654C6E75">
                  <w:pPr>
                    <w:pStyle w:val="38"/>
                    <w:rPr>
                      <w:rFonts w:hint="default"/>
                    </w:rPr>
                  </w:pPr>
                  <w:r>
                    <w:rPr>
                      <w:rFonts w:hint="default"/>
                    </w:rPr>
                    <w:t>工程占地区域及周边</w:t>
                  </w:r>
                  <w:r>
                    <w:t>的</w:t>
                  </w:r>
                  <w:r>
                    <w:rPr>
                      <w:rFonts w:hint="default"/>
                    </w:rPr>
                    <w:t>陆生生态、水生生态</w:t>
                  </w:r>
                </w:p>
              </w:tc>
              <w:tc>
                <w:tcPr>
                  <w:tcW w:w="1546" w:type="pct"/>
                  <w:vAlign w:val="center"/>
                </w:tcPr>
                <w:p w14:paraId="40365D70">
                  <w:pPr>
                    <w:pStyle w:val="38"/>
                    <w:rPr>
                      <w:rFonts w:hint="default"/>
                    </w:rPr>
                  </w:pPr>
                  <w:r>
                    <w:rPr>
                      <w:rFonts w:hint="default"/>
                    </w:rPr>
                    <w:t>防治区域生态环境质量</w:t>
                  </w:r>
                  <w:r>
                    <w:t>不</w:t>
                  </w:r>
                  <w:r>
                    <w:rPr>
                      <w:rFonts w:hint="default"/>
                    </w:rPr>
                    <w:t>发生明显恶化；保护生态系统完整性、临时占地及时恢复、控制水土流失、生态功能不降低</w:t>
                  </w:r>
                </w:p>
              </w:tc>
            </w:tr>
          </w:tbl>
          <w:p w14:paraId="4C150288">
            <w:pPr>
              <w:spacing w:line="360" w:lineRule="auto"/>
              <w:rPr>
                <w:sz w:val="24"/>
              </w:rPr>
            </w:pPr>
          </w:p>
        </w:tc>
      </w:tr>
      <w:tr w14:paraId="46E3F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1" w:type="dxa"/>
            <w:vAlign w:val="center"/>
          </w:tcPr>
          <w:p w14:paraId="23F71719">
            <w:pPr>
              <w:jc w:val="center"/>
              <w:rPr>
                <w:sz w:val="24"/>
              </w:rPr>
            </w:pPr>
            <w:r>
              <w:rPr>
                <w:sz w:val="24"/>
              </w:rPr>
              <w:t>污染物排放控制标准</w:t>
            </w:r>
          </w:p>
        </w:tc>
        <w:tc>
          <w:tcPr>
            <w:tcW w:w="8515" w:type="dxa"/>
            <w:vAlign w:val="center"/>
          </w:tcPr>
          <w:p w14:paraId="593DF053">
            <w:pPr>
              <w:pStyle w:val="4"/>
              <w:numPr>
                <w:ilvl w:val="0"/>
                <w:numId w:val="27"/>
              </w:numPr>
            </w:pPr>
            <w:r>
              <w:rPr>
                <w:rFonts w:hint="eastAsia"/>
              </w:rPr>
              <w:t>环境质量标准</w:t>
            </w:r>
          </w:p>
          <w:p w14:paraId="38397C9D">
            <w:pPr>
              <w:pStyle w:val="4"/>
              <w:numPr>
                <w:ilvl w:val="1"/>
                <w:numId w:val="27"/>
              </w:numPr>
            </w:pPr>
            <w:r>
              <w:rPr>
                <w:rFonts w:hint="eastAsia"/>
              </w:rPr>
              <w:t>环境空气质量</w:t>
            </w:r>
          </w:p>
          <w:p w14:paraId="106E726C">
            <w:pPr>
              <w:spacing w:line="440" w:lineRule="exact"/>
              <w:ind w:firstLine="480" w:firstLineChars="200"/>
            </w:pPr>
            <w:r>
              <w:rPr>
                <w:rFonts w:hint="eastAsia"/>
                <w:sz w:val="24"/>
              </w:rPr>
              <w:t>本项目所在区域环境空气执行《环境空气质量标准》（GB3095-2012）二级标准，标准值见下表。</w:t>
            </w:r>
          </w:p>
          <w:p w14:paraId="78285579">
            <w:pPr>
              <w:pStyle w:val="47"/>
              <w:numPr>
                <w:ilvl w:val="0"/>
                <w:numId w:val="26"/>
              </w:numPr>
              <w:spacing w:before="156"/>
              <w:rPr>
                <w:bCs/>
              </w:rPr>
            </w:pPr>
            <w:r>
              <w:rPr>
                <w:rFonts w:hint="eastAsia" w:cs="宋体"/>
                <w:bCs/>
                <w:lang w:bidi="ar"/>
              </w:rPr>
              <w:t>《环境空气质量标准》（GB3095-2012）二级标准</w:t>
            </w:r>
          </w:p>
          <w:tbl>
            <w:tblPr>
              <w:tblStyle w:val="51"/>
              <w:tblW w:w="4998" w:type="pct"/>
              <w:jc w:val="center"/>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
            <w:tblGrid>
              <w:gridCol w:w="2006"/>
              <w:gridCol w:w="1126"/>
              <w:gridCol w:w="1842"/>
              <w:gridCol w:w="1656"/>
              <w:gridCol w:w="1656"/>
            </w:tblGrid>
            <w:tr w14:paraId="4FC3EF54">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210" w:type="pct"/>
                  <w:tcBorders>
                    <w:bottom w:val="single" w:color="auto" w:sz="4" w:space="0"/>
                    <w:right w:val="single" w:color="auto" w:sz="4" w:space="0"/>
                  </w:tcBorders>
                  <w:vAlign w:val="center"/>
                </w:tcPr>
                <w:p w14:paraId="3E6404A9">
                  <w:pPr>
                    <w:pStyle w:val="89"/>
                  </w:pPr>
                  <w:r>
                    <w:t>标准依据</w:t>
                  </w:r>
                </w:p>
              </w:tc>
              <w:tc>
                <w:tcPr>
                  <w:tcW w:w="680" w:type="pct"/>
                  <w:tcBorders>
                    <w:left w:val="single" w:color="auto" w:sz="4" w:space="0"/>
                    <w:bottom w:val="single" w:color="auto" w:sz="4" w:space="0"/>
                    <w:right w:val="single" w:color="auto" w:sz="4" w:space="0"/>
                  </w:tcBorders>
                  <w:vAlign w:val="center"/>
                </w:tcPr>
                <w:p w14:paraId="1E138B0F">
                  <w:pPr>
                    <w:pStyle w:val="89"/>
                  </w:pPr>
                  <w:r>
                    <w:t>污染物名称</w:t>
                  </w:r>
                </w:p>
              </w:tc>
              <w:tc>
                <w:tcPr>
                  <w:tcW w:w="1111" w:type="pct"/>
                  <w:tcBorders>
                    <w:left w:val="single" w:color="auto" w:sz="4" w:space="0"/>
                    <w:bottom w:val="single" w:color="auto" w:sz="4" w:space="0"/>
                    <w:right w:val="single" w:color="auto" w:sz="4" w:space="0"/>
                  </w:tcBorders>
                  <w:vAlign w:val="center"/>
                </w:tcPr>
                <w:p w14:paraId="6ECA72BF">
                  <w:pPr>
                    <w:pStyle w:val="89"/>
                  </w:pPr>
                  <w:r>
                    <w:t>取值时间</w:t>
                  </w:r>
                </w:p>
              </w:tc>
              <w:tc>
                <w:tcPr>
                  <w:tcW w:w="998" w:type="pct"/>
                  <w:tcBorders>
                    <w:left w:val="single" w:color="auto" w:sz="4" w:space="0"/>
                    <w:bottom w:val="single" w:color="auto" w:sz="4" w:space="0"/>
                  </w:tcBorders>
                  <w:vAlign w:val="center"/>
                </w:tcPr>
                <w:p w14:paraId="67A10158">
                  <w:pPr>
                    <w:pStyle w:val="89"/>
                  </w:pPr>
                  <w:r>
                    <w:t>标准限值</w:t>
                  </w:r>
                </w:p>
              </w:tc>
              <w:tc>
                <w:tcPr>
                  <w:tcW w:w="998" w:type="pct"/>
                  <w:tcBorders>
                    <w:left w:val="single" w:color="auto" w:sz="4" w:space="0"/>
                    <w:bottom w:val="single" w:color="auto" w:sz="4" w:space="0"/>
                  </w:tcBorders>
                  <w:vAlign w:val="center"/>
                </w:tcPr>
                <w:p w14:paraId="26BD85D4">
                  <w:pPr>
                    <w:pStyle w:val="89"/>
                  </w:pPr>
                  <w:r>
                    <w:rPr>
                      <w:rFonts w:hint="eastAsia"/>
                    </w:rPr>
                    <w:t>单位</w:t>
                  </w:r>
                </w:p>
              </w:tc>
            </w:tr>
            <w:tr w14:paraId="4F19B4E9">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210" w:type="pct"/>
                  <w:vMerge w:val="restart"/>
                  <w:tcBorders>
                    <w:top w:val="single" w:color="auto" w:sz="4" w:space="0"/>
                    <w:right w:val="single" w:color="auto" w:sz="4" w:space="0"/>
                  </w:tcBorders>
                  <w:vAlign w:val="center"/>
                </w:tcPr>
                <w:p w14:paraId="2AC15723">
                  <w:pPr>
                    <w:pStyle w:val="89"/>
                  </w:pPr>
                  <w:r>
                    <w:t>《环境空气质量标准》(GB3095-2012)</w:t>
                  </w:r>
                </w:p>
                <w:p w14:paraId="5638A996">
                  <w:pPr>
                    <w:pStyle w:val="89"/>
                  </w:pPr>
                  <w:r>
                    <w:t>二级标准</w:t>
                  </w:r>
                </w:p>
              </w:tc>
              <w:tc>
                <w:tcPr>
                  <w:tcW w:w="680" w:type="pct"/>
                  <w:vMerge w:val="restart"/>
                  <w:tcBorders>
                    <w:top w:val="single" w:color="auto" w:sz="4" w:space="0"/>
                    <w:left w:val="single" w:color="auto" w:sz="4" w:space="0"/>
                    <w:bottom w:val="single" w:color="auto" w:sz="4" w:space="0"/>
                    <w:right w:val="single" w:color="auto" w:sz="4" w:space="0"/>
                  </w:tcBorders>
                  <w:vAlign w:val="center"/>
                </w:tcPr>
                <w:p w14:paraId="56CED175">
                  <w:pPr>
                    <w:pStyle w:val="89"/>
                  </w:pPr>
                  <w:r>
                    <w:t>SO</w:t>
                  </w:r>
                  <w:r>
                    <w:rPr>
                      <w:vertAlign w:val="subscript"/>
                    </w:rPr>
                    <w:t>2</w:t>
                  </w:r>
                </w:p>
              </w:tc>
              <w:tc>
                <w:tcPr>
                  <w:tcW w:w="1111" w:type="pct"/>
                  <w:tcBorders>
                    <w:top w:val="single" w:color="auto" w:sz="4" w:space="0"/>
                    <w:left w:val="single" w:color="auto" w:sz="4" w:space="0"/>
                    <w:bottom w:val="single" w:color="auto" w:sz="4" w:space="0"/>
                    <w:right w:val="single" w:color="auto" w:sz="4" w:space="0"/>
                  </w:tcBorders>
                  <w:vAlign w:val="center"/>
                </w:tcPr>
                <w:p w14:paraId="574659E8">
                  <w:pPr>
                    <w:pStyle w:val="89"/>
                  </w:pPr>
                  <w:r>
                    <w:t>年平均</w:t>
                  </w:r>
                </w:p>
              </w:tc>
              <w:tc>
                <w:tcPr>
                  <w:tcW w:w="998" w:type="pct"/>
                  <w:tcBorders>
                    <w:top w:val="single" w:color="auto" w:sz="4" w:space="0"/>
                    <w:left w:val="single" w:color="auto" w:sz="4" w:space="0"/>
                    <w:bottom w:val="single" w:color="auto" w:sz="4" w:space="0"/>
                  </w:tcBorders>
                  <w:vAlign w:val="center"/>
                </w:tcPr>
                <w:p w14:paraId="40F40268">
                  <w:pPr>
                    <w:pStyle w:val="89"/>
                  </w:pPr>
                  <w:r>
                    <w:t>60</w:t>
                  </w:r>
                </w:p>
              </w:tc>
              <w:tc>
                <w:tcPr>
                  <w:tcW w:w="998" w:type="pct"/>
                  <w:vMerge w:val="restart"/>
                  <w:tcBorders>
                    <w:top w:val="single" w:color="auto" w:sz="4" w:space="0"/>
                    <w:left w:val="single" w:color="auto" w:sz="4" w:space="0"/>
                  </w:tcBorders>
                  <w:vAlign w:val="center"/>
                </w:tcPr>
                <w:p w14:paraId="6C0D238C">
                  <w:pPr>
                    <w:pStyle w:val="89"/>
                  </w:pPr>
                  <w:r>
                    <w:t>μg/</w:t>
                  </w:r>
                  <w:r>
                    <w:rPr>
                      <w:rFonts w:hint="eastAsia"/>
                    </w:rPr>
                    <w:t>m³</w:t>
                  </w:r>
                </w:p>
              </w:tc>
            </w:tr>
            <w:tr w14:paraId="04139E7B">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210" w:type="pct"/>
                  <w:vMerge w:val="continue"/>
                  <w:tcBorders>
                    <w:right w:val="single" w:color="auto" w:sz="4" w:space="0"/>
                  </w:tcBorders>
                  <w:vAlign w:val="center"/>
                </w:tcPr>
                <w:p w14:paraId="283E1CA6">
                  <w:pPr>
                    <w:pStyle w:val="89"/>
                  </w:pPr>
                </w:p>
              </w:tc>
              <w:tc>
                <w:tcPr>
                  <w:tcW w:w="680" w:type="pct"/>
                  <w:vMerge w:val="continue"/>
                  <w:tcBorders>
                    <w:top w:val="single" w:color="auto" w:sz="4" w:space="0"/>
                    <w:left w:val="single" w:color="auto" w:sz="4" w:space="0"/>
                    <w:bottom w:val="single" w:color="auto" w:sz="4" w:space="0"/>
                    <w:right w:val="single" w:color="auto" w:sz="4" w:space="0"/>
                  </w:tcBorders>
                  <w:vAlign w:val="center"/>
                </w:tcPr>
                <w:p w14:paraId="71DDC326">
                  <w:pPr>
                    <w:pStyle w:val="89"/>
                  </w:pPr>
                </w:p>
              </w:tc>
              <w:tc>
                <w:tcPr>
                  <w:tcW w:w="1111" w:type="pct"/>
                  <w:tcBorders>
                    <w:top w:val="single" w:color="auto" w:sz="4" w:space="0"/>
                    <w:left w:val="single" w:color="auto" w:sz="4" w:space="0"/>
                    <w:bottom w:val="single" w:color="auto" w:sz="4" w:space="0"/>
                    <w:right w:val="single" w:color="auto" w:sz="4" w:space="0"/>
                  </w:tcBorders>
                  <w:vAlign w:val="center"/>
                </w:tcPr>
                <w:p w14:paraId="63948782">
                  <w:pPr>
                    <w:pStyle w:val="89"/>
                  </w:pPr>
                  <w:r>
                    <w:t>24小时平均</w:t>
                  </w:r>
                </w:p>
              </w:tc>
              <w:tc>
                <w:tcPr>
                  <w:tcW w:w="998" w:type="pct"/>
                  <w:tcBorders>
                    <w:top w:val="single" w:color="auto" w:sz="4" w:space="0"/>
                    <w:left w:val="single" w:color="auto" w:sz="4" w:space="0"/>
                    <w:bottom w:val="single" w:color="auto" w:sz="4" w:space="0"/>
                  </w:tcBorders>
                  <w:vAlign w:val="center"/>
                </w:tcPr>
                <w:p w14:paraId="541F660F">
                  <w:pPr>
                    <w:pStyle w:val="89"/>
                  </w:pPr>
                  <w:r>
                    <w:t>150</w:t>
                  </w:r>
                </w:p>
              </w:tc>
              <w:tc>
                <w:tcPr>
                  <w:tcW w:w="998" w:type="pct"/>
                  <w:vMerge w:val="continue"/>
                  <w:tcBorders>
                    <w:left w:val="single" w:color="auto" w:sz="4" w:space="0"/>
                  </w:tcBorders>
                  <w:vAlign w:val="center"/>
                </w:tcPr>
                <w:p w14:paraId="539B3380">
                  <w:pPr>
                    <w:pStyle w:val="89"/>
                  </w:pPr>
                </w:p>
              </w:tc>
            </w:tr>
            <w:tr w14:paraId="6411A725">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210" w:type="pct"/>
                  <w:vMerge w:val="continue"/>
                  <w:tcBorders>
                    <w:right w:val="single" w:color="auto" w:sz="4" w:space="0"/>
                  </w:tcBorders>
                  <w:vAlign w:val="center"/>
                </w:tcPr>
                <w:p w14:paraId="7FB37426">
                  <w:pPr>
                    <w:pStyle w:val="89"/>
                  </w:pPr>
                </w:p>
              </w:tc>
              <w:tc>
                <w:tcPr>
                  <w:tcW w:w="680" w:type="pct"/>
                  <w:vMerge w:val="continue"/>
                  <w:tcBorders>
                    <w:top w:val="single" w:color="auto" w:sz="4" w:space="0"/>
                    <w:left w:val="single" w:color="auto" w:sz="4" w:space="0"/>
                    <w:bottom w:val="single" w:color="auto" w:sz="4" w:space="0"/>
                    <w:right w:val="single" w:color="auto" w:sz="4" w:space="0"/>
                  </w:tcBorders>
                  <w:vAlign w:val="center"/>
                </w:tcPr>
                <w:p w14:paraId="227BE119">
                  <w:pPr>
                    <w:pStyle w:val="89"/>
                  </w:pPr>
                </w:p>
              </w:tc>
              <w:tc>
                <w:tcPr>
                  <w:tcW w:w="1111" w:type="pct"/>
                  <w:tcBorders>
                    <w:top w:val="single" w:color="auto" w:sz="4" w:space="0"/>
                    <w:left w:val="single" w:color="auto" w:sz="4" w:space="0"/>
                    <w:bottom w:val="single" w:color="auto" w:sz="4" w:space="0"/>
                    <w:right w:val="single" w:color="auto" w:sz="4" w:space="0"/>
                  </w:tcBorders>
                  <w:vAlign w:val="center"/>
                </w:tcPr>
                <w:p w14:paraId="05774956">
                  <w:pPr>
                    <w:pStyle w:val="89"/>
                  </w:pPr>
                  <w:r>
                    <w:t>1小时平均</w:t>
                  </w:r>
                </w:p>
              </w:tc>
              <w:tc>
                <w:tcPr>
                  <w:tcW w:w="998" w:type="pct"/>
                  <w:tcBorders>
                    <w:top w:val="single" w:color="auto" w:sz="4" w:space="0"/>
                    <w:left w:val="single" w:color="auto" w:sz="4" w:space="0"/>
                    <w:bottom w:val="single" w:color="auto" w:sz="4" w:space="0"/>
                  </w:tcBorders>
                  <w:vAlign w:val="center"/>
                </w:tcPr>
                <w:p w14:paraId="4C452622">
                  <w:pPr>
                    <w:pStyle w:val="89"/>
                  </w:pPr>
                  <w:r>
                    <w:t>500</w:t>
                  </w:r>
                </w:p>
              </w:tc>
              <w:tc>
                <w:tcPr>
                  <w:tcW w:w="998" w:type="pct"/>
                  <w:vMerge w:val="continue"/>
                  <w:tcBorders>
                    <w:left w:val="single" w:color="auto" w:sz="4" w:space="0"/>
                    <w:bottom w:val="single" w:color="auto" w:sz="4" w:space="0"/>
                  </w:tcBorders>
                  <w:vAlign w:val="center"/>
                </w:tcPr>
                <w:p w14:paraId="13D4C18B">
                  <w:pPr>
                    <w:pStyle w:val="89"/>
                  </w:pPr>
                </w:p>
              </w:tc>
            </w:tr>
            <w:tr w14:paraId="5A4D390A">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210" w:type="pct"/>
                  <w:vMerge w:val="continue"/>
                  <w:tcBorders>
                    <w:right w:val="single" w:color="auto" w:sz="4" w:space="0"/>
                  </w:tcBorders>
                  <w:vAlign w:val="center"/>
                </w:tcPr>
                <w:p w14:paraId="14461262">
                  <w:pPr>
                    <w:pStyle w:val="89"/>
                  </w:pPr>
                </w:p>
              </w:tc>
              <w:tc>
                <w:tcPr>
                  <w:tcW w:w="680" w:type="pct"/>
                  <w:vMerge w:val="restart"/>
                  <w:tcBorders>
                    <w:top w:val="single" w:color="auto" w:sz="4" w:space="0"/>
                    <w:left w:val="single" w:color="auto" w:sz="4" w:space="0"/>
                    <w:bottom w:val="single" w:color="auto" w:sz="4" w:space="0"/>
                    <w:right w:val="single" w:color="auto" w:sz="4" w:space="0"/>
                  </w:tcBorders>
                  <w:vAlign w:val="center"/>
                </w:tcPr>
                <w:p w14:paraId="5F3BE835">
                  <w:pPr>
                    <w:pStyle w:val="89"/>
                  </w:pPr>
                  <w:r>
                    <w:t>NO</w:t>
                  </w:r>
                  <w:r>
                    <w:rPr>
                      <w:vertAlign w:val="subscript"/>
                    </w:rPr>
                    <w:t>2</w:t>
                  </w:r>
                </w:p>
              </w:tc>
              <w:tc>
                <w:tcPr>
                  <w:tcW w:w="1111" w:type="pct"/>
                  <w:tcBorders>
                    <w:top w:val="single" w:color="auto" w:sz="4" w:space="0"/>
                    <w:left w:val="single" w:color="auto" w:sz="4" w:space="0"/>
                    <w:bottom w:val="single" w:color="auto" w:sz="4" w:space="0"/>
                    <w:right w:val="single" w:color="auto" w:sz="4" w:space="0"/>
                  </w:tcBorders>
                  <w:vAlign w:val="center"/>
                </w:tcPr>
                <w:p w14:paraId="18481259">
                  <w:pPr>
                    <w:pStyle w:val="89"/>
                  </w:pPr>
                  <w:r>
                    <w:t>年平均</w:t>
                  </w:r>
                </w:p>
              </w:tc>
              <w:tc>
                <w:tcPr>
                  <w:tcW w:w="998" w:type="pct"/>
                  <w:tcBorders>
                    <w:top w:val="single" w:color="auto" w:sz="4" w:space="0"/>
                    <w:left w:val="single" w:color="auto" w:sz="4" w:space="0"/>
                    <w:bottom w:val="single" w:color="auto" w:sz="4" w:space="0"/>
                  </w:tcBorders>
                  <w:vAlign w:val="center"/>
                </w:tcPr>
                <w:p w14:paraId="1FF492B0">
                  <w:pPr>
                    <w:pStyle w:val="89"/>
                  </w:pPr>
                  <w:r>
                    <w:t>40</w:t>
                  </w:r>
                </w:p>
              </w:tc>
              <w:tc>
                <w:tcPr>
                  <w:tcW w:w="998" w:type="pct"/>
                  <w:vMerge w:val="restart"/>
                  <w:tcBorders>
                    <w:top w:val="single" w:color="auto" w:sz="4" w:space="0"/>
                    <w:left w:val="single" w:color="auto" w:sz="4" w:space="0"/>
                  </w:tcBorders>
                  <w:vAlign w:val="center"/>
                </w:tcPr>
                <w:p w14:paraId="04AC1FD1">
                  <w:pPr>
                    <w:pStyle w:val="89"/>
                  </w:pPr>
                  <w:r>
                    <w:t>μg/</w:t>
                  </w:r>
                  <w:r>
                    <w:rPr>
                      <w:rFonts w:hint="eastAsia"/>
                    </w:rPr>
                    <w:t>m³</w:t>
                  </w:r>
                </w:p>
              </w:tc>
            </w:tr>
            <w:tr w14:paraId="6A17EAA3">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210" w:type="pct"/>
                  <w:vMerge w:val="continue"/>
                  <w:tcBorders>
                    <w:right w:val="single" w:color="auto" w:sz="4" w:space="0"/>
                  </w:tcBorders>
                  <w:vAlign w:val="center"/>
                </w:tcPr>
                <w:p w14:paraId="5F92239A">
                  <w:pPr>
                    <w:pStyle w:val="89"/>
                  </w:pPr>
                </w:p>
              </w:tc>
              <w:tc>
                <w:tcPr>
                  <w:tcW w:w="680" w:type="pct"/>
                  <w:vMerge w:val="continue"/>
                  <w:tcBorders>
                    <w:top w:val="single" w:color="auto" w:sz="4" w:space="0"/>
                    <w:left w:val="single" w:color="auto" w:sz="4" w:space="0"/>
                    <w:bottom w:val="single" w:color="auto" w:sz="4" w:space="0"/>
                    <w:right w:val="single" w:color="auto" w:sz="4" w:space="0"/>
                  </w:tcBorders>
                  <w:vAlign w:val="center"/>
                </w:tcPr>
                <w:p w14:paraId="046CA52A">
                  <w:pPr>
                    <w:pStyle w:val="89"/>
                  </w:pPr>
                </w:p>
              </w:tc>
              <w:tc>
                <w:tcPr>
                  <w:tcW w:w="1111" w:type="pct"/>
                  <w:tcBorders>
                    <w:top w:val="single" w:color="auto" w:sz="4" w:space="0"/>
                    <w:left w:val="single" w:color="auto" w:sz="4" w:space="0"/>
                    <w:bottom w:val="single" w:color="auto" w:sz="4" w:space="0"/>
                    <w:right w:val="single" w:color="auto" w:sz="4" w:space="0"/>
                  </w:tcBorders>
                  <w:vAlign w:val="center"/>
                </w:tcPr>
                <w:p w14:paraId="5708E40B">
                  <w:pPr>
                    <w:pStyle w:val="89"/>
                  </w:pPr>
                  <w:r>
                    <w:t>24小时平均</w:t>
                  </w:r>
                </w:p>
              </w:tc>
              <w:tc>
                <w:tcPr>
                  <w:tcW w:w="998" w:type="pct"/>
                  <w:tcBorders>
                    <w:top w:val="single" w:color="auto" w:sz="4" w:space="0"/>
                    <w:left w:val="single" w:color="auto" w:sz="4" w:space="0"/>
                    <w:bottom w:val="single" w:color="auto" w:sz="4" w:space="0"/>
                  </w:tcBorders>
                  <w:vAlign w:val="center"/>
                </w:tcPr>
                <w:p w14:paraId="0B216526">
                  <w:pPr>
                    <w:pStyle w:val="89"/>
                  </w:pPr>
                  <w:r>
                    <w:t>80</w:t>
                  </w:r>
                </w:p>
              </w:tc>
              <w:tc>
                <w:tcPr>
                  <w:tcW w:w="998" w:type="pct"/>
                  <w:vMerge w:val="continue"/>
                  <w:tcBorders>
                    <w:left w:val="single" w:color="auto" w:sz="4" w:space="0"/>
                  </w:tcBorders>
                  <w:vAlign w:val="center"/>
                </w:tcPr>
                <w:p w14:paraId="1B320C8B">
                  <w:pPr>
                    <w:pStyle w:val="89"/>
                  </w:pPr>
                </w:p>
              </w:tc>
            </w:tr>
            <w:tr w14:paraId="17F66963">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210" w:type="pct"/>
                  <w:vMerge w:val="continue"/>
                  <w:tcBorders>
                    <w:right w:val="single" w:color="auto" w:sz="4" w:space="0"/>
                  </w:tcBorders>
                  <w:vAlign w:val="center"/>
                </w:tcPr>
                <w:p w14:paraId="32916D9F">
                  <w:pPr>
                    <w:pStyle w:val="89"/>
                  </w:pPr>
                </w:p>
              </w:tc>
              <w:tc>
                <w:tcPr>
                  <w:tcW w:w="680" w:type="pct"/>
                  <w:vMerge w:val="continue"/>
                  <w:tcBorders>
                    <w:top w:val="single" w:color="auto" w:sz="4" w:space="0"/>
                    <w:left w:val="single" w:color="auto" w:sz="4" w:space="0"/>
                    <w:bottom w:val="single" w:color="auto" w:sz="4" w:space="0"/>
                    <w:right w:val="single" w:color="auto" w:sz="4" w:space="0"/>
                  </w:tcBorders>
                  <w:vAlign w:val="center"/>
                </w:tcPr>
                <w:p w14:paraId="102730A6">
                  <w:pPr>
                    <w:pStyle w:val="89"/>
                  </w:pPr>
                </w:p>
              </w:tc>
              <w:tc>
                <w:tcPr>
                  <w:tcW w:w="1111" w:type="pct"/>
                  <w:tcBorders>
                    <w:top w:val="single" w:color="auto" w:sz="4" w:space="0"/>
                    <w:left w:val="single" w:color="auto" w:sz="4" w:space="0"/>
                    <w:bottom w:val="single" w:color="auto" w:sz="4" w:space="0"/>
                    <w:right w:val="single" w:color="auto" w:sz="4" w:space="0"/>
                  </w:tcBorders>
                  <w:vAlign w:val="center"/>
                </w:tcPr>
                <w:p w14:paraId="4A821982">
                  <w:pPr>
                    <w:pStyle w:val="89"/>
                  </w:pPr>
                  <w:r>
                    <w:t>1小时平均</w:t>
                  </w:r>
                </w:p>
              </w:tc>
              <w:tc>
                <w:tcPr>
                  <w:tcW w:w="998" w:type="pct"/>
                  <w:tcBorders>
                    <w:top w:val="single" w:color="auto" w:sz="4" w:space="0"/>
                    <w:left w:val="single" w:color="auto" w:sz="4" w:space="0"/>
                    <w:bottom w:val="single" w:color="auto" w:sz="4" w:space="0"/>
                  </w:tcBorders>
                  <w:vAlign w:val="center"/>
                </w:tcPr>
                <w:p w14:paraId="7C197BD2">
                  <w:pPr>
                    <w:pStyle w:val="89"/>
                  </w:pPr>
                  <w:r>
                    <w:t>200</w:t>
                  </w:r>
                </w:p>
              </w:tc>
              <w:tc>
                <w:tcPr>
                  <w:tcW w:w="998" w:type="pct"/>
                  <w:vMerge w:val="continue"/>
                  <w:tcBorders>
                    <w:left w:val="single" w:color="auto" w:sz="4" w:space="0"/>
                    <w:bottom w:val="single" w:color="auto" w:sz="4" w:space="0"/>
                  </w:tcBorders>
                  <w:vAlign w:val="center"/>
                </w:tcPr>
                <w:p w14:paraId="78B02132">
                  <w:pPr>
                    <w:pStyle w:val="89"/>
                  </w:pPr>
                </w:p>
              </w:tc>
            </w:tr>
            <w:tr w14:paraId="2BE99243">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210" w:type="pct"/>
                  <w:vMerge w:val="continue"/>
                  <w:tcBorders>
                    <w:right w:val="single" w:color="auto" w:sz="4" w:space="0"/>
                  </w:tcBorders>
                  <w:vAlign w:val="center"/>
                </w:tcPr>
                <w:p w14:paraId="6335B5EE">
                  <w:pPr>
                    <w:pStyle w:val="89"/>
                  </w:pPr>
                </w:p>
              </w:tc>
              <w:tc>
                <w:tcPr>
                  <w:tcW w:w="680" w:type="pct"/>
                  <w:vMerge w:val="restart"/>
                  <w:tcBorders>
                    <w:top w:val="single" w:color="auto" w:sz="4" w:space="0"/>
                    <w:left w:val="single" w:color="auto" w:sz="4" w:space="0"/>
                    <w:bottom w:val="single" w:color="auto" w:sz="4" w:space="0"/>
                    <w:right w:val="single" w:color="auto" w:sz="4" w:space="0"/>
                  </w:tcBorders>
                  <w:vAlign w:val="center"/>
                </w:tcPr>
                <w:p w14:paraId="1E9169CB">
                  <w:pPr>
                    <w:pStyle w:val="89"/>
                  </w:pPr>
                  <w:r>
                    <w:t>P</w:t>
                  </w:r>
                  <w:bookmarkStart w:id="8" w:name="OLE_LINK263"/>
                  <w:r>
                    <w:t>M</w:t>
                  </w:r>
                  <w:bookmarkEnd w:id="8"/>
                  <w:r>
                    <w:rPr>
                      <w:vertAlign w:val="subscript"/>
                    </w:rPr>
                    <w:t>10</w:t>
                  </w:r>
                </w:p>
              </w:tc>
              <w:tc>
                <w:tcPr>
                  <w:tcW w:w="1111" w:type="pct"/>
                  <w:tcBorders>
                    <w:top w:val="single" w:color="auto" w:sz="4" w:space="0"/>
                    <w:left w:val="single" w:color="auto" w:sz="4" w:space="0"/>
                    <w:bottom w:val="single" w:color="auto" w:sz="4" w:space="0"/>
                    <w:right w:val="single" w:color="auto" w:sz="4" w:space="0"/>
                  </w:tcBorders>
                  <w:vAlign w:val="center"/>
                </w:tcPr>
                <w:p w14:paraId="4B944DAA">
                  <w:pPr>
                    <w:pStyle w:val="89"/>
                  </w:pPr>
                  <w:r>
                    <w:t>年平均</w:t>
                  </w:r>
                </w:p>
              </w:tc>
              <w:tc>
                <w:tcPr>
                  <w:tcW w:w="998" w:type="pct"/>
                  <w:tcBorders>
                    <w:top w:val="single" w:color="auto" w:sz="4" w:space="0"/>
                    <w:left w:val="single" w:color="auto" w:sz="4" w:space="0"/>
                    <w:bottom w:val="single" w:color="auto" w:sz="4" w:space="0"/>
                  </w:tcBorders>
                  <w:vAlign w:val="center"/>
                </w:tcPr>
                <w:p w14:paraId="13744016">
                  <w:pPr>
                    <w:pStyle w:val="89"/>
                  </w:pPr>
                  <w:r>
                    <w:t>70</w:t>
                  </w:r>
                </w:p>
              </w:tc>
              <w:tc>
                <w:tcPr>
                  <w:tcW w:w="998" w:type="pct"/>
                  <w:vMerge w:val="restart"/>
                  <w:tcBorders>
                    <w:top w:val="single" w:color="auto" w:sz="4" w:space="0"/>
                    <w:left w:val="single" w:color="auto" w:sz="4" w:space="0"/>
                  </w:tcBorders>
                  <w:vAlign w:val="center"/>
                </w:tcPr>
                <w:p w14:paraId="6DCB50D9">
                  <w:pPr>
                    <w:pStyle w:val="89"/>
                  </w:pPr>
                  <w:r>
                    <w:t>μg/</w:t>
                  </w:r>
                  <w:r>
                    <w:rPr>
                      <w:rFonts w:hint="eastAsia"/>
                    </w:rPr>
                    <w:t>m³</w:t>
                  </w:r>
                </w:p>
              </w:tc>
            </w:tr>
            <w:tr w14:paraId="1F33A63A">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210" w:type="pct"/>
                  <w:vMerge w:val="continue"/>
                  <w:tcBorders>
                    <w:right w:val="single" w:color="auto" w:sz="4" w:space="0"/>
                  </w:tcBorders>
                  <w:vAlign w:val="center"/>
                </w:tcPr>
                <w:p w14:paraId="3A9CF0E0">
                  <w:pPr>
                    <w:pStyle w:val="89"/>
                  </w:pPr>
                </w:p>
              </w:tc>
              <w:tc>
                <w:tcPr>
                  <w:tcW w:w="680" w:type="pct"/>
                  <w:vMerge w:val="continue"/>
                  <w:tcBorders>
                    <w:top w:val="single" w:color="auto" w:sz="4" w:space="0"/>
                    <w:left w:val="single" w:color="auto" w:sz="4" w:space="0"/>
                    <w:bottom w:val="single" w:color="auto" w:sz="4" w:space="0"/>
                    <w:right w:val="single" w:color="auto" w:sz="4" w:space="0"/>
                  </w:tcBorders>
                  <w:vAlign w:val="center"/>
                </w:tcPr>
                <w:p w14:paraId="31D1A7BA">
                  <w:pPr>
                    <w:pStyle w:val="89"/>
                  </w:pPr>
                </w:p>
              </w:tc>
              <w:tc>
                <w:tcPr>
                  <w:tcW w:w="1111" w:type="pct"/>
                  <w:tcBorders>
                    <w:top w:val="single" w:color="auto" w:sz="4" w:space="0"/>
                    <w:left w:val="single" w:color="auto" w:sz="4" w:space="0"/>
                    <w:bottom w:val="single" w:color="auto" w:sz="4" w:space="0"/>
                    <w:right w:val="single" w:color="auto" w:sz="4" w:space="0"/>
                  </w:tcBorders>
                  <w:vAlign w:val="center"/>
                </w:tcPr>
                <w:p w14:paraId="531C690E">
                  <w:pPr>
                    <w:pStyle w:val="89"/>
                  </w:pPr>
                  <w:r>
                    <w:t>24小时平均</w:t>
                  </w:r>
                </w:p>
              </w:tc>
              <w:tc>
                <w:tcPr>
                  <w:tcW w:w="998" w:type="pct"/>
                  <w:tcBorders>
                    <w:top w:val="single" w:color="auto" w:sz="4" w:space="0"/>
                    <w:left w:val="single" w:color="auto" w:sz="4" w:space="0"/>
                    <w:bottom w:val="single" w:color="auto" w:sz="4" w:space="0"/>
                  </w:tcBorders>
                  <w:vAlign w:val="center"/>
                </w:tcPr>
                <w:p w14:paraId="03F719CD">
                  <w:pPr>
                    <w:pStyle w:val="89"/>
                  </w:pPr>
                  <w:r>
                    <w:t>150</w:t>
                  </w:r>
                </w:p>
              </w:tc>
              <w:tc>
                <w:tcPr>
                  <w:tcW w:w="998" w:type="pct"/>
                  <w:vMerge w:val="continue"/>
                  <w:tcBorders>
                    <w:left w:val="single" w:color="auto" w:sz="4" w:space="0"/>
                    <w:bottom w:val="single" w:color="auto" w:sz="4" w:space="0"/>
                  </w:tcBorders>
                  <w:vAlign w:val="center"/>
                </w:tcPr>
                <w:p w14:paraId="39A58D89">
                  <w:pPr>
                    <w:pStyle w:val="89"/>
                  </w:pPr>
                </w:p>
              </w:tc>
            </w:tr>
            <w:tr w14:paraId="4E1844EC">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210" w:type="pct"/>
                  <w:vMerge w:val="continue"/>
                  <w:tcBorders>
                    <w:right w:val="single" w:color="auto" w:sz="4" w:space="0"/>
                  </w:tcBorders>
                  <w:vAlign w:val="center"/>
                </w:tcPr>
                <w:p w14:paraId="1B7CB04D">
                  <w:pPr>
                    <w:pStyle w:val="89"/>
                  </w:pPr>
                </w:p>
              </w:tc>
              <w:tc>
                <w:tcPr>
                  <w:tcW w:w="680" w:type="pct"/>
                  <w:vMerge w:val="restart"/>
                  <w:tcBorders>
                    <w:top w:val="single" w:color="auto" w:sz="4" w:space="0"/>
                    <w:left w:val="single" w:color="auto" w:sz="4" w:space="0"/>
                    <w:bottom w:val="single" w:color="auto" w:sz="4" w:space="0"/>
                    <w:right w:val="single" w:color="auto" w:sz="4" w:space="0"/>
                  </w:tcBorders>
                  <w:vAlign w:val="center"/>
                </w:tcPr>
                <w:p w14:paraId="19843A6A">
                  <w:pPr>
                    <w:pStyle w:val="89"/>
                  </w:pPr>
                  <w:r>
                    <w:t>P</w:t>
                  </w:r>
                  <w:r>
                    <w:rPr>
                      <w:rFonts w:hint="eastAsia"/>
                    </w:rPr>
                    <w:t>㎡</w:t>
                  </w:r>
                  <w:r>
                    <w:rPr>
                      <w:rFonts w:hint="eastAsia"/>
                      <w:vertAlign w:val="subscript"/>
                    </w:rPr>
                    <w:t>.5</w:t>
                  </w:r>
                </w:p>
              </w:tc>
              <w:tc>
                <w:tcPr>
                  <w:tcW w:w="1111" w:type="pct"/>
                  <w:tcBorders>
                    <w:top w:val="single" w:color="auto" w:sz="4" w:space="0"/>
                    <w:left w:val="single" w:color="auto" w:sz="4" w:space="0"/>
                    <w:bottom w:val="single" w:color="auto" w:sz="4" w:space="0"/>
                    <w:right w:val="single" w:color="auto" w:sz="4" w:space="0"/>
                  </w:tcBorders>
                  <w:vAlign w:val="center"/>
                </w:tcPr>
                <w:p w14:paraId="00C1B014">
                  <w:pPr>
                    <w:pStyle w:val="89"/>
                  </w:pPr>
                  <w:r>
                    <w:t>年平均</w:t>
                  </w:r>
                </w:p>
              </w:tc>
              <w:tc>
                <w:tcPr>
                  <w:tcW w:w="998" w:type="pct"/>
                  <w:tcBorders>
                    <w:top w:val="single" w:color="auto" w:sz="4" w:space="0"/>
                    <w:left w:val="single" w:color="auto" w:sz="4" w:space="0"/>
                    <w:bottom w:val="single" w:color="auto" w:sz="4" w:space="0"/>
                  </w:tcBorders>
                  <w:vAlign w:val="center"/>
                </w:tcPr>
                <w:p w14:paraId="218CB241">
                  <w:pPr>
                    <w:pStyle w:val="89"/>
                  </w:pPr>
                  <w:r>
                    <w:t>35</w:t>
                  </w:r>
                </w:p>
              </w:tc>
              <w:tc>
                <w:tcPr>
                  <w:tcW w:w="998" w:type="pct"/>
                  <w:vMerge w:val="restart"/>
                  <w:tcBorders>
                    <w:top w:val="single" w:color="auto" w:sz="4" w:space="0"/>
                    <w:left w:val="single" w:color="auto" w:sz="4" w:space="0"/>
                  </w:tcBorders>
                  <w:vAlign w:val="center"/>
                </w:tcPr>
                <w:p w14:paraId="2D9F29ED">
                  <w:pPr>
                    <w:pStyle w:val="89"/>
                  </w:pPr>
                  <w:r>
                    <w:t>μg/</w:t>
                  </w:r>
                  <w:r>
                    <w:rPr>
                      <w:rFonts w:hint="eastAsia"/>
                    </w:rPr>
                    <w:t>m³</w:t>
                  </w:r>
                </w:p>
              </w:tc>
            </w:tr>
            <w:tr w14:paraId="4A3AE176">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210" w:type="pct"/>
                  <w:vMerge w:val="continue"/>
                  <w:tcBorders>
                    <w:right w:val="single" w:color="auto" w:sz="4" w:space="0"/>
                  </w:tcBorders>
                  <w:vAlign w:val="center"/>
                </w:tcPr>
                <w:p w14:paraId="1418EF6F">
                  <w:pPr>
                    <w:pStyle w:val="89"/>
                  </w:pPr>
                </w:p>
              </w:tc>
              <w:tc>
                <w:tcPr>
                  <w:tcW w:w="680" w:type="pct"/>
                  <w:vMerge w:val="continue"/>
                  <w:tcBorders>
                    <w:top w:val="single" w:color="auto" w:sz="4" w:space="0"/>
                    <w:left w:val="single" w:color="auto" w:sz="4" w:space="0"/>
                    <w:bottom w:val="single" w:color="auto" w:sz="4" w:space="0"/>
                    <w:right w:val="single" w:color="auto" w:sz="4" w:space="0"/>
                  </w:tcBorders>
                  <w:vAlign w:val="center"/>
                </w:tcPr>
                <w:p w14:paraId="1BA64174">
                  <w:pPr>
                    <w:pStyle w:val="89"/>
                  </w:pPr>
                </w:p>
              </w:tc>
              <w:tc>
                <w:tcPr>
                  <w:tcW w:w="1111" w:type="pct"/>
                  <w:tcBorders>
                    <w:top w:val="single" w:color="auto" w:sz="4" w:space="0"/>
                    <w:left w:val="single" w:color="auto" w:sz="4" w:space="0"/>
                    <w:bottom w:val="single" w:color="auto" w:sz="4" w:space="0"/>
                    <w:right w:val="single" w:color="auto" w:sz="4" w:space="0"/>
                  </w:tcBorders>
                  <w:vAlign w:val="center"/>
                </w:tcPr>
                <w:p w14:paraId="5429C798">
                  <w:pPr>
                    <w:pStyle w:val="89"/>
                  </w:pPr>
                  <w:r>
                    <w:t>24小时平均</w:t>
                  </w:r>
                </w:p>
              </w:tc>
              <w:tc>
                <w:tcPr>
                  <w:tcW w:w="998" w:type="pct"/>
                  <w:tcBorders>
                    <w:top w:val="single" w:color="auto" w:sz="4" w:space="0"/>
                    <w:left w:val="single" w:color="auto" w:sz="4" w:space="0"/>
                    <w:bottom w:val="single" w:color="auto" w:sz="4" w:space="0"/>
                  </w:tcBorders>
                  <w:vAlign w:val="center"/>
                </w:tcPr>
                <w:p w14:paraId="61DB04DB">
                  <w:pPr>
                    <w:pStyle w:val="89"/>
                  </w:pPr>
                  <w:r>
                    <w:t>75</w:t>
                  </w:r>
                </w:p>
              </w:tc>
              <w:tc>
                <w:tcPr>
                  <w:tcW w:w="998" w:type="pct"/>
                  <w:vMerge w:val="continue"/>
                  <w:tcBorders>
                    <w:left w:val="single" w:color="auto" w:sz="4" w:space="0"/>
                    <w:bottom w:val="single" w:color="auto" w:sz="4" w:space="0"/>
                  </w:tcBorders>
                  <w:vAlign w:val="center"/>
                </w:tcPr>
                <w:p w14:paraId="2A564251">
                  <w:pPr>
                    <w:pStyle w:val="89"/>
                  </w:pPr>
                </w:p>
              </w:tc>
            </w:tr>
            <w:tr w14:paraId="123A00F1">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210" w:type="pct"/>
                  <w:vMerge w:val="continue"/>
                  <w:tcBorders>
                    <w:right w:val="single" w:color="auto" w:sz="4" w:space="0"/>
                  </w:tcBorders>
                  <w:vAlign w:val="center"/>
                </w:tcPr>
                <w:p w14:paraId="4FE84302">
                  <w:pPr>
                    <w:pStyle w:val="89"/>
                  </w:pPr>
                </w:p>
              </w:tc>
              <w:tc>
                <w:tcPr>
                  <w:tcW w:w="680" w:type="pct"/>
                  <w:vMerge w:val="restart"/>
                  <w:tcBorders>
                    <w:top w:val="single" w:color="auto" w:sz="4" w:space="0"/>
                    <w:left w:val="single" w:color="auto" w:sz="4" w:space="0"/>
                    <w:bottom w:val="single" w:color="auto" w:sz="4" w:space="0"/>
                    <w:right w:val="single" w:color="auto" w:sz="4" w:space="0"/>
                  </w:tcBorders>
                  <w:vAlign w:val="center"/>
                </w:tcPr>
                <w:p w14:paraId="1C5F8715">
                  <w:pPr>
                    <w:pStyle w:val="89"/>
                  </w:pPr>
                  <w:r>
                    <w:t>CO</w:t>
                  </w:r>
                </w:p>
              </w:tc>
              <w:tc>
                <w:tcPr>
                  <w:tcW w:w="1111" w:type="pct"/>
                  <w:tcBorders>
                    <w:top w:val="single" w:color="auto" w:sz="4" w:space="0"/>
                    <w:left w:val="single" w:color="auto" w:sz="4" w:space="0"/>
                    <w:bottom w:val="single" w:color="auto" w:sz="4" w:space="0"/>
                    <w:right w:val="single" w:color="auto" w:sz="4" w:space="0"/>
                  </w:tcBorders>
                  <w:vAlign w:val="center"/>
                </w:tcPr>
                <w:p w14:paraId="17CE04ED">
                  <w:pPr>
                    <w:pStyle w:val="89"/>
                  </w:pPr>
                  <w:r>
                    <w:t>24小时平均</w:t>
                  </w:r>
                </w:p>
              </w:tc>
              <w:tc>
                <w:tcPr>
                  <w:tcW w:w="998" w:type="pct"/>
                  <w:tcBorders>
                    <w:top w:val="single" w:color="auto" w:sz="4" w:space="0"/>
                    <w:left w:val="single" w:color="auto" w:sz="4" w:space="0"/>
                    <w:bottom w:val="single" w:color="auto" w:sz="4" w:space="0"/>
                  </w:tcBorders>
                  <w:vAlign w:val="center"/>
                </w:tcPr>
                <w:p w14:paraId="559FB8D6">
                  <w:pPr>
                    <w:pStyle w:val="89"/>
                  </w:pPr>
                  <w:r>
                    <w:t>4</w:t>
                  </w:r>
                </w:p>
              </w:tc>
              <w:tc>
                <w:tcPr>
                  <w:tcW w:w="998" w:type="pct"/>
                  <w:vMerge w:val="restart"/>
                  <w:tcBorders>
                    <w:top w:val="single" w:color="auto" w:sz="4" w:space="0"/>
                    <w:left w:val="single" w:color="auto" w:sz="4" w:space="0"/>
                  </w:tcBorders>
                  <w:vAlign w:val="center"/>
                </w:tcPr>
                <w:p w14:paraId="6B82C12E">
                  <w:pPr>
                    <w:pStyle w:val="89"/>
                  </w:pPr>
                  <w:r>
                    <w:rPr>
                      <w:rFonts w:hint="eastAsia"/>
                    </w:rPr>
                    <w:t>mg/m³</w:t>
                  </w:r>
                </w:p>
              </w:tc>
            </w:tr>
            <w:tr w14:paraId="5C5C1BE7">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210" w:type="pct"/>
                  <w:vMerge w:val="continue"/>
                  <w:tcBorders>
                    <w:right w:val="single" w:color="auto" w:sz="4" w:space="0"/>
                  </w:tcBorders>
                  <w:vAlign w:val="center"/>
                </w:tcPr>
                <w:p w14:paraId="5642E182">
                  <w:pPr>
                    <w:pStyle w:val="89"/>
                  </w:pPr>
                </w:p>
              </w:tc>
              <w:tc>
                <w:tcPr>
                  <w:tcW w:w="680" w:type="pct"/>
                  <w:vMerge w:val="continue"/>
                  <w:tcBorders>
                    <w:top w:val="single" w:color="auto" w:sz="4" w:space="0"/>
                    <w:left w:val="single" w:color="auto" w:sz="4" w:space="0"/>
                    <w:bottom w:val="single" w:color="auto" w:sz="4" w:space="0"/>
                    <w:right w:val="single" w:color="auto" w:sz="4" w:space="0"/>
                  </w:tcBorders>
                  <w:vAlign w:val="center"/>
                </w:tcPr>
                <w:p w14:paraId="5ED22EC3">
                  <w:pPr>
                    <w:pStyle w:val="89"/>
                  </w:pPr>
                </w:p>
              </w:tc>
              <w:tc>
                <w:tcPr>
                  <w:tcW w:w="1111" w:type="pct"/>
                  <w:tcBorders>
                    <w:top w:val="single" w:color="auto" w:sz="4" w:space="0"/>
                    <w:left w:val="single" w:color="auto" w:sz="4" w:space="0"/>
                    <w:bottom w:val="single" w:color="auto" w:sz="4" w:space="0"/>
                    <w:right w:val="single" w:color="auto" w:sz="4" w:space="0"/>
                  </w:tcBorders>
                  <w:vAlign w:val="center"/>
                </w:tcPr>
                <w:p w14:paraId="4058D651">
                  <w:pPr>
                    <w:pStyle w:val="89"/>
                  </w:pPr>
                  <w:r>
                    <w:t>1小时平均</w:t>
                  </w:r>
                </w:p>
              </w:tc>
              <w:tc>
                <w:tcPr>
                  <w:tcW w:w="998" w:type="pct"/>
                  <w:tcBorders>
                    <w:top w:val="single" w:color="auto" w:sz="4" w:space="0"/>
                    <w:left w:val="single" w:color="auto" w:sz="4" w:space="0"/>
                    <w:bottom w:val="single" w:color="auto" w:sz="4" w:space="0"/>
                  </w:tcBorders>
                  <w:vAlign w:val="center"/>
                </w:tcPr>
                <w:p w14:paraId="2B22B559">
                  <w:pPr>
                    <w:pStyle w:val="89"/>
                  </w:pPr>
                  <w:r>
                    <w:t>10</w:t>
                  </w:r>
                </w:p>
              </w:tc>
              <w:tc>
                <w:tcPr>
                  <w:tcW w:w="998" w:type="pct"/>
                  <w:vMerge w:val="continue"/>
                  <w:tcBorders>
                    <w:left w:val="single" w:color="auto" w:sz="4" w:space="0"/>
                    <w:bottom w:val="single" w:color="auto" w:sz="4" w:space="0"/>
                  </w:tcBorders>
                  <w:vAlign w:val="center"/>
                </w:tcPr>
                <w:p w14:paraId="6D93DB97">
                  <w:pPr>
                    <w:pStyle w:val="89"/>
                  </w:pPr>
                </w:p>
              </w:tc>
            </w:tr>
            <w:tr w14:paraId="3FA985FA">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210" w:type="pct"/>
                  <w:vMerge w:val="continue"/>
                  <w:tcBorders>
                    <w:right w:val="single" w:color="auto" w:sz="4" w:space="0"/>
                  </w:tcBorders>
                  <w:vAlign w:val="center"/>
                </w:tcPr>
                <w:p w14:paraId="54A7440F">
                  <w:pPr>
                    <w:pStyle w:val="89"/>
                  </w:pPr>
                </w:p>
              </w:tc>
              <w:tc>
                <w:tcPr>
                  <w:tcW w:w="680" w:type="pct"/>
                  <w:vMerge w:val="restart"/>
                  <w:tcBorders>
                    <w:top w:val="single" w:color="auto" w:sz="4" w:space="0"/>
                    <w:left w:val="single" w:color="auto" w:sz="4" w:space="0"/>
                    <w:bottom w:val="single" w:color="auto" w:sz="4" w:space="0"/>
                    <w:right w:val="single" w:color="auto" w:sz="4" w:space="0"/>
                  </w:tcBorders>
                  <w:vAlign w:val="center"/>
                </w:tcPr>
                <w:p w14:paraId="2FEAD6CE">
                  <w:pPr>
                    <w:pStyle w:val="89"/>
                  </w:pPr>
                  <w:r>
                    <w:t>O</w:t>
                  </w:r>
                  <w:r>
                    <w:rPr>
                      <w:vertAlign w:val="subscript"/>
                    </w:rPr>
                    <w:t>3</w:t>
                  </w:r>
                </w:p>
              </w:tc>
              <w:tc>
                <w:tcPr>
                  <w:tcW w:w="1111" w:type="pct"/>
                  <w:tcBorders>
                    <w:top w:val="single" w:color="auto" w:sz="4" w:space="0"/>
                    <w:left w:val="single" w:color="auto" w:sz="4" w:space="0"/>
                    <w:bottom w:val="single" w:color="auto" w:sz="4" w:space="0"/>
                    <w:right w:val="single" w:color="auto" w:sz="4" w:space="0"/>
                  </w:tcBorders>
                  <w:vAlign w:val="center"/>
                </w:tcPr>
                <w:p w14:paraId="5F3F7121">
                  <w:pPr>
                    <w:pStyle w:val="89"/>
                  </w:pPr>
                  <w:r>
                    <w:t>日最大8小时平均</w:t>
                  </w:r>
                </w:p>
              </w:tc>
              <w:tc>
                <w:tcPr>
                  <w:tcW w:w="998" w:type="pct"/>
                  <w:tcBorders>
                    <w:top w:val="single" w:color="auto" w:sz="4" w:space="0"/>
                    <w:left w:val="single" w:color="auto" w:sz="4" w:space="0"/>
                    <w:bottom w:val="single" w:color="auto" w:sz="4" w:space="0"/>
                  </w:tcBorders>
                  <w:vAlign w:val="center"/>
                </w:tcPr>
                <w:p w14:paraId="1FE3E618">
                  <w:pPr>
                    <w:pStyle w:val="89"/>
                  </w:pPr>
                  <w:r>
                    <w:t>160</w:t>
                  </w:r>
                </w:p>
              </w:tc>
              <w:tc>
                <w:tcPr>
                  <w:tcW w:w="998" w:type="pct"/>
                  <w:vMerge w:val="restart"/>
                  <w:tcBorders>
                    <w:top w:val="single" w:color="auto" w:sz="4" w:space="0"/>
                    <w:left w:val="single" w:color="auto" w:sz="4" w:space="0"/>
                  </w:tcBorders>
                  <w:vAlign w:val="center"/>
                </w:tcPr>
                <w:p w14:paraId="04FED7CD">
                  <w:pPr>
                    <w:pStyle w:val="89"/>
                  </w:pPr>
                  <w:r>
                    <w:t>μg/</w:t>
                  </w:r>
                  <w:r>
                    <w:rPr>
                      <w:rFonts w:hint="eastAsia"/>
                    </w:rPr>
                    <w:t>m³</w:t>
                  </w:r>
                </w:p>
              </w:tc>
            </w:tr>
            <w:tr w14:paraId="213DA3B6">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210" w:type="pct"/>
                  <w:vMerge w:val="continue"/>
                  <w:tcBorders>
                    <w:right w:val="single" w:color="auto" w:sz="4" w:space="0"/>
                  </w:tcBorders>
                  <w:vAlign w:val="center"/>
                </w:tcPr>
                <w:p w14:paraId="65858BA1">
                  <w:pPr>
                    <w:pStyle w:val="89"/>
                  </w:pPr>
                </w:p>
              </w:tc>
              <w:tc>
                <w:tcPr>
                  <w:tcW w:w="680" w:type="pct"/>
                  <w:vMerge w:val="continue"/>
                  <w:tcBorders>
                    <w:top w:val="single" w:color="auto" w:sz="4" w:space="0"/>
                    <w:left w:val="single" w:color="auto" w:sz="4" w:space="0"/>
                    <w:bottom w:val="single" w:color="auto" w:sz="4" w:space="0"/>
                    <w:right w:val="single" w:color="auto" w:sz="4" w:space="0"/>
                  </w:tcBorders>
                  <w:vAlign w:val="center"/>
                </w:tcPr>
                <w:p w14:paraId="4F4A8816">
                  <w:pPr>
                    <w:pStyle w:val="89"/>
                  </w:pPr>
                </w:p>
              </w:tc>
              <w:tc>
                <w:tcPr>
                  <w:tcW w:w="1111" w:type="pct"/>
                  <w:tcBorders>
                    <w:top w:val="single" w:color="auto" w:sz="4" w:space="0"/>
                    <w:left w:val="single" w:color="auto" w:sz="4" w:space="0"/>
                    <w:bottom w:val="single" w:color="auto" w:sz="4" w:space="0"/>
                    <w:right w:val="single" w:color="auto" w:sz="4" w:space="0"/>
                  </w:tcBorders>
                  <w:vAlign w:val="center"/>
                </w:tcPr>
                <w:p w14:paraId="7953A3B5">
                  <w:pPr>
                    <w:pStyle w:val="89"/>
                  </w:pPr>
                  <w:r>
                    <w:t>1小时平均</w:t>
                  </w:r>
                </w:p>
              </w:tc>
              <w:tc>
                <w:tcPr>
                  <w:tcW w:w="998" w:type="pct"/>
                  <w:tcBorders>
                    <w:top w:val="single" w:color="auto" w:sz="4" w:space="0"/>
                    <w:left w:val="single" w:color="auto" w:sz="4" w:space="0"/>
                    <w:bottom w:val="single" w:color="auto" w:sz="4" w:space="0"/>
                  </w:tcBorders>
                  <w:vAlign w:val="center"/>
                </w:tcPr>
                <w:p w14:paraId="18BC504A">
                  <w:pPr>
                    <w:pStyle w:val="89"/>
                  </w:pPr>
                  <w:r>
                    <w:t>200</w:t>
                  </w:r>
                </w:p>
              </w:tc>
              <w:tc>
                <w:tcPr>
                  <w:tcW w:w="998" w:type="pct"/>
                  <w:vMerge w:val="continue"/>
                  <w:tcBorders>
                    <w:left w:val="single" w:color="auto" w:sz="4" w:space="0"/>
                    <w:bottom w:val="single" w:color="auto" w:sz="4" w:space="0"/>
                  </w:tcBorders>
                  <w:vAlign w:val="center"/>
                </w:tcPr>
                <w:p w14:paraId="0B60F257">
                  <w:pPr>
                    <w:pStyle w:val="89"/>
                  </w:pPr>
                </w:p>
              </w:tc>
            </w:tr>
            <w:tr w14:paraId="69DCA258">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210" w:type="pct"/>
                  <w:vMerge w:val="continue"/>
                  <w:tcBorders>
                    <w:right w:val="single" w:color="auto" w:sz="4" w:space="0"/>
                  </w:tcBorders>
                  <w:vAlign w:val="center"/>
                </w:tcPr>
                <w:p w14:paraId="54BE481F">
                  <w:pPr>
                    <w:pStyle w:val="89"/>
                  </w:pPr>
                </w:p>
              </w:tc>
              <w:tc>
                <w:tcPr>
                  <w:tcW w:w="680" w:type="pct"/>
                  <w:vMerge w:val="restart"/>
                  <w:tcBorders>
                    <w:top w:val="single" w:color="auto" w:sz="4" w:space="0"/>
                    <w:left w:val="single" w:color="auto" w:sz="4" w:space="0"/>
                    <w:right w:val="single" w:color="auto" w:sz="4" w:space="0"/>
                  </w:tcBorders>
                  <w:vAlign w:val="center"/>
                </w:tcPr>
                <w:p w14:paraId="22E1A049">
                  <w:pPr>
                    <w:pStyle w:val="89"/>
                  </w:pPr>
                  <w:r>
                    <w:rPr>
                      <w:rFonts w:hint="eastAsia"/>
                    </w:rPr>
                    <w:t>TSP</w:t>
                  </w:r>
                </w:p>
              </w:tc>
              <w:tc>
                <w:tcPr>
                  <w:tcW w:w="1111" w:type="pct"/>
                  <w:tcBorders>
                    <w:top w:val="single" w:color="auto" w:sz="4" w:space="0"/>
                    <w:left w:val="single" w:color="auto" w:sz="4" w:space="0"/>
                    <w:bottom w:val="single" w:color="auto" w:sz="4" w:space="0"/>
                    <w:right w:val="single" w:color="auto" w:sz="4" w:space="0"/>
                  </w:tcBorders>
                  <w:vAlign w:val="center"/>
                </w:tcPr>
                <w:p w14:paraId="44CECDE3">
                  <w:pPr>
                    <w:pStyle w:val="89"/>
                  </w:pPr>
                  <w:r>
                    <w:rPr>
                      <w:rFonts w:hint="eastAsia"/>
                    </w:rPr>
                    <w:t>年平均</w:t>
                  </w:r>
                </w:p>
              </w:tc>
              <w:tc>
                <w:tcPr>
                  <w:tcW w:w="998" w:type="pct"/>
                  <w:tcBorders>
                    <w:top w:val="single" w:color="auto" w:sz="4" w:space="0"/>
                    <w:left w:val="single" w:color="auto" w:sz="4" w:space="0"/>
                    <w:bottom w:val="single" w:color="auto" w:sz="4" w:space="0"/>
                  </w:tcBorders>
                  <w:vAlign w:val="center"/>
                </w:tcPr>
                <w:p w14:paraId="4CBD4E3D">
                  <w:pPr>
                    <w:pStyle w:val="89"/>
                  </w:pPr>
                  <w:r>
                    <w:rPr>
                      <w:rFonts w:hint="eastAsia"/>
                    </w:rPr>
                    <w:t>200</w:t>
                  </w:r>
                </w:p>
              </w:tc>
              <w:tc>
                <w:tcPr>
                  <w:tcW w:w="998" w:type="pct"/>
                  <w:vMerge w:val="restart"/>
                  <w:tcBorders>
                    <w:top w:val="single" w:color="auto" w:sz="4" w:space="0"/>
                    <w:left w:val="single" w:color="auto" w:sz="4" w:space="0"/>
                  </w:tcBorders>
                  <w:vAlign w:val="center"/>
                </w:tcPr>
                <w:p w14:paraId="156F4CA9">
                  <w:pPr>
                    <w:pStyle w:val="89"/>
                  </w:pPr>
                  <w:r>
                    <w:t>μg/</w:t>
                  </w:r>
                  <w:r>
                    <w:rPr>
                      <w:rFonts w:hint="eastAsia"/>
                    </w:rPr>
                    <w:t>m³</w:t>
                  </w:r>
                </w:p>
              </w:tc>
            </w:tr>
            <w:tr w14:paraId="3AFDDEF1">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210" w:type="pct"/>
                  <w:vMerge w:val="continue"/>
                  <w:tcBorders>
                    <w:right w:val="single" w:color="auto" w:sz="4" w:space="0"/>
                  </w:tcBorders>
                  <w:vAlign w:val="center"/>
                </w:tcPr>
                <w:p w14:paraId="504CF797">
                  <w:pPr>
                    <w:pStyle w:val="89"/>
                  </w:pPr>
                </w:p>
              </w:tc>
              <w:tc>
                <w:tcPr>
                  <w:tcW w:w="680" w:type="pct"/>
                  <w:vMerge w:val="continue"/>
                  <w:tcBorders>
                    <w:left w:val="single" w:color="auto" w:sz="4" w:space="0"/>
                    <w:right w:val="single" w:color="auto" w:sz="4" w:space="0"/>
                  </w:tcBorders>
                  <w:vAlign w:val="center"/>
                </w:tcPr>
                <w:p w14:paraId="33C32BBB">
                  <w:pPr>
                    <w:pStyle w:val="89"/>
                  </w:pPr>
                </w:p>
              </w:tc>
              <w:tc>
                <w:tcPr>
                  <w:tcW w:w="1111" w:type="pct"/>
                  <w:tcBorders>
                    <w:top w:val="single" w:color="auto" w:sz="4" w:space="0"/>
                    <w:left w:val="single" w:color="auto" w:sz="4" w:space="0"/>
                    <w:right w:val="single" w:color="auto" w:sz="4" w:space="0"/>
                  </w:tcBorders>
                  <w:vAlign w:val="center"/>
                </w:tcPr>
                <w:p w14:paraId="61717089">
                  <w:pPr>
                    <w:pStyle w:val="89"/>
                  </w:pPr>
                  <w:r>
                    <w:rPr>
                      <w:rFonts w:hint="eastAsia"/>
                    </w:rPr>
                    <w:t>24小时平均</w:t>
                  </w:r>
                </w:p>
              </w:tc>
              <w:tc>
                <w:tcPr>
                  <w:tcW w:w="998" w:type="pct"/>
                  <w:tcBorders>
                    <w:top w:val="single" w:color="auto" w:sz="4" w:space="0"/>
                    <w:left w:val="single" w:color="auto" w:sz="4" w:space="0"/>
                  </w:tcBorders>
                  <w:vAlign w:val="center"/>
                </w:tcPr>
                <w:p w14:paraId="57F71C2C">
                  <w:pPr>
                    <w:pStyle w:val="89"/>
                  </w:pPr>
                  <w:r>
                    <w:rPr>
                      <w:rFonts w:hint="eastAsia"/>
                    </w:rPr>
                    <w:t>300</w:t>
                  </w:r>
                </w:p>
              </w:tc>
              <w:tc>
                <w:tcPr>
                  <w:tcW w:w="998" w:type="pct"/>
                  <w:vMerge w:val="continue"/>
                  <w:tcBorders>
                    <w:left w:val="single" w:color="auto" w:sz="4" w:space="0"/>
                  </w:tcBorders>
                  <w:vAlign w:val="center"/>
                </w:tcPr>
                <w:p w14:paraId="3E00AD1C">
                  <w:pPr>
                    <w:pStyle w:val="89"/>
                  </w:pPr>
                </w:p>
              </w:tc>
            </w:tr>
          </w:tbl>
          <w:p w14:paraId="385EA03D">
            <w:pPr>
              <w:pStyle w:val="4"/>
              <w:numPr>
                <w:ilvl w:val="1"/>
                <w:numId w:val="27"/>
              </w:numPr>
            </w:pPr>
            <w:r>
              <w:rPr>
                <w:rFonts w:hint="eastAsia"/>
              </w:rPr>
              <w:t>地表水环境质量</w:t>
            </w:r>
          </w:p>
          <w:p w14:paraId="21361216">
            <w:pPr>
              <w:pStyle w:val="47"/>
              <w:numPr>
                <w:ilvl w:val="0"/>
                <w:numId w:val="0"/>
              </w:numPr>
              <w:spacing w:before="156" w:line="440" w:lineRule="exact"/>
              <w:ind w:firstLine="480" w:firstLineChars="200"/>
              <w:jc w:val="both"/>
              <w:rPr>
                <w:b w:val="0"/>
                <w:sz w:val="24"/>
                <w:szCs w:val="24"/>
              </w:rPr>
            </w:pPr>
            <w:r>
              <w:rPr>
                <w:rFonts w:hint="eastAsia"/>
                <w:b w:val="0"/>
                <w:sz w:val="24"/>
                <w:szCs w:val="24"/>
              </w:rPr>
              <w:t>本项目涉及地表水体为金水河，执行《地表水环境质量标准》（GB3838-2002）中</w:t>
            </w:r>
            <w:r>
              <w:rPr>
                <w:b w:val="0"/>
                <w:sz w:val="24"/>
                <w:szCs w:val="24"/>
              </w:rPr>
              <w:t>Ⅲ</w:t>
            </w:r>
            <w:r>
              <w:rPr>
                <w:rFonts w:hint="eastAsia"/>
                <w:b w:val="0"/>
                <w:sz w:val="24"/>
                <w:szCs w:val="24"/>
              </w:rPr>
              <w:t>类水域标准，具体标准限值见下表。</w:t>
            </w:r>
          </w:p>
          <w:p w14:paraId="3260AC3C">
            <w:pPr>
              <w:pStyle w:val="47"/>
              <w:numPr>
                <w:ilvl w:val="0"/>
                <w:numId w:val="26"/>
              </w:numPr>
              <w:spacing w:before="156"/>
              <w:rPr>
                <w:bCs/>
              </w:rPr>
            </w:pPr>
            <w:r>
              <w:rPr>
                <w:rFonts w:hint="eastAsia" w:cs="宋体"/>
                <w:bCs/>
                <w:lang w:bidi="ar"/>
              </w:rPr>
              <w:t>《地表水环境质量标准》单位：mg/L</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441"/>
              <w:gridCol w:w="882"/>
              <w:gridCol w:w="1286"/>
              <w:gridCol w:w="1209"/>
              <w:gridCol w:w="681"/>
              <w:gridCol w:w="774"/>
              <w:gridCol w:w="875"/>
            </w:tblGrid>
            <w:tr w14:paraId="516B5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pct"/>
                  <w:tcBorders>
                    <w:top w:val="single" w:color="auto" w:sz="4" w:space="0"/>
                    <w:left w:val="single" w:color="auto" w:sz="4" w:space="0"/>
                    <w:bottom w:val="single" w:color="auto" w:sz="4" w:space="0"/>
                    <w:right w:val="single" w:color="auto" w:sz="4" w:space="0"/>
                  </w:tcBorders>
                  <w:vAlign w:val="center"/>
                </w:tcPr>
                <w:p w14:paraId="41BC5642">
                  <w:pPr>
                    <w:pStyle w:val="89"/>
                    <w:rPr>
                      <w:kern w:val="2"/>
                    </w:rPr>
                  </w:pPr>
                  <w:r>
                    <w:rPr>
                      <w:rFonts w:hint="eastAsia"/>
                      <w:kern w:val="2"/>
                    </w:rPr>
                    <w:t>指标</w:t>
                  </w:r>
                </w:p>
              </w:tc>
              <w:tc>
                <w:tcPr>
                  <w:tcW w:w="868" w:type="pct"/>
                  <w:tcBorders>
                    <w:top w:val="single" w:color="auto" w:sz="4" w:space="0"/>
                    <w:left w:val="single" w:color="auto" w:sz="4" w:space="0"/>
                    <w:bottom w:val="single" w:color="auto" w:sz="4" w:space="0"/>
                    <w:right w:val="single" w:color="auto" w:sz="4" w:space="0"/>
                  </w:tcBorders>
                  <w:vAlign w:val="center"/>
                </w:tcPr>
                <w:p w14:paraId="7146015C">
                  <w:pPr>
                    <w:pStyle w:val="89"/>
                    <w:rPr>
                      <w:kern w:val="2"/>
                    </w:rPr>
                  </w:pPr>
                  <w:r>
                    <w:rPr>
                      <w:rFonts w:hint="eastAsia"/>
                      <w:kern w:val="2"/>
                    </w:rPr>
                    <w:t>pH</w:t>
                  </w:r>
                </w:p>
              </w:tc>
              <w:tc>
                <w:tcPr>
                  <w:tcW w:w="532" w:type="pct"/>
                  <w:tcBorders>
                    <w:top w:val="single" w:color="auto" w:sz="4" w:space="0"/>
                    <w:left w:val="single" w:color="auto" w:sz="4" w:space="0"/>
                    <w:bottom w:val="single" w:color="auto" w:sz="4" w:space="0"/>
                    <w:right w:val="single" w:color="auto" w:sz="4" w:space="0"/>
                  </w:tcBorders>
                  <w:vAlign w:val="center"/>
                </w:tcPr>
                <w:p w14:paraId="25AF0908">
                  <w:pPr>
                    <w:pStyle w:val="89"/>
                    <w:rPr>
                      <w:kern w:val="2"/>
                    </w:rPr>
                  </w:pPr>
                  <w:r>
                    <w:rPr>
                      <w:rFonts w:hint="eastAsia"/>
                      <w:kern w:val="2"/>
                    </w:rPr>
                    <w:t>溶解氧</w:t>
                  </w:r>
                </w:p>
              </w:tc>
              <w:tc>
                <w:tcPr>
                  <w:tcW w:w="775" w:type="pct"/>
                  <w:tcBorders>
                    <w:top w:val="single" w:color="auto" w:sz="4" w:space="0"/>
                    <w:left w:val="single" w:color="auto" w:sz="4" w:space="0"/>
                    <w:bottom w:val="single" w:color="auto" w:sz="4" w:space="0"/>
                    <w:right w:val="single" w:color="auto" w:sz="4" w:space="0"/>
                  </w:tcBorders>
                  <w:vAlign w:val="center"/>
                </w:tcPr>
                <w:p w14:paraId="46FA2CE1">
                  <w:pPr>
                    <w:pStyle w:val="89"/>
                    <w:rPr>
                      <w:kern w:val="2"/>
                    </w:rPr>
                  </w:pPr>
                  <w:r>
                    <w:rPr>
                      <w:rFonts w:hint="eastAsia"/>
                      <w:kern w:val="2"/>
                    </w:rPr>
                    <w:t>化学需氧量</w:t>
                  </w:r>
                </w:p>
              </w:tc>
              <w:tc>
                <w:tcPr>
                  <w:tcW w:w="728" w:type="pct"/>
                  <w:tcBorders>
                    <w:top w:val="single" w:color="auto" w:sz="4" w:space="0"/>
                    <w:left w:val="single" w:color="auto" w:sz="4" w:space="0"/>
                    <w:bottom w:val="single" w:color="auto" w:sz="4" w:space="0"/>
                    <w:right w:val="single" w:color="auto" w:sz="4" w:space="0"/>
                  </w:tcBorders>
                  <w:vAlign w:val="center"/>
                </w:tcPr>
                <w:p w14:paraId="06989DB1">
                  <w:pPr>
                    <w:pStyle w:val="89"/>
                    <w:rPr>
                      <w:kern w:val="2"/>
                    </w:rPr>
                  </w:pPr>
                  <w:r>
                    <w:rPr>
                      <w:rFonts w:hint="eastAsia"/>
                      <w:kern w:val="2"/>
                    </w:rPr>
                    <w:t>五日生化需氧量</w:t>
                  </w:r>
                </w:p>
              </w:tc>
              <w:tc>
                <w:tcPr>
                  <w:tcW w:w="411" w:type="pct"/>
                  <w:tcBorders>
                    <w:top w:val="single" w:color="auto" w:sz="4" w:space="0"/>
                    <w:left w:val="single" w:color="auto" w:sz="4" w:space="0"/>
                    <w:bottom w:val="single" w:color="auto" w:sz="4" w:space="0"/>
                    <w:right w:val="single" w:color="auto" w:sz="4" w:space="0"/>
                  </w:tcBorders>
                  <w:vAlign w:val="center"/>
                </w:tcPr>
                <w:p w14:paraId="27E63CA2">
                  <w:pPr>
                    <w:pStyle w:val="89"/>
                    <w:rPr>
                      <w:kern w:val="2"/>
                    </w:rPr>
                  </w:pPr>
                  <w:r>
                    <w:rPr>
                      <w:rFonts w:hint="eastAsia"/>
                      <w:kern w:val="2"/>
                    </w:rPr>
                    <w:t>氨氮</w:t>
                  </w:r>
                </w:p>
              </w:tc>
              <w:tc>
                <w:tcPr>
                  <w:tcW w:w="467" w:type="pct"/>
                  <w:tcBorders>
                    <w:top w:val="single" w:color="auto" w:sz="4" w:space="0"/>
                    <w:left w:val="single" w:color="auto" w:sz="4" w:space="0"/>
                    <w:bottom w:val="single" w:color="auto" w:sz="4" w:space="0"/>
                    <w:right w:val="single" w:color="auto" w:sz="4" w:space="0"/>
                  </w:tcBorders>
                  <w:vAlign w:val="center"/>
                </w:tcPr>
                <w:p w14:paraId="46B0E892">
                  <w:pPr>
                    <w:pStyle w:val="89"/>
                    <w:rPr>
                      <w:kern w:val="2"/>
                    </w:rPr>
                  </w:pPr>
                  <w:r>
                    <w:rPr>
                      <w:rFonts w:hint="eastAsia"/>
                      <w:kern w:val="2"/>
                    </w:rPr>
                    <w:t>总磷</w:t>
                  </w:r>
                </w:p>
              </w:tc>
              <w:tc>
                <w:tcPr>
                  <w:tcW w:w="528" w:type="pct"/>
                  <w:tcBorders>
                    <w:top w:val="single" w:color="auto" w:sz="4" w:space="0"/>
                    <w:left w:val="single" w:color="auto" w:sz="4" w:space="0"/>
                    <w:bottom w:val="single" w:color="auto" w:sz="4" w:space="0"/>
                    <w:right w:val="single" w:color="auto" w:sz="4" w:space="0"/>
                  </w:tcBorders>
                  <w:vAlign w:val="center"/>
                </w:tcPr>
                <w:p w14:paraId="0BD6FB17">
                  <w:pPr>
                    <w:pStyle w:val="89"/>
                    <w:rPr>
                      <w:kern w:val="2"/>
                    </w:rPr>
                  </w:pPr>
                  <w:r>
                    <w:rPr>
                      <w:rFonts w:hint="eastAsia"/>
                      <w:kern w:val="2"/>
                    </w:rPr>
                    <w:t>石油类</w:t>
                  </w:r>
                </w:p>
              </w:tc>
            </w:tr>
            <w:tr w14:paraId="68870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pct"/>
                  <w:tcBorders>
                    <w:top w:val="single" w:color="auto" w:sz="4" w:space="0"/>
                    <w:left w:val="single" w:color="auto" w:sz="4" w:space="0"/>
                    <w:bottom w:val="single" w:color="auto" w:sz="4" w:space="0"/>
                    <w:right w:val="single" w:color="auto" w:sz="4" w:space="0"/>
                  </w:tcBorders>
                  <w:vAlign w:val="center"/>
                </w:tcPr>
                <w:p w14:paraId="1D09E7E8">
                  <w:pPr>
                    <w:pStyle w:val="89"/>
                    <w:rPr>
                      <w:kern w:val="2"/>
                    </w:rPr>
                  </w:pPr>
                  <w:r>
                    <w:rPr>
                      <w:rFonts w:hint="eastAsia"/>
                      <w:kern w:val="2"/>
                    </w:rPr>
                    <w:t>标准限值</w:t>
                  </w:r>
                </w:p>
              </w:tc>
              <w:tc>
                <w:tcPr>
                  <w:tcW w:w="868" w:type="pct"/>
                  <w:tcBorders>
                    <w:top w:val="single" w:color="auto" w:sz="4" w:space="0"/>
                    <w:left w:val="single" w:color="auto" w:sz="4" w:space="0"/>
                    <w:bottom w:val="single" w:color="auto" w:sz="4" w:space="0"/>
                    <w:right w:val="single" w:color="auto" w:sz="4" w:space="0"/>
                  </w:tcBorders>
                  <w:vAlign w:val="center"/>
                </w:tcPr>
                <w:p w14:paraId="20127CE9">
                  <w:pPr>
                    <w:pStyle w:val="89"/>
                    <w:rPr>
                      <w:kern w:val="2"/>
                    </w:rPr>
                  </w:pPr>
                  <w:r>
                    <w:rPr>
                      <w:rFonts w:hint="eastAsia"/>
                      <w:kern w:val="2"/>
                    </w:rPr>
                    <w:t>6~9（无量纲）</w:t>
                  </w:r>
                </w:p>
              </w:tc>
              <w:tc>
                <w:tcPr>
                  <w:tcW w:w="532" w:type="pct"/>
                  <w:tcBorders>
                    <w:top w:val="single" w:color="auto" w:sz="4" w:space="0"/>
                    <w:left w:val="single" w:color="auto" w:sz="4" w:space="0"/>
                    <w:bottom w:val="single" w:color="auto" w:sz="4" w:space="0"/>
                    <w:right w:val="single" w:color="auto" w:sz="4" w:space="0"/>
                  </w:tcBorders>
                  <w:vAlign w:val="center"/>
                </w:tcPr>
                <w:p w14:paraId="004EB105">
                  <w:pPr>
                    <w:pStyle w:val="89"/>
                    <w:rPr>
                      <w:kern w:val="2"/>
                    </w:rPr>
                  </w:pPr>
                  <w:r>
                    <w:rPr>
                      <w:rFonts w:hint="eastAsia"/>
                      <w:kern w:val="2"/>
                    </w:rPr>
                    <w:t>5</w:t>
                  </w:r>
                </w:p>
              </w:tc>
              <w:tc>
                <w:tcPr>
                  <w:tcW w:w="775" w:type="pct"/>
                  <w:tcBorders>
                    <w:top w:val="single" w:color="auto" w:sz="4" w:space="0"/>
                    <w:left w:val="single" w:color="auto" w:sz="4" w:space="0"/>
                    <w:bottom w:val="single" w:color="auto" w:sz="4" w:space="0"/>
                    <w:right w:val="single" w:color="auto" w:sz="4" w:space="0"/>
                  </w:tcBorders>
                  <w:vAlign w:val="center"/>
                </w:tcPr>
                <w:p w14:paraId="65E9AD09">
                  <w:pPr>
                    <w:pStyle w:val="89"/>
                    <w:rPr>
                      <w:kern w:val="2"/>
                    </w:rPr>
                  </w:pPr>
                  <w:r>
                    <w:rPr>
                      <w:rFonts w:hint="eastAsia"/>
                      <w:kern w:val="2"/>
                    </w:rPr>
                    <w:t>20</w:t>
                  </w:r>
                </w:p>
              </w:tc>
              <w:tc>
                <w:tcPr>
                  <w:tcW w:w="728" w:type="pct"/>
                  <w:tcBorders>
                    <w:top w:val="single" w:color="auto" w:sz="4" w:space="0"/>
                    <w:left w:val="single" w:color="auto" w:sz="4" w:space="0"/>
                    <w:bottom w:val="single" w:color="auto" w:sz="4" w:space="0"/>
                    <w:right w:val="single" w:color="auto" w:sz="4" w:space="0"/>
                  </w:tcBorders>
                  <w:vAlign w:val="center"/>
                </w:tcPr>
                <w:p w14:paraId="50A01028">
                  <w:pPr>
                    <w:pStyle w:val="89"/>
                    <w:rPr>
                      <w:kern w:val="2"/>
                    </w:rPr>
                  </w:pPr>
                  <w:r>
                    <w:rPr>
                      <w:rFonts w:hint="eastAsia"/>
                      <w:kern w:val="2"/>
                    </w:rPr>
                    <w:t>4</w:t>
                  </w:r>
                </w:p>
              </w:tc>
              <w:tc>
                <w:tcPr>
                  <w:tcW w:w="411" w:type="pct"/>
                  <w:tcBorders>
                    <w:top w:val="single" w:color="auto" w:sz="4" w:space="0"/>
                    <w:left w:val="single" w:color="auto" w:sz="4" w:space="0"/>
                    <w:bottom w:val="single" w:color="auto" w:sz="4" w:space="0"/>
                    <w:right w:val="single" w:color="auto" w:sz="4" w:space="0"/>
                  </w:tcBorders>
                  <w:vAlign w:val="center"/>
                </w:tcPr>
                <w:p w14:paraId="2798A740">
                  <w:pPr>
                    <w:pStyle w:val="89"/>
                    <w:rPr>
                      <w:kern w:val="2"/>
                    </w:rPr>
                  </w:pPr>
                  <w:r>
                    <w:rPr>
                      <w:rFonts w:hint="eastAsia"/>
                      <w:kern w:val="2"/>
                    </w:rPr>
                    <w:t>1.0</w:t>
                  </w:r>
                </w:p>
              </w:tc>
              <w:tc>
                <w:tcPr>
                  <w:tcW w:w="467" w:type="pct"/>
                  <w:tcBorders>
                    <w:top w:val="single" w:color="auto" w:sz="4" w:space="0"/>
                    <w:left w:val="single" w:color="auto" w:sz="4" w:space="0"/>
                    <w:bottom w:val="single" w:color="auto" w:sz="4" w:space="0"/>
                    <w:right w:val="single" w:color="auto" w:sz="4" w:space="0"/>
                  </w:tcBorders>
                  <w:vAlign w:val="center"/>
                </w:tcPr>
                <w:p w14:paraId="2654F820">
                  <w:pPr>
                    <w:pStyle w:val="89"/>
                    <w:rPr>
                      <w:kern w:val="2"/>
                    </w:rPr>
                  </w:pPr>
                  <w:r>
                    <w:rPr>
                      <w:rFonts w:hint="eastAsia"/>
                      <w:kern w:val="2"/>
                    </w:rPr>
                    <w:t>0.2</w:t>
                  </w:r>
                </w:p>
              </w:tc>
              <w:tc>
                <w:tcPr>
                  <w:tcW w:w="528" w:type="pct"/>
                  <w:tcBorders>
                    <w:top w:val="single" w:color="auto" w:sz="4" w:space="0"/>
                    <w:left w:val="single" w:color="auto" w:sz="4" w:space="0"/>
                    <w:bottom w:val="single" w:color="auto" w:sz="4" w:space="0"/>
                    <w:right w:val="single" w:color="auto" w:sz="4" w:space="0"/>
                  </w:tcBorders>
                  <w:vAlign w:val="center"/>
                </w:tcPr>
                <w:p w14:paraId="24BFAE1B">
                  <w:pPr>
                    <w:pStyle w:val="89"/>
                    <w:rPr>
                      <w:kern w:val="2"/>
                    </w:rPr>
                  </w:pPr>
                  <w:r>
                    <w:rPr>
                      <w:rFonts w:hint="eastAsia"/>
                      <w:kern w:val="2"/>
                    </w:rPr>
                    <w:t>0.05</w:t>
                  </w:r>
                </w:p>
              </w:tc>
            </w:tr>
          </w:tbl>
          <w:p w14:paraId="1FA75EB9">
            <w:pPr>
              <w:pStyle w:val="4"/>
              <w:numPr>
                <w:ilvl w:val="1"/>
                <w:numId w:val="27"/>
              </w:numPr>
            </w:pPr>
            <w:r>
              <w:rPr>
                <w:rFonts w:hint="eastAsia"/>
              </w:rPr>
              <w:t>声环境质量</w:t>
            </w:r>
          </w:p>
          <w:p w14:paraId="72E9AD5B">
            <w:pPr>
              <w:autoSpaceDE w:val="0"/>
              <w:autoSpaceDN w:val="0"/>
              <w:adjustRightInd w:val="0"/>
              <w:snapToGrid w:val="0"/>
              <w:spacing w:line="440" w:lineRule="exact"/>
              <w:ind w:firstLine="480" w:firstLineChars="200"/>
              <w:rPr>
                <w:sz w:val="24"/>
              </w:rPr>
            </w:pPr>
            <w:r>
              <w:rPr>
                <w:rFonts w:hint="eastAsia"/>
                <w:sz w:val="24"/>
              </w:rPr>
              <w:t>根据《声环境功能区划分技术规范》（GB/T15190-2014）中的规定，结合本项目周围外环境关系，确定本项目区域执行《声环境质量标准》（GB3096-2008）2类标准限值，具体标准限值见下表。</w:t>
            </w:r>
          </w:p>
          <w:p w14:paraId="09AC6736">
            <w:pPr>
              <w:pStyle w:val="47"/>
              <w:numPr>
                <w:ilvl w:val="0"/>
                <w:numId w:val="26"/>
              </w:numPr>
              <w:spacing w:before="156"/>
              <w:rPr>
                <w:bCs/>
              </w:rPr>
            </w:pPr>
            <w:r>
              <w:rPr>
                <w:rFonts w:hint="eastAsia" w:cs="宋体"/>
                <w:bCs/>
                <w:lang w:bidi="ar"/>
              </w:rPr>
              <w:t>《声环境质量标准》</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3"/>
              <w:gridCol w:w="2071"/>
              <w:gridCol w:w="2071"/>
              <w:gridCol w:w="2074"/>
            </w:tblGrid>
            <w:tr w14:paraId="1E10F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07" w:type="dxa"/>
                  <w:vMerge w:val="restart"/>
                  <w:vAlign w:val="center"/>
                </w:tcPr>
                <w:p w14:paraId="36002C81">
                  <w:pPr>
                    <w:pStyle w:val="89"/>
                    <w:rPr>
                      <w:kern w:val="2"/>
                    </w:rPr>
                  </w:pPr>
                  <w:r>
                    <w:rPr>
                      <w:rFonts w:hint="eastAsia"/>
                      <w:kern w:val="2"/>
                    </w:rPr>
                    <w:t>声环境功能区类别</w:t>
                  </w:r>
                </w:p>
              </w:tc>
              <w:tc>
                <w:tcPr>
                  <w:tcW w:w="4012" w:type="dxa"/>
                  <w:gridSpan w:val="2"/>
                  <w:vAlign w:val="center"/>
                </w:tcPr>
                <w:p w14:paraId="3FB818F2">
                  <w:pPr>
                    <w:pStyle w:val="89"/>
                    <w:rPr>
                      <w:kern w:val="2"/>
                    </w:rPr>
                  </w:pPr>
                  <w:r>
                    <w:rPr>
                      <w:rFonts w:hint="eastAsia"/>
                      <w:kern w:val="2"/>
                    </w:rPr>
                    <w:t>时段</w:t>
                  </w:r>
                </w:p>
              </w:tc>
              <w:tc>
                <w:tcPr>
                  <w:tcW w:w="2008" w:type="dxa"/>
                  <w:vMerge w:val="restart"/>
                  <w:vAlign w:val="center"/>
                </w:tcPr>
                <w:p w14:paraId="14A1CBB7">
                  <w:pPr>
                    <w:pStyle w:val="89"/>
                    <w:rPr>
                      <w:kern w:val="2"/>
                    </w:rPr>
                  </w:pPr>
                  <w:r>
                    <w:rPr>
                      <w:rFonts w:hint="eastAsia"/>
                      <w:kern w:val="2"/>
                    </w:rPr>
                    <w:t>单位</w:t>
                  </w:r>
                </w:p>
              </w:tc>
            </w:tr>
            <w:tr w14:paraId="19B62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07" w:type="dxa"/>
                  <w:vMerge w:val="continue"/>
                  <w:vAlign w:val="center"/>
                </w:tcPr>
                <w:p w14:paraId="0AD87110">
                  <w:pPr>
                    <w:pStyle w:val="89"/>
                    <w:rPr>
                      <w:kern w:val="2"/>
                    </w:rPr>
                  </w:pPr>
                </w:p>
              </w:tc>
              <w:tc>
                <w:tcPr>
                  <w:tcW w:w="2006" w:type="dxa"/>
                  <w:vAlign w:val="center"/>
                </w:tcPr>
                <w:p w14:paraId="2C763533">
                  <w:pPr>
                    <w:pStyle w:val="89"/>
                    <w:rPr>
                      <w:kern w:val="2"/>
                    </w:rPr>
                  </w:pPr>
                  <w:r>
                    <w:rPr>
                      <w:rFonts w:hint="eastAsia"/>
                      <w:kern w:val="2"/>
                    </w:rPr>
                    <w:t>昼间</w:t>
                  </w:r>
                </w:p>
              </w:tc>
              <w:tc>
                <w:tcPr>
                  <w:tcW w:w="2006" w:type="dxa"/>
                  <w:vAlign w:val="center"/>
                </w:tcPr>
                <w:p w14:paraId="4DE3BCD1">
                  <w:pPr>
                    <w:pStyle w:val="89"/>
                    <w:rPr>
                      <w:kern w:val="2"/>
                    </w:rPr>
                  </w:pPr>
                  <w:r>
                    <w:rPr>
                      <w:rFonts w:hint="eastAsia"/>
                      <w:kern w:val="2"/>
                    </w:rPr>
                    <w:t>夜间</w:t>
                  </w:r>
                </w:p>
              </w:tc>
              <w:tc>
                <w:tcPr>
                  <w:tcW w:w="2008" w:type="dxa"/>
                  <w:vMerge w:val="continue"/>
                  <w:vAlign w:val="center"/>
                </w:tcPr>
                <w:p w14:paraId="34CF8F38">
                  <w:pPr>
                    <w:pStyle w:val="89"/>
                    <w:rPr>
                      <w:kern w:val="2"/>
                    </w:rPr>
                  </w:pPr>
                </w:p>
              </w:tc>
            </w:tr>
            <w:tr w14:paraId="38DE5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07" w:type="dxa"/>
                  <w:vAlign w:val="center"/>
                </w:tcPr>
                <w:p w14:paraId="7B78C18A">
                  <w:pPr>
                    <w:pStyle w:val="89"/>
                    <w:rPr>
                      <w:kern w:val="2"/>
                    </w:rPr>
                  </w:pPr>
                  <w:r>
                    <w:rPr>
                      <w:rFonts w:hint="eastAsia"/>
                      <w:kern w:val="2"/>
                    </w:rPr>
                    <w:t>2类</w:t>
                  </w:r>
                </w:p>
              </w:tc>
              <w:tc>
                <w:tcPr>
                  <w:tcW w:w="2006" w:type="dxa"/>
                  <w:vAlign w:val="center"/>
                </w:tcPr>
                <w:p w14:paraId="62A5C1E4">
                  <w:pPr>
                    <w:pStyle w:val="89"/>
                    <w:rPr>
                      <w:kern w:val="2"/>
                    </w:rPr>
                  </w:pPr>
                  <w:r>
                    <w:rPr>
                      <w:rFonts w:hint="eastAsia"/>
                      <w:kern w:val="2"/>
                    </w:rPr>
                    <w:t>60</w:t>
                  </w:r>
                </w:p>
              </w:tc>
              <w:tc>
                <w:tcPr>
                  <w:tcW w:w="2006" w:type="dxa"/>
                  <w:vAlign w:val="center"/>
                </w:tcPr>
                <w:p w14:paraId="0C0C444A">
                  <w:pPr>
                    <w:pStyle w:val="89"/>
                    <w:rPr>
                      <w:kern w:val="2"/>
                    </w:rPr>
                  </w:pPr>
                  <w:r>
                    <w:rPr>
                      <w:rFonts w:hint="eastAsia"/>
                      <w:kern w:val="2"/>
                    </w:rPr>
                    <w:t>50</w:t>
                  </w:r>
                </w:p>
              </w:tc>
              <w:tc>
                <w:tcPr>
                  <w:tcW w:w="2008" w:type="dxa"/>
                  <w:vAlign w:val="center"/>
                </w:tcPr>
                <w:p w14:paraId="4DA4730B">
                  <w:pPr>
                    <w:pStyle w:val="89"/>
                    <w:rPr>
                      <w:kern w:val="2"/>
                    </w:rPr>
                  </w:pPr>
                  <w:r>
                    <w:rPr>
                      <w:rFonts w:hint="eastAsia"/>
                      <w:kern w:val="2"/>
                    </w:rPr>
                    <w:t>dB（A）</w:t>
                  </w:r>
                </w:p>
              </w:tc>
            </w:tr>
          </w:tbl>
          <w:p w14:paraId="4461399E">
            <w:pPr>
              <w:pStyle w:val="4"/>
              <w:numPr>
                <w:ilvl w:val="0"/>
                <w:numId w:val="27"/>
              </w:numPr>
            </w:pPr>
            <w:r>
              <w:rPr>
                <w:rFonts w:hint="eastAsia"/>
              </w:rPr>
              <w:t>污染物排放标准</w:t>
            </w:r>
          </w:p>
          <w:p w14:paraId="60EC44C7">
            <w:pPr>
              <w:pStyle w:val="4"/>
              <w:numPr>
                <w:ilvl w:val="1"/>
                <w:numId w:val="27"/>
              </w:numPr>
            </w:pPr>
            <w:r>
              <w:rPr>
                <w:rFonts w:hint="eastAsia"/>
              </w:rPr>
              <w:t>废气</w:t>
            </w:r>
          </w:p>
          <w:p w14:paraId="63177316">
            <w:pPr>
              <w:autoSpaceDE w:val="0"/>
              <w:autoSpaceDN w:val="0"/>
              <w:adjustRightInd w:val="0"/>
              <w:snapToGrid w:val="0"/>
              <w:spacing w:line="440" w:lineRule="exact"/>
              <w:ind w:firstLine="480" w:firstLineChars="200"/>
              <w:rPr>
                <w:sz w:val="24"/>
              </w:rPr>
            </w:pPr>
            <w:r>
              <w:rPr>
                <w:rFonts w:hint="eastAsia"/>
                <w:sz w:val="24"/>
              </w:rPr>
              <w:t>本项目施工期扬尘参照《四川省施工场地扬尘排放标准》（DB/2682-2020）执行，具体标准限值见下表。</w:t>
            </w:r>
          </w:p>
          <w:p w14:paraId="15A7094F">
            <w:pPr>
              <w:autoSpaceDE w:val="0"/>
              <w:autoSpaceDN w:val="0"/>
              <w:adjustRightInd w:val="0"/>
              <w:snapToGrid w:val="0"/>
              <w:spacing w:line="440" w:lineRule="exact"/>
              <w:ind w:firstLine="480" w:firstLineChars="200"/>
              <w:rPr>
                <w:sz w:val="24"/>
              </w:rPr>
            </w:pPr>
            <w:r>
              <w:rPr>
                <w:rFonts w:hint="eastAsia"/>
                <w:sz w:val="24"/>
              </w:rPr>
              <w:t>本项目运营期无废气产生。</w:t>
            </w:r>
          </w:p>
          <w:p w14:paraId="441CC7E8">
            <w:pPr>
              <w:pStyle w:val="47"/>
              <w:numPr>
                <w:ilvl w:val="0"/>
                <w:numId w:val="26"/>
              </w:numPr>
              <w:spacing w:before="156"/>
              <w:rPr>
                <w:bCs/>
              </w:rPr>
            </w:pPr>
            <w:r>
              <w:rPr>
                <w:rFonts w:hint="eastAsia" w:cs="宋体"/>
                <w:bCs/>
                <w:lang w:bidi="ar"/>
              </w:rPr>
              <w:t>《四川省施工场地扬尘排放标准》</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3732"/>
              <w:gridCol w:w="2013"/>
              <w:gridCol w:w="1480"/>
            </w:tblGrid>
            <w:tr w14:paraId="63037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1" w:type="pct"/>
                  <w:tcBorders>
                    <w:top w:val="single" w:color="auto" w:sz="4" w:space="0"/>
                    <w:left w:val="single" w:color="auto" w:sz="4" w:space="0"/>
                    <w:bottom w:val="single" w:color="auto" w:sz="4" w:space="0"/>
                    <w:right w:val="single" w:color="auto" w:sz="4" w:space="0"/>
                  </w:tcBorders>
                  <w:vAlign w:val="center"/>
                </w:tcPr>
                <w:p w14:paraId="1F2DEF91">
                  <w:pPr>
                    <w:pStyle w:val="21"/>
                    <w:widowControl w:val="0"/>
                    <w:autoSpaceDE w:val="0"/>
                    <w:autoSpaceDN w:val="0"/>
                    <w:adjustRightInd w:val="0"/>
                    <w:snapToGrid w:val="0"/>
                    <w:spacing w:beforeAutospacing="0" w:afterAutospacing="0" w:line="320" w:lineRule="exact"/>
                    <w:jc w:val="center"/>
                    <w:rPr>
                      <w:rFonts w:ascii="Times New Roman" w:hAnsi="Times New Roman" w:cs="Times New Roman"/>
                      <w:b/>
                      <w:bCs/>
                      <w:sz w:val="21"/>
                      <w:szCs w:val="21"/>
                    </w:rPr>
                  </w:pPr>
                  <w:r>
                    <w:rPr>
                      <w:rFonts w:hint="eastAsia" w:ascii="Times New Roman" w:hAnsi="Times New Roman" w:cs="Times New Roman"/>
                      <w:b/>
                      <w:bCs/>
                      <w:sz w:val="21"/>
                      <w:szCs w:val="21"/>
                      <w:lang w:val="zh-CN"/>
                    </w:rPr>
                    <w:t>监测项目</w:t>
                  </w:r>
                </w:p>
              </w:tc>
              <w:tc>
                <w:tcPr>
                  <w:tcW w:w="2250" w:type="pct"/>
                  <w:tcBorders>
                    <w:top w:val="single" w:color="auto" w:sz="4" w:space="0"/>
                    <w:left w:val="single" w:color="auto" w:sz="4" w:space="0"/>
                    <w:bottom w:val="single" w:color="auto" w:sz="4" w:space="0"/>
                    <w:right w:val="single" w:color="auto" w:sz="4" w:space="0"/>
                  </w:tcBorders>
                  <w:vAlign w:val="center"/>
                </w:tcPr>
                <w:p w14:paraId="404C50D0">
                  <w:pPr>
                    <w:pStyle w:val="21"/>
                    <w:widowControl w:val="0"/>
                    <w:autoSpaceDE w:val="0"/>
                    <w:autoSpaceDN w:val="0"/>
                    <w:adjustRightInd w:val="0"/>
                    <w:snapToGrid w:val="0"/>
                    <w:spacing w:beforeAutospacing="0" w:afterAutospacing="0" w:line="320" w:lineRule="exact"/>
                    <w:jc w:val="center"/>
                    <w:rPr>
                      <w:rFonts w:ascii="Times New Roman" w:hAnsi="Times New Roman" w:cs="Times New Roman"/>
                      <w:b/>
                      <w:bCs/>
                      <w:sz w:val="21"/>
                      <w:szCs w:val="21"/>
                      <w:lang w:val="zh-CN"/>
                    </w:rPr>
                  </w:pPr>
                  <w:r>
                    <w:rPr>
                      <w:rFonts w:hint="eastAsia" w:ascii="Times New Roman" w:hAnsi="Times New Roman" w:cs="Times New Roman"/>
                      <w:b/>
                      <w:bCs/>
                      <w:sz w:val="21"/>
                      <w:szCs w:val="21"/>
                      <w:lang w:val="zh-CN"/>
                    </w:rPr>
                    <w:t>区域</w:t>
                  </w:r>
                </w:p>
              </w:tc>
              <w:tc>
                <w:tcPr>
                  <w:tcW w:w="1214" w:type="pct"/>
                  <w:tcBorders>
                    <w:top w:val="single" w:color="auto" w:sz="4" w:space="0"/>
                    <w:left w:val="single" w:color="auto" w:sz="4" w:space="0"/>
                    <w:bottom w:val="single" w:color="auto" w:sz="4" w:space="0"/>
                    <w:right w:val="single" w:color="auto" w:sz="4" w:space="0"/>
                  </w:tcBorders>
                  <w:vAlign w:val="center"/>
                </w:tcPr>
                <w:p w14:paraId="4AC50BCF">
                  <w:pPr>
                    <w:pStyle w:val="21"/>
                    <w:widowControl w:val="0"/>
                    <w:autoSpaceDE w:val="0"/>
                    <w:autoSpaceDN w:val="0"/>
                    <w:adjustRightInd w:val="0"/>
                    <w:snapToGrid w:val="0"/>
                    <w:spacing w:beforeAutospacing="0" w:afterAutospacing="0" w:line="320" w:lineRule="exact"/>
                    <w:jc w:val="center"/>
                    <w:rPr>
                      <w:rFonts w:ascii="Times New Roman" w:hAnsi="Times New Roman" w:cs="Times New Roman"/>
                      <w:b/>
                      <w:bCs/>
                      <w:sz w:val="21"/>
                      <w:szCs w:val="21"/>
                      <w:lang w:val="zh-CN"/>
                    </w:rPr>
                  </w:pPr>
                  <w:r>
                    <w:rPr>
                      <w:rFonts w:hint="eastAsia" w:ascii="Times New Roman" w:hAnsi="Times New Roman" w:cs="Times New Roman"/>
                      <w:b/>
                      <w:bCs/>
                      <w:sz w:val="21"/>
                      <w:szCs w:val="21"/>
                      <w:lang w:val="zh-CN"/>
                    </w:rPr>
                    <w:t>施工阶段</w:t>
                  </w:r>
                </w:p>
              </w:tc>
              <w:tc>
                <w:tcPr>
                  <w:tcW w:w="893" w:type="pct"/>
                  <w:tcBorders>
                    <w:top w:val="single" w:color="auto" w:sz="4" w:space="0"/>
                    <w:left w:val="single" w:color="auto" w:sz="4" w:space="0"/>
                    <w:bottom w:val="single" w:color="auto" w:sz="4" w:space="0"/>
                    <w:right w:val="single" w:color="auto" w:sz="4" w:space="0"/>
                  </w:tcBorders>
                  <w:vAlign w:val="center"/>
                </w:tcPr>
                <w:p w14:paraId="0462F2A6">
                  <w:pPr>
                    <w:pStyle w:val="21"/>
                    <w:widowControl w:val="0"/>
                    <w:autoSpaceDE w:val="0"/>
                    <w:autoSpaceDN w:val="0"/>
                    <w:adjustRightInd w:val="0"/>
                    <w:snapToGrid w:val="0"/>
                    <w:spacing w:beforeAutospacing="0" w:afterAutospacing="0" w:line="320" w:lineRule="exact"/>
                    <w:jc w:val="center"/>
                    <w:rPr>
                      <w:rFonts w:ascii="Times New Roman" w:hAnsi="Times New Roman" w:cs="Times New Roman"/>
                      <w:b/>
                      <w:bCs/>
                      <w:sz w:val="21"/>
                      <w:szCs w:val="21"/>
                      <w:lang w:val="zh-CN"/>
                    </w:rPr>
                  </w:pPr>
                  <w:r>
                    <w:rPr>
                      <w:rFonts w:hint="eastAsia" w:ascii="Times New Roman" w:hAnsi="Times New Roman" w:cs="Times New Roman"/>
                      <w:b/>
                      <w:bCs/>
                      <w:sz w:val="21"/>
                      <w:szCs w:val="21"/>
                      <w:lang w:val="zh-CN"/>
                    </w:rPr>
                    <w:t>监测点排放限值（</w:t>
                  </w:r>
                  <w:r>
                    <w:rPr>
                      <w:rFonts w:ascii="Times New Roman" w:hAnsi="Times New Roman" w:cs="Times New Roman"/>
                      <w:b/>
                      <w:bCs/>
                      <w:sz w:val="21"/>
                      <w:szCs w:val="21"/>
                    </w:rPr>
                    <w:t>μg/m</w:t>
                  </w:r>
                  <w:r>
                    <w:rPr>
                      <w:rFonts w:ascii="Times New Roman" w:hAnsi="Times New Roman" w:cs="Times New Roman"/>
                      <w:b/>
                      <w:bCs/>
                      <w:sz w:val="21"/>
                      <w:szCs w:val="21"/>
                      <w:vertAlign w:val="superscript"/>
                    </w:rPr>
                    <w:t>3</w:t>
                  </w:r>
                  <w:r>
                    <w:rPr>
                      <w:rFonts w:hint="eastAsia" w:ascii="Times New Roman" w:hAnsi="Times New Roman" w:cs="Times New Roman"/>
                      <w:b/>
                      <w:bCs/>
                      <w:sz w:val="21"/>
                      <w:szCs w:val="21"/>
                    </w:rPr>
                    <w:t>）</w:t>
                  </w:r>
                </w:p>
              </w:tc>
            </w:tr>
            <w:tr w14:paraId="79683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1" w:type="pct"/>
                  <w:vMerge w:val="restart"/>
                  <w:tcBorders>
                    <w:top w:val="single" w:color="auto" w:sz="4" w:space="0"/>
                    <w:left w:val="single" w:color="auto" w:sz="4" w:space="0"/>
                    <w:right w:val="single" w:color="auto" w:sz="4" w:space="0"/>
                  </w:tcBorders>
                  <w:vAlign w:val="center"/>
                </w:tcPr>
                <w:p w14:paraId="167C04A9">
                  <w:pPr>
                    <w:pStyle w:val="21"/>
                    <w:widowControl w:val="0"/>
                    <w:autoSpaceDE w:val="0"/>
                    <w:autoSpaceDN w:val="0"/>
                    <w:adjustRightInd w:val="0"/>
                    <w:snapToGrid w:val="0"/>
                    <w:spacing w:beforeAutospacing="0" w:afterAutospacing="0" w:line="320" w:lineRule="exact"/>
                    <w:jc w:val="center"/>
                    <w:rPr>
                      <w:rFonts w:ascii="Times New Roman" w:hAnsi="Times New Roman" w:cs="Times New Roman"/>
                      <w:sz w:val="21"/>
                      <w:szCs w:val="21"/>
                    </w:rPr>
                  </w:pPr>
                  <w:r>
                    <w:rPr>
                      <w:rFonts w:hint="eastAsia" w:ascii="Times New Roman" w:hAnsi="Times New Roman" w:cs="Times New Roman"/>
                      <w:sz w:val="21"/>
                      <w:szCs w:val="21"/>
                      <w:lang w:val="zh-CN"/>
                    </w:rPr>
                    <w:t>总悬浮颗粒物（</w:t>
                  </w:r>
                  <w:r>
                    <w:rPr>
                      <w:rFonts w:ascii="Times New Roman" w:hAnsi="Times New Roman" w:cs="Times New Roman"/>
                      <w:sz w:val="21"/>
                      <w:szCs w:val="21"/>
                    </w:rPr>
                    <w:t>TSP</w:t>
                  </w:r>
                  <w:r>
                    <w:rPr>
                      <w:rFonts w:hint="eastAsia" w:ascii="Times New Roman" w:hAnsi="Times New Roman" w:cs="Times New Roman"/>
                      <w:sz w:val="21"/>
                      <w:szCs w:val="21"/>
                      <w:lang w:val="zh-CN"/>
                    </w:rPr>
                    <w:t>）</w:t>
                  </w:r>
                </w:p>
              </w:tc>
              <w:tc>
                <w:tcPr>
                  <w:tcW w:w="2250" w:type="pct"/>
                  <w:vMerge w:val="restart"/>
                  <w:tcBorders>
                    <w:top w:val="single" w:color="auto" w:sz="4" w:space="0"/>
                    <w:left w:val="single" w:color="auto" w:sz="4" w:space="0"/>
                    <w:right w:val="single" w:color="auto" w:sz="4" w:space="0"/>
                  </w:tcBorders>
                  <w:vAlign w:val="center"/>
                </w:tcPr>
                <w:p w14:paraId="2ECB898F">
                  <w:pPr>
                    <w:pStyle w:val="21"/>
                    <w:widowControl w:val="0"/>
                    <w:autoSpaceDE w:val="0"/>
                    <w:autoSpaceDN w:val="0"/>
                    <w:adjustRightInd w:val="0"/>
                    <w:snapToGrid w:val="0"/>
                    <w:spacing w:beforeAutospacing="0" w:afterAutospacing="0" w:line="320" w:lineRule="exact"/>
                    <w:jc w:val="center"/>
                    <w:rPr>
                      <w:rFonts w:ascii="Times New Roman" w:hAnsi="Times New Roman" w:cs="Times New Roman"/>
                      <w:sz w:val="21"/>
                      <w:szCs w:val="21"/>
                      <w:lang w:val="zh-CN"/>
                    </w:rPr>
                  </w:pPr>
                  <w:r>
                    <w:rPr>
                      <w:rFonts w:hint="eastAsia" w:ascii="Times New Roman" w:hAnsi="Times New Roman" w:cs="Times New Roman"/>
                      <w:sz w:val="21"/>
                      <w:szCs w:val="21"/>
                      <w:lang w:val="zh-CN"/>
                    </w:rPr>
                    <w:t>成都市、自贡市、泸州市、德阳市、绵阳市、广元市、</w:t>
                  </w:r>
                  <w:r>
                    <w:rPr>
                      <w:rFonts w:hint="eastAsia" w:ascii="Times New Roman" w:hAnsi="Times New Roman" w:cs="Times New Roman"/>
                      <w:b/>
                      <w:bCs/>
                      <w:sz w:val="21"/>
                      <w:szCs w:val="21"/>
                      <w:lang w:val="zh-CN"/>
                    </w:rPr>
                    <w:t>遂宁市</w:t>
                  </w:r>
                  <w:r>
                    <w:rPr>
                      <w:rFonts w:hint="eastAsia" w:ascii="Times New Roman" w:hAnsi="Times New Roman" w:cs="Times New Roman"/>
                      <w:sz w:val="21"/>
                      <w:szCs w:val="21"/>
                      <w:lang w:val="zh-CN"/>
                    </w:rPr>
                    <w:t>、内江市、乐山市、南充市、宜宾市、广安市、达州市巴中市、雅安市、眉山市、资阳市</w:t>
                  </w:r>
                </w:p>
              </w:tc>
              <w:tc>
                <w:tcPr>
                  <w:tcW w:w="1214" w:type="pct"/>
                  <w:tcBorders>
                    <w:top w:val="single" w:color="auto" w:sz="4" w:space="0"/>
                    <w:left w:val="single" w:color="auto" w:sz="4" w:space="0"/>
                    <w:bottom w:val="single" w:color="auto" w:sz="4" w:space="0"/>
                    <w:right w:val="single" w:color="auto" w:sz="4" w:space="0"/>
                  </w:tcBorders>
                  <w:vAlign w:val="center"/>
                </w:tcPr>
                <w:p w14:paraId="5168F556">
                  <w:pPr>
                    <w:pStyle w:val="21"/>
                    <w:widowControl w:val="0"/>
                    <w:autoSpaceDE w:val="0"/>
                    <w:autoSpaceDN w:val="0"/>
                    <w:adjustRightInd w:val="0"/>
                    <w:snapToGrid w:val="0"/>
                    <w:spacing w:beforeAutospacing="0" w:afterAutospacing="0" w:line="320" w:lineRule="exact"/>
                    <w:jc w:val="center"/>
                    <w:rPr>
                      <w:rFonts w:ascii="Times New Roman" w:hAnsi="Times New Roman" w:cs="Times New Roman"/>
                      <w:sz w:val="21"/>
                      <w:szCs w:val="21"/>
                      <w:lang w:val="zh-CN"/>
                    </w:rPr>
                  </w:pPr>
                  <w:r>
                    <w:rPr>
                      <w:rFonts w:hint="eastAsia" w:ascii="Times New Roman" w:hAnsi="Times New Roman" w:cs="Times New Roman"/>
                      <w:sz w:val="21"/>
                      <w:szCs w:val="21"/>
                      <w:lang w:val="zh-CN"/>
                    </w:rPr>
                    <w:t>拆除工程/土方开挖/</w:t>
                  </w:r>
                </w:p>
                <w:p w14:paraId="4298BB89">
                  <w:pPr>
                    <w:pStyle w:val="21"/>
                    <w:widowControl w:val="0"/>
                    <w:autoSpaceDE w:val="0"/>
                    <w:autoSpaceDN w:val="0"/>
                    <w:adjustRightInd w:val="0"/>
                    <w:snapToGrid w:val="0"/>
                    <w:spacing w:beforeAutospacing="0" w:afterAutospacing="0" w:line="320" w:lineRule="exact"/>
                    <w:jc w:val="center"/>
                    <w:rPr>
                      <w:rFonts w:ascii="Times New Roman" w:hAnsi="Times New Roman" w:cs="Times New Roman"/>
                      <w:sz w:val="21"/>
                      <w:szCs w:val="21"/>
                      <w:lang w:val="zh-CN"/>
                    </w:rPr>
                  </w:pPr>
                  <w:r>
                    <w:rPr>
                      <w:rFonts w:hint="eastAsia" w:ascii="Times New Roman" w:hAnsi="Times New Roman" w:cs="Times New Roman"/>
                      <w:sz w:val="21"/>
                      <w:szCs w:val="21"/>
                      <w:lang w:val="zh-CN"/>
                    </w:rPr>
                    <w:t>土方回填阶段</w:t>
                  </w:r>
                </w:p>
              </w:tc>
              <w:tc>
                <w:tcPr>
                  <w:tcW w:w="893" w:type="pct"/>
                  <w:tcBorders>
                    <w:top w:val="single" w:color="auto" w:sz="4" w:space="0"/>
                    <w:left w:val="single" w:color="auto" w:sz="4" w:space="0"/>
                    <w:bottom w:val="single" w:color="auto" w:sz="4" w:space="0"/>
                    <w:right w:val="single" w:color="auto" w:sz="4" w:space="0"/>
                  </w:tcBorders>
                  <w:vAlign w:val="center"/>
                </w:tcPr>
                <w:p w14:paraId="785F41B2">
                  <w:pPr>
                    <w:pStyle w:val="21"/>
                    <w:widowControl w:val="0"/>
                    <w:autoSpaceDE w:val="0"/>
                    <w:autoSpaceDN w:val="0"/>
                    <w:adjustRightInd w:val="0"/>
                    <w:snapToGrid w:val="0"/>
                    <w:spacing w:beforeAutospacing="0" w:afterAutospacing="0" w:line="320" w:lineRule="exact"/>
                    <w:jc w:val="center"/>
                    <w:rPr>
                      <w:rFonts w:ascii="Times New Roman" w:hAnsi="Times New Roman" w:cs="Times New Roman"/>
                      <w:sz w:val="21"/>
                      <w:szCs w:val="21"/>
                    </w:rPr>
                  </w:pPr>
                  <w:r>
                    <w:rPr>
                      <w:rFonts w:hint="eastAsia" w:ascii="Times New Roman" w:hAnsi="Times New Roman" w:cs="Times New Roman"/>
                      <w:sz w:val="21"/>
                      <w:szCs w:val="21"/>
                    </w:rPr>
                    <w:t>600</w:t>
                  </w:r>
                </w:p>
              </w:tc>
            </w:tr>
            <w:tr w14:paraId="6C787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1" w:type="pct"/>
                  <w:vMerge w:val="continue"/>
                  <w:tcBorders>
                    <w:left w:val="single" w:color="auto" w:sz="4" w:space="0"/>
                    <w:right w:val="single" w:color="auto" w:sz="4" w:space="0"/>
                  </w:tcBorders>
                  <w:vAlign w:val="center"/>
                </w:tcPr>
                <w:p w14:paraId="2ED5B331">
                  <w:pPr>
                    <w:pStyle w:val="21"/>
                    <w:widowControl w:val="0"/>
                    <w:autoSpaceDE w:val="0"/>
                    <w:autoSpaceDN w:val="0"/>
                    <w:adjustRightInd w:val="0"/>
                    <w:snapToGrid w:val="0"/>
                    <w:spacing w:beforeAutospacing="0" w:afterAutospacing="0" w:line="320" w:lineRule="exact"/>
                    <w:jc w:val="center"/>
                    <w:rPr>
                      <w:rFonts w:ascii="Times New Roman" w:hAnsi="Times New Roman" w:cs="Times New Roman"/>
                      <w:sz w:val="21"/>
                      <w:szCs w:val="21"/>
                    </w:rPr>
                  </w:pPr>
                </w:p>
              </w:tc>
              <w:tc>
                <w:tcPr>
                  <w:tcW w:w="2250" w:type="pct"/>
                  <w:vMerge w:val="continue"/>
                  <w:tcBorders>
                    <w:left w:val="single" w:color="auto" w:sz="4" w:space="0"/>
                    <w:bottom w:val="single" w:color="auto" w:sz="4" w:space="0"/>
                    <w:right w:val="single" w:color="auto" w:sz="4" w:space="0"/>
                  </w:tcBorders>
                  <w:vAlign w:val="center"/>
                </w:tcPr>
                <w:p w14:paraId="5748363E">
                  <w:pPr>
                    <w:pStyle w:val="21"/>
                    <w:widowControl w:val="0"/>
                    <w:autoSpaceDE w:val="0"/>
                    <w:autoSpaceDN w:val="0"/>
                    <w:adjustRightInd w:val="0"/>
                    <w:snapToGrid w:val="0"/>
                    <w:spacing w:beforeAutospacing="0" w:afterAutospacing="0" w:line="320" w:lineRule="exact"/>
                    <w:jc w:val="center"/>
                    <w:rPr>
                      <w:rFonts w:ascii="Times New Roman" w:hAnsi="Times New Roman" w:cs="Times New Roman"/>
                      <w:sz w:val="21"/>
                      <w:szCs w:val="21"/>
                    </w:rPr>
                  </w:pPr>
                </w:p>
              </w:tc>
              <w:tc>
                <w:tcPr>
                  <w:tcW w:w="1214" w:type="pct"/>
                  <w:tcBorders>
                    <w:top w:val="single" w:color="auto" w:sz="4" w:space="0"/>
                    <w:left w:val="single" w:color="auto" w:sz="4" w:space="0"/>
                    <w:bottom w:val="single" w:color="auto" w:sz="4" w:space="0"/>
                    <w:right w:val="single" w:color="auto" w:sz="4" w:space="0"/>
                  </w:tcBorders>
                  <w:vAlign w:val="center"/>
                </w:tcPr>
                <w:p w14:paraId="0855C164">
                  <w:pPr>
                    <w:pStyle w:val="21"/>
                    <w:widowControl w:val="0"/>
                    <w:autoSpaceDE w:val="0"/>
                    <w:autoSpaceDN w:val="0"/>
                    <w:adjustRightInd w:val="0"/>
                    <w:snapToGrid w:val="0"/>
                    <w:spacing w:beforeAutospacing="0" w:afterAutospacing="0" w:line="320" w:lineRule="exact"/>
                    <w:jc w:val="center"/>
                    <w:rPr>
                      <w:rFonts w:ascii="Times New Roman" w:hAnsi="Times New Roman" w:cs="Times New Roman"/>
                      <w:sz w:val="21"/>
                      <w:szCs w:val="21"/>
                      <w:lang w:val="zh-CN"/>
                    </w:rPr>
                  </w:pPr>
                  <w:r>
                    <w:rPr>
                      <w:rFonts w:hint="eastAsia" w:ascii="Times New Roman" w:hAnsi="Times New Roman" w:cs="Times New Roman"/>
                      <w:sz w:val="21"/>
                      <w:szCs w:val="21"/>
                      <w:lang w:val="zh-CN"/>
                    </w:rPr>
                    <w:t>其他工程阶段</w:t>
                  </w:r>
                </w:p>
              </w:tc>
              <w:tc>
                <w:tcPr>
                  <w:tcW w:w="893" w:type="pct"/>
                  <w:tcBorders>
                    <w:top w:val="single" w:color="auto" w:sz="4" w:space="0"/>
                    <w:left w:val="single" w:color="auto" w:sz="4" w:space="0"/>
                    <w:bottom w:val="single" w:color="auto" w:sz="4" w:space="0"/>
                    <w:right w:val="single" w:color="auto" w:sz="4" w:space="0"/>
                  </w:tcBorders>
                  <w:vAlign w:val="center"/>
                </w:tcPr>
                <w:p w14:paraId="5CE8DD23">
                  <w:pPr>
                    <w:pStyle w:val="21"/>
                    <w:widowControl w:val="0"/>
                    <w:autoSpaceDE w:val="0"/>
                    <w:autoSpaceDN w:val="0"/>
                    <w:adjustRightInd w:val="0"/>
                    <w:snapToGrid w:val="0"/>
                    <w:spacing w:beforeAutospacing="0" w:afterAutospacing="0" w:line="320" w:lineRule="exact"/>
                    <w:jc w:val="center"/>
                    <w:rPr>
                      <w:rFonts w:ascii="Times New Roman" w:hAnsi="Times New Roman" w:cs="Times New Roman"/>
                      <w:sz w:val="21"/>
                      <w:szCs w:val="21"/>
                      <w:lang w:val="zh-CN"/>
                    </w:rPr>
                  </w:pPr>
                  <w:r>
                    <w:rPr>
                      <w:rFonts w:ascii="Times New Roman" w:hAnsi="Times New Roman" w:cs="Times New Roman"/>
                      <w:sz w:val="21"/>
                      <w:szCs w:val="21"/>
                      <w:lang w:val="zh-CN"/>
                    </w:rPr>
                    <w:t>250</w:t>
                  </w:r>
                </w:p>
              </w:tc>
            </w:tr>
            <w:tr w14:paraId="7661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1" w:type="pct"/>
                  <w:vMerge w:val="continue"/>
                  <w:tcBorders>
                    <w:left w:val="single" w:color="auto" w:sz="4" w:space="0"/>
                    <w:bottom w:val="single" w:color="auto" w:sz="4" w:space="0"/>
                    <w:right w:val="single" w:color="auto" w:sz="4" w:space="0"/>
                  </w:tcBorders>
                  <w:vAlign w:val="center"/>
                </w:tcPr>
                <w:p w14:paraId="63799CC7">
                  <w:pPr>
                    <w:pStyle w:val="21"/>
                    <w:widowControl w:val="0"/>
                    <w:autoSpaceDE w:val="0"/>
                    <w:autoSpaceDN w:val="0"/>
                    <w:adjustRightInd w:val="0"/>
                    <w:snapToGrid w:val="0"/>
                    <w:spacing w:beforeAutospacing="0" w:afterAutospacing="0" w:line="320" w:lineRule="exact"/>
                    <w:jc w:val="center"/>
                    <w:rPr>
                      <w:rFonts w:ascii="Times New Roman" w:hAnsi="Times New Roman" w:cs="Times New Roman"/>
                      <w:sz w:val="21"/>
                      <w:szCs w:val="21"/>
                      <w:lang w:val="zh-CN"/>
                    </w:rPr>
                  </w:pPr>
                </w:p>
              </w:tc>
              <w:tc>
                <w:tcPr>
                  <w:tcW w:w="2250" w:type="pct"/>
                  <w:vMerge w:val="restart"/>
                  <w:tcBorders>
                    <w:top w:val="single" w:color="auto" w:sz="4" w:space="0"/>
                    <w:left w:val="single" w:color="auto" w:sz="4" w:space="0"/>
                    <w:right w:val="single" w:color="auto" w:sz="4" w:space="0"/>
                  </w:tcBorders>
                  <w:vAlign w:val="center"/>
                </w:tcPr>
                <w:p w14:paraId="4B8077E7">
                  <w:pPr>
                    <w:pStyle w:val="21"/>
                    <w:widowControl w:val="0"/>
                    <w:autoSpaceDE w:val="0"/>
                    <w:autoSpaceDN w:val="0"/>
                    <w:adjustRightInd w:val="0"/>
                    <w:snapToGrid w:val="0"/>
                    <w:spacing w:beforeAutospacing="0" w:afterAutospacing="0" w:line="320" w:lineRule="exact"/>
                    <w:jc w:val="center"/>
                    <w:rPr>
                      <w:rFonts w:ascii="Times New Roman" w:hAnsi="Times New Roman" w:cs="Times New Roman"/>
                      <w:sz w:val="21"/>
                      <w:szCs w:val="21"/>
                      <w:lang w:val="zh-CN"/>
                    </w:rPr>
                  </w:pPr>
                  <w:r>
                    <w:rPr>
                      <w:rFonts w:hint="eastAsia" w:ascii="Times New Roman" w:hAnsi="Times New Roman" w:cs="Times New Roman"/>
                      <w:sz w:val="21"/>
                      <w:szCs w:val="21"/>
                      <w:lang w:val="zh-CN"/>
                    </w:rPr>
                    <w:t>攀枝花市、阿坝藏族羌族自治州、甘孜</w:t>
                  </w:r>
                </w:p>
                <w:p w14:paraId="1A84AB31">
                  <w:pPr>
                    <w:pStyle w:val="21"/>
                    <w:widowControl w:val="0"/>
                    <w:autoSpaceDE w:val="0"/>
                    <w:autoSpaceDN w:val="0"/>
                    <w:adjustRightInd w:val="0"/>
                    <w:snapToGrid w:val="0"/>
                    <w:spacing w:beforeAutospacing="0" w:afterAutospacing="0" w:line="320" w:lineRule="exact"/>
                    <w:jc w:val="center"/>
                    <w:rPr>
                      <w:rFonts w:ascii="Times New Roman" w:hAnsi="Times New Roman" w:cs="Times New Roman"/>
                      <w:sz w:val="21"/>
                      <w:szCs w:val="21"/>
                      <w:lang w:val="zh-CN"/>
                    </w:rPr>
                  </w:pPr>
                  <w:r>
                    <w:rPr>
                      <w:rFonts w:hint="eastAsia" w:ascii="Times New Roman" w:hAnsi="Times New Roman" w:cs="Times New Roman"/>
                      <w:sz w:val="21"/>
                      <w:szCs w:val="21"/>
                      <w:lang w:val="zh-CN"/>
                    </w:rPr>
                    <w:t>藏族自治州、凉山彝族自治州</w:t>
                  </w:r>
                </w:p>
              </w:tc>
              <w:tc>
                <w:tcPr>
                  <w:tcW w:w="1214" w:type="pct"/>
                  <w:tcBorders>
                    <w:top w:val="single" w:color="auto" w:sz="4" w:space="0"/>
                    <w:left w:val="single" w:color="auto" w:sz="4" w:space="0"/>
                    <w:bottom w:val="single" w:color="auto" w:sz="4" w:space="0"/>
                    <w:right w:val="single" w:color="auto" w:sz="4" w:space="0"/>
                  </w:tcBorders>
                  <w:vAlign w:val="center"/>
                </w:tcPr>
                <w:p w14:paraId="6EA83B35">
                  <w:pPr>
                    <w:pStyle w:val="21"/>
                    <w:widowControl w:val="0"/>
                    <w:autoSpaceDE w:val="0"/>
                    <w:autoSpaceDN w:val="0"/>
                    <w:adjustRightInd w:val="0"/>
                    <w:snapToGrid w:val="0"/>
                    <w:spacing w:beforeAutospacing="0" w:afterAutospacing="0" w:line="320" w:lineRule="exact"/>
                    <w:jc w:val="center"/>
                    <w:rPr>
                      <w:rFonts w:ascii="Times New Roman" w:hAnsi="Times New Roman" w:cs="Times New Roman"/>
                      <w:sz w:val="21"/>
                      <w:szCs w:val="21"/>
                      <w:lang w:val="zh-CN"/>
                    </w:rPr>
                  </w:pPr>
                  <w:r>
                    <w:rPr>
                      <w:rFonts w:hint="eastAsia" w:ascii="Times New Roman" w:hAnsi="Times New Roman" w:cs="Times New Roman"/>
                      <w:sz w:val="21"/>
                      <w:szCs w:val="21"/>
                      <w:lang w:val="zh-CN"/>
                    </w:rPr>
                    <w:t>拆除工程/土方开挖/</w:t>
                  </w:r>
                </w:p>
                <w:p w14:paraId="46F45A3D">
                  <w:pPr>
                    <w:pStyle w:val="21"/>
                    <w:widowControl w:val="0"/>
                    <w:autoSpaceDE w:val="0"/>
                    <w:autoSpaceDN w:val="0"/>
                    <w:adjustRightInd w:val="0"/>
                    <w:snapToGrid w:val="0"/>
                    <w:spacing w:beforeAutospacing="0" w:afterAutospacing="0" w:line="320" w:lineRule="exact"/>
                    <w:jc w:val="center"/>
                    <w:rPr>
                      <w:rFonts w:ascii="Times New Roman" w:hAnsi="Times New Roman" w:cs="Times New Roman"/>
                      <w:sz w:val="21"/>
                      <w:szCs w:val="21"/>
                      <w:lang w:val="zh-CN"/>
                    </w:rPr>
                  </w:pPr>
                  <w:r>
                    <w:rPr>
                      <w:rFonts w:hint="eastAsia" w:ascii="Times New Roman" w:hAnsi="Times New Roman" w:cs="Times New Roman"/>
                      <w:sz w:val="21"/>
                      <w:szCs w:val="21"/>
                      <w:lang w:val="zh-CN"/>
                    </w:rPr>
                    <w:t>土方回填阶段</w:t>
                  </w:r>
                </w:p>
              </w:tc>
              <w:tc>
                <w:tcPr>
                  <w:tcW w:w="893" w:type="pct"/>
                  <w:tcBorders>
                    <w:top w:val="single" w:color="auto" w:sz="4" w:space="0"/>
                    <w:left w:val="single" w:color="auto" w:sz="4" w:space="0"/>
                    <w:bottom w:val="single" w:color="auto" w:sz="4" w:space="0"/>
                    <w:right w:val="single" w:color="auto" w:sz="4" w:space="0"/>
                  </w:tcBorders>
                  <w:vAlign w:val="center"/>
                </w:tcPr>
                <w:p w14:paraId="2736A4E9">
                  <w:pPr>
                    <w:pStyle w:val="21"/>
                    <w:widowControl w:val="0"/>
                    <w:autoSpaceDE w:val="0"/>
                    <w:autoSpaceDN w:val="0"/>
                    <w:adjustRightInd w:val="0"/>
                    <w:snapToGrid w:val="0"/>
                    <w:spacing w:beforeAutospacing="0" w:afterAutospacing="0" w:line="320" w:lineRule="exact"/>
                    <w:jc w:val="center"/>
                    <w:rPr>
                      <w:rFonts w:ascii="Times New Roman" w:hAnsi="Times New Roman" w:cs="Times New Roman"/>
                      <w:sz w:val="21"/>
                      <w:szCs w:val="21"/>
                    </w:rPr>
                  </w:pPr>
                  <w:r>
                    <w:rPr>
                      <w:rFonts w:hint="eastAsia" w:ascii="Times New Roman" w:hAnsi="Times New Roman" w:cs="Times New Roman"/>
                      <w:sz w:val="21"/>
                      <w:szCs w:val="21"/>
                    </w:rPr>
                    <w:t>900</w:t>
                  </w:r>
                </w:p>
              </w:tc>
            </w:tr>
            <w:tr w14:paraId="3A777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1" w:type="pct"/>
                  <w:vMerge w:val="continue"/>
                  <w:tcBorders>
                    <w:left w:val="single" w:color="auto" w:sz="4" w:space="0"/>
                    <w:bottom w:val="single" w:color="auto" w:sz="4" w:space="0"/>
                    <w:right w:val="single" w:color="auto" w:sz="4" w:space="0"/>
                  </w:tcBorders>
                  <w:vAlign w:val="center"/>
                </w:tcPr>
                <w:p w14:paraId="0EFF850F">
                  <w:pPr>
                    <w:pStyle w:val="21"/>
                    <w:widowControl w:val="0"/>
                    <w:autoSpaceDE w:val="0"/>
                    <w:autoSpaceDN w:val="0"/>
                    <w:adjustRightInd w:val="0"/>
                    <w:snapToGrid w:val="0"/>
                    <w:spacing w:beforeAutospacing="0" w:afterAutospacing="0" w:line="320" w:lineRule="exact"/>
                    <w:jc w:val="center"/>
                    <w:rPr>
                      <w:rFonts w:ascii="Times New Roman" w:hAnsi="Times New Roman" w:cs="Times New Roman"/>
                      <w:sz w:val="21"/>
                      <w:szCs w:val="21"/>
                    </w:rPr>
                  </w:pPr>
                </w:p>
              </w:tc>
              <w:tc>
                <w:tcPr>
                  <w:tcW w:w="2250" w:type="pct"/>
                  <w:vMerge w:val="continue"/>
                  <w:tcBorders>
                    <w:left w:val="single" w:color="auto" w:sz="4" w:space="0"/>
                    <w:bottom w:val="single" w:color="auto" w:sz="4" w:space="0"/>
                    <w:right w:val="single" w:color="auto" w:sz="4" w:space="0"/>
                  </w:tcBorders>
                  <w:vAlign w:val="center"/>
                </w:tcPr>
                <w:p w14:paraId="7BA04DAA">
                  <w:pPr>
                    <w:pStyle w:val="21"/>
                    <w:widowControl w:val="0"/>
                    <w:autoSpaceDE w:val="0"/>
                    <w:autoSpaceDN w:val="0"/>
                    <w:adjustRightInd w:val="0"/>
                    <w:snapToGrid w:val="0"/>
                    <w:spacing w:beforeAutospacing="0" w:afterAutospacing="0" w:line="320" w:lineRule="exact"/>
                    <w:jc w:val="center"/>
                    <w:rPr>
                      <w:rFonts w:ascii="Times New Roman" w:hAnsi="Times New Roman" w:cs="Times New Roman"/>
                      <w:sz w:val="21"/>
                      <w:szCs w:val="21"/>
                    </w:rPr>
                  </w:pPr>
                </w:p>
              </w:tc>
              <w:tc>
                <w:tcPr>
                  <w:tcW w:w="1214" w:type="pct"/>
                  <w:tcBorders>
                    <w:top w:val="single" w:color="auto" w:sz="4" w:space="0"/>
                    <w:left w:val="single" w:color="auto" w:sz="4" w:space="0"/>
                    <w:bottom w:val="single" w:color="auto" w:sz="4" w:space="0"/>
                    <w:right w:val="single" w:color="auto" w:sz="4" w:space="0"/>
                  </w:tcBorders>
                  <w:vAlign w:val="center"/>
                </w:tcPr>
                <w:p w14:paraId="4FD05BF5">
                  <w:pPr>
                    <w:pStyle w:val="21"/>
                    <w:widowControl w:val="0"/>
                    <w:autoSpaceDE w:val="0"/>
                    <w:autoSpaceDN w:val="0"/>
                    <w:adjustRightInd w:val="0"/>
                    <w:snapToGrid w:val="0"/>
                    <w:spacing w:beforeAutospacing="0" w:afterAutospacing="0" w:line="320" w:lineRule="exact"/>
                    <w:jc w:val="center"/>
                    <w:rPr>
                      <w:rFonts w:ascii="Times New Roman" w:hAnsi="Times New Roman" w:cs="Times New Roman"/>
                      <w:sz w:val="21"/>
                      <w:szCs w:val="21"/>
                      <w:lang w:val="zh-CN"/>
                    </w:rPr>
                  </w:pPr>
                  <w:r>
                    <w:rPr>
                      <w:rFonts w:hint="eastAsia" w:ascii="Times New Roman" w:hAnsi="Times New Roman" w:cs="Times New Roman"/>
                      <w:sz w:val="21"/>
                      <w:szCs w:val="21"/>
                      <w:lang w:val="zh-CN"/>
                    </w:rPr>
                    <w:t>其他工程阶段</w:t>
                  </w:r>
                </w:p>
              </w:tc>
              <w:tc>
                <w:tcPr>
                  <w:tcW w:w="893" w:type="pct"/>
                  <w:tcBorders>
                    <w:top w:val="single" w:color="auto" w:sz="4" w:space="0"/>
                    <w:left w:val="single" w:color="auto" w:sz="4" w:space="0"/>
                    <w:bottom w:val="single" w:color="auto" w:sz="4" w:space="0"/>
                    <w:right w:val="single" w:color="auto" w:sz="4" w:space="0"/>
                  </w:tcBorders>
                  <w:vAlign w:val="center"/>
                </w:tcPr>
                <w:p w14:paraId="0764A0BF">
                  <w:pPr>
                    <w:pStyle w:val="21"/>
                    <w:widowControl w:val="0"/>
                    <w:autoSpaceDE w:val="0"/>
                    <w:autoSpaceDN w:val="0"/>
                    <w:adjustRightInd w:val="0"/>
                    <w:snapToGrid w:val="0"/>
                    <w:spacing w:beforeAutospacing="0" w:afterAutospacing="0" w:line="320" w:lineRule="exact"/>
                    <w:jc w:val="center"/>
                    <w:rPr>
                      <w:rFonts w:ascii="Times New Roman" w:hAnsi="Times New Roman" w:cs="Times New Roman"/>
                      <w:sz w:val="21"/>
                      <w:szCs w:val="21"/>
                    </w:rPr>
                  </w:pPr>
                  <w:r>
                    <w:rPr>
                      <w:rFonts w:hint="eastAsia" w:ascii="Times New Roman" w:hAnsi="Times New Roman" w:cs="Times New Roman"/>
                      <w:sz w:val="21"/>
                      <w:szCs w:val="21"/>
                    </w:rPr>
                    <w:t>350</w:t>
                  </w:r>
                </w:p>
              </w:tc>
            </w:tr>
          </w:tbl>
          <w:p w14:paraId="134D7C29">
            <w:pPr>
              <w:pStyle w:val="4"/>
              <w:numPr>
                <w:ilvl w:val="1"/>
                <w:numId w:val="27"/>
              </w:numPr>
            </w:pPr>
            <w:r>
              <w:rPr>
                <w:rFonts w:hint="eastAsia"/>
              </w:rPr>
              <w:t>废水</w:t>
            </w:r>
          </w:p>
          <w:p w14:paraId="1EA0DD41">
            <w:pPr>
              <w:autoSpaceDE w:val="0"/>
              <w:autoSpaceDN w:val="0"/>
              <w:adjustRightInd w:val="0"/>
              <w:snapToGrid w:val="0"/>
              <w:spacing w:line="440" w:lineRule="exact"/>
              <w:ind w:firstLine="480" w:firstLineChars="200"/>
              <w:rPr>
                <w:sz w:val="24"/>
              </w:rPr>
            </w:pPr>
            <w:r>
              <w:rPr>
                <w:rFonts w:hint="eastAsia"/>
                <w:sz w:val="24"/>
              </w:rPr>
              <w:t>本项目施工期施工废水主要为</w:t>
            </w:r>
            <w:r>
              <w:rPr>
                <w:rFonts w:hint="eastAsia" w:ascii="宋体" w:hAnsi="宋体" w:cs="宋体"/>
                <w:sz w:val="24"/>
              </w:rPr>
              <w:t>基坑抽排水、淤泥翻晒场废水和生活污水。</w:t>
            </w:r>
          </w:p>
          <w:p w14:paraId="1C54CE79">
            <w:pPr>
              <w:autoSpaceDE w:val="0"/>
              <w:autoSpaceDN w:val="0"/>
              <w:adjustRightInd w:val="0"/>
              <w:snapToGrid w:val="0"/>
              <w:spacing w:line="440" w:lineRule="exact"/>
              <w:ind w:firstLine="480" w:firstLineChars="200"/>
              <w:rPr>
                <w:sz w:val="24"/>
              </w:rPr>
            </w:pPr>
            <w:r>
              <w:rPr>
                <w:rFonts w:hint="eastAsia" w:ascii="宋体" w:hAnsi="宋体" w:cs="宋体"/>
                <w:sz w:val="24"/>
              </w:rPr>
              <w:t>项目基坑抽排水、淤泥翻晒场废水</w:t>
            </w:r>
            <w:r>
              <w:rPr>
                <w:rFonts w:hint="eastAsia"/>
                <w:sz w:val="24"/>
              </w:rPr>
              <w:t>经沉淀池沉淀后</w:t>
            </w:r>
            <w:r>
              <w:rPr>
                <w:rFonts w:hint="eastAsia" w:ascii="宋体" w:hAnsi="宋体" w:cs="宋体"/>
                <w:sz w:val="24"/>
              </w:rPr>
              <w:t>回用于场地洒水降尘</w:t>
            </w:r>
            <w:r>
              <w:rPr>
                <w:rFonts w:hint="eastAsia"/>
                <w:sz w:val="24"/>
              </w:rPr>
              <w:t>，不外排；生活污水依托租用民房既有废水处理设施处理，经化粪池处理后用于周边农田施肥，不外排。本项目施工期无废水外排。</w:t>
            </w:r>
          </w:p>
          <w:p w14:paraId="7C81B2D9">
            <w:pPr>
              <w:autoSpaceDE w:val="0"/>
              <w:autoSpaceDN w:val="0"/>
              <w:adjustRightInd w:val="0"/>
              <w:snapToGrid w:val="0"/>
              <w:spacing w:line="440" w:lineRule="exact"/>
              <w:ind w:firstLine="480" w:firstLineChars="200"/>
              <w:rPr>
                <w:sz w:val="24"/>
              </w:rPr>
            </w:pPr>
            <w:r>
              <w:rPr>
                <w:rFonts w:hint="eastAsia"/>
                <w:sz w:val="24"/>
              </w:rPr>
              <w:t>本项目运营期无废水产生。</w:t>
            </w:r>
          </w:p>
          <w:p w14:paraId="16B72632">
            <w:pPr>
              <w:pStyle w:val="4"/>
              <w:numPr>
                <w:ilvl w:val="1"/>
                <w:numId w:val="27"/>
              </w:numPr>
            </w:pPr>
            <w:r>
              <w:rPr>
                <w:rFonts w:hint="eastAsia"/>
              </w:rPr>
              <w:t>噪声</w:t>
            </w:r>
          </w:p>
          <w:p w14:paraId="0B410D48">
            <w:pPr>
              <w:pStyle w:val="21"/>
              <w:widowControl w:val="0"/>
              <w:autoSpaceDE w:val="0"/>
              <w:autoSpaceDN w:val="0"/>
              <w:adjustRightInd w:val="0"/>
              <w:snapToGrid w:val="0"/>
              <w:spacing w:beforeAutospacing="0" w:afterAutospacing="0" w:line="440" w:lineRule="exact"/>
              <w:ind w:firstLine="480" w:firstLineChars="200"/>
              <w:jc w:val="both"/>
              <w:rPr>
                <w:rFonts w:hint="eastAsia"/>
              </w:rPr>
            </w:pPr>
            <w:r>
              <w:rPr>
                <w:rFonts w:hint="eastAsia" w:ascii="Times New Roman" w:hAnsi="Times New Roman" w:cs="宋体"/>
                <w:lang w:bidi="ar"/>
              </w:rPr>
              <w:t>项目施工期执行《建筑施工场界环境噪声排放标准》（</w:t>
            </w:r>
            <w:r>
              <w:rPr>
                <w:rFonts w:ascii="Times New Roman" w:hAnsi="Times New Roman"/>
                <w:lang w:bidi="ar"/>
              </w:rPr>
              <w:t>GB12523-2011</w:t>
            </w:r>
            <w:r>
              <w:rPr>
                <w:rFonts w:hint="eastAsia" w:ascii="Times New Roman" w:hAnsi="Times New Roman" w:cs="宋体"/>
                <w:lang w:bidi="ar"/>
              </w:rPr>
              <w:t>）。</w:t>
            </w:r>
          </w:p>
          <w:p w14:paraId="59A730B6">
            <w:pPr>
              <w:pStyle w:val="47"/>
              <w:numPr>
                <w:ilvl w:val="0"/>
                <w:numId w:val="26"/>
              </w:numPr>
              <w:spacing w:before="156"/>
            </w:pPr>
            <w:r>
              <w:rPr>
                <w:rFonts w:hint="eastAsia" w:cs="宋体"/>
                <w:lang w:bidi="ar"/>
              </w:rPr>
              <w:t>施工期噪声排放标准限值</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1424"/>
              <w:gridCol w:w="1451"/>
              <w:gridCol w:w="4078"/>
            </w:tblGrid>
            <w:tr w14:paraId="62766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05" w:type="pct"/>
                  <w:vMerge w:val="restart"/>
                  <w:tcBorders>
                    <w:top w:val="single" w:color="auto" w:sz="4" w:space="0"/>
                    <w:left w:val="single" w:color="auto" w:sz="4" w:space="0"/>
                    <w:bottom w:val="single" w:color="auto" w:sz="4" w:space="0"/>
                    <w:right w:val="single" w:color="auto" w:sz="4" w:space="0"/>
                  </w:tcBorders>
                  <w:vAlign w:val="center"/>
                </w:tcPr>
                <w:p w14:paraId="7E04A0BD">
                  <w:pPr>
                    <w:pStyle w:val="21"/>
                    <w:widowControl w:val="0"/>
                    <w:autoSpaceDE w:val="0"/>
                    <w:autoSpaceDN w:val="0"/>
                    <w:adjustRightInd w:val="0"/>
                    <w:snapToGrid w:val="0"/>
                    <w:spacing w:beforeAutospacing="0" w:afterAutospacing="0" w:line="320" w:lineRule="exact"/>
                    <w:jc w:val="center"/>
                    <w:rPr>
                      <w:rFonts w:hint="eastAsia"/>
                      <w:b/>
                      <w:bCs/>
                    </w:rPr>
                  </w:pPr>
                  <w:r>
                    <w:rPr>
                      <w:rFonts w:hint="eastAsia" w:ascii="Times New Roman" w:hAnsi="Times New Roman"/>
                      <w:b/>
                      <w:bCs/>
                      <w:sz w:val="21"/>
                      <w:szCs w:val="21"/>
                    </w:rPr>
                    <w:t>项目</w:t>
                  </w:r>
                </w:p>
              </w:tc>
              <w:tc>
                <w:tcPr>
                  <w:tcW w:w="1734" w:type="pct"/>
                  <w:gridSpan w:val="2"/>
                  <w:tcBorders>
                    <w:top w:val="single" w:color="auto" w:sz="4" w:space="0"/>
                    <w:left w:val="single" w:color="auto" w:sz="4" w:space="0"/>
                    <w:bottom w:val="single" w:color="auto" w:sz="4" w:space="0"/>
                    <w:right w:val="single" w:color="auto" w:sz="4" w:space="0"/>
                  </w:tcBorders>
                  <w:vAlign w:val="center"/>
                </w:tcPr>
                <w:p w14:paraId="12975EB6">
                  <w:pPr>
                    <w:pStyle w:val="21"/>
                    <w:widowControl w:val="0"/>
                    <w:autoSpaceDE w:val="0"/>
                    <w:autoSpaceDN w:val="0"/>
                    <w:adjustRightInd w:val="0"/>
                    <w:snapToGrid w:val="0"/>
                    <w:spacing w:beforeAutospacing="0" w:afterAutospacing="0" w:line="320" w:lineRule="exact"/>
                    <w:jc w:val="center"/>
                    <w:rPr>
                      <w:rFonts w:hint="eastAsia"/>
                      <w:b/>
                      <w:bCs/>
                    </w:rPr>
                  </w:pPr>
                  <w:r>
                    <w:rPr>
                      <w:rFonts w:hint="eastAsia" w:ascii="Times New Roman" w:hAnsi="Times New Roman"/>
                      <w:b/>
                      <w:bCs/>
                      <w:sz w:val="21"/>
                      <w:szCs w:val="21"/>
                    </w:rPr>
                    <w:t>排放限值</w:t>
                  </w:r>
                  <w:r>
                    <w:rPr>
                      <w:rFonts w:ascii="Times New Roman" w:hAnsi="Times New Roman" w:cs="Times New Roman"/>
                      <w:b/>
                      <w:bCs/>
                      <w:sz w:val="21"/>
                      <w:szCs w:val="21"/>
                    </w:rPr>
                    <w:t>dB</w:t>
                  </w:r>
                  <w:r>
                    <w:rPr>
                      <w:rFonts w:hint="eastAsia" w:ascii="Times New Roman" w:hAnsi="Times New Roman"/>
                      <w:b/>
                      <w:bCs/>
                      <w:sz w:val="21"/>
                      <w:szCs w:val="21"/>
                    </w:rPr>
                    <w:t>（</w:t>
                  </w:r>
                  <w:r>
                    <w:rPr>
                      <w:rFonts w:ascii="Times New Roman" w:hAnsi="Times New Roman" w:cs="Times New Roman"/>
                      <w:b/>
                      <w:bCs/>
                      <w:sz w:val="21"/>
                      <w:szCs w:val="21"/>
                    </w:rPr>
                    <w:t>A</w:t>
                  </w:r>
                  <w:r>
                    <w:rPr>
                      <w:rFonts w:hint="eastAsia" w:ascii="Times New Roman" w:hAnsi="Times New Roman"/>
                      <w:b/>
                      <w:bCs/>
                      <w:sz w:val="21"/>
                      <w:szCs w:val="21"/>
                    </w:rPr>
                    <w:t>）</w:t>
                  </w:r>
                </w:p>
              </w:tc>
              <w:tc>
                <w:tcPr>
                  <w:tcW w:w="2460" w:type="pct"/>
                  <w:vMerge w:val="restart"/>
                  <w:tcBorders>
                    <w:top w:val="single" w:color="auto" w:sz="4" w:space="0"/>
                    <w:left w:val="single" w:color="auto" w:sz="4" w:space="0"/>
                    <w:bottom w:val="single" w:color="auto" w:sz="4" w:space="0"/>
                    <w:right w:val="single" w:color="auto" w:sz="4" w:space="0"/>
                  </w:tcBorders>
                  <w:vAlign w:val="center"/>
                </w:tcPr>
                <w:p w14:paraId="54191CE5">
                  <w:pPr>
                    <w:pStyle w:val="21"/>
                    <w:widowControl w:val="0"/>
                    <w:autoSpaceDE w:val="0"/>
                    <w:autoSpaceDN w:val="0"/>
                    <w:adjustRightInd w:val="0"/>
                    <w:snapToGrid w:val="0"/>
                    <w:spacing w:beforeAutospacing="0" w:afterAutospacing="0" w:line="320" w:lineRule="exact"/>
                    <w:jc w:val="center"/>
                    <w:rPr>
                      <w:rFonts w:hint="eastAsia"/>
                      <w:b/>
                      <w:bCs/>
                    </w:rPr>
                  </w:pPr>
                  <w:r>
                    <w:rPr>
                      <w:rFonts w:hint="eastAsia" w:ascii="Times New Roman" w:hAnsi="Times New Roman"/>
                      <w:b/>
                      <w:bCs/>
                      <w:sz w:val="21"/>
                      <w:szCs w:val="21"/>
                    </w:rPr>
                    <w:t>执行标准</w:t>
                  </w:r>
                </w:p>
              </w:tc>
            </w:tr>
            <w:tr w14:paraId="06FF9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pct"/>
                  <w:vMerge w:val="continue"/>
                  <w:tcBorders>
                    <w:top w:val="single" w:color="auto" w:sz="4" w:space="0"/>
                    <w:left w:val="single" w:color="auto" w:sz="4" w:space="0"/>
                    <w:bottom w:val="single" w:color="auto" w:sz="4" w:space="0"/>
                    <w:right w:val="single" w:color="auto" w:sz="4" w:space="0"/>
                  </w:tcBorders>
                  <w:vAlign w:val="center"/>
                </w:tcPr>
                <w:p w14:paraId="7262AF27">
                  <w:pPr>
                    <w:jc w:val="center"/>
                    <w:rPr>
                      <w:sz w:val="20"/>
                      <w:szCs w:val="20"/>
                    </w:rPr>
                  </w:pPr>
                </w:p>
              </w:tc>
              <w:tc>
                <w:tcPr>
                  <w:tcW w:w="859" w:type="pct"/>
                  <w:tcBorders>
                    <w:top w:val="single" w:color="auto" w:sz="4" w:space="0"/>
                    <w:left w:val="single" w:color="auto" w:sz="4" w:space="0"/>
                    <w:bottom w:val="single" w:color="auto" w:sz="4" w:space="0"/>
                    <w:right w:val="single" w:color="auto" w:sz="4" w:space="0"/>
                  </w:tcBorders>
                  <w:vAlign w:val="center"/>
                </w:tcPr>
                <w:p w14:paraId="4EE65245">
                  <w:pPr>
                    <w:pStyle w:val="21"/>
                    <w:widowControl w:val="0"/>
                    <w:autoSpaceDE w:val="0"/>
                    <w:autoSpaceDN w:val="0"/>
                    <w:adjustRightInd w:val="0"/>
                    <w:snapToGrid w:val="0"/>
                    <w:spacing w:beforeAutospacing="0" w:afterAutospacing="0" w:line="320" w:lineRule="exact"/>
                    <w:jc w:val="center"/>
                    <w:rPr>
                      <w:rFonts w:hint="eastAsia"/>
                      <w:b/>
                      <w:bCs/>
                    </w:rPr>
                  </w:pPr>
                  <w:r>
                    <w:rPr>
                      <w:rFonts w:hint="eastAsia" w:ascii="Times New Roman" w:hAnsi="Times New Roman"/>
                      <w:b/>
                      <w:bCs/>
                      <w:sz w:val="21"/>
                      <w:szCs w:val="21"/>
                    </w:rPr>
                    <w:t>昼间</w:t>
                  </w:r>
                </w:p>
              </w:tc>
              <w:tc>
                <w:tcPr>
                  <w:tcW w:w="874" w:type="pct"/>
                  <w:tcBorders>
                    <w:top w:val="single" w:color="auto" w:sz="4" w:space="0"/>
                    <w:left w:val="single" w:color="auto" w:sz="4" w:space="0"/>
                    <w:bottom w:val="single" w:color="auto" w:sz="4" w:space="0"/>
                    <w:right w:val="single" w:color="auto" w:sz="4" w:space="0"/>
                  </w:tcBorders>
                  <w:vAlign w:val="center"/>
                </w:tcPr>
                <w:p w14:paraId="74EEF881">
                  <w:pPr>
                    <w:pStyle w:val="21"/>
                    <w:widowControl w:val="0"/>
                    <w:autoSpaceDE w:val="0"/>
                    <w:autoSpaceDN w:val="0"/>
                    <w:adjustRightInd w:val="0"/>
                    <w:snapToGrid w:val="0"/>
                    <w:spacing w:beforeAutospacing="0" w:afterAutospacing="0" w:line="320" w:lineRule="exact"/>
                    <w:jc w:val="center"/>
                    <w:rPr>
                      <w:rFonts w:hint="eastAsia"/>
                      <w:b/>
                      <w:bCs/>
                    </w:rPr>
                  </w:pPr>
                  <w:r>
                    <w:rPr>
                      <w:rFonts w:hint="eastAsia" w:ascii="Times New Roman" w:hAnsi="Times New Roman"/>
                      <w:b/>
                      <w:bCs/>
                      <w:sz w:val="21"/>
                      <w:szCs w:val="21"/>
                    </w:rPr>
                    <w:t>夜间</w:t>
                  </w:r>
                </w:p>
              </w:tc>
              <w:tc>
                <w:tcPr>
                  <w:tcW w:w="2460" w:type="pct"/>
                  <w:vMerge w:val="continue"/>
                  <w:tcBorders>
                    <w:top w:val="single" w:color="auto" w:sz="4" w:space="0"/>
                    <w:left w:val="single" w:color="auto" w:sz="4" w:space="0"/>
                    <w:bottom w:val="single" w:color="auto" w:sz="4" w:space="0"/>
                    <w:right w:val="single" w:color="auto" w:sz="4" w:space="0"/>
                  </w:tcBorders>
                  <w:vAlign w:val="center"/>
                </w:tcPr>
                <w:p w14:paraId="0EC06C18">
                  <w:pPr>
                    <w:jc w:val="center"/>
                    <w:rPr>
                      <w:sz w:val="20"/>
                      <w:szCs w:val="20"/>
                    </w:rPr>
                  </w:pPr>
                </w:p>
              </w:tc>
            </w:tr>
            <w:tr w14:paraId="7BCF4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pct"/>
                  <w:tcBorders>
                    <w:top w:val="single" w:color="auto" w:sz="4" w:space="0"/>
                    <w:left w:val="single" w:color="auto" w:sz="4" w:space="0"/>
                    <w:bottom w:val="single" w:color="auto" w:sz="4" w:space="0"/>
                    <w:right w:val="single" w:color="auto" w:sz="4" w:space="0"/>
                  </w:tcBorders>
                  <w:vAlign w:val="center"/>
                </w:tcPr>
                <w:p w14:paraId="16911B63">
                  <w:pPr>
                    <w:pStyle w:val="21"/>
                    <w:widowControl w:val="0"/>
                    <w:autoSpaceDE w:val="0"/>
                    <w:autoSpaceDN w:val="0"/>
                    <w:adjustRightInd w:val="0"/>
                    <w:snapToGrid w:val="0"/>
                    <w:spacing w:beforeAutospacing="0" w:afterAutospacing="0" w:line="320" w:lineRule="exact"/>
                    <w:jc w:val="center"/>
                    <w:rPr>
                      <w:rFonts w:hint="eastAsia"/>
                    </w:rPr>
                  </w:pPr>
                  <w:r>
                    <w:rPr>
                      <w:rFonts w:hint="eastAsia" w:ascii="Times New Roman" w:hAnsi="Times New Roman"/>
                      <w:sz w:val="21"/>
                      <w:szCs w:val="21"/>
                    </w:rPr>
                    <w:t>厂界噪声</w:t>
                  </w:r>
                </w:p>
              </w:tc>
              <w:tc>
                <w:tcPr>
                  <w:tcW w:w="859" w:type="pct"/>
                  <w:tcBorders>
                    <w:top w:val="single" w:color="auto" w:sz="4" w:space="0"/>
                    <w:left w:val="single" w:color="auto" w:sz="4" w:space="0"/>
                    <w:bottom w:val="single" w:color="auto" w:sz="4" w:space="0"/>
                    <w:right w:val="single" w:color="auto" w:sz="4" w:space="0"/>
                  </w:tcBorders>
                  <w:vAlign w:val="center"/>
                </w:tcPr>
                <w:p w14:paraId="57D46614">
                  <w:pPr>
                    <w:pStyle w:val="21"/>
                    <w:widowControl w:val="0"/>
                    <w:autoSpaceDE w:val="0"/>
                    <w:autoSpaceDN w:val="0"/>
                    <w:adjustRightInd w:val="0"/>
                    <w:snapToGrid w:val="0"/>
                    <w:spacing w:beforeAutospacing="0" w:afterAutospacing="0" w:line="320" w:lineRule="exact"/>
                    <w:jc w:val="center"/>
                    <w:rPr>
                      <w:rFonts w:hint="eastAsia"/>
                    </w:rPr>
                  </w:pPr>
                  <w:r>
                    <w:rPr>
                      <w:rFonts w:ascii="Times New Roman" w:hAnsi="Times New Roman" w:cs="Times New Roman"/>
                      <w:sz w:val="21"/>
                      <w:szCs w:val="21"/>
                    </w:rPr>
                    <w:t>70</w:t>
                  </w:r>
                </w:p>
              </w:tc>
              <w:tc>
                <w:tcPr>
                  <w:tcW w:w="874" w:type="pct"/>
                  <w:tcBorders>
                    <w:top w:val="single" w:color="auto" w:sz="4" w:space="0"/>
                    <w:left w:val="single" w:color="auto" w:sz="4" w:space="0"/>
                    <w:bottom w:val="single" w:color="auto" w:sz="4" w:space="0"/>
                    <w:right w:val="single" w:color="auto" w:sz="4" w:space="0"/>
                  </w:tcBorders>
                  <w:vAlign w:val="center"/>
                </w:tcPr>
                <w:p w14:paraId="0A5CE130">
                  <w:pPr>
                    <w:pStyle w:val="21"/>
                    <w:widowControl w:val="0"/>
                    <w:autoSpaceDE w:val="0"/>
                    <w:autoSpaceDN w:val="0"/>
                    <w:adjustRightInd w:val="0"/>
                    <w:snapToGrid w:val="0"/>
                    <w:spacing w:beforeAutospacing="0" w:afterAutospacing="0" w:line="320" w:lineRule="exact"/>
                    <w:jc w:val="center"/>
                    <w:rPr>
                      <w:rFonts w:hint="eastAsia"/>
                    </w:rPr>
                  </w:pPr>
                  <w:r>
                    <w:rPr>
                      <w:rFonts w:ascii="Times New Roman" w:hAnsi="Times New Roman" w:cs="Times New Roman"/>
                      <w:sz w:val="21"/>
                      <w:szCs w:val="21"/>
                    </w:rPr>
                    <w:t>55</w:t>
                  </w:r>
                </w:p>
              </w:tc>
              <w:tc>
                <w:tcPr>
                  <w:tcW w:w="2460" w:type="pct"/>
                  <w:tcBorders>
                    <w:top w:val="single" w:color="auto" w:sz="4" w:space="0"/>
                    <w:left w:val="single" w:color="auto" w:sz="4" w:space="0"/>
                    <w:bottom w:val="single" w:color="auto" w:sz="4" w:space="0"/>
                    <w:right w:val="single" w:color="auto" w:sz="4" w:space="0"/>
                  </w:tcBorders>
                  <w:vAlign w:val="center"/>
                </w:tcPr>
                <w:p w14:paraId="2837B2B3">
                  <w:pPr>
                    <w:pStyle w:val="21"/>
                    <w:widowControl w:val="0"/>
                    <w:autoSpaceDE w:val="0"/>
                    <w:autoSpaceDN w:val="0"/>
                    <w:adjustRightInd w:val="0"/>
                    <w:snapToGrid w:val="0"/>
                    <w:spacing w:beforeAutospacing="0" w:afterAutospacing="0" w:line="320" w:lineRule="exact"/>
                    <w:jc w:val="center"/>
                    <w:rPr>
                      <w:rFonts w:hint="eastAsia"/>
                    </w:rPr>
                  </w:pPr>
                  <w:r>
                    <w:rPr>
                      <w:rFonts w:hint="eastAsia" w:ascii="Times New Roman" w:hAnsi="Times New Roman"/>
                      <w:sz w:val="21"/>
                      <w:szCs w:val="21"/>
                    </w:rPr>
                    <w:t>《建筑施工场界环境噪声排放标准》（</w:t>
                  </w:r>
                  <w:r>
                    <w:rPr>
                      <w:rFonts w:ascii="Times New Roman" w:hAnsi="Times New Roman" w:cs="Times New Roman"/>
                      <w:sz w:val="21"/>
                      <w:szCs w:val="21"/>
                    </w:rPr>
                    <w:t>GB12523-2011</w:t>
                  </w:r>
                  <w:r>
                    <w:rPr>
                      <w:rFonts w:hint="eastAsia" w:ascii="Times New Roman" w:hAnsi="Times New Roman"/>
                      <w:sz w:val="21"/>
                      <w:szCs w:val="21"/>
                    </w:rPr>
                    <w:t>）</w:t>
                  </w:r>
                </w:p>
              </w:tc>
            </w:tr>
          </w:tbl>
          <w:p w14:paraId="593F171C">
            <w:pPr>
              <w:pStyle w:val="4"/>
              <w:numPr>
                <w:ilvl w:val="1"/>
                <w:numId w:val="27"/>
              </w:numPr>
            </w:pPr>
            <w:r>
              <w:rPr>
                <w:rFonts w:hint="eastAsia"/>
              </w:rPr>
              <w:t>固体废物</w:t>
            </w:r>
          </w:p>
          <w:p w14:paraId="646662AA">
            <w:pPr>
              <w:pStyle w:val="36"/>
              <w:ind w:firstLine="480"/>
              <w:rPr>
                <w:rFonts w:hint="default"/>
              </w:rPr>
            </w:pPr>
            <w:r>
              <w:t>一般固废贮存参照《一般工业固体废物贮存和填埋污染控制标准》（GB18599-2020）中关于一般固废暂存间的要求。项目无危险废物产生和贮存，施工设备机修委托当地维修厂进行，产生废油由维修单位处理。</w:t>
            </w:r>
          </w:p>
        </w:tc>
      </w:tr>
      <w:tr w14:paraId="63AE5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5" w:hRule="atLeast"/>
          <w:jc w:val="center"/>
        </w:trPr>
        <w:tc>
          <w:tcPr>
            <w:tcW w:w="771" w:type="dxa"/>
            <w:vAlign w:val="center"/>
          </w:tcPr>
          <w:p w14:paraId="3291A792">
            <w:pPr>
              <w:jc w:val="center"/>
              <w:rPr>
                <w:sz w:val="24"/>
              </w:rPr>
            </w:pPr>
            <w:r>
              <w:rPr>
                <w:sz w:val="24"/>
              </w:rPr>
              <w:t>总量控制指标</w:t>
            </w:r>
          </w:p>
        </w:tc>
        <w:tc>
          <w:tcPr>
            <w:tcW w:w="8515" w:type="dxa"/>
            <w:vAlign w:val="center"/>
          </w:tcPr>
          <w:p w14:paraId="18D66AE7">
            <w:pPr>
              <w:pStyle w:val="36"/>
              <w:ind w:firstLine="480"/>
              <w:rPr>
                <w:rFonts w:hint="default"/>
              </w:rPr>
            </w:pPr>
            <w:r>
              <w:t>本项目为河道整治工程，根据项目特点，项目为生态影响类项目，营运期不排放污染物，故不设置总量控制指标。</w:t>
            </w:r>
          </w:p>
          <w:p w14:paraId="74CFD1BE">
            <w:pPr>
              <w:pStyle w:val="36"/>
              <w:ind w:firstLine="482"/>
              <w:rPr>
                <w:rFonts w:hint="default"/>
                <w:b/>
                <w:bCs/>
              </w:rPr>
            </w:pPr>
            <w:r>
              <w:rPr>
                <w:b/>
                <w:bCs/>
              </w:rPr>
              <w:t>综上，本项目不设置总量控制指标。</w:t>
            </w:r>
          </w:p>
        </w:tc>
      </w:tr>
    </w:tbl>
    <w:p w14:paraId="3360FE95">
      <w:pPr>
        <w:spacing w:line="360" w:lineRule="auto"/>
        <w:rPr>
          <w:b/>
          <w:sz w:val="28"/>
        </w:rPr>
        <w:sectPr>
          <w:pgSz w:w="11906" w:h="16838"/>
          <w:pgMar w:top="1134" w:right="1418" w:bottom="1134" w:left="1418" w:header="851" w:footer="992" w:gutter="0"/>
          <w:pgNumType w:fmt="numberInDash"/>
          <w:cols w:space="720" w:num="1"/>
          <w:docGrid w:type="lines" w:linePitch="312" w:charSpace="0"/>
        </w:sectPr>
      </w:pPr>
    </w:p>
    <w:p w14:paraId="2B13601D">
      <w:pPr>
        <w:pStyle w:val="3"/>
      </w:pPr>
      <w:bookmarkStart w:id="9" w:name="_Toc31152"/>
      <w:r>
        <w:t>主要环境影响和保护措施</w:t>
      </w:r>
      <w:bookmarkEnd w:id="9"/>
    </w:p>
    <w:tbl>
      <w:tblPr>
        <w:tblStyle w:val="2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8417"/>
      </w:tblGrid>
      <w:tr w14:paraId="3DB2C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9" w:type="pct"/>
            <w:vAlign w:val="center"/>
          </w:tcPr>
          <w:p w14:paraId="215B050A">
            <w:pPr>
              <w:jc w:val="center"/>
              <w:rPr>
                <w:b/>
                <w:sz w:val="28"/>
                <w:szCs w:val="21"/>
                <w:lang w:val="zh-CN"/>
              </w:rPr>
            </w:pPr>
            <w:r>
              <w:rPr>
                <w:sz w:val="24"/>
              </w:rPr>
              <w:t>施工期环境保护措施</w:t>
            </w:r>
          </w:p>
        </w:tc>
        <w:tc>
          <w:tcPr>
            <w:tcW w:w="4590" w:type="pct"/>
            <w:vAlign w:val="center"/>
          </w:tcPr>
          <w:p w14:paraId="3BDD1591">
            <w:pPr>
              <w:pStyle w:val="4"/>
              <w:numPr>
                <w:ilvl w:val="0"/>
                <w:numId w:val="28"/>
              </w:numPr>
            </w:pPr>
            <w:r>
              <w:rPr>
                <w:rFonts w:hint="eastAsia"/>
              </w:rPr>
              <w:t>施工期生态环境影响分析</w:t>
            </w:r>
          </w:p>
          <w:p w14:paraId="2B9139B6">
            <w:pPr>
              <w:spacing w:line="360" w:lineRule="auto"/>
              <w:ind w:firstLine="480" w:firstLineChars="200"/>
              <w:rPr>
                <w:b/>
                <w:bCs/>
                <w:sz w:val="24"/>
              </w:rPr>
            </w:pPr>
            <w:r>
              <w:rPr>
                <w:rFonts w:hint="eastAsia"/>
                <w:sz w:val="24"/>
              </w:rPr>
              <w:t>本项目为河湖整治工程，工程建设对生态环境的影响主要集中在施工期，对生态环境影响和破坏的途径主要表现为主体工程占用土地、工程开挖等破坏地形地貌，涉水施工对沿线生物的生存产生不利影响。项目占地及工程建设活动产生的废气、废水、噪声、固废对动植物、生态环境是直接影响因子。</w:t>
            </w:r>
          </w:p>
          <w:p w14:paraId="7D5FD361">
            <w:pPr>
              <w:pStyle w:val="4"/>
              <w:numPr>
                <w:ilvl w:val="1"/>
                <w:numId w:val="28"/>
              </w:numPr>
              <w:rPr>
                <w:bCs/>
              </w:rPr>
            </w:pPr>
            <w:r>
              <w:rPr>
                <w:rFonts w:hint="eastAsia"/>
                <w:bCs/>
              </w:rPr>
              <w:t>施工作业对工程河段水文情势影响分析</w:t>
            </w:r>
          </w:p>
          <w:p w14:paraId="603D2F64">
            <w:pPr>
              <w:spacing w:line="440" w:lineRule="exact"/>
              <w:ind w:firstLine="480" w:firstLineChars="200"/>
              <w:rPr>
                <w:sz w:val="24"/>
              </w:rPr>
            </w:pPr>
            <w:r>
              <w:rPr>
                <w:rFonts w:hint="eastAsia"/>
                <w:sz w:val="24"/>
              </w:rPr>
              <w:t>本工程施工导流安排在枯水期，导流采用两种导流方式分段导流。便民桥以下导流方式采用DN400PE管导流；堰改闸施工位置采用分段填筑横向围堰封闭河段河床后抽排水的方式进行施工导流。</w:t>
            </w:r>
          </w:p>
          <w:p w14:paraId="264FF29C">
            <w:pPr>
              <w:spacing w:line="440" w:lineRule="exact"/>
              <w:ind w:firstLine="480" w:firstLineChars="200"/>
              <w:rPr>
                <w:sz w:val="24"/>
                <w:szCs w:val="22"/>
              </w:rPr>
            </w:pPr>
            <w:r>
              <w:rPr>
                <w:rFonts w:hint="eastAsia"/>
                <w:sz w:val="24"/>
              </w:rPr>
              <w:t>项目施工期导流工程将对河流水质产生短期影响，主要是使河水中泥沙含量显著增加。但这种影响是局部的，在河水流过一段距离后，由于泥沙的重新沉积会使河水的水质恢复到原有状况。施工过后，原有河床形态得到恢复，不会对水体功能和水质产生明显影响。</w:t>
            </w:r>
          </w:p>
          <w:p w14:paraId="641B17FF">
            <w:pPr>
              <w:pStyle w:val="4"/>
              <w:numPr>
                <w:ilvl w:val="1"/>
                <w:numId w:val="28"/>
              </w:numPr>
              <w:rPr>
                <w:bCs/>
              </w:rPr>
            </w:pPr>
            <w:r>
              <w:rPr>
                <w:rFonts w:hint="eastAsia"/>
                <w:bCs/>
              </w:rPr>
              <w:t>工程占地对环境影响分析</w:t>
            </w:r>
          </w:p>
          <w:p w14:paraId="7E747CDB">
            <w:pPr>
              <w:pStyle w:val="65"/>
              <w:spacing w:line="440" w:lineRule="exact"/>
              <w:ind w:firstLine="480"/>
            </w:pPr>
            <w:r>
              <w:rPr>
                <w:rFonts w:hint="eastAsia"/>
              </w:rPr>
              <w:t>项目占地对生态环境的影响主要表现为占地对植被、土壤、自然景观等生态要素的影响，其影响程度又以防洪堤工程最为突出。此外，工程施工机械运输、碾压及施工人员的践踏也会对作业区及周边植被产生一定程度上的扰动。</w:t>
            </w:r>
          </w:p>
          <w:p w14:paraId="55E6DAFD">
            <w:pPr>
              <w:pStyle w:val="65"/>
              <w:spacing w:line="440" w:lineRule="exact"/>
              <w:ind w:firstLine="480"/>
            </w:pPr>
            <w:r>
              <w:rPr>
                <w:rFonts w:hint="eastAsia"/>
              </w:rPr>
              <w:t>（1）永久占地</w:t>
            </w:r>
          </w:p>
          <w:p w14:paraId="146BF873">
            <w:pPr>
              <w:pStyle w:val="65"/>
              <w:spacing w:line="440" w:lineRule="exact"/>
              <w:ind w:firstLine="480"/>
            </w:pPr>
            <w:r>
              <w:rPr>
                <w:rFonts w:hint="eastAsia"/>
              </w:rPr>
              <w:t>本项目永久占地面积14187.65m</w:t>
            </w:r>
            <w:r>
              <w:rPr>
                <w:rFonts w:hint="eastAsia"/>
                <w:vertAlign w:val="superscript"/>
              </w:rPr>
              <w:t>2</w:t>
            </w:r>
            <w:r>
              <w:rPr>
                <w:rFonts w:hint="eastAsia"/>
              </w:rPr>
              <w:t>，主要为主体工程占地。项目工程施工活动在永久占地范围内，避免因施工活动对原地表植被的扰动和破坏。同时本项目采取分段施工以最小化对植被、土壤和水体产生破坏，施工后及时恢复植被，稳定土壤，保护生物栖息地。且永久占地内对所占用的土地通过硬化地表及、种植草本木本植物的方式，也能减少扰动后产生的水土流失，但在施工过程中要实时做好水土流失防治工作，确保施工活动对生态环境的影响降到最低。项目建成后能有效改善区域防洪条件，避免给河岸两侧耕地、居民等造成灾害，对生态环境有一定的正效益。</w:t>
            </w:r>
          </w:p>
          <w:p w14:paraId="0D2713C5">
            <w:pPr>
              <w:pStyle w:val="65"/>
              <w:numPr>
                <w:ilvl w:val="0"/>
                <w:numId w:val="29"/>
              </w:numPr>
              <w:spacing w:line="440" w:lineRule="exact"/>
              <w:ind w:firstLine="480"/>
            </w:pPr>
            <w:r>
              <w:rPr>
                <w:rFonts w:hint="eastAsia"/>
              </w:rPr>
              <w:t>临时占地</w:t>
            </w:r>
          </w:p>
          <w:p w14:paraId="2F2E24B0">
            <w:pPr>
              <w:pStyle w:val="65"/>
              <w:spacing w:line="440" w:lineRule="exact"/>
              <w:ind w:firstLine="480"/>
            </w:pPr>
            <w:r>
              <w:rPr>
                <w:rFonts w:hint="eastAsia"/>
              </w:rPr>
              <w:t>本项目施工临时占地面积1064.22m</w:t>
            </w:r>
            <w:r>
              <w:rPr>
                <w:rFonts w:hint="eastAsia"/>
                <w:vertAlign w:val="superscript"/>
              </w:rPr>
              <w:t>2</w:t>
            </w:r>
            <w:r>
              <w:rPr>
                <w:rFonts w:hint="eastAsia"/>
              </w:rPr>
              <w:t>，包括淤泥翻晒场、临时堆料场和施工场地等临建设施占地。项目临时占地影响范围主要是在临时占地区域内，施工场地、临时堆土区、污泥翻晒区和临时围堰设施等对地表的扰动会增加区域水土流失量，影响河道地表水的水质。在施工结束后，需及时搬离施工场地内的各类机械设备，拆除施工场地内的各种临时建筑物并及时清理，对开挖的沉淀池等进行平填，及时拆除临时围堰，对施工场地地表进行清理平整，对临时搭建的构筑物拆除后确保做到“工完、料净、场地清”，做好施工结束后的恢复工作。同时应加强施工管理，尽可能减少临时占地，减少对土地占用的负面影响。因此，施工占地对生态环境的影响是暂时的，会随施工期结束而逐渐恢复。</w:t>
            </w:r>
          </w:p>
          <w:p w14:paraId="18424FA7">
            <w:pPr>
              <w:pStyle w:val="65"/>
              <w:spacing w:line="440" w:lineRule="exact"/>
              <w:ind w:firstLine="480"/>
            </w:pPr>
            <w:r>
              <w:rPr>
                <w:rFonts w:hint="eastAsia"/>
              </w:rPr>
              <w:t>环评要求：施工单位在施工前应完善相关用地手续，在取得相关主管部门许可后才能进行施工。</w:t>
            </w:r>
          </w:p>
          <w:p w14:paraId="42F679BB">
            <w:pPr>
              <w:pStyle w:val="65"/>
              <w:spacing w:line="440" w:lineRule="exact"/>
              <w:ind w:firstLine="480"/>
            </w:pPr>
            <w:r>
              <w:rPr>
                <w:rFonts w:hint="eastAsia"/>
              </w:rPr>
              <w:t>工程占地对陆生植被的影响主要为对植被的占压、扰动，使部分植物的栖息地减少，造成一部分植株的死亡，另外工程实施过程中，施工人员的出入和物资搬运工作等也对这些植物造成一定程度的破坏。但仅限于局部破坏，且损失面积不大。结合现状分析，河道两岸以本地的野生植物和人工种植作物为主，均为常见物种，生存能力强，自然恢复速度快，因此施工期对影响范围内物种分布状况和种群生长影响不大。工程运行期对陆生植被基本无影响。</w:t>
            </w:r>
          </w:p>
          <w:p w14:paraId="04A8E064">
            <w:pPr>
              <w:pStyle w:val="65"/>
              <w:spacing w:line="440" w:lineRule="exact"/>
              <w:ind w:firstLine="480"/>
            </w:pPr>
            <w:r>
              <w:rPr>
                <w:rFonts w:hint="eastAsia"/>
              </w:rPr>
              <w:t>工程对陆生动物的影响主要是施工活动对其栖息环境的影响，如施工占压、扰动植被使陆生动物栖息环境缩小，受影响的陆生动物主要是一些常见的适应人类活动影响的小型啮齿动物。另外，施工活动产生的噪声对其有一定干扰，但是，随着施工结束，植被恢复后，这些影响将消失。</w:t>
            </w:r>
          </w:p>
          <w:p w14:paraId="5DB50D8E">
            <w:pPr>
              <w:pStyle w:val="4"/>
              <w:numPr>
                <w:ilvl w:val="1"/>
                <w:numId w:val="28"/>
              </w:numPr>
              <w:rPr>
                <w:bCs/>
              </w:rPr>
            </w:pPr>
            <w:r>
              <w:rPr>
                <w:rFonts w:hint="eastAsia"/>
                <w:bCs/>
              </w:rPr>
              <w:t>水土流失</w:t>
            </w:r>
          </w:p>
          <w:p w14:paraId="05D5E764">
            <w:pPr>
              <w:spacing w:line="440" w:lineRule="exact"/>
              <w:ind w:firstLine="480" w:firstLineChars="200"/>
              <w:rPr>
                <w:sz w:val="24"/>
                <w:szCs w:val="22"/>
              </w:rPr>
            </w:pPr>
            <w:r>
              <w:rPr>
                <w:rFonts w:hint="eastAsia"/>
                <w:sz w:val="24"/>
                <w:szCs w:val="22"/>
              </w:rPr>
              <w:t>项目建设造成的水土流失主要发生在河道整治、基础开挖、回填、临时堆土等过程中，建设期间会给建设区的地表带来一定的扰动，占用和损坏现有的水土保持功能设施，增加土壤侵蚀强度，如果不采取任何水土保持措施，盲目施工将会造成以下危害：</w:t>
            </w:r>
          </w:p>
          <w:p w14:paraId="7A1AA2E5">
            <w:pPr>
              <w:spacing w:line="440" w:lineRule="exact"/>
              <w:ind w:firstLine="480" w:firstLineChars="200"/>
              <w:rPr>
                <w:sz w:val="24"/>
                <w:szCs w:val="22"/>
              </w:rPr>
            </w:pPr>
            <w:r>
              <w:rPr>
                <w:rFonts w:hint="eastAsia"/>
                <w:sz w:val="24"/>
                <w:szCs w:val="22"/>
              </w:rPr>
              <w:t>①工程建设过程中，将扰动和破坏原地貌，地表受到机械、车辆碾压，将使土壤下渗和涵养水分的能力降低，同时地表水易形成地表径流，从而加剧水土流失，导致环境的恶化。</w:t>
            </w:r>
          </w:p>
          <w:p w14:paraId="6AE8148A">
            <w:pPr>
              <w:spacing w:line="440" w:lineRule="exact"/>
              <w:ind w:firstLine="480" w:firstLineChars="200"/>
              <w:rPr>
                <w:sz w:val="24"/>
                <w:szCs w:val="22"/>
              </w:rPr>
            </w:pPr>
            <w:r>
              <w:rPr>
                <w:rFonts w:hint="eastAsia"/>
                <w:sz w:val="24"/>
                <w:szCs w:val="22"/>
              </w:rPr>
              <w:t>②工程施工形成的裸露坡面和堆放的松散物在暴雨作用下，将形成水土流失源，以悬移质和推移质的形式进入河流，将产生河流冲淤变化，一定程度影响河道行洪，并且污染水体。</w:t>
            </w:r>
          </w:p>
          <w:p w14:paraId="6468DAF5">
            <w:pPr>
              <w:spacing w:line="440" w:lineRule="exact"/>
              <w:ind w:firstLine="480" w:firstLineChars="200"/>
              <w:rPr>
                <w:sz w:val="24"/>
                <w:szCs w:val="22"/>
              </w:rPr>
            </w:pPr>
            <w:r>
              <w:rPr>
                <w:rFonts w:hint="eastAsia"/>
                <w:sz w:val="24"/>
                <w:szCs w:val="22"/>
              </w:rPr>
              <w:t>③施工临时设施在场地使用过程中，如不采取水土保持措施，控制人员及施工车辆活动范围，可能对地表造成大面积扰动，破坏地表结皮层，对占地区周边区域造成影响，水土流失量将成倍增加。</w:t>
            </w:r>
          </w:p>
          <w:p w14:paraId="25A4C757">
            <w:pPr>
              <w:spacing w:line="440" w:lineRule="exact"/>
              <w:ind w:firstLine="480" w:firstLineChars="200"/>
              <w:rPr>
                <w:b/>
                <w:bCs/>
                <w:sz w:val="24"/>
                <w:szCs w:val="22"/>
              </w:rPr>
            </w:pPr>
            <w:r>
              <w:rPr>
                <w:rFonts w:hint="eastAsia"/>
                <w:b/>
                <w:bCs/>
                <w:sz w:val="24"/>
                <w:szCs w:val="22"/>
              </w:rPr>
              <w:t>水土流失防治措施：</w:t>
            </w:r>
          </w:p>
          <w:p w14:paraId="3D802262">
            <w:pPr>
              <w:spacing w:line="440" w:lineRule="exact"/>
              <w:ind w:firstLine="480" w:firstLineChars="200"/>
              <w:rPr>
                <w:sz w:val="24"/>
                <w:szCs w:val="22"/>
              </w:rPr>
            </w:pPr>
            <w:r>
              <w:rPr>
                <w:rFonts w:hint="eastAsia"/>
                <w:sz w:val="24"/>
                <w:szCs w:val="22"/>
              </w:rPr>
              <w:t>项目施工单位应严格遵守水土保持有关规定，尽可能地减轻项目施工产生的水土流失，降低项目建设对生态环境产生的不良影响。</w:t>
            </w:r>
          </w:p>
          <w:p w14:paraId="77B3D1E7">
            <w:pPr>
              <w:spacing w:line="440" w:lineRule="exact"/>
              <w:ind w:firstLine="480" w:firstLineChars="200"/>
              <w:rPr>
                <w:sz w:val="24"/>
                <w:szCs w:val="22"/>
              </w:rPr>
            </w:pPr>
            <w:r>
              <w:rPr>
                <w:rFonts w:hint="eastAsia"/>
                <w:sz w:val="24"/>
                <w:szCs w:val="22"/>
              </w:rPr>
              <w:t>在施工阶段，施工单位应严格按照设计要求确定开挖、填筑的坡度，确保边坡稳定；在施工场地边界设置临时排水沟等；科学规划施工场地布局，尽可能使主要的临时施工工区及临时堆土场在较为平坦的地势上；合理安排施工时段，避免在暴雨频发的天气进行开挖、填筑等扰动较大的施工活动。</w:t>
            </w:r>
          </w:p>
          <w:p w14:paraId="488895FC">
            <w:pPr>
              <w:spacing w:line="440" w:lineRule="exact"/>
              <w:ind w:firstLine="480" w:firstLineChars="200"/>
              <w:rPr>
                <w:sz w:val="24"/>
                <w:szCs w:val="22"/>
              </w:rPr>
            </w:pPr>
            <w:r>
              <w:rPr>
                <w:rFonts w:hint="eastAsia"/>
                <w:sz w:val="24"/>
                <w:szCs w:val="22"/>
              </w:rPr>
              <w:t>施工结束后，必须及时对开挖面裸露地表采取绿化措施，以恢复自然景观，减少水土流失；对由于项目建设使生态环境受到的不可避免或暂时性的影响，应通过选择合适的植物种类改善介质或利用物理化学方法改良介质等生态恢复的技术对生态环境予以恢复。</w:t>
            </w:r>
          </w:p>
          <w:p w14:paraId="3AEEC32F">
            <w:pPr>
              <w:spacing w:line="440" w:lineRule="exact"/>
              <w:ind w:firstLine="480" w:firstLineChars="200"/>
              <w:rPr>
                <w:sz w:val="24"/>
                <w:szCs w:val="22"/>
              </w:rPr>
            </w:pPr>
            <w:r>
              <w:rPr>
                <w:rFonts w:hint="eastAsia"/>
                <w:sz w:val="24"/>
                <w:szCs w:val="22"/>
              </w:rPr>
              <w:t>因此，在采取上述措施后，本工程水土流失可得到有效的控制，减少水土流失影响。</w:t>
            </w:r>
          </w:p>
          <w:p w14:paraId="74C2A55B">
            <w:pPr>
              <w:pStyle w:val="4"/>
              <w:numPr>
                <w:ilvl w:val="1"/>
                <w:numId w:val="28"/>
              </w:numPr>
            </w:pPr>
            <w:r>
              <w:rPr>
                <w:rFonts w:hint="eastAsia"/>
              </w:rPr>
              <w:t>陆生生态影响分析</w:t>
            </w:r>
          </w:p>
          <w:p w14:paraId="6A4E989B">
            <w:pPr>
              <w:numPr>
                <w:ilvl w:val="0"/>
                <w:numId w:val="30"/>
              </w:numPr>
              <w:spacing w:line="440" w:lineRule="exact"/>
              <w:ind w:firstLine="480" w:firstLineChars="200"/>
              <w:rPr>
                <w:sz w:val="24"/>
                <w:szCs w:val="22"/>
              </w:rPr>
            </w:pPr>
            <w:r>
              <w:rPr>
                <w:rFonts w:hint="eastAsia"/>
                <w:sz w:val="24"/>
                <w:szCs w:val="22"/>
              </w:rPr>
              <w:t>对陆生植物的影响</w:t>
            </w:r>
          </w:p>
          <w:p w14:paraId="64415895">
            <w:pPr>
              <w:spacing w:line="440" w:lineRule="exact"/>
              <w:ind w:firstLine="480" w:firstLineChars="200"/>
              <w:rPr>
                <w:sz w:val="24"/>
                <w:szCs w:val="22"/>
              </w:rPr>
            </w:pPr>
            <w:r>
              <w:rPr>
                <w:rFonts w:hint="eastAsia"/>
                <w:sz w:val="24"/>
                <w:szCs w:val="22"/>
              </w:rPr>
              <w:t>根据陆生生态现状调查资料成果，本工程建设及影响区域尚未发现国家保护的珍稀植物，也无名木古树。</w:t>
            </w:r>
          </w:p>
          <w:p w14:paraId="39F04A02">
            <w:pPr>
              <w:spacing w:line="440" w:lineRule="exact"/>
              <w:ind w:firstLine="480" w:firstLineChars="200"/>
              <w:rPr>
                <w:sz w:val="24"/>
                <w:szCs w:val="22"/>
              </w:rPr>
            </w:pPr>
            <w:r>
              <w:rPr>
                <w:rFonts w:hint="eastAsia"/>
                <w:sz w:val="24"/>
                <w:szCs w:val="22"/>
              </w:rPr>
              <w:t>项目施工过程中，临时占地将会占用部分水域及水利设施用地、旱地、林地，沿线建设的临时工程将造成原有植被破坏。工程施工将损毁原有的植被类型，导致区域生长的植物死亡，对区域生物量造成一定损失。但工程影响区未发现国家保护的濒危植物，物种均为当地常见种和广布种，项目施工占地虽会造成植物个体数量在一定的时间和空间范围内减少，但对该地的植物物种多样性和植物资源不会产生明显的影响，也不会导致当地植物区系的组成、性质以及特点发生根本的改变。此外，工程结束后，临时占地逐渐恢复植被，项目施工对陆生植被的影响在可接受范围内。</w:t>
            </w:r>
          </w:p>
          <w:p w14:paraId="52540E8F">
            <w:pPr>
              <w:spacing w:line="440" w:lineRule="exact"/>
              <w:ind w:firstLine="480" w:firstLineChars="200"/>
              <w:rPr>
                <w:sz w:val="24"/>
                <w:szCs w:val="22"/>
              </w:rPr>
            </w:pPr>
            <w:r>
              <w:rPr>
                <w:rFonts w:hint="eastAsia"/>
                <w:sz w:val="24"/>
                <w:szCs w:val="22"/>
              </w:rPr>
              <w:t>环评要求：建设单位应加强施工管理、植被恢复和水土保持工作。在后期生态恢复期间，选择当地易于存活的树种及草种，不得引入外来物种。</w:t>
            </w:r>
          </w:p>
          <w:p w14:paraId="7DBF6A00">
            <w:pPr>
              <w:numPr>
                <w:ilvl w:val="0"/>
                <w:numId w:val="30"/>
              </w:numPr>
              <w:spacing w:line="440" w:lineRule="exact"/>
              <w:ind w:firstLine="480" w:firstLineChars="200"/>
              <w:rPr>
                <w:sz w:val="24"/>
                <w:szCs w:val="22"/>
              </w:rPr>
            </w:pPr>
            <w:r>
              <w:rPr>
                <w:rFonts w:hint="eastAsia"/>
                <w:sz w:val="24"/>
                <w:szCs w:val="22"/>
              </w:rPr>
              <w:t>对陆生动物的影响</w:t>
            </w:r>
          </w:p>
          <w:p w14:paraId="33526AFA">
            <w:pPr>
              <w:spacing w:line="440" w:lineRule="exact"/>
              <w:ind w:firstLine="480" w:firstLineChars="200"/>
              <w:rPr>
                <w:sz w:val="24"/>
                <w:szCs w:val="22"/>
              </w:rPr>
            </w:pPr>
            <w:r>
              <w:rPr>
                <w:rFonts w:hint="eastAsia"/>
                <w:sz w:val="24"/>
                <w:szCs w:val="22"/>
              </w:rPr>
              <w:t>根据陆生生态现状调查资料成果，本工程建设及影响区域尚未发现国家保护的珍稀动物及栖息地。</w:t>
            </w:r>
          </w:p>
          <w:p w14:paraId="7BDEBEBA">
            <w:pPr>
              <w:spacing w:line="440" w:lineRule="exact"/>
              <w:ind w:firstLine="480" w:firstLineChars="200"/>
              <w:rPr>
                <w:sz w:val="24"/>
                <w:szCs w:val="22"/>
              </w:rPr>
            </w:pPr>
            <w:r>
              <w:rPr>
                <w:rFonts w:hint="eastAsia"/>
                <w:sz w:val="24"/>
                <w:szCs w:val="22"/>
              </w:rPr>
              <w:t>拟建项目施工期对陆生动物的影响主要表现在以下方面：</w:t>
            </w:r>
          </w:p>
          <w:p w14:paraId="2B47D178">
            <w:pPr>
              <w:spacing w:line="440" w:lineRule="exact"/>
              <w:ind w:firstLine="480" w:firstLineChars="200"/>
              <w:rPr>
                <w:sz w:val="24"/>
                <w:szCs w:val="22"/>
              </w:rPr>
            </w:pPr>
            <w:r>
              <w:rPr>
                <w:rFonts w:hint="eastAsia"/>
                <w:sz w:val="24"/>
                <w:szCs w:val="22"/>
              </w:rPr>
              <w:t>①施工人员的施工行为和活动对动物栖息地生境的干扰和破坏；</w:t>
            </w:r>
          </w:p>
          <w:p w14:paraId="7D3BB1A5">
            <w:pPr>
              <w:spacing w:line="440" w:lineRule="exact"/>
              <w:ind w:firstLine="480" w:firstLineChars="200"/>
              <w:rPr>
                <w:sz w:val="24"/>
                <w:szCs w:val="22"/>
              </w:rPr>
            </w:pPr>
            <w:r>
              <w:rPr>
                <w:rFonts w:hint="eastAsia"/>
                <w:sz w:val="24"/>
                <w:szCs w:val="22"/>
              </w:rPr>
              <w:t>②施工机械噪声使动物栖息地声环境遭到破坏，同时也使动物受到惊吓。</w:t>
            </w:r>
          </w:p>
          <w:p w14:paraId="761B0AF6">
            <w:pPr>
              <w:spacing w:line="440" w:lineRule="exact"/>
              <w:ind w:firstLine="480" w:firstLineChars="200"/>
              <w:rPr>
                <w:sz w:val="24"/>
                <w:szCs w:val="22"/>
              </w:rPr>
            </w:pPr>
            <w:r>
              <w:rPr>
                <w:rFonts w:hint="eastAsia"/>
                <w:sz w:val="24"/>
                <w:szCs w:val="22"/>
              </w:rPr>
              <w:t>项目对陆生动物的影响主要来源于工程施工，由于施工开挖（噪声、粉尘、大气和水污染等）、临时工程修建等活动，导致施工区局部范围内的环境条件发生一些变化，其中也包括植被的变化，可能改变一些动物栖息环境，将影响兽类、鸟类、爬行类和两栖类等动物原有的栖息环境、取食地和巢穴等。因此，施工期对陆生脊椎动物有一定的影响。在施工区局部小范围内，会迫使动物暂时离开栖息地；施工对爬行类、鸟类及兽类的直接影响主要为施工人员集中活动和工程施工驱使这些动物远离施工现场，向四周扩散，一般不会造成动物直接死亡。评价区域内位于金元镇场镇内，物种较为单一，且属于常见种和广布种，大多数陆生脊椎动物具有趋避的本能，只要项目征地范围以外的环境不遭破坏，且施工人员不对他们直接捕杀，它们会选择适宜的生境继续生存和生活。工程施工对其影响只是暂时的，待施工结束，这些动物又会回到该区域活动，因此，工程施工不会对区域动物种群有大的影响。</w:t>
            </w:r>
          </w:p>
          <w:p w14:paraId="068081AC">
            <w:pPr>
              <w:spacing w:line="440" w:lineRule="exact"/>
              <w:ind w:firstLine="480" w:firstLineChars="200"/>
              <w:rPr>
                <w:sz w:val="24"/>
                <w:szCs w:val="22"/>
              </w:rPr>
            </w:pPr>
            <w:r>
              <w:rPr>
                <w:rFonts w:hint="eastAsia"/>
                <w:sz w:val="24"/>
                <w:szCs w:val="22"/>
              </w:rPr>
              <w:t>经分析，工程建设对施工区内陆生动物的影响是局部的，主要表现在迫使这些动物重新安排其各自的分布格局，动物的密度短期内可能有所变化，但不会导致整个动物区系的改变乃至环境的改变。建设单位在施工期间应做好对施工人员的宣传教育，同时做到保护好施工区周边野生动物可能分布的生境，禁止捕杀野生动物、掏食鸟蛋、破坏鸟巢等。施工活动对野生动物栖息的干扰，可以得到有效减缓。此外，在施工完成后尽快恢复植被，形成适宜动物物种生活的环境，以尽量减少对野生动物的不利影响。</w:t>
            </w:r>
          </w:p>
          <w:p w14:paraId="0AFB522B">
            <w:pPr>
              <w:pStyle w:val="4"/>
              <w:numPr>
                <w:ilvl w:val="1"/>
                <w:numId w:val="28"/>
              </w:numPr>
              <w:rPr>
                <w:bCs/>
              </w:rPr>
            </w:pPr>
            <w:r>
              <w:rPr>
                <w:rFonts w:hint="eastAsia"/>
                <w:bCs/>
              </w:rPr>
              <w:t>水生生态影响分析</w:t>
            </w:r>
          </w:p>
          <w:p w14:paraId="668BF550">
            <w:pPr>
              <w:spacing w:line="440" w:lineRule="exact"/>
              <w:ind w:firstLine="480" w:firstLineChars="200"/>
              <w:rPr>
                <w:sz w:val="24"/>
                <w:szCs w:val="22"/>
              </w:rPr>
            </w:pPr>
            <w:r>
              <w:rPr>
                <w:rFonts w:hint="eastAsia"/>
                <w:sz w:val="24"/>
                <w:szCs w:val="22"/>
              </w:rPr>
              <w:t>根据调查和资料显示，本项目建设河道未发现国家保护珍稀鱼类，水生保护动物，重要水生生物的自然产卵场、索饵场、越冬场和洄游通道等。</w:t>
            </w:r>
          </w:p>
          <w:p w14:paraId="224EF906">
            <w:pPr>
              <w:spacing w:line="440" w:lineRule="exact"/>
              <w:ind w:firstLine="480" w:firstLineChars="200"/>
              <w:rPr>
                <w:sz w:val="24"/>
                <w:szCs w:val="22"/>
              </w:rPr>
            </w:pPr>
            <w:r>
              <w:rPr>
                <w:rFonts w:hint="eastAsia"/>
                <w:sz w:val="24"/>
                <w:szCs w:val="22"/>
              </w:rPr>
              <w:t>（1）对浮游生物的影响</w:t>
            </w:r>
          </w:p>
          <w:p w14:paraId="4AB4116D">
            <w:pPr>
              <w:spacing w:line="440" w:lineRule="exact"/>
              <w:ind w:firstLine="480" w:firstLineChars="200"/>
              <w:rPr>
                <w:sz w:val="24"/>
                <w:szCs w:val="22"/>
              </w:rPr>
            </w:pPr>
            <w:r>
              <w:rPr>
                <w:rFonts w:hint="eastAsia"/>
                <w:sz w:val="24"/>
                <w:szCs w:val="22"/>
              </w:rPr>
              <w:t>项目局部河段断流施工，断流后将破坏其生境及庇护场所，降低水生生物种群结构。这种影响是暂时的，影响范围有限，随着施工作业的结束，水体悬浮物浓度将很快恢复本底值，河流水质变清，浮游植物生长逐步恢复正常，浮游生物也逐渐回到原来河段，浮游生物的密度和种类将很快恢复。</w:t>
            </w:r>
          </w:p>
          <w:p w14:paraId="790D6FEA">
            <w:pPr>
              <w:spacing w:line="440" w:lineRule="exact"/>
              <w:ind w:firstLine="480" w:firstLineChars="200"/>
              <w:rPr>
                <w:sz w:val="24"/>
                <w:szCs w:val="22"/>
              </w:rPr>
            </w:pPr>
            <w:r>
              <w:rPr>
                <w:rFonts w:hint="eastAsia"/>
                <w:sz w:val="24"/>
                <w:szCs w:val="22"/>
              </w:rPr>
              <w:t>（2）对底栖生物的影响</w:t>
            </w:r>
          </w:p>
          <w:p w14:paraId="138B64BD">
            <w:pPr>
              <w:spacing w:line="440" w:lineRule="exact"/>
              <w:ind w:firstLine="480" w:firstLineChars="200"/>
              <w:rPr>
                <w:sz w:val="24"/>
                <w:szCs w:val="22"/>
              </w:rPr>
            </w:pPr>
            <w:r>
              <w:rPr>
                <w:rFonts w:hint="eastAsia"/>
                <w:sz w:val="24"/>
                <w:szCs w:val="22"/>
              </w:rPr>
              <w:t>底栖生物是水生生态系统中的重要组成部分，参与物质循环和污染物的代谢、转换和迁移，在生态系统能量流动过程及沉积物移动和稳定性方面起着重要作用。生存环境的多样性为底栖生物多样性提供基础，生存环境的变动会直接影响底栖生物的生存发展。</w:t>
            </w:r>
          </w:p>
          <w:p w14:paraId="65A45C88">
            <w:pPr>
              <w:spacing w:line="440" w:lineRule="exact"/>
              <w:ind w:firstLine="480" w:firstLineChars="200"/>
              <w:rPr>
                <w:sz w:val="24"/>
                <w:szCs w:val="22"/>
              </w:rPr>
            </w:pPr>
            <w:r>
              <w:rPr>
                <w:rFonts w:hint="eastAsia"/>
                <w:sz w:val="24"/>
                <w:szCs w:val="22"/>
              </w:rPr>
              <w:t>本项目施工期将彻底改变底栖生物原有的栖息环境，使得少量活动能力强的底栖动物逃往他处而大部分底栖种类将被掩埋、覆盖，除少量能够存活外，绝大部分种类都将难以存活。上述影响对底栖生物局部生境将发生较大变化，基本是不利的，但同时也是暂时的、可逆的。在施工完成一段时间后，因施工造成的底栖生物生境破坏将会得到恢复。</w:t>
            </w:r>
          </w:p>
          <w:p w14:paraId="6D7EBE3F">
            <w:pPr>
              <w:spacing w:line="440" w:lineRule="exact"/>
              <w:ind w:firstLine="480" w:firstLineChars="200"/>
              <w:rPr>
                <w:sz w:val="24"/>
                <w:szCs w:val="22"/>
              </w:rPr>
            </w:pPr>
            <w:r>
              <w:rPr>
                <w:rFonts w:hint="eastAsia"/>
                <w:sz w:val="24"/>
                <w:szCs w:val="22"/>
              </w:rPr>
              <w:t>（3）对鱼类的影响</w:t>
            </w:r>
          </w:p>
          <w:p w14:paraId="325565DB">
            <w:pPr>
              <w:spacing w:line="440" w:lineRule="exact"/>
              <w:ind w:firstLine="480" w:firstLineChars="200"/>
              <w:rPr>
                <w:sz w:val="24"/>
                <w:szCs w:val="22"/>
              </w:rPr>
            </w:pPr>
            <w:r>
              <w:rPr>
                <w:rFonts w:hint="eastAsia"/>
                <w:sz w:val="24"/>
                <w:szCs w:val="22"/>
              </w:rPr>
              <w:t>施工期断流施工，断流后将会影响鱼类原有生境；施工中频繁的人为活动也可能会对鱼类生存环境造成一定程度的影响。但是，这种影响是短暂的，待施工结束，这种影响随之消失。只要施工过程中做好水土保持工作，并严禁向河道内弃渣，以减少对鱼类生境的破坏。并要注意施工人员的管理，禁止发生电鱼、炸鱼等行为。由于施工期间对河流水文情势的扰动有限，且施工行为属于短期行为，对鱼类的影响较小，其影响程度是可接受的。</w:t>
            </w:r>
          </w:p>
          <w:p w14:paraId="11315CDA">
            <w:pPr>
              <w:pStyle w:val="4"/>
              <w:numPr>
                <w:ilvl w:val="1"/>
                <w:numId w:val="28"/>
              </w:numPr>
              <w:rPr>
                <w:bCs/>
              </w:rPr>
            </w:pPr>
            <w:r>
              <w:rPr>
                <w:rFonts w:hint="eastAsia"/>
                <w:bCs/>
              </w:rPr>
              <w:t>对生态完整性的影响分析</w:t>
            </w:r>
          </w:p>
          <w:p w14:paraId="2DC3C5F4">
            <w:pPr>
              <w:spacing w:line="440" w:lineRule="exact"/>
              <w:ind w:firstLine="480" w:firstLineChars="200"/>
              <w:rPr>
                <w:sz w:val="24"/>
                <w:szCs w:val="22"/>
              </w:rPr>
            </w:pPr>
            <w:r>
              <w:rPr>
                <w:rFonts w:hint="eastAsia"/>
                <w:sz w:val="24"/>
                <w:szCs w:val="22"/>
              </w:rPr>
              <w:t>（1）自然生态体系生产能力的变化</w:t>
            </w:r>
          </w:p>
          <w:p w14:paraId="4A8DE24E">
            <w:pPr>
              <w:spacing w:line="440" w:lineRule="exact"/>
              <w:ind w:firstLine="480" w:firstLineChars="200"/>
              <w:rPr>
                <w:sz w:val="24"/>
                <w:szCs w:val="22"/>
              </w:rPr>
            </w:pPr>
            <w:r>
              <w:rPr>
                <w:rFonts w:hint="eastAsia"/>
                <w:sz w:val="24"/>
                <w:szCs w:val="22"/>
              </w:rPr>
              <w:t>工程建设过程中，临时占地将改变原有的景观格局，减少原有土地面积，增加了施工作业区、施工场地的面积，从而对自然生态体系的生产能力产生影响。项目施工后对工程区土地进行系统恢复，其影响也基本消失。</w:t>
            </w:r>
          </w:p>
          <w:p w14:paraId="402F9ACF">
            <w:pPr>
              <w:spacing w:line="440" w:lineRule="exact"/>
              <w:ind w:firstLine="480" w:firstLineChars="200"/>
              <w:rPr>
                <w:sz w:val="24"/>
                <w:szCs w:val="22"/>
              </w:rPr>
            </w:pPr>
            <w:r>
              <w:rPr>
                <w:rFonts w:hint="eastAsia"/>
                <w:sz w:val="24"/>
                <w:szCs w:val="22"/>
              </w:rPr>
              <w:t>（2）对生态体系稳定性的影响</w:t>
            </w:r>
          </w:p>
          <w:p w14:paraId="7D52D42F">
            <w:pPr>
              <w:spacing w:line="440" w:lineRule="exact"/>
              <w:ind w:firstLine="480" w:firstLineChars="200"/>
              <w:rPr>
                <w:sz w:val="24"/>
                <w:szCs w:val="22"/>
              </w:rPr>
            </w:pPr>
            <w:r>
              <w:rPr>
                <w:rFonts w:hint="eastAsia"/>
                <w:sz w:val="24"/>
                <w:szCs w:val="22"/>
              </w:rPr>
              <w:t>①对自然体系恢复稳定性的度量</w:t>
            </w:r>
          </w:p>
          <w:p w14:paraId="6DA2F8DF">
            <w:pPr>
              <w:spacing w:line="440" w:lineRule="exact"/>
              <w:ind w:firstLine="480" w:firstLineChars="200"/>
              <w:rPr>
                <w:sz w:val="24"/>
                <w:szCs w:val="22"/>
              </w:rPr>
            </w:pPr>
            <w:r>
              <w:rPr>
                <w:rFonts w:hint="eastAsia"/>
                <w:sz w:val="24"/>
                <w:szCs w:val="22"/>
              </w:rPr>
              <w:t>由于本工程建成后采取适当的措施，对临时施工场地、主体工程区等区域采取土地平整、种植植物等措施，因此工程施工建设对施工区自然生态体系恢复稳定性的影响不大。</w:t>
            </w:r>
          </w:p>
          <w:p w14:paraId="20326F23">
            <w:pPr>
              <w:spacing w:line="440" w:lineRule="exact"/>
              <w:ind w:firstLine="480" w:firstLineChars="200"/>
              <w:rPr>
                <w:sz w:val="24"/>
                <w:szCs w:val="22"/>
              </w:rPr>
            </w:pPr>
            <w:r>
              <w:rPr>
                <w:rFonts w:hint="eastAsia"/>
                <w:sz w:val="24"/>
                <w:szCs w:val="22"/>
              </w:rPr>
              <w:t>②对自然体系阻抗稳定性的度量</w:t>
            </w:r>
          </w:p>
          <w:p w14:paraId="49DE4963">
            <w:pPr>
              <w:spacing w:line="440" w:lineRule="exact"/>
              <w:ind w:firstLine="480" w:firstLineChars="200"/>
              <w:rPr>
                <w:sz w:val="24"/>
                <w:szCs w:val="22"/>
              </w:rPr>
            </w:pPr>
            <w:r>
              <w:rPr>
                <w:rFonts w:hint="eastAsia"/>
                <w:sz w:val="24"/>
                <w:szCs w:val="22"/>
              </w:rPr>
              <w:t>阻抗稳定性取决于自然生态体系的组成元素的数量、空间分布以及其异质化程度。通常用自然体系内植被异质性程度的改变程度来度量。工程建设过程中，工程区周围土地利用方式局部发生了改变，但主要类型不会发生较大变动，其仍然是控制周边生态环境质量的拼块类型；同时由于施工作业区等景观的形成，改变了区内现有的景观空间格局，造成景观破碎化程度的提高，从而降低了区域自然体系的阻抗稳定性。</w:t>
            </w:r>
          </w:p>
          <w:p w14:paraId="6FB2333A">
            <w:pPr>
              <w:spacing w:line="440" w:lineRule="exact"/>
              <w:ind w:firstLine="480" w:firstLineChars="200"/>
              <w:rPr>
                <w:sz w:val="24"/>
                <w:szCs w:val="22"/>
              </w:rPr>
            </w:pPr>
            <w:r>
              <w:rPr>
                <w:rFonts w:hint="eastAsia"/>
                <w:sz w:val="24"/>
                <w:szCs w:val="22"/>
              </w:rPr>
              <w:t>（3）对生态体系综合质量的影响</w:t>
            </w:r>
          </w:p>
          <w:p w14:paraId="2264373A">
            <w:pPr>
              <w:spacing w:line="440" w:lineRule="exact"/>
              <w:ind w:firstLine="480" w:firstLineChars="200"/>
              <w:rPr>
                <w:sz w:val="24"/>
                <w:szCs w:val="22"/>
              </w:rPr>
            </w:pPr>
            <w:r>
              <w:rPr>
                <w:rFonts w:hint="eastAsia"/>
                <w:sz w:val="24"/>
                <w:szCs w:val="22"/>
              </w:rPr>
              <w:t>项目施工期间，区域范围内的土地利用格局发生了变化，其中原有的土地类型被临时用地占据，从而导致对该区域自然生态系统具有控制性作用的地块面积减少，但对总的土地利用类型改变有限，总体上，工程对区内自然体系的稳定状况影响不大，对该区域自然体系综合治理的影响也不大。</w:t>
            </w:r>
          </w:p>
          <w:p w14:paraId="79A768FC">
            <w:pPr>
              <w:pStyle w:val="4"/>
              <w:numPr>
                <w:ilvl w:val="0"/>
                <w:numId w:val="28"/>
              </w:numPr>
            </w:pPr>
            <w:r>
              <w:t>大气污染物对环境影响</w:t>
            </w:r>
            <w:r>
              <w:rPr>
                <w:rFonts w:hint="eastAsia"/>
              </w:rPr>
              <w:t>分析及</w:t>
            </w:r>
            <w:r>
              <w:t>治理措施</w:t>
            </w:r>
          </w:p>
          <w:p w14:paraId="26737F3D">
            <w:pPr>
              <w:pStyle w:val="9"/>
              <w:spacing w:line="440" w:lineRule="exact"/>
              <w:ind w:firstLine="480" w:firstLineChars="200"/>
              <w:rPr>
                <w:rFonts w:hint="default" w:ascii="Times New Roman" w:eastAsia="宋体"/>
                <w:sz w:val="24"/>
              </w:rPr>
            </w:pPr>
            <w:r>
              <w:rPr>
                <w:rFonts w:hint="default" w:ascii="Times New Roman" w:eastAsia="宋体"/>
                <w:snapToGrid/>
                <w:kern w:val="2"/>
                <w:sz w:val="24"/>
                <w:szCs w:val="24"/>
              </w:rPr>
              <w:t>施工期大气污染物主要为</w:t>
            </w:r>
            <w:r>
              <w:rPr>
                <w:rFonts w:ascii="Times New Roman" w:eastAsia="宋体"/>
                <w:snapToGrid/>
                <w:kern w:val="2"/>
                <w:sz w:val="24"/>
                <w:szCs w:val="24"/>
              </w:rPr>
              <w:t>施工机械废气</w:t>
            </w:r>
            <w:r>
              <w:rPr>
                <w:rFonts w:hint="default" w:ascii="Times New Roman" w:eastAsia="宋体"/>
                <w:snapToGrid/>
                <w:kern w:val="2"/>
                <w:sz w:val="24"/>
                <w:szCs w:val="24"/>
              </w:rPr>
              <w:t>及施工扬尘。</w:t>
            </w:r>
            <w:r>
              <w:rPr>
                <w:rFonts w:ascii="Times New Roman" w:eastAsia="宋体"/>
                <w:snapToGrid/>
                <w:kern w:val="2"/>
                <w:sz w:val="24"/>
                <w:szCs w:val="24"/>
              </w:rPr>
              <w:t>施工机械废气主要</w:t>
            </w:r>
            <w:r>
              <w:rPr>
                <w:rFonts w:hint="default" w:ascii="Times New Roman" w:eastAsia="宋体"/>
                <w:snapToGrid/>
                <w:kern w:val="2"/>
                <w:sz w:val="24"/>
                <w:szCs w:val="24"/>
              </w:rPr>
              <w:t>产生于施工机械尾气排放，主要含NOx及CnHm。</w:t>
            </w:r>
            <w:r>
              <w:rPr>
                <w:rFonts w:hint="default" w:ascii="Times New Roman" w:eastAsia="宋体"/>
                <w:sz w:val="24"/>
              </w:rPr>
              <w:t>施工阶段产生的扬尘主要来源于</w:t>
            </w:r>
            <w:r>
              <w:rPr>
                <w:rFonts w:ascii="Times New Roman" w:eastAsia="宋体"/>
                <w:sz w:val="24"/>
              </w:rPr>
              <w:t>基建期土石方开挖、堆放产生的粉尘、车辆运输扬尘等</w:t>
            </w:r>
            <w:r>
              <w:rPr>
                <w:rFonts w:hint="default" w:ascii="Times New Roman" w:eastAsia="宋体"/>
                <w:sz w:val="24"/>
              </w:rPr>
              <w:t>。</w:t>
            </w:r>
            <w:r>
              <w:rPr>
                <w:rFonts w:ascii="Times New Roman" w:eastAsia="宋体"/>
                <w:sz w:val="24"/>
              </w:rPr>
              <w:t>为</w:t>
            </w:r>
            <w:r>
              <w:rPr>
                <w:rFonts w:hint="default" w:ascii="Times New Roman" w:eastAsia="宋体"/>
                <w:sz w:val="24"/>
              </w:rPr>
              <w:t>防止和减少施工期间废气和扬尘的污染，应加强统一、严格、规范管理制度和措施，纳入本单位环保管理程序。</w:t>
            </w:r>
          </w:p>
          <w:p w14:paraId="37E50C05">
            <w:pPr>
              <w:pStyle w:val="4"/>
              <w:numPr>
                <w:ilvl w:val="1"/>
                <w:numId w:val="28"/>
              </w:numPr>
            </w:pPr>
            <w:r>
              <w:rPr>
                <w:rFonts w:hint="eastAsia"/>
              </w:rPr>
              <w:t>施工扬尘</w:t>
            </w:r>
          </w:p>
          <w:p w14:paraId="690AF2E2">
            <w:pPr>
              <w:pStyle w:val="9"/>
              <w:spacing w:line="440" w:lineRule="exact"/>
              <w:ind w:firstLine="480" w:firstLineChars="200"/>
              <w:rPr>
                <w:rFonts w:hint="default" w:ascii="Times New Roman" w:eastAsia="宋体"/>
                <w:sz w:val="24"/>
              </w:rPr>
            </w:pPr>
            <w:r>
              <w:rPr>
                <w:rFonts w:hint="default" w:ascii="Times New Roman" w:eastAsia="宋体"/>
                <w:sz w:val="24"/>
              </w:rPr>
              <w:t>施工产生的扬尘主要集中在主体工程基础开挖、回填、场地平整阶段以及材料堆放产生的扬尘，主要为施工过程中风力作用产生的粉尘。其扬尘可按堆场起尘的经验公式计算：</w:t>
            </w:r>
          </w:p>
          <w:p w14:paraId="6414A47C">
            <w:pPr>
              <w:jc w:val="center"/>
            </w:pPr>
            <w:r>
              <w:rPr>
                <w:rFonts w:hint="eastAsia"/>
              </w:rPr>
              <w:drawing>
                <wp:inline distT="0" distB="0" distL="114300" distR="114300">
                  <wp:extent cx="1904365" cy="339090"/>
                  <wp:effectExtent l="0" t="0" r="635" b="3810"/>
                  <wp:docPr id="99" name="图片 99" descr="168983760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1689837602231"/>
                          <pic:cNvPicPr>
                            <a:picLocks noChangeAspect="1"/>
                          </pic:cNvPicPr>
                        </pic:nvPicPr>
                        <pic:blipFill>
                          <a:blip r:embed="rId39"/>
                          <a:stretch>
                            <a:fillRect/>
                          </a:stretch>
                        </pic:blipFill>
                        <pic:spPr>
                          <a:xfrm>
                            <a:off x="0" y="0"/>
                            <a:ext cx="1904365" cy="339090"/>
                          </a:xfrm>
                          <a:prstGeom prst="rect">
                            <a:avLst/>
                          </a:prstGeom>
                        </pic:spPr>
                      </pic:pic>
                    </a:graphicData>
                  </a:graphic>
                </wp:inline>
              </w:drawing>
            </w:r>
          </w:p>
          <w:p w14:paraId="06F727D4">
            <w:pPr>
              <w:pStyle w:val="9"/>
              <w:spacing w:line="440" w:lineRule="exact"/>
              <w:ind w:firstLine="480" w:firstLineChars="200"/>
              <w:rPr>
                <w:rFonts w:hint="default" w:ascii="Times New Roman" w:eastAsia="宋体"/>
                <w:sz w:val="24"/>
                <w:szCs w:val="24"/>
              </w:rPr>
            </w:pPr>
            <w:r>
              <w:rPr>
                <w:rFonts w:hint="default" w:ascii="Times New Roman" w:eastAsia="宋体"/>
                <w:sz w:val="24"/>
                <w:szCs w:val="24"/>
              </w:rPr>
              <w:t>式中：</w:t>
            </w:r>
          </w:p>
          <w:p w14:paraId="52BFB061">
            <w:pPr>
              <w:pStyle w:val="9"/>
              <w:spacing w:line="440" w:lineRule="exact"/>
              <w:ind w:firstLine="480" w:firstLineChars="200"/>
              <w:rPr>
                <w:rFonts w:hint="default" w:ascii="Times New Roman" w:eastAsia="宋体"/>
                <w:sz w:val="24"/>
                <w:szCs w:val="24"/>
              </w:rPr>
            </w:pPr>
            <w:r>
              <w:rPr>
                <w:rFonts w:hint="default" w:ascii="Times New Roman" w:eastAsia="宋体"/>
                <w:sz w:val="24"/>
                <w:szCs w:val="24"/>
              </w:rPr>
              <w:t>Q——起尘量，kg/吨·年；</w:t>
            </w:r>
          </w:p>
          <w:p w14:paraId="1EDE5434">
            <w:pPr>
              <w:pStyle w:val="9"/>
              <w:spacing w:line="440" w:lineRule="exact"/>
              <w:ind w:firstLine="480" w:firstLineChars="200"/>
              <w:rPr>
                <w:rFonts w:hint="default" w:ascii="Times New Roman" w:eastAsia="宋体"/>
                <w:sz w:val="24"/>
                <w:szCs w:val="24"/>
              </w:rPr>
            </w:pPr>
            <w:r>
              <w:rPr>
                <w:rFonts w:hint="default" w:ascii="Times New Roman" w:eastAsia="宋体"/>
                <w:sz w:val="24"/>
                <w:szCs w:val="24"/>
              </w:rPr>
              <w:t>V</w:t>
            </w:r>
            <w:r>
              <w:rPr>
                <w:rFonts w:hint="default" w:ascii="Times New Roman" w:eastAsia="宋体"/>
                <w:sz w:val="24"/>
                <w:szCs w:val="24"/>
                <w:vertAlign w:val="subscript"/>
              </w:rPr>
              <w:t>50</w:t>
            </w:r>
            <w:r>
              <w:rPr>
                <w:rFonts w:hint="default" w:ascii="Times New Roman" w:eastAsia="宋体"/>
                <w:sz w:val="24"/>
                <w:szCs w:val="24"/>
              </w:rPr>
              <w:t>——距地面50m处风速，m/s；</w:t>
            </w:r>
          </w:p>
          <w:p w14:paraId="525115FF">
            <w:pPr>
              <w:pStyle w:val="9"/>
              <w:spacing w:line="440" w:lineRule="exact"/>
              <w:ind w:firstLine="480" w:firstLineChars="200"/>
              <w:rPr>
                <w:rFonts w:hint="default" w:ascii="Times New Roman" w:eastAsia="宋体"/>
                <w:sz w:val="24"/>
                <w:szCs w:val="24"/>
              </w:rPr>
            </w:pPr>
            <w:r>
              <w:rPr>
                <w:rFonts w:hint="default" w:ascii="Times New Roman" w:eastAsia="宋体"/>
                <w:sz w:val="24"/>
                <w:szCs w:val="24"/>
              </w:rPr>
              <w:t>V</w:t>
            </w:r>
            <w:r>
              <w:rPr>
                <w:rFonts w:hint="default" w:ascii="Times New Roman" w:eastAsia="宋体"/>
                <w:sz w:val="24"/>
                <w:szCs w:val="24"/>
                <w:vertAlign w:val="subscript"/>
              </w:rPr>
              <w:t>0</w:t>
            </w:r>
            <w:r>
              <w:rPr>
                <w:rFonts w:hint="default" w:ascii="Times New Roman" w:eastAsia="宋体"/>
                <w:sz w:val="24"/>
                <w:szCs w:val="24"/>
              </w:rPr>
              <w:t>——起尘风速，m/s；</w:t>
            </w:r>
          </w:p>
          <w:p w14:paraId="0BC5BFF1">
            <w:pPr>
              <w:pStyle w:val="9"/>
              <w:spacing w:line="440" w:lineRule="exact"/>
              <w:ind w:firstLine="480" w:firstLineChars="200"/>
              <w:rPr>
                <w:rFonts w:hint="default" w:ascii="Times New Roman" w:eastAsia="宋体"/>
                <w:sz w:val="24"/>
                <w:szCs w:val="24"/>
              </w:rPr>
            </w:pPr>
            <w:r>
              <w:rPr>
                <w:rFonts w:hint="default" w:ascii="Times New Roman" w:eastAsia="宋体"/>
                <w:sz w:val="24"/>
                <w:szCs w:val="24"/>
              </w:rPr>
              <w:t>W——尘粒的含水率，%。</w:t>
            </w:r>
          </w:p>
          <w:p w14:paraId="3C612E08">
            <w:pPr>
              <w:pStyle w:val="9"/>
              <w:spacing w:line="440" w:lineRule="exact"/>
              <w:ind w:firstLine="480" w:firstLineChars="200"/>
              <w:rPr>
                <w:rFonts w:hint="default" w:ascii="Times New Roman" w:eastAsia="宋体"/>
                <w:sz w:val="24"/>
                <w:szCs w:val="24"/>
              </w:rPr>
            </w:pPr>
            <w:r>
              <w:rPr>
                <w:rFonts w:hint="default" w:ascii="Times New Roman" w:eastAsia="宋体"/>
                <w:sz w:val="24"/>
                <w:szCs w:val="24"/>
              </w:rPr>
              <w:t>尘粒在空气中的传播扩散情况与风速等气象条件有关，也与尘粒本身的沉降速度有关。以沙尘为例，不同粒径的尘粒的沉降速度见下表。</w:t>
            </w:r>
          </w:p>
          <w:p w14:paraId="772FCC8F">
            <w:pPr>
              <w:pStyle w:val="48"/>
              <w:spacing w:before="156"/>
              <w:ind w:left="0"/>
            </w:pPr>
            <w:r>
              <w:rPr>
                <w:rFonts w:hint="eastAsia"/>
              </w:rPr>
              <w:t>不同粒径尘粒的沉降速度</w:t>
            </w:r>
          </w:p>
          <w:tbl>
            <w:tblPr>
              <w:tblStyle w:val="2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65"/>
              <w:gridCol w:w="845"/>
              <w:gridCol w:w="846"/>
              <w:gridCol w:w="847"/>
              <w:gridCol w:w="847"/>
              <w:gridCol w:w="847"/>
              <w:gridCol w:w="847"/>
              <w:gridCol w:w="847"/>
            </w:tblGrid>
            <w:tr w14:paraId="5024E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69" w:type="dxa"/>
                  <w:vAlign w:val="center"/>
                </w:tcPr>
                <w:p w14:paraId="7FC77A1D">
                  <w:pPr>
                    <w:pStyle w:val="89"/>
                    <w:rPr>
                      <w:kern w:val="2"/>
                    </w:rPr>
                  </w:pPr>
                  <w:r>
                    <w:rPr>
                      <w:kern w:val="2"/>
                    </w:rPr>
                    <w:t>粒径，μm</w:t>
                  </w:r>
                </w:p>
              </w:tc>
              <w:tc>
                <w:tcPr>
                  <w:tcW w:w="847" w:type="dxa"/>
                  <w:vAlign w:val="center"/>
                </w:tcPr>
                <w:p w14:paraId="22A4A798">
                  <w:pPr>
                    <w:pStyle w:val="89"/>
                    <w:rPr>
                      <w:kern w:val="2"/>
                    </w:rPr>
                  </w:pPr>
                  <w:r>
                    <w:rPr>
                      <w:kern w:val="2"/>
                    </w:rPr>
                    <w:t>10</w:t>
                  </w:r>
                </w:p>
              </w:tc>
              <w:tc>
                <w:tcPr>
                  <w:tcW w:w="847" w:type="dxa"/>
                  <w:vAlign w:val="center"/>
                </w:tcPr>
                <w:p w14:paraId="21BE2BD7">
                  <w:pPr>
                    <w:pStyle w:val="89"/>
                    <w:rPr>
                      <w:kern w:val="2"/>
                    </w:rPr>
                  </w:pPr>
                  <w:r>
                    <w:rPr>
                      <w:kern w:val="2"/>
                    </w:rPr>
                    <w:t>20</w:t>
                  </w:r>
                </w:p>
              </w:tc>
              <w:tc>
                <w:tcPr>
                  <w:tcW w:w="848" w:type="dxa"/>
                  <w:vAlign w:val="center"/>
                </w:tcPr>
                <w:p w14:paraId="17A4A4BC">
                  <w:pPr>
                    <w:pStyle w:val="89"/>
                    <w:rPr>
                      <w:kern w:val="2"/>
                    </w:rPr>
                  </w:pPr>
                  <w:r>
                    <w:rPr>
                      <w:kern w:val="2"/>
                    </w:rPr>
                    <w:t>30</w:t>
                  </w:r>
                </w:p>
              </w:tc>
              <w:tc>
                <w:tcPr>
                  <w:tcW w:w="848" w:type="dxa"/>
                  <w:vAlign w:val="center"/>
                </w:tcPr>
                <w:p w14:paraId="22507AAB">
                  <w:pPr>
                    <w:pStyle w:val="89"/>
                    <w:rPr>
                      <w:kern w:val="2"/>
                    </w:rPr>
                  </w:pPr>
                  <w:r>
                    <w:rPr>
                      <w:kern w:val="2"/>
                    </w:rPr>
                    <w:t>40</w:t>
                  </w:r>
                </w:p>
              </w:tc>
              <w:tc>
                <w:tcPr>
                  <w:tcW w:w="848" w:type="dxa"/>
                  <w:vAlign w:val="center"/>
                </w:tcPr>
                <w:p w14:paraId="047EB8B5">
                  <w:pPr>
                    <w:pStyle w:val="89"/>
                    <w:rPr>
                      <w:kern w:val="2"/>
                    </w:rPr>
                  </w:pPr>
                  <w:r>
                    <w:rPr>
                      <w:kern w:val="2"/>
                    </w:rPr>
                    <w:t>50</w:t>
                  </w:r>
                </w:p>
              </w:tc>
              <w:tc>
                <w:tcPr>
                  <w:tcW w:w="848" w:type="dxa"/>
                  <w:vAlign w:val="center"/>
                </w:tcPr>
                <w:p w14:paraId="0C80AF47">
                  <w:pPr>
                    <w:pStyle w:val="89"/>
                    <w:rPr>
                      <w:kern w:val="2"/>
                    </w:rPr>
                  </w:pPr>
                  <w:r>
                    <w:rPr>
                      <w:kern w:val="2"/>
                    </w:rPr>
                    <w:t>60</w:t>
                  </w:r>
                </w:p>
              </w:tc>
              <w:tc>
                <w:tcPr>
                  <w:tcW w:w="848" w:type="dxa"/>
                  <w:vAlign w:val="center"/>
                </w:tcPr>
                <w:p w14:paraId="3FD1011F">
                  <w:pPr>
                    <w:pStyle w:val="89"/>
                    <w:rPr>
                      <w:kern w:val="2"/>
                    </w:rPr>
                  </w:pPr>
                  <w:r>
                    <w:rPr>
                      <w:kern w:val="2"/>
                    </w:rPr>
                    <w:t>70</w:t>
                  </w:r>
                </w:p>
              </w:tc>
            </w:tr>
            <w:tr w14:paraId="661E5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69" w:type="dxa"/>
                  <w:vAlign w:val="center"/>
                </w:tcPr>
                <w:p w14:paraId="323096B4">
                  <w:pPr>
                    <w:pStyle w:val="89"/>
                    <w:rPr>
                      <w:kern w:val="2"/>
                    </w:rPr>
                  </w:pPr>
                  <w:r>
                    <w:rPr>
                      <w:kern w:val="2"/>
                    </w:rPr>
                    <w:t>沉降速度，m/s</w:t>
                  </w:r>
                </w:p>
              </w:tc>
              <w:tc>
                <w:tcPr>
                  <w:tcW w:w="847" w:type="dxa"/>
                  <w:vAlign w:val="center"/>
                </w:tcPr>
                <w:p w14:paraId="0D1244CC">
                  <w:pPr>
                    <w:pStyle w:val="89"/>
                    <w:rPr>
                      <w:kern w:val="2"/>
                    </w:rPr>
                  </w:pPr>
                  <w:r>
                    <w:rPr>
                      <w:kern w:val="2"/>
                    </w:rPr>
                    <w:t>0.003</w:t>
                  </w:r>
                </w:p>
              </w:tc>
              <w:tc>
                <w:tcPr>
                  <w:tcW w:w="847" w:type="dxa"/>
                  <w:vAlign w:val="center"/>
                </w:tcPr>
                <w:p w14:paraId="10E5EB94">
                  <w:pPr>
                    <w:pStyle w:val="89"/>
                    <w:rPr>
                      <w:kern w:val="2"/>
                    </w:rPr>
                  </w:pPr>
                  <w:r>
                    <w:rPr>
                      <w:kern w:val="2"/>
                    </w:rPr>
                    <w:t>0.012</w:t>
                  </w:r>
                </w:p>
              </w:tc>
              <w:tc>
                <w:tcPr>
                  <w:tcW w:w="848" w:type="dxa"/>
                  <w:vAlign w:val="center"/>
                </w:tcPr>
                <w:p w14:paraId="5F8B3959">
                  <w:pPr>
                    <w:pStyle w:val="89"/>
                    <w:rPr>
                      <w:kern w:val="2"/>
                    </w:rPr>
                  </w:pPr>
                  <w:r>
                    <w:rPr>
                      <w:kern w:val="2"/>
                    </w:rPr>
                    <w:t>0.027</w:t>
                  </w:r>
                </w:p>
              </w:tc>
              <w:tc>
                <w:tcPr>
                  <w:tcW w:w="848" w:type="dxa"/>
                  <w:vAlign w:val="center"/>
                </w:tcPr>
                <w:p w14:paraId="7B23E817">
                  <w:pPr>
                    <w:pStyle w:val="89"/>
                    <w:rPr>
                      <w:kern w:val="2"/>
                    </w:rPr>
                  </w:pPr>
                  <w:r>
                    <w:rPr>
                      <w:kern w:val="2"/>
                    </w:rPr>
                    <w:t>0.048</w:t>
                  </w:r>
                </w:p>
              </w:tc>
              <w:tc>
                <w:tcPr>
                  <w:tcW w:w="848" w:type="dxa"/>
                  <w:vAlign w:val="center"/>
                </w:tcPr>
                <w:p w14:paraId="2B8BB59D">
                  <w:pPr>
                    <w:pStyle w:val="89"/>
                    <w:rPr>
                      <w:kern w:val="2"/>
                    </w:rPr>
                  </w:pPr>
                  <w:r>
                    <w:rPr>
                      <w:kern w:val="2"/>
                    </w:rPr>
                    <w:t>0.075</w:t>
                  </w:r>
                </w:p>
              </w:tc>
              <w:tc>
                <w:tcPr>
                  <w:tcW w:w="848" w:type="dxa"/>
                  <w:vAlign w:val="center"/>
                </w:tcPr>
                <w:p w14:paraId="29C31A3C">
                  <w:pPr>
                    <w:pStyle w:val="89"/>
                    <w:rPr>
                      <w:kern w:val="2"/>
                    </w:rPr>
                  </w:pPr>
                  <w:r>
                    <w:rPr>
                      <w:kern w:val="2"/>
                    </w:rPr>
                    <w:t>0.108</w:t>
                  </w:r>
                </w:p>
              </w:tc>
              <w:tc>
                <w:tcPr>
                  <w:tcW w:w="848" w:type="dxa"/>
                  <w:vAlign w:val="center"/>
                </w:tcPr>
                <w:p w14:paraId="3CD22D3D">
                  <w:pPr>
                    <w:pStyle w:val="89"/>
                    <w:rPr>
                      <w:kern w:val="2"/>
                    </w:rPr>
                  </w:pPr>
                  <w:r>
                    <w:rPr>
                      <w:kern w:val="2"/>
                    </w:rPr>
                    <w:t>0.147</w:t>
                  </w:r>
                </w:p>
              </w:tc>
            </w:tr>
            <w:tr w14:paraId="1F8C7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69" w:type="dxa"/>
                  <w:vAlign w:val="center"/>
                </w:tcPr>
                <w:p w14:paraId="34ABF04B">
                  <w:pPr>
                    <w:pStyle w:val="89"/>
                    <w:rPr>
                      <w:kern w:val="2"/>
                    </w:rPr>
                  </w:pPr>
                  <w:r>
                    <w:rPr>
                      <w:kern w:val="2"/>
                    </w:rPr>
                    <w:t>粒径，μm</w:t>
                  </w:r>
                </w:p>
              </w:tc>
              <w:tc>
                <w:tcPr>
                  <w:tcW w:w="847" w:type="dxa"/>
                  <w:vAlign w:val="center"/>
                </w:tcPr>
                <w:p w14:paraId="432E46EF">
                  <w:pPr>
                    <w:pStyle w:val="89"/>
                    <w:rPr>
                      <w:kern w:val="2"/>
                    </w:rPr>
                  </w:pPr>
                  <w:r>
                    <w:rPr>
                      <w:kern w:val="2"/>
                    </w:rPr>
                    <w:t>80</w:t>
                  </w:r>
                </w:p>
              </w:tc>
              <w:tc>
                <w:tcPr>
                  <w:tcW w:w="847" w:type="dxa"/>
                  <w:vAlign w:val="center"/>
                </w:tcPr>
                <w:p w14:paraId="616428EC">
                  <w:pPr>
                    <w:pStyle w:val="89"/>
                    <w:rPr>
                      <w:kern w:val="2"/>
                    </w:rPr>
                  </w:pPr>
                  <w:r>
                    <w:rPr>
                      <w:kern w:val="2"/>
                    </w:rPr>
                    <w:t>90</w:t>
                  </w:r>
                </w:p>
              </w:tc>
              <w:tc>
                <w:tcPr>
                  <w:tcW w:w="848" w:type="dxa"/>
                  <w:vAlign w:val="center"/>
                </w:tcPr>
                <w:p w14:paraId="5A82C75D">
                  <w:pPr>
                    <w:pStyle w:val="89"/>
                    <w:rPr>
                      <w:kern w:val="2"/>
                    </w:rPr>
                  </w:pPr>
                  <w:r>
                    <w:rPr>
                      <w:kern w:val="2"/>
                    </w:rPr>
                    <w:t>100</w:t>
                  </w:r>
                </w:p>
              </w:tc>
              <w:tc>
                <w:tcPr>
                  <w:tcW w:w="848" w:type="dxa"/>
                  <w:vAlign w:val="center"/>
                </w:tcPr>
                <w:p w14:paraId="66272E9F">
                  <w:pPr>
                    <w:pStyle w:val="89"/>
                    <w:rPr>
                      <w:kern w:val="2"/>
                    </w:rPr>
                  </w:pPr>
                  <w:r>
                    <w:rPr>
                      <w:kern w:val="2"/>
                    </w:rPr>
                    <w:t>150</w:t>
                  </w:r>
                </w:p>
              </w:tc>
              <w:tc>
                <w:tcPr>
                  <w:tcW w:w="848" w:type="dxa"/>
                  <w:vAlign w:val="center"/>
                </w:tcPr>
                <w:p w14:paraId="083482ED">
                  <w:pPr>
                    <w:pStyle w:val="89"/>
                    <w:rPr>
                      <w:kern w:val="2"/>
                    </w:rPr>
                  </w:pPr>
                  <w:r>
                    <w:rPr>
                      <w:kern w:val="2"/>
                    </w:rPr>
                    <w:t>200</w:t>
                  </w:r>
                </w:p>
              </w:tc>
              <w:tc>
                <w:tcPr>
                  <w:tcW w:w="848" w:type="dxa"/>
                  <w:vAlign w:val="center"/>
                </w:tcPr>
                <w:p w14:paraId="618F668F">
                  <w:pPr>
                    <w:pStyle w:val="89"/>
                    <w:rPr>
                      <w:kern w:val="2"/>
                    </w:rPr>
                  </w:pPr>
                  <w:r>
                    <w:rPr>
                      <w:kern w:val="2"/>
                    </w:rPr>
                    <w:t>250</w:t>
                  </w:r>
                </w:p>
              </w:tc>
              <w:tc>
                <w:tcPr>
                  <w:tcW w:w="848" w:type="dxa"/>
                  <w:vAlign w:val="center"/>
                </w:tcPr>
                <w:p w14:paraId="555E5916">
                  <w:pPr>
                    <w:pStyle w:val="89"/>
                    <w:rPr>
                      <w:kern w:val="2"/>
                    </w:rPr>
                  </w:pPr>
                  <w:r>
                    <w:rPr>
                      <w:kern w:val="2"/>
                    </w:rPr>
                    <w:t>350</w:t>
                  </w:r>
                </w:p>
              </w:tc>
            </w:tr>
            <w:tr w14:paraId="4D8D9F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69" w:type="dxa"/>
                  <w:vAlign w:val="center"/>
                </w:tcPr>
                <w:p w14:paraId="6A0C3DAA">
                  <w:pPr>
                    <w:pStyle w:val="89"/>
                    <w:rPr>
                      <w:kern w:val="2"/>
                    </w:rPr>
                  </w:pPr>
                  <w:r>
                    <w:rPr>
                      <w:kern w:val="2"/>
                    </w:rPr>
                    <w:t>沉降速度，m/s</w:t>
                  </w:r>
                </w:p>
              </w:tc>
              <w:tc>
                <w:tcPr>
                  <w:tcW w:w="847" w:type="dxa"/>
                  <w:vAlign w:val="center"/>
                </w:tcPr>
                <w:p w14:paraId="72A68177">
                  <w:pPr>
                    <w:pStyle w:val="89"/>
                    <w:rPr>
                      <w:kern w:val="2"/>
                    </w:rPr>
                  </w:pPr>
                  <w:r>
                    <w:rPr>
                      <w:kern w:val="2"/>
                    </w:rPr>
                    <w:t>0.158</w:t>
                  </w:r>
                </w:p>
              </w:tc>
              <w:tc>
                <w:tcPr>
                  <w:tcW w:w="847" w:type="dxa"/>
                  <w:vAlign w:val="center"/>
                </w:tcPr>
                <w:p w14:paraId="78C1A2D8">
                  <w:pPr>
                    <w:pStyle w:val="89"/>
                    <w:rPr>
                      <w:kern w:val="2"/>
                    </w:rPr>
                  </w:pPr>
                  <w:r>
                    <w:rPr>
                      <w:kern w:val="2"/>
                    </w:rPr>
                    <w:t>0.170</w:t>
                  </w:r>
                </w:p>
              </w:tc>
              <w:tc>
                <w:tcPr>
                  <w:tcW w:w="848" w:type="dxa"/>
                  <w:vAlign w:val="center"/>
                </w:tcPr>
                <w:p w14:paraId="379138F9">
                  <w:pPr>
                    <w:pStyle w:val="89"/>
                    <w:rPr>
                      <w:kern w:val="2"/>
                    </w:rPr>
                  </w:pPr>
                  <w:r>
                    <w:rPr>
                      <w:kern w:val="2"/>
                    </w:rPr>
                    <w:t>0.182</w:t>
                  </w:r>
                </w:p>
              </w:tc>
              <w:tc>
                <w:tcPr>
                  <w:tcW w:w="848" w:type="dxa"/>
                  <w:vAlign w:val="center"/>
                </w:tcPr>
                <w:p w14:paraId="59436FB6">
                  <w:pPr>
                    <w:pStyle w:val="89"/>
                    <w:rPr>
                      <w:kern w:val="2"/>
                    </w:rPr>
                  </w:pPr>
                  <w:r>
                    <w:rPr>
                      <w:kern w:val="2"/>
                    </w:rPr>
                    <w:t>0.239</w:t>
                  </w:r>
                </w:p>
              </w:tc>
              <w:tc>
                <w:tcPr>
                  <w:tcW w:w="848" w:type="dxa"/>
                  <w:vAlign w:val="center"/>
                </w:tcPr>
                <w:p w14:paraId="0B218F5C">
                  <w:pPr>
                    <w:pStyle w:val="89"/>
                    <w:rPr>
                      <w:kern w:val="2"/>
                    </w:rPr>
                  </w:pPr>
                  <w:r>
                    <w:rPr>
                      <w:kern w:val="2"/>
                    </w:rPr>
                    <w:t>0.804</w:t>
                  </w:r>
                </w:p>
              </w:tc>
              <w:tc>
                <w:tcPr>
                  <w:tcW w:w="848" w:type="dxa"/>
                  <w:vAlign w:val="center"/>
                </w:tcPr>
                <w:p w14:paraId="218561AA">
                  <w:pPr>
                    <w:pStyle w:val="89"/>
                    <w:rPr>
                      <w:kern w:val="2"/>
                    </w:rPr>
                  </w:pPr>
                  <w:r>
                    <w:rPr>
                      <w:kern w:val="2"/>
                    </w:rPr>
                    <w:t>1.005</w:t>
                  </w:r>
                </w:p>
              </w:tc>
              <w:tc>
                <w:tcPr>
                  <w:tcW w:w="848" w:type="dxa"/>
                  <w:vAlign w:val="center"/>
                </w:tcPr>
                <w:p w14:paraId="150074CD">
                  <w:pPr>
                    <w:pStyle w:val="89"/>
                    <w:rPr>
                      <w:kern w:val="2"/>
                    </w:rPr>
                  </w:pPr>
                  <w:r>
                    <w:rPr>
                      <w:kern w:val="2"/>
                    </w:rPr>
                    <w:t>1.829</w:t>
                  </w:r>
                </w:p>
              </w:tc>
            </w:tr>
            <w:tr w14:paraId="74267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69" w:type="dxa"/>
                  <w:vAlign w:val="center"/>
                </w:tcPr>
                <w:p w14:paraId="4D229491">
                  <w:pPr>
                    <w:pStyle w:val="89"/>
                    <w:rPr>
                      <w:kern w:val="2"/>
                    </w:rPr>
                  </w:pPr>
                  <w:r>
                    <w:rPr>
                      <w:kern w:val="2"/>
                    </w:rPr>
                    <w:t>粒径，μm</w:t>
                  </w:r>
                </w:p>
              </w:tc>
              <w:tc>
                <w:tcPr>
                  <w:tcW w:w="847" w:type="dxa"/>
                  <w:vAlign w:val="center"/>
                </w:tcPr>
                <w:p w14:paraId="42AA5B5D">
                  <w:pPr>
                    <w:pStyle w:val="89"/>
                    <w:rPr>
                      <w:kern w:val="2"/>
                    </w:rPr>
                  </w:pPr>
                  <w:r>
                    <w:rPr>
                      <w:kern w:val="2"/>
                    </w:rPr>
                    <w:t>450</w:t>
                  </w:r>
                </w:p>
              </w:tc>
              <w:tc>
                <w:tcPr>
                  <w:tcW w:w="847" w:type="dxa"/>
                  <w:vAlign w:val="center"/>
                </w:tcPr>
                <w:p w14:paraId="1C7FCCB7">
                  <w:pPr>
                    <w:pStyle w:val="89"/>
                    <w:rPr>
                      <w:kern w:val="2"/>
                    </w:rPr>
                  </w:pPr>
                  <w:r>
                    <w:rPr>
                      <w:kern w:val="2"/>
                    </w:rPr>
                    <w:t>550</w:t>
                  </w:r>
                </w:p>
              </w:tc>
              <w:tc>
                <w:tcPr>
                  <w:tcW w:w="848" w:type="dxa"/>
                  <w:vAlign w:val="center"/>
                </w:tcPr>
                <w:p w14:paraId="6DDD385B">
                  <w:pPr>
                    <w:pStyle w:val="89"/>
                    <w:rPr>
                      <w:kern w:val="2"/>
                    </w:rPr>
                  </w:pPr>
                  <w:r>
                    <w:rPr>
                      <w:kern w:val="2"/>
                    </w:rPr>
                    <w:t>650</w:t>
                  </w:r>
                </w:p>
              </w:tc>
              <w:tc>
                <w:tcPr>
                  <w:tcW w:w="848" w:type="dxa"/>
                  <w:vAlign w:val="center"/>
                </w:tcPr>
                <w:p w14:paraId="5AC7FDE2">
                  <w:pPr>
                    <w:pStyle w:val="89"/>
                    <w:rPr>
                      <w:kern w:val="2"/>
                    </w:rPr>
                  </w:pPr>
                  <w:r>
                    <w:rPr>
                      <w:kern w:val="2"/>
                    </w:rPr>
                    <w:t>750</w:t>
                  </w:r>
                </w:p>
              </w:tc>
              <w:tc>
                <w:tcPr>
                  <w:tcW w:w="848" w:type="dxa"/>
                  <w:vAlign w:val="center"/>
                </w:tcPr>
                <w:p w14:paraId="4563A6A3">
                  <w:pPr>
                    <w:pStyle w:val="89"/>
                    <w:rPr>
                      <w:kern w:val="2"/>
                    </w:rPr>
                  </w:pPr>
                  <w:r>
                    <w:rPr>
                      <w:kern w:val="2"/>
                    </w:rPr>
                    <w:t>850</w:t>
                  </w:r>
                </w:p>
              </w:tc>
              <w:tc>
                <w:tcPr>
                  <w:tcW w:w="848" w:type="dxa"/>
                  <w:vAlign w:val="center"/>
                </w:tcPr>
                <w:p w14:paraId="1AFC8565">
                  <w:pPr>
                    <w:pStyle w:val="89"/>
                    <w:rPr>
                      <w:kern w:val="2"/>
                    </w:rPr>
                  </w:pPr>
                  <w:r>
                    <w:rPr>
                      <w:kern w:val="2"/>
                    </w:rPr>
                    <w:t>950</w:t>
                  </w:r>
                </w:p>
              </w:tc>
              <w:tc>
                <w:tcPr>
                  <w:tcW w:w="848" w:type="dxa"/>
                  <w:vAlign w:val="center"/>
                </w:tcPr>
                <w:p w14:paraId="649646C9">
                  <w:pPr>
                    <w:pStyle w:val="89"/>
                    <w:rPr>
                      <w:kern w:val="2"/>
                    </w:rPr>
                  </w:pPr>
                  <w:r>
                    <w:rPr>
                      <w:kern w:val="2"/>
                    </w:rPr>
                    <w:t>1050</w:t>
                  </w:r>
                </w:p>
              </w:tc>
            </w:tr>
            <w:tr w14:paraId="6045CE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69" w:type="dxa"/>
                  <w:vAlign w:val="center"/>
                </w:tcPr>
                <w:p w14:paraId="02CB9A80">
                  <w:pPr>
                    <w:pStyle w:val="89"/>
                    <w:rPr>
                      <w:kern w:val="2"/>
                    </w:rPr>
                  </w:pPr>
                  <w:r>
                    <w:rPr>
                      <w:kern w:val="2"/>
                    </w:rPr>
                    <w:t>沉降速度，m/s</w:t>
                  </w:r>
                </w:p>
              </w:tc>
              <w:tc>
                <w:tcPr>
                  <w:tcW w:w="847" w:type="dxa"/>
                  <w:vAlign w:val="center"/>
                </w:tcPr>
                <w:p w14:paraId="57F2CD15">
                  <w:pPr>
                    <w:pStyle w:val="89"/>
                    <w:rPr>
                      <w:kern w:val="2"/>
                    </w:rPr>
                  </w:pPr>
                  <w:r>
                    <w:rPr>
                      <w:kern w:val="2"/>
                    </w:rPr>
                    <w:t>2.211</w:t>
                  </w:r>
                </w:p>
              </w:tc>
              <w:tc>
                <w:tcPr>
                  <w:tcW w:w="847" w:type="dxa"/>
                  <w:vAlign w:val="center"/>
                </w:tcPr>
                <w:p w14:paraId="18B27B65">
                  <w:pPr>
                    <w:pStyle w:val="89"/>
                    <w:rPr>
                      <w:kern w:val="2"/>
                    </w:rPr>
                  </w:pPr>
                  <w:r>
                    <w:rPr>
                      <w:kern w:val="2"/>
                    </w:rPr>
                    <w:t>2.614</w:t>
                  </w:r>
                </w:p>
              </w:tc>
              <w:tc>
                <w:tcPr>
                  <w:tcW w:w="848" w:type="dxa"/>
                  <w:vAlign w:val="center"/>
                </w:tcPr>
                <w:p w14:paraId="1234973A">
                  <w:pPr>
                    <w:pStyle w:val="89"/>
                    <w:rPr>
                      <w:kern w:val="2"/>
                    </w:rPr>
                  </w:pPr>
                  <w:r>
                    <w:rPr>
                      <w:kern w:val="2"/>
                    </w:rPr>
                    <w:t>3.016</w:t>
                  </w:r>
                </w:p>
              </w:tc>
              <w:tc>
                <w:tcPr>
                  <w:tcW w:w="848" w:type="dxa"/>
                  <w:vAlign w:val="center"/>
                </w:tcPr>
                <w:p w14:paraId="069A5521">
                  <w:pPr>
                    <w:pStyle w:val="89"/>
                    <w:rPr>
                      <w:kern w:val="2"/>
                    </w:rPr>
                  </w:pPr>
                  <w:r>
                    <w:rPr>
                      <w:kern w:val="2"/>
                    </w:rPr>
                    <w:t>3.418</w:t>
                  </w:r>
                </w:p>
              </w:tc>
              <w:tc>
                <w:tcPr>
                  <w:tcW w:w="848" w:type="dxa"/>
                  <w:vAlign w:val="center"/>
                </w:tcPr>
                <w:p w14:paraId="69C08A48">
                  <w:pPr>
                    <w:pStyle w:val="89"/>
                    <w:rPr>
                      <w:kern w:val="2"/>
                    </w:rPr>
                  </w:pPr>
                  <w:r>
                    <w:rPr>
                      <w:kern w:val="2"/>
                    </w:rPr>
                    <w:t>3.820</w:t>
                  </w:r>
                </w:p>
              </w:tc>
              <w:tc>
                <w:tcPr>
                  <w:tcW w:w="848" w:type="dxa"/>
                  <w:vAlign w:val="center"/>
                </w:tcPr>
                <w:p w14:paraId="1A85EE4F">
                  <w:pPr>
                    <w:pStyle w:val="89"/>
                    <w:rPr>
                      <w:kern w:val="2"/>
                    </w:rPr>
                  </w:pPr>
                  <w:r>
                    <w:rPr>
                      <w:kern w:val="2"/>
                    </w:rPr>
                    <w:t>4.222</w:t>
                  </w:r>
                </w:p>
              </w:tc>
              <w:tc>
                <w:tcPr>
                  <w:tcW w:w="848" w:type="dxa"/>
                  <w:vAlign w:val="center"/>
                </w:tcPr>
                <w:p w14:paraId="1F1413BC">
                  <w:pPr>
                    <w:pStyle w:val="89"/>
                    <w:rPr>
                      <w:kern w:val="2"/>
                    </w:rPr>
                  </w:pPr>
                  <w:r>
                    <w:rPr>
                      <w:kern w:val="2"/>
                    </w:rPr>
                    <w:t>4.624</w:t>
                  </w:r>
                </w:p>
              </w:tc>
            </w:tr>
          </w:tbl>
          <w:p w14:paraId="7106DEAB">
            <w:pPr>
              <w:spacing w:line="440" w:lineRule="exact"/>
              <w:ind w:firstLine="480" w:firstLineChars="200"/>
              <w:rPr>
                <w:sz w:val="24"/>
              </w:rPr>
            </w:pPr>
            <w:r>
              <w:rPr>
                <w:sz w:val="24"/>
              </w:rPr>
              <w:t>由上表可知，尘粒的沉降速度随粒径的增大而迅速增大。当粒径为250μm时，沉降速度为1.005m/s，因此可以认为当尘粒大于250μm时，主要影响范围在扬尘点下风向近距离范围内，而真正对外环境产生影响的是一些微小尘粒。根据现场的气候条件不同，其影响范围也有所不同。</w:t>
            </w:r>
          </w:p>
          <w:p w14:paraId="2F992967">
            <w:pPr>
              <w:spacing w:line="440" w:lineRule="exact"/>
              <w:ind w:firstLine="480" w:firstLineChars="200"/>
              <w:rPr>
                <w:sz w:val="24"/>
              </w:rPr>
            </w:pPr>
            <w:r>
              <w:rPr>
                <w:sz w:val="24"/>
              </w:rPr>
              <w:t>露天堆放的建筑材料如</w:t>
            </w:r>
            <w:r>
              <w:rPr>
                <w:rFonts w:hint="eastAsia"/>
                <w:sz w:val="24"/>
              </w:rPr>
              <w:t>钢筋、木材等</w:t>
            </w:r>
            <w:r>
              <w:rPr>
                <w:sz w:val="24"/>
              </w:rPr>
              <w:t>，因含水率低，其表层含大量的易起尘颗粒物，在干燥及起风的情况，易在堆放点周边产生一定的扬尘污染，但其污染程度较低，影响范围小；通过对露天材料及堆场进行遮盖</w:t>
            </w:r>
            <w:r>
              <w:rPr>
                <w:rFonts w:hint="eastAsia"/>
                <w:sz w:val="24"/>
              </w:rPr>
              <w:t>，</w:t>
            </w:r>
            <w:r>
              <w:rPr>
                <w:sz w:val="24"/>
              </w:rPr>
              <w:t>可有效减小其起尘量。</w:t>
            </w:r>
          </w:p>
          <w:p w14:paraId="21D621D2">
            <w:pPr>
              <w:spacing w:line="440" w:lineRule="exact"/>
              <w:ind w:firstLine="480" w:firstLineChars="200"/>
              <w:rPr>
                <w:sz w:val="24"/>
              </w:rPr>
            </w:pPr>
            <w:r>
              <w:rPr>
                <w:sz w:val="24"/>
              </w:rPr>
              <w:t>抑制扬尘的一个简捷有效的措施是洒水。如果在施工期内对施工场地及堆场实施洒水抑尘，每天洒水4—5次，可使扬尘减少70%左右。下表为施工场地洒水抑尘的试验结果。</w:t>
            </w:r>
          </w:p>
          <w:p w14:paraId="2EDC411E">
            <w:pPr>
              <w:pStyle w:val="48"/>
              <w:spacing w:before="156"/>
              <w:ind w:left="0"/>
            </w:pPr>
            <w:r>
              <w:rPr>
                <w:rFonts w:hint="eastAsia"/>
              </w:rPr>
              <w:t>施工场地洒水抑尘试验结果</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3"/>
              <w:gridCol w:w="906"/>
              <w:gridCol w:w="1365"/>
              <w:gridCol w:w="1365"/>
              <w:gridCol w:w="1366"/>
              <w:gridCol w:w="1366"/>
            </w:tblGrid>
            <w:tr w14:paraId="3F9E3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6" w:type="dxa"/>
                  <w:gridSpan w:val="2"/>
                  <w:vAlign w:val="center"/>
                </w:tcPr>
                <w:p w14:paraId="52BAEED8">
                  <w:pPr>
                    <w:pStyle w:val="89"/>
                    <w:rPr>
                      <w:kern w:val="2"/>
                    </w:rPr>
                  </w:pPr>
                  <w:r>
                    <w:rPr>
                      <w:rFonts w:hint="eastAsia"/>
                      <w:kern w:val="2"/>
                    </w:rPr>
                    <w:t>距离</w:t>
                  </w:r>
                </w:p>
              </w:tc>
              <w:tc>
                <w:tcPr>
                  <w:tcW w:w="1333" w:type="dxa"/>
                  <w:vAlign w:val="center"/>
                </w:tcPr>
                <w:p w14:paraId="6869B13A">
                  <w:pPr>
                    <w:pStyle w:val="89"/>
                    <w:rPr>
                      <w:kern w:val="2"/>
                    </w:rPr>
                  </w:pPr>
                  <w:r>
                    <w:rPr>
                      <w:rFonts w:hint="eastAsia"/>
                      <w:kern w:val="2"/>
                    </w:rPr>
                    <w:t>5m</w:t>
                  </w:r>
                </w:p>
              </w:tc>
              <w:tc>
                <w:tcPr>
                  <w:tcW w:w="1333" w:type="dxa"/>
                  <w:vAlign w:val="center"/>
                </w:tcPr>
                <w:p w14:paraId="39C0F954">
                  <w:pPr>
                    <w:pStyle w:val="89"/>
                    <w:rPr>
                      <w:kern w:val="2"/>
                    </w:rPr>
                  </w:pPr>
                  <w:r>
                    <w:rPr>
                      <w:rFonts w:hint="eastAsia"/>
                      <w:kern w:val="2"/>
                    </w:rPr>
                    <w:t>20m</w:t>
                  </w:r>
                </w:p>
              </w:tc>
              <w:tc>
                <w:tcPr>
                  <w:tcW w:w="1334" w:type="dxa"/>
                  <w:vAlign w:val="center"/>
                </w:tcPr>
                <w:p w14:paraId="3B29DDA3">
                  <w:pPr>
                    <w:pStyle w:val="89"/>
                    <w:rPr>
                      <w:kern w:val="2"/>
                    </w:rPr>
                  </w:pPr>
                  <w:r>
                    <w:rPr>
                      <w:rFonts w:hint="eastAsia"/>
                      <w:kern w:val="2"/>
                    </w:rPr>
                    <w:t>50m</w:t>
                  </w:r>
                </w:p>
              </w:tc>
              <w:tc>
                <w:tcPr>
                  <w:tcW w:w="1334" w:type="dxa"/>
                  <w:vAlign w:val="center"/>
                </w:tcPr>
                <w:p w14:paraId="5028930D">
                  <w:pPr>
                    <w:pStyle w:val="89"/>
                    <w:rPr>
                      <w:kern w:val="2"/>
                    </w:rPr>
                  </w:pPr>
                  <w:r>
                    <w:rPr>
                      <w:rFonts w:hint="eastAsia"/>
                      <w:kern w:val="2"/>
                    </w:rPr>
                    <w:t>100m</w:t>
                  </w:r>
                </w:p>
              </w:tc>
            </w:tr>
            <w:tr w14:paraId="29C76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1" w:type="dxa"/>
                  <w:vMerge w:val="restart"/>
                  <w:vAlign w:val="center"/>
                </w:tcPr>
                <w:p w14:paraId="337A897E">
                  <w:pPr>
                    <w:pStyle w:val="89"/>
                    <w:rPr>
                      <w:kern w:val="2"/>
                    </w:rPr>
                  </w:pPr>
                  <w:r>
                    <w:rPr>
                      <w:rFonts w:hint="eastAsia"/>
                      <w:kern w:val="2"/>
                    </w:rPr>
                    <w:t>TSP小时平均浓度（mg/m³）</w:t>
                  </w:r>
                </w:p>
              </w:tc>
              <w:tc>
                <w:tcPr>
                  <w:tcW w:w="885" w:type="dxa"/>
                  <w:vAlign w:val="center"/>
                </w:tcPr>
                <w:p w14:paraId="7EF983FB">
                  <w:pPr>
                    <w:pStyle w:val="89"/>
                    <w:rPr>
                      <w:kern w:val="2"/>
                    </w:rPr>
                  </w:pPr>
                  <w:r>
                    <w:rPr>
                      <w:rFonts w:hint="eastAsia"/>
                      <w:kern w:val="2"/>
                    </w:rPr>
                    <w:t>不洒水</w:t>
                  </w:r>
                </w:p>
              </w:tc>
              <w:tc>
                <w:tcPr>
                  <w:tcW w:w="1333" w:type="dxa"/>
                  <w:vAlign w:val="center"/>
                </w:tcPr>
                <w:p w14:paraId="454932E3">
                  <w:pPr>
                    <w:pStyle w:val="89"/>
                    <w:rPr>
                      <w:kern w:val="2"/>
                    </w:rPr>
                  </w:pPr>
                  <w:r>
                    <w:rPr>
                      <w:rFonts w:hint="eastAsia"/>
                      <w:kern w:val="2"/>
                    </w:rPr>
                    <w:t>10.12</w:t>
                  </w:r>
                </w:p>
              </w:tc>
              <w:tc>
                <w:tcPr>
                  <w:tcW w:w="1333" w:type="dxa"/>
                  <w:vAlign w:val="center"/>
                </w:tcPr>
                <w:p w14:paraId="24320E4D">
                  <w:pPr>
                    <w:pStyle w:val="89"/>
                    <w:rPr>
                      <w:kern w:val="2"/>
                    </w:rPr>
                  </w:pPr>
                  <w:r>
                    <w:rPr>
                      <w:rFonts w:hint="eastAsia"/>
                      <w:kern w:val="2"/>
                    </w:rPr>
                    <w:t>2.89</w:t>
                  </w:r>
                </w:p>
              </w:tc>
              <w:tc>
                <w:tcPr>
                  <w:tcW w:w="1334" w:type="dxa"/>
                  <w:vAlign w:val="center"/>
                </w:tcPr>
                <w:p w14:paraId="2F5B5FAA">
                  <w:pPr>
                    <w:pStyle w:val="89"/>
                    <w:rPr>
                      <w:kern w:val="2"/>
                    </w:rPr>
                  </w:pPr>
                  <w:r>
                    <w:rPr>
                      <w:rFonts w:hint="eastAsia"/>
                      <w:kern w:val="2"/>
                    </w:rPr>
                    <w:t>1.15</w:t>
                  </w:r>
                </w:p>
              </w:tc>
              <w:tc>
                <w:tcPr>
                  <w:tcW w:w="1334" w:type="dxa"/>
                  <w:vAlign w:val="center"/>
                </w:tcPr>
                <w:p w14:paraId="5F71BF5E">
                  <w:pPr>
                    <w:pStyle w:val="89"/>
                    <w:rPr>
                      <w:kern w:val="2"/>
                    </w:rPr>
                  </w:pPr>
                  <w:r>
                    <w:rPr>
                      <w:rFonts w:hint="eastAsia"/>
                      <w:kern w:val="2"/>
                    </w:rPr>
                    <w:t>0.86</w:t>
                  </w:r>
                </w:p>
              </w:tc>
            </w:tr>
            <w:tr w14:paraId="23668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1" w:type="dxa"/>
                  <w:vMerge w:val="continue"/>
                  <w:vAlign w:val="center"/>
                </w:tcPr>
                <w:p w14:paraId="6187C5E5">
                  <w:pPr>
                    <w:pStyle w:val="89"/>
                    <w:rPr>
                      <w:kern w:val="2"/>
                    </w:rPr>
                  </w:pPr>
                </w:p>
              </w:tc>
              <w:tc>
                <w:tcPr>
                  <w:tcW w:w="885" w:type="dxa"/>
                  <w:vAlign w:val="center"/>
                </w:tcPr>
                <w:p w14:paraId="30BFD5BB">
                  <w:pPr>
                    <w:pStyle w:val="89"/>
                    <w:rPr>
                      <w:kern w:val="2"/>
                    </w:rPr>
                  </w:pPr>
                  <w:r>
                    <w:rPr>
                      <w:rFonts w:hint="eastAsia"/>
                      <w:kern w:val="2"/>
                    </w:rPr>
                    <w:t>洒水</w:t>
                  </w:r>
                </w:p>
              </w:tc>
              <w:tc>
                <w:tcPr>
                  <w:tcW w:w="1333" w:type="dxa"/>
                  <w:vAlign w:val="center"/>
                </w:tcPr>
                <w:p w14:paraId="4A774438">
                  <w:pPr>
                    <w:pStyle w:val="89"/>
                    <w:rPr>
                      <w:kern w:val="2"/>
                    </w:rPr>
                  </w:pPr>
                  <w:r>
                    <w:rPr>
                      <w:rFonts w:hint="eastAsia"/>
                      <w:kern w:val="2"/>
                    </w:rPr>
                    <w:t>2.01</w:t>
                  </w:r>
                </w:p>
              </w:tc>
              <w:tc>
                <w:tcPr>
                  <w:tcW w:w="1333" w:type="dxa"/>
                  <w:vAlign w:val="center"/>
                </w:tcPr>
                <w:p w14:paraId="5C80F7A7">
                  <w:pPr>
                    <w:pStyle w:val="89"/>
                    <w:rPr>
                      <w:kern w:val="2"/>
                    </w:rPr>
                  </w:pPr>
                  <w:r>
                    <w:rPr>
                      <w:rFonts w:hint="eastAsia"/>
                      <w:kern w:val="2"/>
                    </w:rPr>
                    <w:t>1.40</w:t>
                  </w:r>
                </w:p>
              </w:tc>
              <w:tc>
                <w:tcPr>
                  <w:tcW w:w="1334" w:type="dxa"/>
                  <w:vAlign w:val="center"/>
                </w:tcPr>
                <w:p w14:paraId="5AA99D4E">
                  <w:pPr>
                    <w:pStyle w:val="89"/>
                    <w:rPr>
                      <w:kern w:val="2"/>
                    </w:rPr>
                  </w:pPr>
                  <w:r>
                    <w:rPr>
                      <w:rFonts w:hint="eastAsia"/>
                      <w:kern w:val="2"/>
                    </w:rPr>
                    <w:t>0.67</w:t>
                  </w:r>
                </w:p>
              </w:tc>
              <w:tc>
                <w:tcPr>
                  <w:tcW w:w="1334" w:type="dxa"/>
                  <w:vAlign w:val="center"/>
                </w:tcPr>
                <w:p w14:paraId="380498CC">
                  <w:pPr>
                    <w:pStyle w:val="89"/>
                    <w:rPr>
                      <w:kern w:val="2"/>
                    </w:rPr>
                  </w:pPr>
                  <w:r>
                    <w:rPr>
                      <w:rFonts w:hint="eastAsia"/>
                      <w:kern w:val="2"/>
                    </w:rPr>
                    <w:t>0.16</w:t>
                  </w:r>
                </w:p>
              </w:tc>
            </w:tr>
          </w:tbl>
          <w:p w14:paraId="30485A02">
            <w:pPr>
              <w:spacing w:line="440" w:lineRule="exact"/>
              <w:ind w:firstLine="480" w:firstLineChars="200"/>
              <w:rPr>
                <w:sz w:val="24"/>
              </w:rPr>
            </w:pPr>
            <w:r>
              <w:rPr>
                <w:sz w:val="24"/>
              </w:rPr>
              <w:t>由该表数据可看出对施工场地实施每天洒水4—5次进行抑尘，可有效地控制施工扬尘，并可将TSP污染距离缩小到20—50m范围。</w:t>
            </w:r>
          </w:p>
          <w:p w14:paraId="62B1C2AF">
            <w:pPr>
              <w:pStyle w:val="4"/>
              <w:numPr>
                <w:ilvl w:val="1"/>
                <w:numId w:val="28"/>
              </w:numPr>
            </w:pPr>
            <w:r>
              <w:rPr>
                <w:rFonts w:hint="eastAsia"/>
              </w:rPr>
              <w:t>运输车辆扬尘影响分析</w:t>
            </w:r>
          </w:p>
          <w:p w14:paraId="5886AA1C">
            <w:pPr>
              <w:spacing w:line="440" w:lineRule="exact"/>
              <w:ind w:firstLine="480" w:firstLineChars="200"/>
              <w:rPr>
                <w:sz w:val="24"/>
              </w:rPr>
            </w:pPr>
            <w:r>
              <w:rPr>
                <w:sz w:val="24"/>
              </w:rPr>
              <w:t>运输车辆扬尘主要是由于施工车辆在运输施工材料而引起，引起道路扬尘的因素较多，主要跟车辆行驶速度、风速、路面积尘量和路面积尘湿度有关，其中风速还直接影响到扬尘的传输距离。据有关调查显示，施工场地的扬尘另一个重要影响因素主要是由运输车辆行驶产生，与道路路面及车辆行驶速度有关，约占扬尘总量的60%。在完全干燥情况下，可按经验公式计算：</w:t>
            </w:r>
          </w:p>
          <w:p w14:paraId="4138DBA6">
            <w:pPr>
              <w:ind w:firstLine="420" w:firstLineChars="200"/>
              <w:jc w:val="center"/>
              <w:rPr>
                <w:sz w:val="24"/>
              </w:rPr>
            </w:pPr>
            <w:r>
              <w:rPr>
                <w:rFonts w:hint="eastAsia"/>
              </w:rPr>
              <w:drawing>
                <wp:inline distT="0" distB="0" distL="114300" distR="114300">
                  <wp:extent cx="3276600" cy="561975"/>
                  <wp:effectExtent l="0" t="0" r="0" b="9525"/>
                  <wp:docPr id="9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6"/>
                          <pic:cNvPicPr>
                            <a:picLocks noChangeAspect="1"/>
                          </pic:cNvPicPr>
                        </pic:nvPicPr>
                        <pic:blipFill>
                          <a:blip r:embed="rId40"/>
                          <a:stretch>
                            <a:fillRect/>
                          </a:stretch>
                        </pic:blipFill>
                        <pic:spPr>
                          <a:xfrm>
                            <a:off x="0" y="0"/>
                            <a:ext cx="3276600" cy="561975"/>
                          </a:xfrm>
                          <a:prstGeom prst="rect">
                            <a:avLst/>
                          </a:prstGeom>
                          <a:noFill/>
                          <a:ln>
                            <a:noFill/>
                          </a:ln>
                        </pic:spPr>
                      </pic:pic>
                    </a:graphicData>
                  </a:graphic>
                </wp:inline>
              </w:drawing>
            </w:r>
          </w:p>
          <w:p w14:paraId="3D4F433A">
            <w:pPr>
              <w:spacing w:line="440" w:lineRule="exact"/>
              <w:ind w:firstLine="480" w:firstLineChars="200"/>
              <w:rPr>
                <w:sz w:val="24"/>
              </w:rPr>
            </w:pPr>
            <w:r>
              <w:rPr>
                <w:sz w:val="24"/>
              </w:rPr>
              <w:t>式中：</w:t>
            </w:r>
          </w:p>
          <w:p w14:paraId="24D2CC55">
            <w:pPr>
              <w:spacing w:line="440" w:lineRule="exact"/>
              <w:ind w:firstLine="480" w:firstLineChars="200"/>
              <w:rPr>
                <w:sz w:val="24"/>
              </w:rPr>
            </w:pPr>
            <w:r>
              <w:rPr>
                <w:sz w:val="24"/>
              </w:rPr>
              <w:t>Q——汽车行驶的扬尘，kg/km·辆；</w:t>
            </w:r>
          </w:p>
          <w:p w14:paraId="45F59E90">
            <w:pPr>
              <w:spacing w:line="440" w:lineRule="exact"/>
              <w:ind w:firstLine="480" w:firstLineChars="200"/>
              <w:rPr>
                <w:sz w:val="24"/>
              </w:rPr>
            </w:pPr>
            <w:r>
              <w:rPr>
                <w:sz w:val="24"/>
              </w:rPr>
              <w:t>V——汽车速度，km/h；</w:t>
            </w:r>
          </w:p>
          <w:p w14:paraId="7AD0D14D">
            <w:pPr>
              <w:spacing w:line="440" w:lineRule="exact"/>
              <w:ind w:firstLine="480" w:firstLineChars="200"/>
              <w:rPr>
                <w:sz w:val="24"/>
              </w:rPr>
            </w:pPr>
            <w:r>
              <w:rPr>
                <w:sz w:val="24"/>
              </w:rPr>
              <w:t>W——汽车载重量，t；</w:t>
            </w:r>
          </w:p>
          <w:p w14:paraId="37FA72C1">
            <w:pPr>
              <w:spacing w:line="440" w:lineRule="exact"/>
              <w:ind w:firstLine="480" w:firstLineChars="200"/>
              <w:rPr>
                <w:sz w:val="24"/>
              </w:rPr>
            </w:pPr>
            <w:r>
              <w:rPr>
                <w:sz w:val="24"/>
              </w:rPr>
              <w:t>P——道路表面粉尘量，kg/</w:t>
            </w:r>
            <w:r>
              <w:rPr>
                <w:rFonts w:hint="eastAsia"/>
                <w:sz w:val="24"/>
              </w:rPr>
              <w:t>m</w:t>
            </w:r>
            <w:r>
              <w:rPr>
                <w:rFonts w:hint="eastAsia"/>
                <w:sz w:val="24"/>
                <w:vertAlign w:val="superscript"/>
              </w:rPr>
              <w:t>2</w:t>
            </w:r>
            <w:r>
              <w:rPr>
                <w:sz w:val="24"/>
              </w:rPr>
              <w:t>。</w:t>
            </w:r>
          </w:p>
          <w:p w14:paraId="1E1132A7">
            <w:pPr>
              <w:spacing w:line="440" w:lineRule="exact"/>
              <w:ind w:firstLine="480" w:firstLineChars="200"/>
              <w:rPr>
                <w:sz w:val="24"/>
              </w:rPr>
            </w:pPr>
            <w:r>
              <w:rPr>
                <w:sz w:val="24"/>
              </w:rPr>
              <w:t>一辆载重5t的卡车，通过一段长度为500m的路面时，不同表面清洁程度，不同行驶速度情况下产生的扬尘量如下表所示。</w:t>
            </w:r>
          </w:p>
          <w:p w14:paraId="14D0F0A9">
            <w:pPr>
              <w:pStyle w:val="48"/>
              <w:spacing w:before="156"/>
              <w:ind w:left="0"/>
            </w:pPr>
            <w:r>
              <w:rPr>
                <w:rFonts w:hint="eastAsia"/>
              </w:rPr>
              <w:t>不同车速和地面清洁程度时的汽车扬尘</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1"/>
              <w:gridCol w:w="1049"/>
              <w:gridCol w:w="1049"/>
              <w:gridCol w:w="1048"/>
              <w:gridCol w:w="1048"/>
              <w:gridCol w:w="1048"/>
              <w:gridCol w:w="1048"/>
            </w:tblGrid>
            <w:tr w14:paraId="6A4D1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6" w:type="dxa"/>
                  <w:tcBorders>
                    <w:tl2br w:val="single" w:color="auto" w:sz="4" w:space="0"/>
                  </w:tcBorders>
                  <w:vAlign w:val="center"/>
                </w:tcPr>
                <w:p w14:paraId="2EAD3B84">
                  <w:pPr>
                    <w:pStyle w:val="89"/>
                    <w:rPr>
                      <w:kern w:val="2"/>
                    </w:rPr>
                  </w:pPr>
                  <w:r>
                    <w:rPr>
                      <w:rFonts w:hint="eastAsia"/>
                      <w:kern w:val="2"/>
                    </w:rPr>
                    <w:t xml:space="preserve">       P（kg/m</w:t>
                  </w:r>
                  <w:r>
                    <w:rPr>
                      <w:rFonts w:hint="eastAsia"/>
                      <w:kern w:val="2"/>
                      <w:vertAlign w:val="superscript"/>
                    </w:rPr>
                    <w:t>2</w:t>
                  </w:r>
                  <w:r>
                    <w:rPr>
                      <w:rFonts w:hint="eastAsia"/>
                      <w:kern w:val="2"/>
                    </w:rPr>
                    <w:t>）</w:t>
                  </w:r>
                </w:p>
                <w:p w14:paraId="46D112AA">
                  <w:pPr>
                    <w:pStyle w:val="89"/>
                    <w:jc w:val="both"/>
                    <w:rPr>
                      <w:kern w:val="2"/>
                    </w:rPr>
                  </w:pPr>
                  <w:r>
                    <w:rPr>
                      <w:rFonts w:hint="eastAsia"/>
                      <w:kern w:val="2"/>
                    </w:rPr>
                    <w:t>车速（km/h）</w:t>
                  </w:r>
                </w:p>
              </w:tc>
              <w:tc>
                <w:tcPr>
                  <w:tcW w:w="1024" w:type="dxa"/>
                  <w:vAlign w:val="center"/>
                </w:tcPr>
                <w:p w14:paraId="5DC5EA2F">
                  <w:pPr>
                    <w:pStyle w:val="89"/>
                    <w:rPr>
                      <w:kern w:val="2"/>
                    </w:rPr>
                  </w:pPr>
                  <w:r>
                    <w:rPr>
                      <w:rFonts w:hint="eastAsia"/>
                      <w:kern w:val="2"/>
                    </w:rPr>
                    <w:t>0.1</w:t>
                  </w:r>
                </w:p>
              </w:tc>
              <w:tc>
                <w:tcPr>
                  <w:tcW w:w="1024" w:type="dxa"/>
                  <w:vAlign w:val="center"/>
                </w:tcPr>
                <w:p w14:paraId="0CB5F288">
                  <w:pPr>
                    <w:pStyle w:val="89"/>
                    <w:rPr>
                      <w:kern w:val="2"/>
                    </w:rPr>
                  </w:pPr>
                  <w:r>
                    <w:rPr>
                      <w:rFonts w:hint="eastAsia"/>
                      <w:kern w:val="2"/>
                    </w:rPr>
                    <w:t>0.2</w:t>
                  </w:r>
                </w:p>
              </w:tc>
              <w:tc>
                <w:tcPr>
                  <w:tcW w:w="1024" w:type="dxa"/>
                  <w:vAlign w:val="center"/>
                </w:tcPr>
                <w:p w14:paraId="3B25FCA2">
                  <w:pPr>
                    <w:pStyle w:val="89"/>
                    <w:rPr>
                      <w:kern w:val="2"/>
                    </w:rPr>
                  </w:pPr>
                  <w:r>
                    <w:rPr>
                      <w:rFonts w:hint="eastAsia"/>
                      <w:kern w:val="2"/>
                    </w:rPr>
                    <w:t>0.3</w:t>
                  </w:r>
                </w:p>
              </w:tc>
              <w:tc>
                <w:tcPr>
                  <w:tcW w:w="1024" w:type="dxa"/>
                  <w:vAlign w:val="center"/>
                </w:tcPr>
                <w:p w14:paraId="3B59B9A7">
                  <w:pPr>
                    <w:pStyle w:val="89"/>
                    <w:rPr>
                      <w:kern w:val="2"/>
                    </w:rPr>
                  </w:pPr>
                  <w:r>
                    <w:rPr>
                      <w:rFonts w:hint="eastAsia"/>
                      <w:kern w:val="2"/>
                    </w:rPr>
                    <w:t>0.4</w:t>
                  </w:r>
                </w:p>
              </w:tc>
              <w:tc>
                <w:tcPr>
                  <w:tcW w:w="1024" w:type="dxa"/>
                  <w:vAlign w:val="center"/>
                </w:tcPr>
                <w:p w14:paraId="7C341D99">
                  <w:pPr>
                    <w:pStyle w:val="89"/>
                    <w:rPr>
                      <w:kern w:val="2"/>
                    </w:rPr>
                  </w:pPr>
                  <w:r>
                    <w:rPr>
                      <w:rFonts w:hint="eastAsia"/>
                      <w:kern w:val="2"/>
                    </w:rPr>
                    <w:t>0.5</w:t>
                  </w:r>
                </w:p>
              </w:tc>
              <w:tc>
                <w:tcPr>
                  <w:tcW w:w="1024" w:type="dxa"/>
                  <w:vAlign w:val="center"/>
                </w:tcPr>
                <w:p w14:paraId="76605FEE">
                  <w:pPr>
                    <w:pStyle w:val="89"/>
                    <w:rPr>
                      <w:kern w:val="2"/>
                    </w:rPr>
                  </w:pPr>
                  <w:r>
                    <w:rPr>
                      <w:rFonts w:hint="eastAsia"/>
                      <w:kern w:val="2"/>
                    </w:rPr>
                    <w:t>1.0</w:t>
                  </w:r>
                </w:p>
              </w:tc>
            </w:tr>
            <w:tr w14:paraId="77134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6" w:type="dxa"/>
                  <w:vAlign w:val="center"/>
                </w:tcPr>
                <w:p w14:paraId="2A5CCCDB">
                  <w:pPr>
                    <w:pStyle w:val="89"/>
                    <w:rPr>
                      <w:kern w:val="2"/>
                    </w:rPr>
                  </w:pPr>
                  <w:r>
                    <w:rPr>
                      <w:rFonts w:hint="eastAsia"/>
                      <w:kern w:val="2"/>
                    </w:rPr>
                    <w:t>5</w:t>
                  </w:r>
                </w:p>
              </w:tc>
              <w:tc>
                <w:tcPr>
                  <w:tcW w:w="1024" w:type="dxa"/>
                  <w:vAlign w:val="center"/>
                </w:tcPr>
                <w:p w14:paraId="452BBB56">
                  <w:pPr>
                    <w:pStyle w:val="89"/>
                    <w:rPr>
                      <w:kern w:val="2"/>
                    </w:rPr>
                  </w:pPr>
                  <w:r>
                    <w:rPr>
                      <w:kern w:val="2"/>
                    </w:rPr>
                    <w:t>0.0283</w:t>
                  </w:r>
                </w:p>
              </w:tc>
              <w:tc>
                <w:tcPr>
                  <w:tcW w:w="1024" w:type="dxa"/>
                  <w:vAlign w:val="center"/>
                </w:tcPr>
                <w:p w14:paraId="39BE9A8C">
                  <w:pPr>
                    <w:pStyle w:val="89"/>
                    <w:rPr>
                      <w:kern w:val="2"/>
                    </w:rPr>
                  </w:pPr>
                  <w:r>
                    <w:rPr>
                      <w:kern w:val="2"/>
                    </w:rPr>
                    <w:t>0.0476</w:t>
                  </w:r>
                </w:p>
              </w:tc>
              <w:tc>
                <w:tcPr>
                  <w:tcW w:w="1024" w:type="dxa"/>
                  <w:vAlign w:val="center"/>
                </w:tcPr>
                <w:p w14:paraId="603BD190">
                  <w:pPr>
                    <w:pStyle w:val="89"/>
                    <w:rPr>
                      <w:kern w:val="2"/>
                    </w:rPr>
                  </w:pPr>
                  <w:r>
                    <w:rPr>
                      <w:kern w:val="2"/>
                    </w:rPr>
                    <w:t>0.0646</w:t>
                  </w:r>
                </w:p>
              </w:tc>
              <w:tc>
                <w:tcPr>
                  <w:tcW w:w="1024" w:type="dxa"/>
                  <w:vAlign w:val="center"/>
                </w:tcPr>
                <w:p w14:paraId="71E35FF2">
                  <w:pPr>
                    <w:pStyle w:val="89"/>
                    <w:rPr>
                      <w:kern w:val="2"/>
                    </w:rPr>
                  </w:pPr>
                  <w:r>
                    <w:rPr>
                      <w:kern w:val="2"/>
                    </w:rPr>
                    <w:t>0.0801</w:t>
                  </w:r>
                </w:p>
              </w:tc>
              <w:tc>
                <w:tcPr>
                  <w:tcW w:w="1024" w:type="dxa"/>
                  <w:vAlign w:val="center"/>
                </w:tcPr>
                <w:p w14:paraId="3AE4B090">
                  <w:pPr>
                    <w:pStyle w:val="89"/>
                    <w:rPr>
                      <w:kern w:val="2"/>
                    </w:rPr>
                  </w:pPr>
                  <w:r>
                    <w:rPr>
                      <w:kern w:val="2"/>
                    </w:rPr>
                    <w:t>0.0947</w:t>
                  </w:r>
                </w:p>
              </w:tc>
              <w:tc>
                <w:tcPr>
                  <w:tcW w:w="1024" w:type="dxa"/>
                  <w:vAlign w:val="center"/>
                </w:tcPr>
                <w:p w14:paraId="725662A5">
                  <w:pPr>
                    <w:pStyle w:val="89"/>
                    <w:rPr>
                      <w:kern w:val="2"/>
                    </w:rPr>
                  </w:pPr>
                  <w:r>
                    <w:rPr>
                      <w:kern w:val="2"/>
                    </w:rPr>
                    <w:t>0.1593</w:t>
                  </w:r>
                </w:p>
              </w:tc>
            </w:tr>
            <w:tr w14:paraId="1AD67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6" w:type="dxa"/>
                  <w:vAlign w:val="center"/>
                </w:tcPr>
                <w:p w14:paraId="39C11616">
                  <w:pPr>
                    <w:pStyle w:val="89"/>
                    <w:rPr>
                      <w:kern w:val="2"/>
                    </w:rPr>
                  </w:pPr>
                  <w:r>
                    <w:rPr>
                      <w:rFonts w:hint="eastAsia"/>
                      <w:kern w:val="2"/>
                    </w:rPr>
                    <w:t>10</w:t>
                  </w:r>
                </w:p>
              </w:tc>
              <w:tc>
                <w:tcPr>
                  <w:tcW w:w="1024" w:type="dxa"/>
                  <w:vAlign w:val="center"/>
                </w:tcPr>
                <w:p w14:paraId="3F791658">
                  <w:pPr>
                    <w:pStyle w:val="89"/>
                    <w:rPr>
                      <w:kern w:val="2"/>
                    </w:rPr>
                  </w:pPr>
                  <w:r>
                    <w:rPr>
                      <w:kern w:val="2"/>
                    </w:rPr>
                    <w:t>0.0566</w:t>
                  </w:r>
                </w:p>
              </w:tc>
              <w:tc>
                <w:tcPr>
                  <w:tcW w:w="1024" w:type="dxa"/>
                  <w:vAlign w:val="center"/>
                </w:tcPr>
                <w:p w14:paraId="235B0B55">
                  <w:pPr>
                    <w:pStyle w:val="89"/>
                    <w:rPr>
                      <w:kern w:val="2"/>
                    </w:rPr>
                  </w:pPr>
                  <w:r>
                    <w:rPr>
                      <w:kern w:val="2"/>
                    </w:rPr>
                    <w:t>0.0953</w:t>
                  </w:r>
                </w:p>
              </w:tc>
              <w:tc>
                <w:tcPr>
                  <w:tcW w:w="1024" w:type="dxa"/>
                  <w:vAlign w:val="center"/>
                </w:tcPr>
                <w:p w14:paraId="76CE7BCA">
                  <w:pPr>
                    <w:pStyle w:val="89"/>
                    <w:rPr>
                      <w:kern w:val="2"/>
                    </w:rPr>
                  </w:pPr>
                  <w:r>
                    <w:rPr>
                      <w:kern w:val="2"/>
                    </w:rPr>
                    <w:t>0.1291</w:t>
                  </w:r>
                </w:p>
              </w:tc>
              <w:tc>
                <w:tcPr>
                  <w:tcW w:w="1024" w:type="dxa"/>
                  <w:vAlign w:val="center"/>
                </w:tcPr>
                <w:p w14:paraId="6A6FF243">
                  <w:pPr>
                    <w:pStyle w:val="89"/>
                    <w:rPr>
                      <w:kern w:val="2"/>
                    </w:rPr>
                  </w:pPr>
                  <w:r>
                    <w:rPr>
                      <w:kern w:val="2"/>
                    </w:rPr>
                    <w:t>0.1602</w:t>
                  </w:r>
                </w:p>
              </w:tc>
              <w:tc>
                <w:tcPr>
                  <w:tcW w:w="1024" w:type="dxa"/>
                  <w:vAlign w:val="center"/>
                </w:tcPr>
                <w:p w14:paraId="63ADD42C">
                  <w:pPr>
                    <w:pStyle w:val="89"/>
                    <w:rPr>
                      <w:kern w:val="2"/>
                    </w:rPr>
                  </w:pPr>
                  <w:r>
                    <w:rPr>
                      <w:kern w:val="2"/>
                    </w:rPr>
                    <w:t>0.1894</w:t>
                  </w:r>
                </w:p>
              </w:tc>
              <w:tc>
                <w:tcPr>
                  <w:tcW w:w="1024" w:type="dxa"/>
                  <w:vAlign w:val="center"/>
                </w:tcPr>
                <w:p w14:paraId="1EB1820A">
                  <w:pPr>
                    <w:pStyle w:val="89"/>
                    <w:rPr>
                      <w:kern w:val="2"/>
                    </w:rPr>
                  </w:pPr>
                  <w:r>
                    <w:rPr>
                      <w:kern w:val="2"/>
                    </w:rPr>
                    <w:t>0.3186</w:t>
                  </w:r>
                </w:p>
              </w:tc>
            </w:tr>
            <w:tr w14:paraId="46FE5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6" w:type="dxa"/>
                  <w:vAlign w:val="center"/>
                </w:tcPr>
                <w:p w14:paraId="316942B9">
                  <w:pPr>
                    <w:pStyle w:val="89"/>
                    <w:rPr>
                      <w:kern w:val="2"/>
                    </w:rPr>
                  </w:pPr>
                  <w:r>
                    <w:rPr>
                      <w:rFonts w:hint="eastAsia"/>
                      <w:kern w:val="2"/>
                    </w:rPr>
                    <w:t>15</w:t>
                  </w:r>
                </w:p>
              </w:tc>
              <w:tc>
                <w:tcPr>
                  <w:tcW w:w="1024" w:type="dxa"/>
                  <w:vAlign w:val="center"/>
                </w:tcPr>
                <w:p w14:paraId="2E3171C6">
                  <w:pPr>
                    <w:pStyle w:val="89"/>
                    <w:rPr>
                      <w:kern w:val="2"/>
                    </w:rPr>
                  </w:pPr>
                  <w:r>
                    <w:rPr>
                      <w:kern w:val="2"/>
                    </w:rPr>
                    <w:t>0.0850</w:t>
                  </w:r>
                </w:p>
              </w:tc>
              <w:tc>
                <w:tcPr>
                  <w:tcW w:w="1024" w:type="dxa"/>
                  <w:vAlign w:val="center"/>
                </w:tcPr>
                <w:p w14:paraId="39E6861B">
                  <w:pPr>
                    <w:pStyle w:val="89"/>
                    <w:rPr>
                      <w:kern w:val="2"/>
                    </w:rPr>
                  </w:pPr>
                  <w:r>
                    <w:rPr>
                      <w:kern w:val="2"/>
                    </w:rPr>
                    <w:t>0.1429</w:t>
                  </w:r>
                </w:p>
              </w:tc>
              <w:tc>
                <w:tcPr>
                  <w:tcW w:w="1024" w:type="dxa"/>
                  <w:vAlign w:val="center"/>
                </w:tcPr>
                <w:p w14:paraId="5BB39718">
                  <w:pPr>
                    <w:pStyle w:val="89"/>
                    <w:rPr>
                      <w:kern w:val="2"/>
                    </w:rPr>
                  </w:pPr>
                  <w:r>
                    <w:rPr>
                      <w:kern w:val="2"/>
                    </w:rPr>
                    <w:t>0.1937</w:t>
                  </w:r>
                </w:p>
              </w:tc>
              <w:tc>
                <w:tcPr>
                  <w:tcW w:w="1024" w:type="dxa"/>
                  <w:vAlign w:val="center"/>
                </w:tcPr>
                <w:p w14:paraId="13B85308">
                  <w:pPr>
                    <w:pStyle w:val="89"/>
                    <w:rPr>
                      <w:kern w:val="2"/>
                    </w:rPr>
                  </w:pPr>
                  <w:r>
                    <w:rPr>
                      <w:kern w:val="2"/>
                    </w:rPr>
                    <w:t>0.2403</w:t>
                  </w:r>
                </w:p>
              </w:tc>
              <w:tc>
                <w:tcPr>
                  <w:tcW w:w="1024" w:type="dxa"/>
                  <w:vAlign w:val="center"/>
                </w:tcPr>
                <w:p w14:paraId="21560F2F">
                  <w:pPr>
                    <w:pStyle w:val="89"/>
                    <w:rPr>
                      <w:kern w:val="2"/>
                    </w:rPr>
                  </w:pPr>
                  <w:r>
                    <w:rPr>
                      <w:kern w:val="2"/>
                    </w:rPr>
                    <w:t>0.2841</w:t>
                  </w:r>
                </w:p>
              </w:tc>
              <w:tc>
                <w:tcPr>
                  <w:tcW w:w="1024" w:type="dxa"/>
                  <w:vAlign w:val="center"/>
                </w:tcPr>
                <w:p w14:paraId="7D91372B">
                  <w:pPr>
                    <w:pStyle w:val="89"/>
                    <w:rPr>
                      <w:kern w:val="2"/>
                    </w:rPr>
                  </w:pPr>
                  <w:r>
                    <w:rPr>
                      <w:kern w:val="2"/>
                    </w:rPr>
                    <w:t>0.4778</w:t>
                  </w:r>
                </w:p>
              </w:tc>
            </w:tr>
            <w:tr w14:paraId="1DF93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6" w:type="dxa"/>
                  <w:vAlign w:val="center"/>
                </w:tcPr>
                <w:p w14:paraId="263D9375">
                  <w:pPr>
                    <w:pStyle w:val="89"/>
                    <w:rPr>
                      <w:kern w:val="2"/>
                    </w:rPr>
                  </w:pPr>
                  <w:r>
                    <w:rPr>
                      <w:rFonts w:hint="eastAsia"/>
                      <w:kern w:val="2"/>
                    </w:rPr>
                    <w:t>20</w:t>
                  </w:r>
                </w:p>
              </w:tc>
              <w:tc>
                <w:tcPr>
                  <w:tcW w:w="1024" w:type="dxa"/>
                  <w:vAlign w:val="center"/>
                </w:tcPr>
                <w:p w14:paraId="234EBA6F">
                  <w:pPr>
                    <w:pStyle w:val="89"/>
                    <w:rPr>
                      <w:kern w:val="2"/>
                    </w:rPr>
                  </w:pPr>
                  <w:r>
                    <w:rPr>
                      <w:kern w:val="2"/>
                    </w:rPr>
                    <w:t>0.1133</w:t>
                  </w:r>
                </w:p>
              </w:tc>
              <w:tc>
                <w:tcPr>
                  <w:tcW w:w="1024" w:type="dxa"/>
                  <w:vAlign w:val="center"/>
                </w:tcPr>
                <w:p w14:paraId="1E530061">
                  <w:pPr>
                    <w:pStyle w:val="89"/>
                    <w:rPr>
                      <w:kern w:val="2"/>
                    </w:rPr>
                  </w:pPr>
                  <w:r>
                    <w:rPr>
                      <w:kern w:val="2"/>
                    </w:rPr>
                    <w:t>0.1905</w:t>
                  </w:r>
                </w:p>
              </w:tc>
              <w:tc>
                <w:tcPr>
                  <w:tcW w:w="1024" w:type="dxa"/>
                  <w:vAlign w:val="center"/>
                </w:tcPr>
                <w:p w14:paraId="71424AB9">
                  <w:pPr>
                    <w:pStyle w:val="89"/>
                    <w:rPr>
                      <w:kern w:val="2"/>
                    </w:rPr>
                  </w:pPr>
                  <w:r>
                    <w:rPr>
                      <w:kern w:val="2"/>
                    </w:rPr>
                    <w:t>0.2583</w:t>
                  </w:r>
                </w:p>
              </w:tc>
              <w:tc>
                <w:tcPr>
                  <w:tcW w:w="1024" w:type="dxa"/>
                  <w:vAlign w:val="center"/>
                </w:tcPr>
                <w:p w14:paraId="173991F9">
                  <w:pPr>
                    <w:pStyle w:val="89"/>
                    <w:rPr>
                      <w:kern w:val="2"/>
                    </w:rPr>
                  </w:pPr>
                  <w:r>
                    <w:rPr>
                      <w:kern w:val="2"/>
                    </w:rPr>
                    <w:t>0.3204</w:t>
                  </w:r>
                </w:p>
              </w:tc>
              <w:tc>
                <w:tcPr>
                  <w:tcW w:w="1024" w:type="dxa"/>
                  <w:vAlign w:val="center"/>
                </w:tcPr>
                <w:p w14:paraId="16A1AD30">
                  <w:pPr>
                    <w:pStyle w:val="89"/>
                    <w:rPr>
                      <w:kern w:val="2"/>
                    </w:rPr>
                  </w:pPr>
                  <w:r>
                    <w:rPr>
                      <w:kern w:val="2"/>
                    </w:rPr>
                    <w:t>0.3788</w:t>
                  </w:r>
                </w:p>
              </w:tc>
              <w:tc>
                <w:tcPr>
                  <w:tcW w:w="1024" w:type="dxa"/>
                  <w:vAlign w:val="center"/>
                </w:tcPr>
                <w:p w14:paraId="537DD8F6">
                  <w:pPr>
                    <w:pStyle w:val="89"/>
                    <w:rPr>
                      <w:kern w:val="2"/>
                    </w:rPr>
                  </w:pPr>
                  <w:r>
                    <w:rPr>
                      <w:kern w:val="2"/>
                    </w:rPr>
                    <w:t>0.6371</w:t>
                  </w:r>
                </w:p>
              </w:tc>
            </w:tr>
          </w:tbl>
          <w:p w14:paraId="7DA5BE20">
            <w:pPr>
              <w:spacing w:line="440" w:lineRule="exact"/>
              <w:ind w:firstLine="480" w:firstLineChars="200"/>
              <w:rPr>
                <w:sz w:val="24"/>
              </w:rPr>
            </w:pPr>
            <w:r>
              <w:rPr>
                <w:sz w:val="24"/>
              </w:rPr>
              <w:t>由上表可见，在同样路面清洁情况下，车速越快，扬尘量越大；而在同样车速情况下，路面清洁度越差，则扬尘量越大。根据类比调查，一般情况下，施工场地、施工道路在自然风作用下产生扬尘的影响范围在100m以内。因此，限制车速及保持路面清洁是减少运输车辆扬尘的有效手段。</w:t>
            </w:r>
          </w:p>
          <w:p w14:paraId="5A7BDA5E">
            <w:pPr>
              <w:pStyle w:val="4"/>
              <w:numPr>
                <w:ilvl w:val="1"/>
                <w:numId w:val="28"/>
              </w:numPr>
            </w:pPr>
            <w:r>
              <w:rPr>
                <w:rFonts w:hint="eastAsia"/>
              </w:rPr>
              <w:t>焊接烟尘</w:t>
            </w:r>
          </w:p>
          <w:p w14:paraId="5C753505">
            <w:pPr>
              <w:spacing w:line="440" w:lineRule="exact"/>
              <w:ind w:firstLine="480" w:firstLineChars="200"/>
              <w:rPr>
                <w:sz w:val="24"/>
              </w:rPr>
            </w:pPr>
            <w:r>
              <w:rPr>
                <w:sz w:val="24"/>
              </w:rPr>
              <w:t>本项目在工区设置电焊机，烟尘产生环节主要是钢筋焊接过程，环评要求项目施工人员在使用电焊机焊接工作时佩戴口罩及护目镜，保证焊接过程中产生的焊接烟尘不会对施工人员身体健康造成危害。项目施工期较短，加之周边植被情况良好，电焊机焊接过程产生的烟尘影响将随着施工期结束而消失，对周边大气环境影响较小且是暂时的。</w:t>
            </w:r>
          </w:p>
          <w:p w14:paraId="177FD7BC">
            <w:pPr>
              <w:pStyle w:val="4"/>
              <w:numPr>
                <w:ilvl w:val="1"/>
                <w:numId w:val="28"/>
              </w:numPr>
            </w:pPr>
            <w:r>
              <w:rPr>
                <w:rFonts w:hint="eastAsia"/>
              </w:rPr>
              <w:t>施工机械及运输车辆尾气</w:t>
            </w:r>
          </w:p>
          <w:p w14:paraId="1E8415C0">
            <w:pPr>
              <w:spacing w:line="440" w:lineRule="exact"/>
              <w:ind w:firstLine="480" w:firstLineChars="200"/>
              <w:rPr>
                <w:sz w:val="24"/>
              </w:rPr>
            </w:pPr>
            <w:r>
              <w:rPr>
                <w:sz w:val="24"/>
              </w:rPr>
              <w:t>施工区的燃油设备主要是施工机械和运输车辆，其排放的尾气中主要污染物有CO、碳氢化合物、NOx等。运输车辆的废气是沿交通路线沿程排放，施工机械的废气基本是以点源形式排放，燃油废气属于无组织、间断性排放，排放源分散且排放量小。施工运输车辆多为大吨位车辆，工程车辆行驶将加重城镇车辆尾气污染负荷。因此，施工单位应注意车辆保养，尽量保证车辆尾气达标排放。同时，由于施工区空气流通性好，排放废气中的各项污染物能够很快扩散，不会引起局部大气环境质量的恶化，加之废气排放的不连续性和工程施工期有限，排放的废气对区域的环境空气质量影响是较小的。</w:t>
            </w:r>
          </w:p>
          <w:p w14:paraId="4C43210B">
            <w:pPr>
              <w:pStyle w:val="4"/>
              <w:numPr>
                <w:ilvl w:val="1"/>
                <w:numId w:val="28"/>
              </w:numPr>
            </w:pPr>
            <w:r>
              <w:rPr>
                <w:rFonts w:hint="eastAsia"/>
              </w:rPr>
              <w:t>淤泥臭气</w:t>
            </w:r>
          </w:p>
          <w:p w14:paraId="465788F9">
            <w:pPr>
              <w:spacing w:line="440" w:lineRule="exact"/>
              <w:ind w:firstLine="480" w:firstLineChars="200"/>
              <w:rPr>
                <w:sz w:val="24"/>
              </w:rPr>
            </w:pPr>
            <w:r>
              <w:rPr>
                <w:sz w:val="24"/>
              </w:rPr>
              <w:t>河道清淤产生的底泥在受到扰动和堆置地面时可能会产生恶臭并呈无组织形式释放，从而影响周围环境空气质量，主要恶臭污染物为硫化氢和氨。淤泥长期沉积于河底可能含有少量植物、藻类、生活垃圾等，沉积时间如果较长，有机质腐败后容易散发臭味。类比同类河道整治工程疏浚底泥臭气影响强度见下表。</w:t>
            </w:r>
          </w:p>
          <w:p w14:paraId="272E9A77">
            <w:pPr>
              <w:pStyle w:val="48"/>
              <w:spacing w:before="156"/>
              <w:ind w:left="0"/>
            </w:pPr>
            <w:r>
              <w:rPr>
                <w:rFonts w:hint="eastAsia"/>
              </w:rPr>
              <w:t>底泥臭气强度影响距离</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1"/>
              <w:gridCol w:w="2730"/>
              <w:gridCol w:w="2730"/>
            </w:tblGrid>
            <w:tr w14:paraId="3C320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0" w:type="dxa"/>
                  <w:vAlign w:val="center"/>
                </w:tcPr>
                <w:p w14:paraId="41E8912F">
                  <w:pPr>
                    <w:pStyle w:val="93"/>
                    <w:spacing w:before="78" w:after="78"/>
                    <w:rPr>
                      <w:rFonts w:hAnsi="Times New Roman"/>
                      <w:kern w:val="2"/>
                    </w:rPr>
                  </w:pPr>
                  <w:r>
                    <w:rPr>
                      <w:rFonts w:hint="eastAsia" w:hAnsi="Times New Roman"/>
                      <w:kern w:val="2"/>
                    </w:rPr>
                    <w:t>距离</w:t>
                  </w:r>
                </w:p>
              </w:tc>
              <w:tc>
                <w:tcPr>
                  <w:tcW w:w="2670" w:type="dxa"/>
                  <w:vAlign w:val="center"/>
                </w:tcPr>
                <w:p w14:paraId="12169CA2">
                  <w:pPr>
                    <w:pStyle w:val="93"/>
                    <w:spacing w:before="78" w:after="78"/>
                    <w:rPr>
                      <w:rFonts w:hAnsi="Times New Roman"/>
                      <w:kern w:val="2"/>
                    </w:rPr>
                  </w:pPr>
                  <w:r>
                    <w:rPr>
                      <w:rFonts w:hint="eastAsia" w:hAnsi="Times New Roman"/>
                      <w:kern w:val="2"/>
                    </w:rPr>
                    <w:t>臭味感觉强度</w:t>
                  </w:r>
                </w:p>
              </w:tc>
              <w:tc>
                <w:tcPr>
                  <w:tcW w:w="2670" w:type="dxa"/>
                  <w:vAlign w:val="center"/>
                </w:tcPr>
                <w:p w14:paraId="08839D31">
                  <w:pPr>
                    <w:pStyle w:val="93"/>
                    <w:spacing w:before="78" w:after="78"/>
                    <w:rPr>
                      <w:rFonts w:hAnsi="Times New Roman"/>
                      <w:kern w:val="2"/>
                    </w:rPr>
                  </w:pPr>
                  <w:r>
                    <w:rPr>
                      <w:rFonts w:hint="eastAsia" w:hAnsi="Times New Roman"/>
                      <w:kern w:val="2"/>
                    </w:rPr>
                    <w:t>级别</w:t>
                  </w:r>
                </w:p>
              </w:tc>
            </w:tr>
            <w:tr w14:paraId="4DBEB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0" w:type="dxa"/>
                  <w:vAlign w:val="center"/>
                </w:tcPr>
                <w:p w14:paraId="661BB22A">
                  <w:pPr>
                    <w:pStyle w:val="93"/>
                    <w:spacing w:before="78" w:after="78"/>
                    <w:rPr>
                      <w:rFonts w:hAnsi="Times New Roman"/>
                      <w:kern w:val="2"/>
                    </w:rPr>
                  </w:pPr>
                  <w:r>
                    <w:rPr>
                      <w:rFonts w:hAnsi="Times New Roman"/>
                      <w:kern w:val="2"/>
                    </w:rPr>
                    <w:t>堆放区</w:t>
                  </w:r>
                </w:p>
              </w:tc>
              <w:tc>
                <w:tcPr>
                  <w:tcW w:w="2670" w:type="dxa"/>
                  <w:vAlign w:val="center"/>
                </w:tcPr>
                <w:p w14:paraId="4F8EE281">
                  <w:pPr>
                    <w:pStyle w:val="93"/>
                    <w:spacing w:before="78" w:after="78"/>
                    <w:rPr>
                      <w:rFonts w:hAnsi="Times New Roman"/>
                      <w:kern w:val="2"/>
                    </w:rPr>
                  </w:pPr>
                  <w:r>
                    <w:rPr>
                      <w:rFonts w:hAnsi="Times New Roman"/>
                      <w:kern w:val="2"/>
                    </w:rPr>
                    <w:t>有明显臭味</w:t>
                  </w:r>
                </w:p>
              </w:tc>
              <w:tc>
                <w:tcPr>
                  <w:tcW w:w="2670" w:type="dxa"/>
                  <w:vAlign w:val="center"/>
                </w:tcPr>
                <w:p w14:paraId="37944242">
                  <w:pPr>
                    <w:pStyle w:val="93"/>
                    <w:spacing w:before="78" w:after="78"/>
                    <w:rPr>
                      <w:rFonts w:hAnsi="Times New Roman"/>
                      <w:kern w:val="2"/>
                    </w:rPr>
                  </w:pPr>
                  <w:r>
                    <w:rPr>
                      <w:rFonts w:hint="eastAsia" w:hAnsi="Times New Roman"/>
                      <w:kern w:val="2"/>
                    </w:rPr>
                    <w:t>3级</w:t>
                  </w:r>
                </w:p>
              </w:tc>
            </w:tr>
            <w:tr w14:paraId="0304F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0" w:type="dxa"/>
                  <w:vAlign w:val="center"/>
                </w:tcPr>
                <w:p w14:paraId="2992F39B">
                  <w:pPr>
                    <w:pStyle w:val="93"/>
                    <w:spacing w:before="78" w:after="78"/>
                    <w:rPr>
                      <w:rFonts w:hAnsi="Times New Roman"/>
                      <w:kern w:val="2"/>
                    </w:rPr>
                  </w:pPr>
                  <w:r>
                    <w:rPr>
                      <w:rFonts w:hAnsi="Times New Roman"/>
                      <w:kern w:val="2"/>
                    </w:rPr>
                    <w:t>堆放区外30m</w:t>
                  </w:r>
                </w:p>
              </w:tc>
              <w:tc>
                <w:tcPr>
                  <w:tcW w:w="2670" w:type="dxa"/>
                  <w:vAlign w:val="center"/>
                </w:tcPr>
                <w:p w14:paraId="059855AF">
                  <w:pPr>
                    <w:pStyle w:val="93"/>
                    <w:spacing w:before="78" w:after="78"/>
                    <w:rPr>
                      <w:rFonts w:hAnsi="Times New Roman"/>
                      <w:kern w:val="2"/>
                    </w:rPr>
                  </w:pPr>
                  <w:r>
                    <w:rPr>
                      <w:rFonts w:hint="eastAsia" w:hAnsi="Times New Roman"/>
                      <w:kern w:val="2"/>
                    </w:rPr>
                    <w:t>轻微</w:t>
                  </w:r>
                </w:p>
              </w:tc>
              <w:tc>
                <w:tcPr>
                  <w:tcW w:w="2670" w:type="dxa"/>
                  <w:vAlign w:val="center"/>
                </w:tcPr>
                <w:p w14:paraId="401BBBEB">
                  <w:pPr>
                    <w:pStyle w:val="93"/>
                    <w:spacing w:before="78" w:after="78"/>
                    <w:rPr>
                      <w:rFonts w:hAnsi="Times New Roman"/>
                      <w:kern w:val="2"/>
                    </w:rPr>
                  </w:pPr>
                  <w:r>
                    <w:rPr>
                      <w:rFonts w:hint="eastAsia" w:hAnsi="Times New Roman"/>
                      <w:kern w:val="2"/>
                    </w:rPr>
                    <w:t>2级</w:t>
                  </w:r>
                </w:p>
              </w:tc>
            </w:tr>
            <w:tr w14:paraId="0F0B5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0" w:type="dxa"/>
                  <w:vAlign w:val="center"/>
                </w:tcPr>
                <w:p w14:paraId="70EBD48A">
                  <w:pPr>
                    <w:pStyle w:val="93"/>
                    <w:spacing w:before="78" w:after="78"/>
                    <w:rPr>
                      <w:rFonts w:hAnsi="Times New Roman"/>
                      <w:kern w:val="2"/>
                    </w:rPr>
                  </w:pPr>
                  <w:r>
                    <w:rPr>
                      <w:rFonts w:hAnsi="Times New Roman"/>
                      <w:kern w:val="2"/>
                    </w:rPr>
                    <w:t>堆放区外50m</w:t>
                  </w:r>
                </w:p>
              </w:tc>
              <w:tc>
                <w:tcPr>
                  <w:tcW w:w="2670" w:type="dxa"/>
                  <w:vAlign w:val="center"/>
                </w:tcPr>
                <w:p w14:paraId="224598CA">
                  <w:pPr>
                    <w:pStyle w:val="93"/>
                    <w:spacing w:before="78" w:after="78"/>
                    <w:rPr>
                      <w:rFonts w:hAnsi="Times New Roman"/>
                      <w:kern w:val="2"/>
                    </w:rPr>
                  </w:pPr>
                  <w:r>
                    <w:rPr>
                      <w:rFonts w:hint="eastAsia" w:hAnsi="Times New Roman"/>
                      <w:kern w:val="2"/>
                    </w:rPr>
                    <w:t>轻微</w:t>
                  </w:r>
                </w:p>
              </w:tc>
              <w:tc>
                <w:tcPr>
                  <w:tcW w:w="2670" w:type="dxa"/>
                  <w:vAlign w:val="center"/>
                </w:tcPr>
                <w:p w14:paraId="63034217">
                  <w:pPr>
                    <w:pStyle w:val="93"/>
                    <w:spacing w:before="78" w:after="78"/>
                    <w:rPr>
                      <w:rFonts w:hAnsi="Times New Roman"/>
                      <w:kern w:val="2"/>
                    </w:rPr>
                  </w:pPr>
                  <w:r>
                    <w:rPr>
                      <w:rFonts w:hint="eastAsia" w:hAnsi="Times New Roman"/>
                      <w:kern w:val="2"/>
                    </w:rPr>
                    <w:t>1级</w:t>
                  </w:r>
                </w:p>
              </w:tc>
            </w:tr>
            <w:tr w14:paraId="7C99D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0" w:type="dxa"/>
                  <w:vAlign w:val="center"/>
                </w:tcPr>
                <w:p w14:paraId="41CF7876">
                  <w:pPr>
                    <w:pStyle w:val="93"/>
                    <w:spacing w:before="78" w:after="78"/>
                    <w:rPr>
                      <w:rFonts w:hAnsi="Times New Roman"/>
                      <w:kern w:val="2"/>
                    </w:rPr>
                  </w:pPr>
                  <w:r>
                    <w:rPr>
                      <w:rFonts w:hint="eastAsia" w:hAnsi="Times New Roman"/>
                      <w:kern w:val="2"/>
                    </w:rPr>
                    <w:t>80m</w:t>
                  </w:r>
                </w:p>
              </w:tc>
              <w:tc>
                <w:tcPr>
                  <w:tcW w:w="2670" w:type="dxa"/>
                  <w:vAlign w:val="center"/>
                </w:tcPr>
                <w:p w14:paraId="4F4D1E88">
                  <w:pPr>
                    <w:pStyle w:val="93"/>
                    <w:spacing w:before="78" w:after="78"/>
                    <w:rPr>
                      <w:rFonts w:hAnsi="Times New Roman"/>
                      <w:kern w:val="2"/>
                    </w:rPr>
                  </w:pPr>
                  <w:r>
                    <w:rPr>
                      <w:rFonts w:hint="eastAsia" w:hAnsi="Times New Roman"/>
                      <w:kern w:val="2"/>
                    </w:rPr>
                    <w:t>无</w:t>
                  </w:r>
                </w:p>
              </w:tc>
              <w:tc>
                <w:tcPr>
                  <w:tcW w:w="2670" w:type="dxa"/>
                  <w:vAlign w:val="center"/>
                </w:tcPr>
                <w:p w14:paraId="5C99352D">
                  <w:pPr>
                    <w:pStyle w:val="93"/>
                    <w:spacing w:before="78" w:after="78"/>
                    <w:rPr>
                      <w:rFonts w:hAnsi="Times New Roman"/>
                      <w:kern w:val="2"/>
                    </w:rPr>
                  </w:pPr>
                  <w:r>
                    <w:rPr>
                      <w:rFonts w:hint="eastAsia" w:hAnsi="Times New Roman"/>
                      <w:kern w:val="2"/>
                    </w:rPr>
                    <w:t>0级</w:t>
                  </w:r>
                </w:p>
              </w:tc>
            </w:tr>
          </w:tbl>
          <w:p w14:paraId="35C63142">
            <w:pPr>
              <w:spacing w:line="440" w:lineRule="exact"/>
              <w:ind w:firstLine="480" w:firstLineChars="200"/>
              <w:rPr>
                <w:sz w:val="24"/>
              </w:rPr>
            </w:pPr>
            <w:r>
              <w:rPr>
                <w:sz w:val="24"/>
              </w:rPr>
              <w:t>根据类比分析，河道清淤过程中在河道岸边将会有明显的臭味，30m之外达到2级强度，有轻微臭味，低于恶臭强度的限值标准（2.5~3.5级）；80m之外基本无气味。</w:t>
            </w:r>
          </w:p>
          <w:p w14:paraId="0F5C6FD8">
            <w:pPr>
              <w:spacing w:line="440" w:lineRule="exact"/>
              <w:ind w:firstLine="480" w:firstLineChars="200"/>
              <w:rPr>
                <w:sz w:val="24"/>
              </w:rPr>
            </w:pPr>
            <w:r>
              <w:rPr>
                <w:sz w:val="24"/>
              </w:rPr>
              <w:t>为进一步减少恶臭影响，本项目拟采取如下措施：</w:t>
            </w:r>
          </w:p>
          <w:p w14:paraId="683B7427">
            <w:pPr>
              <w:spacing w:line="440" w:lineRule="exact"/>
              <w:ind w:firstLine="480" w:firstLineChars="200"/>
              <w:rPr>
                <w:sz w:val="24"/>
              </w:rPr>
            </w:pPr>
            <w:r>
              <w:rPr>
                <w:sz w:val="24"/>
              </w:rPr>
              <w:t>淤泥翻晒场设置尽量远离人群聚集区域。</w:t>
            </w:r>
          </w:p>
          <w:p w14:paraId="4BE3EF55">
            <w:pPr>
              <w:spacing w:line="440" w:lineRule="exact"/>
              <w:ind w:firstLine="480" w:firstLineChars="200"/>
              <w:rPr>
                <w:sz w:val="24"/>
              </w:rPr>
            </w:pPr>
            <w:r>
              <w:rPr>
                <w:sz w:val="24"/>
              </w:rPr>
              <w:t>清淤过程中，为减少少量臭气的排放，在附近分布有集中居民点的施工场地周围建设围栏，高度一般为2.5—3m，避免臭气直接扩散。</w:t>
            </w:r>
          </w:p>
          <w:p w14:paraId="026170B1">
            <w:pPr>
              <w:spacing w:line="440" w:lineRule="exact"/>
              <w:ind w:firstLine="480" w:firstLineChars="200"/>
              <w:rPr>
                <w:sz w:val="24"/>
              </w:rPr>
            </w:pPr>
            <w:r>
              <w:rPr>
                <w:sz w:val="24"/>
              </w:rPr>
              <w:t>对施工工人采取保护措施，如佩戴防护口罩、面具等；淤泥采用封闭运输车密闭运输，以防止沿途散落；运输避开居民密集区，临时淤泥翻晒场定期喷洒除臭剂。</w:t>
            </w:r>
          </w:p>
          <w:p w14:paraId="6F2CDD7C">
            <w:pPr>
              <w:spacing w:line="440" w:lineRule="exact"/>
              <w:ind w:firstLine="480" w:firstLineChars="200"/>
              <w:rPr>
                <w:sz w:val="24"/>
              </w:rPr>
            </w:pPr>
            <w:r>
              <w:rPr>
                <w:sz w:val="24"/>
              </w:rPr>
              <w:t>同时淤泥恶臭的影响只是暂时的，随着施工期的结束影响也随之消失。</w:t>
            </w:r>
          </w:p>
          <w:p w14:paraId="2739DE2E">
            <w:pPr>
              <w:pStyle w:val="4"/>
              <w:numPr>
                <w:ilvl w:val="1"/>
                <w:numId w:val="28"/>
              </w:numPr>
            </w:pPr>
            <w:r>
              <w:rPr>
                <w:rFonts w:hint="eastAsia"/>
              </w:rPr>
              <w:t>堆放扬尘</w:t>
            </w:r>
          </w:p>
          <w:p w14:paraId="720D4620">
            <w:pPr>
              <w:spacing w:line="440" w:lineRule="exact"/>
              <w:ind w:firstLine="480" w:firstLineChars="200"/>
              <w:rPr>
                <w:sz w:val="24"/>
              </w:rPr>
            </w:pPr>
            <w:r>
              <w:rPr>
                <w:sz w:val="24"/>
              </w:rPr>
              <w:t>本项目施工期表土临时堆场临时堆存表土以及土石方时会产生少量扬尘，通过采用不定时洒水，增大其含水率，降低起尘量，同时项目堆场设防尘网遮挡，对表土临时堆场表面进行压实、绿化。</w:t>
            </w:r>
          </w:p>
          <w:p w14:paraId="02483B68">
            <w:pPr>
              <w:spacing w:line="440" w:lineRule="exact"/>
              <w:ind w:firstLine="480" w:firstLineChars="200"/>
              <w:rPr>
                <w:sz w:val="24"/>
              </w:rPr>
            </w:pPr>
            <w:r>
              <w:rPr>
                <w:sz w:val="24"/>
              </w:rPr>
              <w:t>综上所述，施工期大气环境污染具有随时间变化，漂移距离近、影响距离和范围小等特点，其影响仅限于施工期，待施工期结束后影响随即停止，不会产生累积污染影响。在加强对废气排放源的管理、采取洒水降尘等措施的情况下，可以将施工期废气对周围大气环境的影响程度降至最低。因此，施工期产生的废气对周边外环境影响较小。</w:t>
            </w:r>
          </w:p>
          <w:p w14:paraId="281BA8F9">
            <w:pPr>
              <w:pStyle w:val="9"/>
              <w:spacing w:line="440" w:lineRule="exact"/>
              <w:ind w:firstLine="480" w:firstLineChars="200"/>
              <w:rPr>
                <w:rFonts w:hint="default" w:ascii="Times New Roman" w:eastAsia="宋体"/>
                <w:sz w:val="24"/>
              </w:rPr>
            </w:pPr>
            <w:r>
              <w:rPr>
                <w:rFonts w:hint="default" w:ascii="Times New Roman" w:eastAsia="宋体"/>
                <w:sz w:val="24"/>
              </w:rPr>
              <w:t>按照国家有关建筑施工的有关规定，</w:t>
            </w:r>
            <w:r>
              <w:rPr>
                <w:rFonts w:ascii="Times New Roman" w:eastAsia="宋体"/>
                <w:sz w:val="24"/>
              </w:rPr>
              <w:t>施工期</w:t>
            </w:r>
            <w:r>
              <w:rPr>
                <w:rFonts w:hint="default" w:ascii="Times New Roman" w:eastAsia="宋体"/>
                <w:sz w:val="24"/>
              </w:rPr>
              <w:t>建议采取如下措施</w:t>
            </w:r>
            <w:r>
              <w:rPr>
                <w:rFonts w:ascii="Times New Roman" w:eastAsia="宋体"/>
                <w:sz w:val="24"/>
              </w:rPr>
              <w:t>。</w:t>
            </w:r>
          </w:p>
          <w:p w14:paraId="482E2808">
            <w:pPr>
              <w:spacing w:line="440" w:lineRule="exact"/>
              <w:ind w:firstLine="480" w:firstLineChars="200"/>
              <w:rPr>
                <w:sz w:val="24"/>
              </w:rPr>
            </w:pPr>
            <w:r>
              <w:rPr>
                <w:rFonts w:hint="eastAsia"/>
                <w:sz w:val="24"/>
              </w:rPr>
              <w:t>①施工单位必须选用符合国家有关卫生标准的施工机械和运输工具，使其排放的废气符合国家有关标准。</w:t>
            </w:r>
          </w:p>
          <w:p w14:paraId="2DC2A801">
            <w:pPr>
              <w:spacing w:line="440" w:lineRule="exact"/>
              <w:ind w:firstLine="480" w:firstLineChars="200"/>
              <w:rPr>
                <w:sz w:val="24"/>
              </w:rPr>
            </w:pPr>
            <w:r>
              <w:rPr>
                <w:rFonts w:hint="eastAsia"/>
                <w:sz w:val="24"/>
              </w:rPr>
              <w:t>②凿裂、钻孔提倡湿法作业，降低粉尘量。。</w:t>
            </w:r>
          </w:p>
          <w:p w14:paraId="1FB3F3D3">
            <w:pPr>
              <w:spacing w:line="440" w:lineRule="exact"/>
              <w:ind w:firstLine="480" w:firstLineChars="200"/>
              <w:rPr>
                <w:sz w:val="24"/>
                <w:highlight w:val="yellow"/>
              </w:rPr>
            </w:pPr>
            <w:r>
              <w:rPr>
                <w:rFonts w:hint="eastAsia"/>
                <w:sz w:val="24"/>
              </w:rPr>
              <w:t>③配备3台洒水车，重点在各工区、施工公路等地，非雨日的早、中、晚来回洒水，减少扬尘，缩短粉尘的影响时段，减小影响范围。</w:t>
            </w:r>
          </w:p>
          <w:p w14:paraId="559DA7BD">
            <w:pPr>
              <w:spacing w:line="440" w:lineRule="exact"/>
              <w:ind w:firstLine="480" w:firstLineChars="200"/>
              <w:rPr>
                <w:sz w:val="24"/>
              </w:rPr>
            </w:pPr>
            <w:r>
              <w:rPr>
                <w:rFonts w:hint="eastAsia"/>
                <w:sz w:val="24"/>
              </w:rPr>
              <w:t>④地下工程如引水隧洞的开挖采用喷水、增设通风设施，加强通风，改善扩散条件等方式，降低粉尘浓度。</w:t>
            </w:r>
          </w:p>
          <w:p w14:paraId="1C38DF72">
            <w:pPr>
              <w:spacing w:line="440" w:lineRule="exact"/>
              <w:ind w:firstLine="480" w:firstLineChars="200"/>
              <w:rPr>
                <w:sz w:val="24"/>
              </w:rPr>
            </w:pPr>
            <w:r>
              <w:rPr>
                <w:rFonts w:hint="eastAsia"/>
                <w:sz w:val="24"/>
              </w:rPr>
              <w:t>⑤施工期间，交通车辆多为柴油燃料的大型运输车辆，尾气排放量与污染物含量相对较高，需安装尾气净化器，降低废气排放量。</w:t>
            </w:r>
          </w:p>
          <w:p w14:paraId="4CE0CD76">
            <w:pPr>
              <w:spacing w:line="440" w:lineRule="exact"/>
              <w:ind w:firstLine="480" w:firstLineChars="200"/>
              <w:rPr>
                <w:sz w:val="24"/>
              </w:rPr>
            </w:pPr>
            <w:r>
              <w:rPr>
                <w:rFonts w:hint="eastAsia"/>
                <w:sz w:val="24"/>
              </w:rPr>
              <w:t>⑥对公路进行定期养护、维护、清扫，保持公路运行正常。</w:t>
            </w:r>
          </w:p>
          <w:p w14:paraId="673718C8">
            <w:pPr>
              <w:spacing w:line="440" w:lineRule="exact"/>
              <w:ind w:firstLine="480" w:firstLineChars="200"/>
              <w:rPr>
                <w:sz w:val="24"/>
              </w:rPr>
            </w:pPr>
            <w:r>
              <w:rPr>
                <w:rFonts w:hint="eastAsia"/>
                <w:sz w:val="24"/>
              </w:rPr>
              <w:t>⑦在居民相对集中的附近限制施工车辆运行速度，减少扬尘。</w:t>
            </w:r>
          </w:p>
          <w:p w14:paraId="47BEA698">
            <w:pPr>
              <w:spacing w:line="440" w:lineRule="exact"/>
              <w:ind w:firstLine="480" w:firstLineChars="200"/>
              <w:rPr>
                <w:sz w:val="24"/>
              </w:rPr>
            </w:pPr>
            <w:r>
              <w:rPr>
                <w:rFonts w:hint="eastAsia"/>
                <w:sz w:val="24"/>
              </w:rPr>
              <w:t>⑧无雨日进行洒水降尘。</w:t>
            </w:r>
          </w:p>
          <w:p w14:paraId="7809EB4F">
            <w:pPr>
              <w:spacing w:line="440" w:lineRule="exact"/>
              <w:ind w:firstLine="480" w:firstLineChars="200"/>
              <w:rPr>
                <w:sz w:val="24"/>
              </w:rPr>
            </w:pPr>
            <w:r>
              <w:rPr>
                <w:rFonts w:hint="eastAsia"/>
                <w:sz w:val="24"/>
              </w:rPr>
              <w:t>采取上述措施后，项目施工作业扬尘可满足《四川省施工场地扬尘排放标准》（DB51/2682-2020），环保措施可行有效，不会引起较大的污染问题。</w:t>
            </w:r>
          </w:p>
          <w:p w14:paraId="2F952A97">
            <w:pPr>
              <w:pStyle w:val="4"/>
              <w:numPr>
                <w:ilvl w:val="0"/>
                <w:numId w:val="28"/>
              </w:numPr>
              <w:rPr>
                <w:bCs/>
              </w:rPr>
            </w:pPr>
            <w:r>
              <w:rPr>
                <w:bCs/>
              </w:rPr>
              <w:t>对水环境影响及治理措施</w:t>
            </w:r>
          </w:p>
          <w:p w14:paraId="088FA41F">
            <w:pPr>
              <w:pStyle w:val="36"/>
              <w:ind w:firstLine="480"/>
              <w:rPr>
                <w:rFonts w:hint="default"/>
              </w:rPr>
            </w:pPr>
            <w:r>
              <w:t>施工期的废水主要来源为两部分，生产废水和生活废水。</w:t>
            </w:r>
          </w:p>
          <w:p w14:paraId="0997F4C2">
            <w:pPr>
              <w:pStyle w:val="4"/>
              <w:numPr>
                <w:ilvl w:val="1"/>
                <w:numId w:val="28"/>
              </w:numPr>
              <w:rPr>
                <w:bCs/>
              </w:rPr>
            </w:pPr>
            <w:r>
              <w:rPr>
                <w:rFonts w:hint="eastAsia"/>
                <w:bCs/>
              </w:rPr>
              <w:t>生活污水</w:t>
            </w:r>
          </w:p>
          <w:p w14:paraId="2595727F">
            <w:pPr>
              <w:pStyle w:val="36"/>
              <w:ind w:firstLine="480"/>
              <w:rPr>
                <w:rFonts w:hint="default"/>
              </w:rPr>
            </w:pPr>
            <w:r>
              <w:t>项目工程位置在大英县金元镇场镇内，施工期间工地不设宿舍、食堂，施工人员租用当地民房，且就近在餐馆就餐。施工高峰期间施工人员及工地管理人员共约100人，根据《四川省用水定额》（川府函〔2021〕8号）表36城镇居民生活用水定额表：城镇居民-小城市-生活用水定额160L/人·d计算，用水量最高为16m</w:t>
            </w:r>
            <w:r>
              <w:rPr>
                <w:vertAlign w:val="superscript"/>
              </w:rPr>
              <w:t>3</w:t>
            </w:r>
            <w:r>
              <w:t>/d，生活污水排放系数按0.85计，项目施工期生活污水产生量为13.6m</w:t>
            </w:r>
            <w:r>
              <w:rPr>
                <w:vertAlign w:val="superscript"/>
              </w:rPr>
              <w:t>3</w:t>
            </w:r>
            <w:r>
              <w:t>/d。生活污水来源于施工期施工人员生活用水，其主要污染物为CODcr和BOD</w:t>
            </w:r>
            <w:r>
              <w:rPr>
                <w:vertAlign w:val="subscript"/>
              </w:rPr>
              <w:t>5</w:t>
            </w:r>
            <w:r>
              <w:t>，浓度分别约为400mg/L和200mg/L。</w:t>
            </w:r>
          </w:p>
          <w:p w14:paraId="71563891">
            <w:pPr>
              <w:pStyle w:val="36"/>
              <w:ind w:firstLine="480"/>
              <w:rPr>
                <w:rFonts w:hint="default"/>
              </w:rPr>
            </w:pPr>
            <w:r>
              <w:t>治理措施：生活污水通过租用民房既有的生活污水处理设施收集处理后用于附近农用地施肥，不外排。</w:t>
            </w:r>
          </w:p>
          <w:p w14:paraId="13C508FE">
            <w:pPr>
              <w:pStyle w:val="36"/>
              <w:ind w:firstLine="480"/>
              <w:rPr>
                <w:rFonts w:hint="default"/>
              </w:rPr>
            </w:pPr>
            <w:r>
              <w:t>不设置施工营地及食堂的可行性分析：本项目位于大英县金元镇，周边路网较为发达。施工人员租用当地既有民房，不设置食堂，施工人员均就近在附近乡镇餐馆就餐，生活污水依托租用民房既有的生活污水处理设施收集处理。能有效避免施工营地建设、拆除过程及施工人员产生的生活废水、食堂废水、食堂油烟等周边环境产生的影响。</w:t>
            </w:r>
          </w:p>
          <w:p w14:paraId="08F6A48F">
            <w:pPr>
              <w:pStyle w:val="4"/>
              <w:numPr>
                <w:ilvl w:val="1"/>
                <w:numId w:val="28"/>
              </w:numPr>
              <w:rPr>
                <w:bCs/>
              </w:rPr>
            </w:pPr>
            <w:r>
              <w:rPr>
                <w:rFonts w:hint="eastAsia"/>
                <w:bCs/>
              </w:rPr>
              <w:t>施工废水</w:t>
            </w:r>
          </w:p>
          <w:p w14:paraId="7913C2D5">
            <w:pPr>
              <w:pStyle w:val="36"/>
              <w:ind w:firstLine="480"/>
              <w:rPr>
                <w:rFonts w:hint="default"/>
              </w:rPr>
            </w:pPr>
            <w:r>
              <w:t>本项目不设机修设施，施工期间机修依靠当地维修厂。工程施工过程中产生的生产废水主要为基坑排水、车辆冲洗废水、淤泥翻晒场废水等。</w:t>
            </w:r>
          </w:p>
          <w:p w14:paraId="06267120">
            <w:pPr>
              <w:pStyle w:val="36"/>
              <w:ind w:firstLine="480"/>
              <w:rPr>
                <w:rFonts w:hint="default"/>
              </w:rPr>
            </w:pPr>
            <w:r>
              <w:t>（1）车辆冲洗废水</w:t>
            </w:r>
          </w:p>
          <w:p w14:paraId="0BCE82F7">
            <w:pPr>
              <w:pStyle w:val="36"/>
              <w:ind w:firstLine="480"/>
              <w:rPr>
                <w:rFonts w:hint="default"/>
              </w:rPr>
            </w:pPr>
            <w:r>
              <w:t>本项目要对出场车胎进行冲洗。项目工程期内进出车辆约400次。根据《四川省用水定额》（川府函〔2021〕8号）指定的用水标准，每辆车冲洗用水量约0.12m</w:t>
            </w:r>
            <w:r>
              <w:rPr>
                <w:vertAlign w:val="superscript"/>
              </w:rPr>
              <w:t>3</w:t>
            </w:r>
            <w:r>
              <w:t>/（辆·次），则本项目车辆冲洗用水量为48m</w:t>
            </w:r>
            <w:r>
              <w:rPr>
                <w:vertAlign w:val="superscript"/>
              </w:rPr>
              <w:t>3</w:t>
            </w:r>
            <w:r>
              <w:t>（0.23m</w:t>
            </w:r>
            <w:r>
              <w:rPr>
                <w:vertAlign w:val="superscript"/>
              </w:rPr>
              <w:t>3</w:t>
            </w:r>
            <w:r>
              <w:t>/d）。蒸发、轮胎带走等损失按照20%计，即本项目车辆冲洗废水产生量为38.4m</w:t>
            </w:r>
            <w:r>
              <w:rPr>
                <w:vertAlign w:val="superscript"/>
              </w:rPr>
              <w:t>3</w:t>
            </w:r>
            <w:r>
              <w:t>（0.18m</w:t>
            </w:r>
            <w:r>
              <w:rPr>
                <w:vertAlign w:val="superscript"/>
              </w:rPr>
              <w:t>3</w:t>
            </w:r>
            <w:r>
              <w:t>/d）。类比同类工程，车辆冲洗废水SS浓度约为2000～4000mg/L。该部分废水可经隔油沉淀池处理后回用于车辆冲洗，具有水量较小、间歇集中排放的特点。</w:t>
            </w:r>
          </w:p>
          <w:p w14:paraId="0C82E2E6">
            <w:pPr>
              <w:pStyle w:val="36"/>
              <w:ind w:firstLine="480"/>
              <w:rPr>
                <w:rFonts w:hint="default"/>
              </w:rPr>
            </w:pPr>
            <w:r>
              <w:t>治理措施：针对本项目施工废水特点，评价要求车辆在项目施工场地内进出口处设置清洗设施及冲洗池，配套建设排水沟和小型成品隔油池、沉淀池等设备处理清洗车辆产生的含油废水，施工废水经相应隔油沉淀处理后回用于汽车冲洗使用，沉淀池泥沙与淤泥一同回田综合利用。项目在施工场地修建1套隔油沉淀系统，单个池容积设置为5m</w:t>
            </w:r>
            <w:r>
              <w:rPr>
                <w:vertAlign w:val="superscript"/>
              </w:rPr>
              <w:t>3</w:t>
            </w:r>
            <w:r>
              <w:t>。</w:t>
            </w:r>
          </w:p>
          <w:p w14:paraId="144748A1">
            <w:pPr>
              <w:pStyle w:val="36"/>
              <w:ind w:firstLine="480"/>
              <w:rPr>
                <w:rFonts w:hint="default"/>
              </w:rPr>
            </w:pPr>
            <w:r>
              <w:t>（2）基坑排水</w:t>
            </w:r>
          </w:p>
          <w:p w14:paraId="0DBA0F60">
            <w:pPr>
              <w:pStyle w:val="36"/>
              <w:ind w:firstLine="480"/>
              <w:rPr>
                <w:rFonts w:hint="default"/>
              </w:rPr>
            </w:pPr>
            <w:r>
              <w:t>基坑排水是施工活动产生生产废水的主要途径之一，基坑排水主要由降水、渗水、汇集而产生，与天然河流水质差别不大。但由于开挖扰动，会导致基坑内悬浮物浓度较高，悬浮物含量一般为1500-4000mgL。对于基坑内局部渗水及坡面来水，采用强排水法施工，每段选用水泵排至下游。用水泵抽出基坑废水，经沉淀池沉淀后回用于场地洒水降尘。依次完成工程后拆除。本工程基坑排水主要为经常性排水。经常性排水主要包括渗水、降雨、施工废水等。采用在基坑内设排水沟、集水坑，并在河道设置一个临时沉淀池，将基坑排水沉淀处理后回用于降尘。</w:t>
            </w:r>
          </w:p>
          <w:p w14:paraId="35EC82E8">
            <w:pPr>
              <w:pStyle w:val="36"/>
              <w:ind w:firstLine="480"/>
              <w:rPr>
                <w:rFonts w:hint="default"/>
              </w:rPr>
            </w:pPr>
            <w:r>
              <w:t>（3）淤泥翻晒场废水</w:t>
            </w:r>
          </w:p>
          <w:p w14:paraId="4D66DE7D">
            <w:pPr>
              <w:pStyle w:val="36"/>
              <w:ind w:firstLine="480"/>
              <w:rPr>
                <w:rFonts w:hint="default"/>
                <w:highlight w:val="yellow"/>
              </w:rPr>
            </w:pPr>
            <w:r>
              <w:t>项目拟对河道进行清淤疏浚，清淤产生淤泥共约0.48万立方，产生的淤泥经翻晒后脱水至含水率低于60%后，集中运输至金元镇附近田地综合利用。淤泥水自然蒸发，不外排。淤泥翻晒过程中溢出的废水经施工场地内的一座三级沉淀池处理后上清液用于施工用水或</w:t>
            </w:r>
            <w:r>
              <w:rPr>
                <w:rFonts w:hint="eastAsia"/>
                <w:lang w:eastAsia="zh-CN"/>
              </w:rPr>
              <w:t>洒水降尘、</w:t>
            </w:r>
            <w:r>
              <w:t>冲洗车辆。</w:t>
            </w:r>
          </w:p>
          <w:p w14:paraId="7E7243F0">
            <w:pPr>
              <w:pStyle w:val="36"/>
              <w:ind w:firstLine="480"/>
              <w:rPr>
                <w:rFonts w:hint="default"/>
              </w:rPr>
            </w:pPr>
            <w:r>
              <w:t>（4）项目降尘用水</w:t>
            </w:r>
          </w:p>
          <w:p w14:paraId="00A548ED">
            <w:pPr>
              <w:pStyle w:val="36"/>
              <w:ind w:firstLine="480"/>
              <w:rPr>
                <w:rFonts w:hint="default"/>
              </w:rPr>
            </w:pPr>
            <w:r>
              <w:t>①表土临时堆场洒水降尘用水</w:t>
            </w:r>
          </w:p>
          <w:p w14:paraId="5FEB4D97">
            <w:pPr>
              <w:pStyle w:val="36"/>
              <w:ind w:firstLine="480"/>
              <w:rPr>
                <w:rFonts w:hint="default"/>
              </w:rPr>
            </w:pPr>
            <w:r>
              <w:t>本项目表土临时堆料场每天洒水</w:t>
            </w:r>
            <w:r>
              <w:rPr>
                <w:rFonts w:hint="eastAsia"/>
                <w:lang w:val="en-US" w:eastAsia="zh-CN"/>
              </w:rPr>
              <w:t>2</w:t>
            </w:r>
            <w:r>
              <w:t>次，降尘用水量按</w:t>
            </w:r>
            <w:r>
              <w:rPr>
                <w:rFonts w:hint="eastAsia"/>
                <w:lang w:val="en-US" w:eastAsia="zh-CN"/>
              </w:rPr>
              <w:t>5</w:t>
            </w:r>
            <w:r>
              <w:t>L/m</w:t>
            </w:r>
            <w:r>
              <w:rPr>
                <w:vertAlign w:val="superscript"/>
              </w:rPr>
              <w:t>2</w:t>
            </w:r>
            <w:r>
              <w:t>•次，表土临时堆场占地约200m</w:t>
            </w:r>
            <w:r>
              <w:rPr>
                <w:vertAlign w:val="superscript"/>
              </w:rPr>
              <w:t>2</w:t>
            </w:r>
            <w:r>
              <w:t>，故表土临时堆场用水量为</w:t>
            </w:r>
            <w:r>
              <w:rPr>
                <w:rFonts w:hint="eastAsia"/>
                <w:lang w:val="en-US" w:eastAsia="zh-CN"/>
              </w:rPr>
              <w:t>2</w:t>
            </w:r>
            <w:r>
              <w:t>m</w:t>
            </w:r>
            <w:r>
              <w:rPr>
                <w:vertAlign w:val="superscript"/>
              </w:rPr>
              <w:t>3</w:t>
            </w:r>
            <w:r>
              <w:t>/d。</w:t>
            </w:r>
          </w:p>
          <w:p w14:paraId="610C7B1D">
            <w:pPr>
              <w:pStyle w:val="36"/>
              <w:ind w:firstLine="480"/>
              <w:rPr>
                <w:rFonts w:hint="default"/>
              </w:rPr>
            </w:pPr>
            <w:r>
              <w:t>②道路降尘用水</w:t>
            </w:r>
          </w:p>
          <w:p w14:paraId="36DBE3FF">
            <w:pPr>
              <w:pStyle w:val="36"/>
              <w:ind w:firstLine="480"/>
              <w:rPr>
                <w:rFonts w:hint="default"/>
              </w:rPr>
            </w:pPr>
            <w:r>
              <w:t>道路洒水降尘仅在晴天进行，每天利用洒水车洒水降尘2次。本项目涉及道路路面面积约4000m</w:t>
            </w:r>
            <w:r>
              <w:rPr>
                <w:vertAlign w:val="superscript"/>
              </w:rPr>
              <w:t>2</w:t>
            </w:r>
            <w:r>
              <w:t>（长度约1km），洒水车的道路降尘用水量平均按2L/m</w:t>
            </w:r>
            <w:r>
              <w:rPr>
                <w:vertAlign w:val="superscript"/>
              </w:rPr>
              <w:t>2</w:t>
            </w:r>
            <w:r>
              <w:t>·d计算，则本项目道路降尘用水量为16m</w:t>
            </w:r>
            <w:r>
              <w:rPr>
                <w:vertAlign w:val="superscript"/>
              </w:rPr>
              <w:t>3</w:t>
            </w:r>
            <w:r>
              <w:t>/d。</w:t>
            </w:r>
          </w:p>
          <w:p w14:paraId="2CC68D06">
            <w:pPr>
              <w:pStyle w:val="36"/>
              <w:ind w:firstLine="480"/>
              <w:rPr>
                <w:rFonts w:hint="default"/>
              </w:rPr>
            </w:pPr>
            <w:r>
              <w:t>③施工场地洒水降尘用水</w:t>
            </w:r>
          </w:p>
          <w:p w14:paraId="581CDB6C">
            <w:pPr>
              <w:pStyle w:val="36"/>
              <w:ind w:firstLine="480"/>
              <w:rPr>
                <w:rFonts w:hint="default"/>
              </w:rPr>
            </w:pPr>
            <w:r>
              <w:t>本项目施工场地每天洒水2次，降尘用水量按0.5L/m</w:t>
            </w:r>
            <w:r>
              <w:rPr>
                <w:vertAlign w:val="superscript"/>
              </w:rPr>
              <w:t>2</w:t>
            </w:r>
            <w:r>
              <w:t>•次，施工场地占地约1000m</w:t>
            </w:r>
            <w:r>
              <w:rPr>
                <w:vertAlign w:val="superscript"/>
              </w:rPr>
              <w:t>2</w:t>
            </w:r>
            <w:r>
              <w:t>，故施工场地洒水降尘用水量为1m</w:t>
            </w:r>
            <w:r>
              <w:rPr>
                <w:vertAlign w:val="superscript"/>
              </w:rPr>
              <w:t>3</w:t>
            </w:r>
            <w:r>
              <w:t>/d。</w:t>
            </w:r>
          </w:p>
          <w:p w14:paraId="661A9992">
            <w:pPr>
              <w:pStyle w:val="36"/>
              <w:ind w:firstLine="480"/>
              <w:rPr>
                <w:rFonts w:hint="default"/>
              </w:rPr>
            </w:pPr>
            <w:r>
              <w:t>④土石方开挖、装卸降尘用水</w:t>
            </w:r>
          </w:p>
          <w:p w14:paraId="25825FFD">
            <w:pPr>
              <w:pStyle w:val="36"/>
              <w:ind w:firstLine="480"/>
              <w:rPr>
                <w:rFonts w:hint="default"/>
              </w:rPr>
            </w:pPr>
            <w:r>
              <w:t>本项目河道施工开挖土石方均含水量较高，产生的扬尘量较低，本项目涉及土石方开挖工区采用湿法作业，利用洒水车降尘，每天洒水8h，降尘用水量按50L/min计算，故土石方开挖、装卸降尘用水量为24m</w:t>
            </w:r>
            <w:r>
              <w:rPr>
                <w:vertAlign w:val="superscript"/>
              </w:rPr>
              <w:t>3</w:t>
            </w:r>
            <w:r>
              <w:t>/d。</w:t>
            </w:r>
          </w:p>
          <w:p w14:paraId="15A9409C">
            <w:pPr>
              <w:pStyle w:val="36"/>
              <w:ind w:firstLine="480"/>
              <w:rPr>
                <w:rFonts w:hint="default"/>
              </w:rPr>
            </w:pPr>
            <w:r>
              <w:t>综上，本项目施工期洒水降尘用水约41.2m</w:t>
            </w:r>
            <w:r>
              <w:rPr>
                <w:vertAlign w:val="superscript"/>
              </w:rPr>
              <w:t>3</w:t>
            </w:r>
            <w:r>
              <w:t>/d。此部分用水主要来源于施工河道和沉淀池回用水，项目用水全部蒸发损耗或沉淀池回用。因此，项目施工期废水无外排，对地表水无影响。</w:t>
            </w:r>
          </w:p>
          <w:p w14:paraId="19205007">
            <w:pPr>
              <w:pStyle w:val="4"/>
              <w:numPr>
                <w:ilvl w:val="1"/>
                <w:numId w:val="28"/>
              </w:numPr>
              <w:rPr>
                <w:bCs/>
              </w:rPr>
            </w:pPr>
            <w:r>
              <w:rPr>
                <w:rFonts w:hint="eastAsia"/>
                <w:bCs/>
              </w:rPr>
              <w:t>施工期雨水</w:t>
            </w:r>
          </w:p>
          <w:p w14:paraId="07AAEE98">
            <w:pPr>
              <w:pStyle w:val="36"/>
              <w:ind w:firstLine="480"/>
              <w:rPr>
                <w:rFonts w:hint="default"/>
              </w:rPr>
            </w:pPr>
            <w:r>
              <w:t>项目施工期间，开挖产生的地面裸露及堆场在强降雨条件下，随着雨水冲刷将产生水土流失而进入周围水体，造成水体污染，甚至淤塞河道。因此，工程施工前，需要先剥离区内的表土，剥离表土就近堆放于施工场地内的临时堆场内，在施工期间应注意对这些裸露地面及堆场的防护。</w:t>
            </w:r>
          </w:p>
          <w:p w14:paraId="438FECB9">
            <w:pPr>
              <w:pStyle w:val="36"/>
              <w:ind w:firstLine="480"/>
              <w:rPr>
                <w:rFonts w:hint="default"/>
              </w:rPr>
            </w:pPr>
            <w:r>
              <w:t>主体工程防治区：施工过程中，如遇降雨拟采用防雨布对区内裸露的土质坡面和松散的临时堆渣进行覆盖，对临河建设的水工建筑物基础下边坡设置挡板进行临时拦挡。</w:t>
            </w:r>
          </w:p>
          <w:p w14:paraId="03795532">
            <w:pPr>
              <w:pStyle w:val="36"/>
              <w:ind w:firstLine="480"/>
              <w:rPr>
                <w:rFonts w:hint="default"/>
              </w:rPr>
            </w:pPr>
            <w:r>
              <w:t>施工场地防治区：根据施工场地布置情况在其周边开挖简易排水沟，排水沟出口设置三级沉淀池。施工场地内的淤泥翻晒场在周边设置填土编织袋或挡土墙等进行临时拦挡，外侧布设排水沟，接三级沉淀池。施工场地内表土临时堆场周边设置临时拦挡，外侧布设排水沟，接三级沉淀池，降雨期间采用防雨布对临时堆土的土质坡面进行临时覆盖。</w:t>
            </w:r>
          </w:p>
          <w:p w14:paraId="60C6066D">
            <w:pPr>
              <w:pStyle w:val="36"/>
              <w:ind w:firstLine="480"/>
              <w:rPr>
                <w:rFonts w:hint="default"/>
              </w:rPr>
            </w:pPr>
            <w:r>
              <w:t>采取这些措施后将大大减少因土质裸露而产生含泥冲刷污水，且设置的沉淀池对含泥污水具有沉淀作用，在强降雨条件下所产生的面源流失量较小，对周围水环境的影响较小。</w:t>
            </w:r>
          </w:p>
          <w:p w14:paraId="27F16455">
            <w:pPr>
              <w:pStyle w:val="4"/>
              <w:numPr>
                <w:ilvl w:val="1"/>
                <w:numId w:val="28"/>
              </w:numPr>
              <w:rPr>
                <w:bCs/>
              </w:rPr>
            </w:pPr>
            <w:r>
              <w:rPr>
                <w:rFonts w:hint="eastAsia"/>
                <w:bCs/>
              </w:rPr>
              <w:t>施工扰动对地表水体的影响</w:t>
            </w:r>
          </w:p>
          <w:p w14:paraId="72A2D775">
            <w:pPr>
              <w:pStyle w:val="36"/>
              <w:ind w:firstLine="480"/>
              <w:rPr>
                <w:rFonts w:hint="default"/>
              </w:rPr>
            </w:pPr>
            <w:r>
              <w:t>项目施工过程中可能会侵占或扰动河道，造成局部河流水体悬浮物增加，出现浑浊现象，会在一定程度上导致水体水质下降。但由于施工扰动而造成的水体悬浮物浓度增大时段较短，项目施工时选在枯水期，在施工完成后河流悬浮物浓度很快就可以恢复原状，不会对区域水环境造成显著不利影响。</w:t>
            </w:r>
          </w:p>
          <w:p w14:paraId="6C30A7C0">
            <w:pPr>
              <w:pStyle w:val="36"/>
              <w:ind w:firstLine="480"/>
              <w:rPr>
                <w:rFonts w:hint="default"/>
              </w:rPr>
            </w:pPr>
            <w:r>
              <w:t>为了保障施工期不会对下游水质造成明显影响，环评要求建设单位严格落实以下施工期水环境保护措施：</w:t>
            </w:r>
          </w:p>
          <w:p w14:paraId="21A06185">
            <w:pPr>
              <w:pStyle w:val="36"/>
              <w:ind w:firstLine="480"/>
              <w:rPr>
                <w:rFonts w:hint="default"/>
              </w:rPr>
            </w:pPr>
            <w:r>
              <w:t>①为保护项目涉及水体的环境质量，环评建议本项目施工应避开汛期及雨季，选择在枯水期间进行，按照作业控制线，严格控制作业范围，尤其是施工导流的施工；</w:t>
            </w:r>
          </w:p>
          <w:p w14:paraId="20C9ED08">
            <w:pPr>
              <w:pStyle w:val="36"/>
              <w:ind w:firstLine="480"/>
              <w:rPr>
                <w:rFonts w:hint="default"/>
              </w:rPr>
            </w:pPr>
            <w:r>
              <w:t>②建设单位在施工期间，应制定施工规范、加强对施工人员的环保培训；开展施工场所的环境保护教育，让施工人员理解水资源保护的重要性，特别是在导流施工时，应加强施工管理和工程监理工作，施工场地不储存油料，项目用油主要为施工机械设备用油，严格检查施工机械，防止油料发生泄漏污染水体；</w:t>
            </w:r>
          </w:p>
          <w:p w14:paraId="7D970AD8">
            <w:pPr>
              <w:pStyle w:val="36"/>
              <w:ind w:firstLine="480"/>
              <w:rPr>
                <w:rFonts w:hint="default"/>
              </w:rPr>
            </w:pPr>
            <w:r>
              <w:t>③严禁施工期间的生产废水等水污染物排入地表水体；</w:t>
            </w:r>
          </w:p>
          <w:p w14:paraId="2687F07D">
            <w:pPr>
              <w:pStyle w:val="36"/>
              <w:ind w:firstLine="480"/>
              <w:rPr>
                <w:rFonts w:hint="default"/>
              </w:rPr>
            </w:pPr>
            <w:r>
              <w:t>④严禁施工期间的弃土、弃渣堆放在地表水体附近，应备有临时遮挡的篷布，并严禁随意抛洒进入地表水中；</w:t>
            </w:r>
          </w:p>
          <w:p w14:paraId="4821B42A">
            <w:pPr>
              <w:pStyle w:val="36"/>
              <w:ind w:firstLine="480"/>
              <w:rPr>
                <w:rFonts w:hint="default"/>
              </w:rPr>
            </w:pPr>
            <w:r>
              <w:t>⑤施工期间应采取工程措施防止对地表水污染，河道施工应设置施工导流工程保障下游用水需求，根据实际工程情况分段设置基坑排水明渠和集水坑（沉淀池），将基坑排水沉淀处理后回用。</w:t>
            </w:r>
          </w:p>
          <w:p w14:paraId="50099768">
            <w:pPr>
              <w:pStyle w:val="36"/>
              <w:ind w:firstLine="480"/>
              <w:rPr>
                <w:rFonts w:hint="default"/>
              </w:rPr>
            </w:pPr>
            <w:r>
              <w:t>在采取相应的环保措施后，施工期产生的废水不会对水环境产生明显影响。施工期的环境影响是暂时的，随着工程施工结束，这种影响将伴随消失。</w:t>
            </w:r>
          </w:p>
          <w:p w14:paraId="1B025D0E">
            <w:pPr>
              <w:pStyle w:val="4"/>
              <w:numPr>
                <w:ilvl w:val="0"/>
                <w:numId w:val="28"/>
              </w:numPr>
            </w:pPr>
            <w:r>
              <w:rPr>
                <w:rFonts w:hint="eastAsia"/>
              </w:rPr>
              <w:t>施工噪声对周围环境影响的治理措施</w:t>
            </w:r>
          </w:p>
          <w:p w14:paraId="44B8A79F">
            <w:pPr>
              <w:spacing w:line="440" w:lineRule="exact"/>
              <w:ind w:firstLine="480" w:firstLineChars="200"/>
              <w:rPr>
                <w:sz w:val="24"/>
              </w:rPr>
            </w:pPr>
            <w:r>
              <w:rPr>
                <w:rFonts w:hint="eastAsia"/>
                <w:sz w:val="24"/>
              </w:rPr>
              <w:t>项目施工期噪声主要来源于施工机械噪声和运输车辆噪声。</w:t>
            </w:r>
          </w:p>
          <w:p w14:paraId="7B0347D0">
            <w:pPr>
              <w:pStyle w:val="4"/>
              <w:numPr>
                <w:ilvl w:val="1"/>
                <w:numId w:val="28"/>
              </w:numPr>
            </w:pPr>
            <w:r>
              <w:rPr>
                <w:rFonts w:hint="eastAsia"/>
              </w:rPr>
              <w:t>噪声源强</w:t>
            </w:r>
          </w:p>
          <w:p w14:paraId="47E6FA96">
            <w:pPr>
              <w:spacing w:line="440" w:lineRule="exact"/>
              <w:ind w:firstLine="480" w:firstLineChars="200"/>
              <w:rPr>
                <w:sz w:val="24"/>
              </w:rPr>
            </w:pPr>
            <w:r>
              <w:rPr>
                <w:rFonts w:hint="eastAsia"/>
                <w:sz w:val="24"/>
              </w:rPr>
              <w:t>施工期噪声主要分为机械噪声、施工作业噪声和施工车辆噪声。本项目机械噪声主要由施工机械所造成，且多为点声源；施工作业噪声主要是一些零星敲打声、装卸车辆的撞击声等；施工车辆噪声属于交通噪声。</w:t>
            </w:r>
          </w:p>
          <w:p w14:paraId="0328286F">
            <w:pPr>
              <w:spacing w:line="440" w:lineRule="exact"/>
              <w:ind w:firstLine="480" w:firstLineChars="200"/>
              <w:rPr>
                <w:sz w:val="24"/>
              </w:rPr>
            </w:pPr>
            <w:r>
              <w:rPr>
                <w:rFonts w:hint="eastAsia"/>
                <w:sz w:val="24"/>
              </w:rPr>
              <w:t>在上述施工噪声中，对环境影响最大的是施工机械噪声。不同的施工阶段和施工机械产生的噪声源强是不同的，并且会有大量的设备交互作业，具有突发性和间歇性，因此在施工阶段噪声将会对项目内外环境造成一定的影响，但本项目各工程相对独立，距离较远，单个施工区噪声源影响相对较小。</w:t>
            </w:r>
          </w:p>
          <w:p w14:paraId="36A3D8EE">
            <w:pPr>
              <w:spacing w:line="440" w:lineRule="exact"/>
              <w:ind w:firstLine="480" w:firstLineChars="200"/>
              <w:rPr>
                <w:sz w:val="24"/>
              </w:rPr>
            </w:pPr>
            <w:r>
              <w:rPr>
                <w:rFonts w:hint="eastAsia"/>
                <w:sz w:val="24"/>
              </w:rPr>
              <w:t>交通噪声源强与运输车辆载重类型，汽车流量和行驶速度密切相关。工程主要采用重型运输车辆，其噪声高达80dB(A)，声源呈线性分布。</w:t>
            </w:r>
          </w:p>
          <w:p w14:paraId="46C5FB8E">
            <w:pPr>
              <w:spacing w:line="440" w:lineRule="exact"/>
              <w:ind w:firstLine="480" w:firstLineChars="200"/>
              <w:rPr>
                <w:sz w:val="24"/>
              </w:rPr>
            </w:pPr>
            <w:r>
              <w:rPr>
                <w:rFonts w:hint="eastAsia"/>
                <w:sz w:val="24"/>
              </w:rPr>
              <w:t>根据类比资料，施工期噪声源强见下表。</w:t>
            </w:r>
          </w:p>
          <w:p w14:paraId="34503FF1">
            <w:pPr>
              <w:pStyle w:val="48"/>
              <w:spacing w:before="156"/>
              <w:ind w:left="0"/>
            </w:pPr>
            <w:r>
              <w:rPr>
                <w:rFonts w:hint="eastAsia"/>
              </w:rPr>
              <w:t>施工期主要设备噪声源强</w:t>
            </w:r>
          </w:p>
          <w:tbl>
            <w:tblPr>
              <w:tblStyle w:val="27"/>
              <w:tblW w:w="8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1968"/>
              <w:gridCol w:w="1845"/>
              <w:gridCol w:w="1737"/>
              <w:gridCol w:w="1544"/>
            </w:tblGrid>
            <w:tr w14:paraId="67CF5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07" w:type="dxa"/>
                  <w:vAlign w:val="center"/>
                </w:tcPr>
                <w:p w14:paraId="05B1D3BA">
                  <w:pPr>
                    <w:spacing w:line="320" w:lineRule="exact"/>
                    <w:jc w:val="center"/>
                    <w:rPr>
                      <w:szCs w:val="21"/>
                    </w:rPr>
                  </w:pPr>
                  <w:r>
                    <w:rPr>
                      <w:rFonts w:hint="eastAsia"/>
                      <w:szCs w:val="21"/>
                    </w:rPr>
                    <w:t>序号</w:t>
                  </w:r>
                </w:p>
              </w:tc>
              <w:tc>
                <w:tcPr>
                  <w:tcW w:w="1968" w:type="dxa"/>
                  <w:vAlign w:val="center"/>
                </w:tcPr>
                <w:p w14:paraId="12142B83">
                  <w:pPr>
                    <w:spacing w:line="320" w:lineRule="exact"/>
                    <w:jc w:val="center"/>
                    <w:rPr>
                      <w:szCs w:val="21"/>
                    </w:rPr>
                  </w:pPr>
                  <w:r>
                    <w:rPr>
                      <w:rFonts w:hint="eastAsia"/>
                      <w:szCs w:val="21"/>
                    </w:rPr>
                    <w:t>设备名称</w:t>
                  </w:r>
                </w:p>
              </w:tc>
              <w:tc>
                <w:tcPr>
                  <w:tcW w:w="1845" w:type="dxa"/>
                  <w:vAlign w:val="center"/>
                </w:tcPr>
                <w:p w14:paraId="2AD6091F">
                  <w:pPr>
                    <w:spacing w:line="320" w:lineRule="exact"/>
                    <w:jc w:val="center"/>
                    <w:rPr>
                      <w:szCs w:val="21"/>
                    </w:rPr>
                  </w:pPr>
                  <w:r>
                    <w:rPr>
                      <w:rFonts w:hint="eastAsia"/>
                      <w:szCs w:val="21"/>
                    </w:rPr>
                    <w:t>测点距设备距离</w:t>
                  </w:r>
                </w:p>
              </w:tc>
              <w:tc>
                <w:tcPr>
                  <w:tcW w:w="1737" w:type="dxa"/>
                  <w:vAlign w:val="center"/>
                </w:tcPr>
                <w:p w14:paraId="7028BD81">
                  <w:pPr>
                    <w:spacing w:line="320" w:lineRule="exact"/>
                    <w:jc w:val="center"/>
                    <w:rPr>
                      <w:szCs w:val="21"/>
                    </w:rPr>
                  </w:pPr>
                  <w:r>
                    <w:rPr>
                      <w:rFonts w:hint="eastAsia"/>
                      <w:szCs w:val="21"/>
                    </w:rPr>
                    <w:t>L</w:t>
                  </w:r>
                  <w:r>
                    <w:rPr>
                      <w:rFonts w:hint="eastAsia"/>
                      <w:szCs w:val="21"/>
                      <w:vertAlign w:val="subscript"/>
                    </w:rPr>
                    <w:t>max</w:t>
                  </w:r>
                  <w:r>
                    <w:rPr>
                      <w:rFonts w:hint="eastAsia"/>
                      <w:szCs w:val="21"/>
                    </w:rPr>
                    <w:t>(dB(A))</w:t>
                  </w:r>
                </w:p>
              </w:tc>
              <w:tc>
                <w:tcPr>
                  <w:tcW w:w="1544" w:type="dxa"/>
                  <w:vAlign w:val="center"/>
                </w:tcPr>
                <w:p w14:paraId="65FAF67F">
                  <w:pPr>
                    <w:spacing w:line="320" w:lineRule="exact"/>
                    <w:jc w:val="center"/>
                    <w:rPr>
                      <w:szCs w:val="21"/>
                    </w:rPr>
                  </w:pPr>
                  <w:r>
                    <w:rPr>
                      <w:rFonts w:hint="eastAsia"/>
                      <w:szCs w:val="21"/>
                    </w:rPr>
                    <w:t>声源特点</w:t>
                  </w:r>
                </w:p>
              </w:tc>
            </w:tr>
            <w:tr w14:paraId="46688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Align w:val="center"/>
                </w:tcPr>
                <w:p w14:paraId="17658E02">
                  <w:pPr>
                    <w:spacing w:line="320" w:lineRule="exact"/>
                    <w:jc w:val="center"/>
                    <w:rPr>
                      <w:szCs w:val="21"/>
                    </w:rPr>
                  </w:pPr>
                  <w:r>
                    <w:rPr>
                      <w:rFonts w:hint="eastAsia"/>
                      <w:szCs w:val="21"/>
                    </w:rPr>
                    <w:t>1</w:t>
                  </w:r>
                </w:p>
              </w:tc>
              <w:tc>
                <w:tcPr>
                  <w:tcW w:w="1968" w:type="dxa"/>
                  <w:vAlign w:val="center"/>
                </w:tcPr>
                <w:p w14:paraId="2E05A93C">
                  <w:pPr>
                    <w:spacing w:line="320" w:lineRule="exact"/>
                    <w:jc w:val="center"/>
                    <w:rPr>
                      <w:szCs w:val="21"/>
                    </w:rPr>
                  </w:pPr>
                  <w:r>
                    <w:rPr>
                      <w:rFonts w:hint="eastAsia"/>
                      <w:szCs w:val="21"/>
                    </w:rPr>
                    <w:t>挖掘机</w:t>
                  </w:r>
                </w:p>
              </w:tc>
              <w:tc>
                <w:tcPr>
                  <w:tcW w:w="1845" w:type="dxa"/>
                  <w:vAlign w:val="center"/>
                </w:tcPr>
                <w:p w14:paraId="2A3A39B7">
                  <w:pPr>
                    <w:spacing w:line="320" w:lineRule="exact"/>
                    <w:jc w:val="center"/>
                    <w:rPr>
                      <w:szCs w:val="21"/>
                    </w:rPr>
                  </w:pPr>
                  <w:r>
                    <w:rPr>
                      <w:rFonts w:hint="eastAsia"/>
                      <w:szCs w:val="21"/>
                    </w:rPr>
                    <w:t>1</w:t>
                  </w:r>
                </w:p>
              </w:tc>
              <w:tc>
                <w:tcPr>
                  <w:tcW w:w="1737" w:type="dxa"/>
                  <w:vAlign w:val="center"/>
                </w:tcPr>
                <w:p w14:paraId="16C4EFEF">
                  <w:pPr>
                    <w:spacing w:line="320" w:lineRule="exact"/>
                    <w:jc w:val="center"/>
                    <w:rPr>
                      <w:szCs w:val="21"/>
                    </w:rPr>
                  </w:pPr>
                  <w:r>
                    <w:rPr>
                      <w:rFonts w:hint="eastAsia"/>
                      <w:szCs w:val="21"/>
                    </w:rPr>
                    <w:t>95</w:t>
                  </w:r>
                </w:p>
              </w:tc>
              <w:tc>
                <w:tcPr>
                  <w:tcW w:w="1544" w:type="dxa"/>
                  <w:vAlign w:val="center"/>
                </w:tcPr>
                <w:p w14:paraId="1C355E1F">
                  <w:pPr>
                    <w:spacing w:line="320" w:lineRule="exact"/>
                    <w:jc w:val="center"/>
                    <w:rPr>
                      <w:szCs w:val="21"/>
                    </w:rPr>
                  </w:pPr>
                  <w:r>
                    <w:rPr>
                      <w:rFonts w:hint="eastAsia"/>
                      <w:szCs w:val="21"/>
                    </w:rPr>
                    <w:t>不稳态源</w:t>
                  </w:r>
                </w:p>
              </w:tc>
            </w:tr>
            <w:tr w14:paraId="4A539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Align w:val="center"/>
                </w:tcPr>
                <w:p w14:paraId="33A49562">
                  <w:pPr>
                    <w:spacing w:line="320" w:lineRule="exact"/>
                    <w:jc w:val="center"/>
                    <w:rPr>
                      <w:szCs w:val="21"/>
                    </w:rPr>
                  </w:pPr>
                  <w:r>
                    <w:rPr>
                      <w:rFonts w:hint="eastAsia"/>
                      <w:szCs w:val="21"/>
                    </w:rPr>
                    <w:t>2</w:t>
                  </w:r>
                </w:p>
              </w:tc>
              <w:tc>
                <w:tcPr>
                  <w:tcW w:w="1968" w:type="dxa"/>
                  <w:vAlign w:val="center"/>
                </w:tcPr>
                <w:p w14:paraId="4C039A8E">
                  <w:pPr>
                    <w:spacing w:line="320" w:lineRule="exact"/>
                    <w:jc w:val="center"/>
                    <w:rPr>
                      <w:szCs w:val="21"/>
                    </w:rPr>
                  </w:pPr>
                  <w:r>
                    <w:rPr>
                      <w:rFonts w:hint="eastAsia"/>
                      <w:szCs w:val="21"/>
                    </w:rPr>
                    <w:t>推土机</w:t>
                  </w:r>
                </w:p>
              </w:tc>
              <w:tc>
                <w:tcPr>
                  <w:tcW w:w="1845" w:type="dxa"/>
                  <w:vAlign w:val="center"/>
                </w:tcPr>
                <w:p w14:paraId="414D1E24">
                  <w:pPr>
                    <w:spacing w:line="320" w:lineRule="exact"/>
                    <w:jc w:val="center"/>
                    <w:rPr>
                      <w:szCs w:val="21"/>
                    </w:rPr>
                  </w:pPr>
                  <w:r>
                    <w:rPr>
                      <w:rFonts w:hint="eastAsia"/>
                      <w:szCs w:val="21"/>
                    </w:rPr>
                    <w:t>1</w:t>
                  </w:r>
                </w:p>
              </w:tc>
              <w:tc>
                <w:tcPr>
                  <w:tcW w:w="1737" w:type="dxa"/>
                  <w:vAlign w:val="center"/>
                </w:tcPr>
                <w:p w14:paraId="468A1BC7">
                  <w:pPr>
                    <w:spacing w:line="320" w:lineRule="exact"/>
                    <w:jc w:val="center"/>
                    <w:rPr>
                      <w:szCs w:val="21"/>
                    </w:rPr>
                  </w:pPr>
                  <w:r>
                    <w:rPr>
                      <w:rFonts w:hint="eastAsia"/>
                      <w:szCs w:val="21"/>
                    </w:rPr>
                    <w:t>95</w:t>
                  </w:r>
                </w:p>
              </w:tc>
              <w:tc>
                <w:tcPr>
                  <w:tcW w:w="1544" w:type="dxa"/>
                  <w:vAlign w:val="center"/>
                </w:tcPr>
                <w:p w14:paraId="3B586CD2">
                  <w:pPr>
                    <w:spacing w:line="320" w:lineRule="exact"/>
                    <w:jc w:val="center"/>
                    <w:rPr>
                      <w:szCs w:val="21"/>
                    </w:rPr>
                  </w:pPr>
                  <w:r>
                    <w:rPr>
                      <w:rFonts w:hint="eastAsia"/>
                      <w:szCs w:val="21"/>
                    </w:rPr>
                    <w:t>不稳态源</w:t>
                  </w:r>
                </w:p>
              </w:tc>
            </w:tr>
            <w:tr w14:paraId="46F0B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07" w:type="dxa"/>
                  <w:vAlign w:val="center"/>
                </w:tcPr>
                <w:p w14:paraId="030A5375">
                  <w:pPr>
                    <w:spacing w:line="320" w:lineRule="exact"/>
                    <w:jc w:val="center"/>
                    <w:rPr>
                      <w:szCs w:val="21"/>
                    </w:rPr>
                  </w:pPr>
                  <w:r>
                    <w:rPr>
                      <w:rFonts w:hint="eastAsia"/>
                      <w:szCs w:val="21"/>
                    </w:rPr>
                    <w:t>3</w:t>
                  </w:r>
                </w:p>
              </w:tc>
              <w:tc>
                <w:tcPr>
                  <w:tcW w:w="1968" w:type="dxa"/>
                  <w:vAlign w:val="center"/>
                </w:tcPr>
                <w:p w14:paraId="3E305C89">
                  <w:pPr>
                    <w:spacing w:line="320" w:lineRule="exact"/>
                    <w:jc w:val="center"/>
                    <w:rPr>
                      <w:szCs w:val="21"/>
                    </w:rPr>
                  </w:pPr>
                  <w:r>
                    <w:rPr>
                      <w:rFonts w:hint="eastAsia"/>
                      <w:szCs w:val="21"/>
                    </w:rPr>
                    <w:t>自卸汽车</w:t>
                  </w:r>
                </w:p>
              </w:tc>
              <w:tc>
                <w:tcPr>
                  <w:tcW w:w="1845" w:type="dxa"/>
                  <w:vAlign w:val="center"/>
                </w:tcPr>
                <w:p w14:paraId="605AD3FA">
                  <w:pPr>
                    <w:spacing w:line="320" w:lineRule="exact"/>
                    <w:jc w:val="center"/>
                    <w:rPr>
                      <w:szCs w:val="21"/>
                    </w:rPr>
                  </w:pPr>
                  <w:r>
                    <w:rPr>
                      <w:rFonts w:hint="eastAsia"/>
                      <w:szCs w:val="21"/>
                    </w:rPr>
                    <w:t>1</w:t>
                  </w:r>
                </w:p>
              </w:tc>
              <w:tc>
                <w:tcPr>
                  <w:tcW w:w="1737" w:type="dxa"/>
                  <w:vAlign w:val="center"/>
                </w:tcPr>
                <w:p w14:paraId="1783175B">
                  <w:pPr>
                    <w:spacing w:line="320" w:lineRule="exact"/>
                    <w:jc w:val="center"/>
                    <w:rPr>
                      <w:szCs w:val="21"/>
                    </w:rPr>
                  </w:pPr>
                  <w:r>
                    <w:rPr>
                      <w:rFonts w:hint="eastAsia"/>
                      <w:szCs w:val="21"/>
                    </w:rPr>
                    <w:t>80</w:t>
                  </w:r>
                </w:p>
              </w:tc>
              <w:tc>
                <w:tcPr>
                  <w:tcW w:w="1544" w:type="dxa"/>
                  <w:vAlign w:val="center"/>
                </w:tcPr>
                <w:p w14:paraId="1B23C95D">
                  <w:pPr>
                    <w:spacing w:line="320" w:lineRule="exact"/>
                    <w:jc w:val="center"/>
                    <w:rPr>
                      <w:szCs w:val="21"/>
                    </w:rPr>
                  </w:pPr>
                  <w:r>
                    <w:rPr>
                      <w:rFonts w:hint="eastAsia"/>
                      <w:szCs w:val="21"/>
                    </w:rPr>
                    <w:t>不稳态源</w:t>
                  </w:r>
                </w:p>
              </w:tc>
            </w:tr>
            <w:tr w14:paraId="0A9FD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Align w:val="center"/>
                </w:tcPr>
                <w:p w14:paraId="1C9B9FAC">
                  <w:pPr>
                    <w:spacing w:line="320" w:lineRule="exact"/>
                    <w:jc w:val="center"/>
                    <w:rPr>
                      <w:szCs w:val="21"/>
                    </w:rPr>
                  </w:pPr>
                  <w:r>
                    <w:rPr>
                      <w:rFonts w:hint="eastAsia"/>
                      <w:szCs w:val="21"/>
                    </w:rPr>
                    <w:t>4</w:t>
                  </w:r>
                </w:p>
              </w:tc>
              <w:tc>
                <w:tcPr>
                  <w:tcW w:w="1968" w:type="dxa"/>
                  <w:vAlign w:val="center"/>
                </w:tcPr>
                <w:p w14:paraId="19495BC2">
                  <w:pPr>
                    <w:spacing w:line="320" w:lineRule="exact"/>
                    <w:jc w:val="center"/>
                    <w:rPr>
                      <w:szCs w:val="21"/>
                    </w:rPr>
                  </w:pPr>
                  <w:r>
                    <w:rPr>
                      <w:rFonts w:hint="eastAsia"/>
                      <w:szCs w:val="21"/>
                    </w:rPr>
                    <w:t>起重吊车</w:t>
                  </w:r>
                </w:p>
              </w:tc>
              <w:tc>
                <w:tcPr>
                  <w:tcW w:w="1845" w:type="dxa"/>
                  <w:vAlign w:val="center"/>
                </w:tcPr>
                <w:p w14:paraId="2E51E5E3">
                  <w:pPr>
                    <w:spacing w:line="320" w:lineRule="exact"/>
                    <w:jc w:val="center"/>
                    <w:rPr>
                      <w:szCs w:val="21"/>
                    </w:rPr>
                  </w:pPr>
                  <w:r>
                    <w:rPr>
                      <w:rFonts w:hint="eastAsia"/>
                      <w:szCs w:val="21"/>
                    </w:rPr>
                    <w:t>1</w:t>
                  </w:r>
                </w:p>
              </w:tc>
              <w:tc>
                <w:tcPr>
                  <w:tcW w:w="1737" w:type="dxa"/>
                  <w:vAlign w:val="center"/>
                </w:tcPr>
                <w:p w14:paraId="16ED0916">
                  <w:pPr>
                    <w:spacing w:line="320" w:lineRule="exact"/>
                    <w:jc w:val="center"/>
                    <w:rPr>
                      <w:szCs w:val="21"/>
                    </w:rPr>
                  </w:pPr>
                  <w:r>
                    <w:rPr>
                      <w:rFonts w:hint="eastAsia"/>
                      <w:szCs w:val="21"/>
                    </w:rPr>
                    <w:t>80</w:t>
                  </w:r>
                </w:p>
              </w:tc>
              <w:tc>
                <w:tcPr>
                  <w:tcW w:w="1544" w:type="dxa"/>
                  <w:vAlign w:val="center"/>
                </w:tcPr>
                <w:p w14:paraId="1E825FBF">
                  <w:pPr>
                    <w:spacing w:line="320" w:lineRule="exact"/>
                    <w:jc w:val="center"/>
                    <w:rPr>
                      <w:szCs w:val="21"/>
                    </w:rPr>
                  </w:pPr>
                  <w:r>
                    <w:rPr>
                      <w:rFonts w:hint="eastAsia"/>
                      <w:szCs w:val="21"/>
                    </w:rPr>
                    <w:t>不稳态源</w:t>
                  </w:r>
                </w:p>
              </w:tc>
            </w:tr>
            <w:tr w14:paraId="2A511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Align w:val="center"/>
                </w:tcPr>
                <w:p w14:paraId="304F774C">
                  <w:pPr>
                    <w:spacing w:line="320" w:lineRule="exact"/>
                    <w:jc w:val="center"/>
                    <w:rPr>
                      <w:szCs w:val="21"/>
                    </w:rPr>
                  </w:pPr>
                  <w:r>
                    <w:rPr>
                      <w:rFonts w:hint="eastAsia"/>
                      <w:szCs w:val="21"/>
                    </w:rPr>
                    <w:t>5</w:t>
                  </w:r>
                </w:p>
              </w:tc>
              <w:tc>
                <w:tcPr>
                  <w:tcW w:w="1968" w:type="dxa"/>
                  <w:vAlign w:val="center"/>
                </w:tcPr>
                <w:p w14:paraId="73A05BBF">
                  <w:pPr>
                    <w:spacing w:line="320" w:lineRule="exact"/>
                    <w:jc w:val="center"/>
                    <w:rPr>
                      <w:szCs w:val="21"/>
                    </w:rPr>
                  </w:pPr>
                  <w:r>
                    <w:rPr>
                      <w:rFonts w:hint="eastAsia"/>
                      <w:szCs w:val="21"/>
                    </w:rPr>
                    <w:t>翻斗车</w:t>
                  </w:r>
                </w:p>
              </w:tc>
              <w:tc>
                <w:tcPr>
                  <w:tcW w:w="1845" w:type="dxa"/>
                  <w:vAlign w:val="center"/>
                </w:tcPr>
                <w:p w14:paraId="69ECB6FB">
                  <w:pPr>
                    <w:spacing w:line="320" w:lineRule="exact"/>
                    <w:jc w:val="center"/>
                    <w:rPr>
                      <w:szCs w:val="21"/>
                    </w:rPr>
                  </w:pPr>
                  <w:r>
                    <w:rPr>
                      <w:rFonts w:hint="eastAsia"/>
                      <w:szCs w:val="21"/>
                    </w:rPr>
                    <w:t>1</w:t>
                  </w:r>
                </w:p>
              </w:tc>
              <w:tc>
                <w:tcPr>
                  <w:tcW w:w="1737" w:type="dxa"/>
                  <w:vAlign w:val="center"/>
                </w:tcPr>
                <w:p w14:paraId="39349A1E">
                  <w:pPr>
                    <w:spacing w:line="320" w:lineRule="exact"/>
                    <w:jc w:val="center"/>
                    <w:rPr>
                      <w:szCs w:val="21"/>
                    </w:rPr>
                  </w:pPr>
                  <w:r>
                    <w:rPr>
                      <w:rFonts w:hint="eastAsia"/>
                      <w:szCs w:val="21"/>
                    </w:rPr>
                    <w:t>80</w:t>
                  </w:r>
                </w:p>
              </w:tc>
              <w:tc>
                <w:tcPr>
                  <w:tcW w:w="1544" w:type="dxa"/>
                  <w:vAlign w:val="center"/>
                </w:tcPr>
                <w:p w14:paraId="3209500F">
                  <w:pPr>
                    <w:spacing w:line="320" w:lineRule="exact"/>
                    <w:jc w:val="center"/>
                    <w:rPr>
                      <w:szCs w:val="21"/>
                    </w:rPr>
                  </w:pPr>
                  <w:r>
                    <w:rPr>
                      <w:rFonts w:hint="eastAsia"/>
                      <w:szCs w:val="21"/>
                    </w:rPr>
                    <w:t>不稳态源</w:t>
                  </w:r>
                </w:p>
              </w:tc>
            </w:tr>
            <w:tr w14:paraId="242C4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Align w:val="center"/>
                </w:tcPr>
                <w:p w14:paraId="04D82282">
                  <w:pPr>
                    <w:spacing w:line="320" w:lineRule="exact"/>
                    <w:jc w:val="center"/>
                    <w:rPr>
                      <w:szCs w:val="21"/>
                    </w:rPr>
                  </w:pPr>
                  <w:r>
                    <w:rPr>
                      <w:rFonts w:hint="eastAsia"/>
                      <w:szCs w:val="21"/>
                    </w:rPr>
                    <w:t>6</w:t>
                  </w:r>
                </w:p>
              </w:tc>
              <w:tc>
                <w:tcPr>
                  <w:tcW w:w="1968" w:type="dxa"/>
                  <w:vAlign w:val="center"/>
                </w:tcPr>
                <w:p w14:paraId="72B097AF">
                  <w:pPr>
                    <w:spacing w:line="320" w:lineRule="exact"/>
                    <w:jc w:val="center"/>
                    <w:rPr>
                      <w:szCs w:val="21"/>
                    </w:rPr>
                  </w:pPr>
                  <w:r>
                    <w:rPr>
                      <w:rFonts w:hint="eastAsia"/>
                      <w:szCs w:val="21"/>
                    </w:rPr>
                    <w:t>蛙式打夯机</w:t>
                  </w:r>
                </w:p>
              </w:tc>
              <w:tc>
                <w:tcPr>
                  <w:tcW w:w="1845" w:type="dxa"/>
                  <w:vAlign w:val="center"/>
                </w:tcPr>
                <w:p w14:paraId="7BB81932">
                  <w:pPr>
                    <w:spacing w:line="320" w:lineRule="exact"/>
                    <w:jc w:val="center"/>
                    <w:rPr>
                      <w:szCs w:val="21"/>
                    </w:rPr>
                  </w:pPr>
                  <w:r>
                    <w:rPr>
                      <w:rFonts w:hint="eastAsia"/>
                      <w:szCs w:val="21"/>
                    </w:rPr>
                    <w:t>1</w:t>
                  </w:r>
                </w:p>
              </w:tc>
              <w:tc>
                <w:tcPr>
                  <w:tcW w:w="1737" w:type="dxa"/>
                  <w:vAlign w:val="center"/>
                </w:tcPr>
                <w:p w14:paraId="60AB807C">
                  <w:pPr>
                    <w:spacing w:line="320" w:lineRule="exact"/>
                    <w:jc w:val="center"/>
                    <w:rPr>
                      <w:szCs w:val="21"/>
                    </w:rPr>
                  </w:pPr>
                  <w:r>
                    <w:rPr>
                      <w:rFonts w:hint="eastAsia"/>
                      <w:szCs w:val="21"/>
                    </w:rPr>
                    <w:t>95</w:t>
                  </w:r>
                </w:p>
              </w:tc>
              <w:tc>
                <w:tcPr>
                  <w:tcW w:w="1544" w:type="dxa"/>
                  <w:vAlign w:val="center"/>
                </w:tcPr>
                <w:p w14:paraId="2E6CEF7D">
                  <w:pPr>
                    <w:spacing w:line="320" w:lineRule="exact"/>
                    <w:jc w:val="center"/>
                    <w:rPr>
                      <w:szCs w:val="21"/>
                    </w:rPr>
                  </w:pPr>
                  <w:r>
                    <w:rPr>
                      <w:rFonts w:hint="eastAsia"/>
                      <w:szCs w:val="21"/>
                    </w:rPr>
                    <w:t>不稳态源</w:t>
                  </w:r>
                </w:p>
              </w:tc>
            </w:tr>
            <w:tr w14:paraId="59DBA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Align w:val="center"/>
                </w:tcPr>
                <w:p w14:paraId="524A033B">
                  <w:pPr>
                    <w:spacing w:line="320" w:lineRule="exact"/>
                    <w:jc w:val="center"/>
                    <w:rPr>
                      <w:szCs w:val="21"/>
                    </w:rPr>
                  </w:pPr>
                  <w:r>
                    <w:rPr>
                      <w:rFonts w:hint="eastAsia"/>
                      <w:szCs w:val="21"/>
                    </w:rPr>
                    <w:t>7</w:t>
                  </w:r>
                </w:p>
              </w:tc>
              <w:tc>
                <w:tcPr>
                  <w:tcW w:w="1968" w:type="dxa"/>
                  <w:vAlign w:val="center"/>
                </w:tcPr>
                <w:p w14:paraId="7C6ABFA7">
                  <w:pPr>
                    <w:spacing w:line="320" w:lineRule="exact"/>
                    <w:jc w:val="center"/>
                    <w:rPr>
                      <w:szCs w:val="21"/>
                    </w:rPr>
                  </w:pPr>
                  <w:r>
                    <w:rPr>
                      <w:rFonts w:hint="eastAsia"/>
                      <w:szCs w:val="21"/>
                    </w:rPr>
                    <w:t>混凝土振动器</w:t>
                  </w:r>
                </w:p>
              </w:tc>
              <w:tc>
                <w:tcPr>
                  <w:tcW w:w="1845" w:type="dxa"/>
                  <w:vAlign w:val="center"/>
                </w:tcPr>
                <w:p w14:paraId="264765FA">
                  <w:pPr>
                    <w:spacing w:line="320" w:lineRule="exact"/>
                    <w:jc w:val="center"/>
                    <w:rPr>
                      <w:szCs w:val="21"/>
                    </w:rPr>
                  </w:pPr>
                  <w:r>
                    <w:rPr>
                      <w:rFonts w:hint="eastAsia"/>
                      <w:szCs w:val="21"/>
                    </w:rPr>
                    <w:t>1</w:t>
                  </w:r>
                </w:p>
              </w:tc>
              <w:tc>
                <w:tcPr>
                  <w:tcW w:w="1737" w:type="dxa"/>
                  <w:vAlign w:val="center"/>
                </w:tcPr>
                <w:p w14:paraId="1C1FE87C">
                  <w:pPr>
                    <w:spacing w:line="320" w:lineRule="exact"/>
                    <w:jc w:val="center"/>
                    <w:rPr>
                      <w:szCs w:val="21"/>
                    </w:rPr>
                  </w:pPr>
                  <w:r>
                    <w:rPr>
                      <w:rFonts w:hint="eastAsia"/>
                      <w:szCs w:val="21"/>
                    </w:rPr>
                    <w:t>95</w:t>
                  </w:r>
                </w:p>
              </w:tc>
              <w:tc>
                <w:tcPr>
                  <w:tcW w:w="1544" w:type="dxa"/>
                  <w:vAlign w:val="center"/>
                </w:tcPr>
                <w:p w14:paraId="0F26AD86">
                  <w:pPr>
                    <w:spacing w:line="320" w:lineRule="exact"/>
                    <w:jc w:val="center"/>
                    <w:rPr>
                      <w:szCs w:val="21"/>
                    </w:rPr>
                  </w:pPr>
                  <w:r>
                    <w:rPr>
                      <w:rFonts w:hint="eastAsia"/>
                      <w:szCs w:val="21"/>
                    </w:rPr>
                    <w:t>稳态源</w:t>
                  </w:r>
                </w:p>
              </w:tc>
            </w:tr>
            <w:tr w14:paraId="3068A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Align w:val="center"/>
                </w:tcPr>
                <w:p w14:paraId="5A3B07C5">
                  <w:pPr>
                    <w:spacing w:line="320" w:lineRule="exact"/>
                    <w:jc w:val="center"/>
                    <w:rPr>
                      <w:szCs w:val="21"/>
                    </w:rPr>
                  </w:pPr>
                  <w:r>
                    <w:rPr>
                      <w:rFonts w:hint="eastAsia"/>
                      <w:szCs w:val="21"/>
                    </w:rPr>
                    <w:t>8</w:t>
                  </w:r>
                </w:p>
              </w:tc>
              <w:tc>
                <w:tcPr>
                  <w:tcW w:w="1968" w:type="dxa"/>
                </w:tcPr>
                <w:p w14:paraId="25A5FCB1">
                  <w:pPr>
                    <w:pStyle w:val="103"/>
                    <w:spacing w:line="320" w:lineRule="exact"/>
                    <w:rPr>
                      <w:sz w:val="21"/>
                      <w:szCs w:val="21"/>
                    </w:rPr>
                  </w:pPr>
                  <w:r>
                    <w:rPr>
                      <w:sz w:val="21"/>
                      <w:szCs w:val="21"/>
                    </w:rPr>
                    <w:t>钢筋切断</w:t>
                  </w:r>
                </w:p>
              </w:tc>
              <w:tc>
                <w:tcPr>
                  <w:tcW w:w="1845" w:type="dxa"/>
                  <w:vAlign w:val="center"/>
                </w:tcPr>
                <w:p w14:paraId="6BDBC9E5">
                  <w:pPr>
                    <w:spacing w:line="320" w:lineRule="exact"/>
                    <w:jc w:val="center"/>
                    <w:rPr>
                      <w:szCs w:val="21"/>
                    </w:rPr>
                  </w:pPr>
                  <w:r>
                    <w:rPr>
                      <w:rFonts w:hint="eastAsia"/>
                      <w:szCs w:val="21"/>
                    </w:rPr>
                    <w:t>1</w:t>
                  </w:r>
                </w:p>
              </w:tc>
              <w:tc>
                <w:tcPr>
                  <w:tcW w:w="1737" w:type="dxa"/>
                  <w:vAlign w:val="center"/>
                </w:tcPr>
                <w:p w14:paraId="69DD4DDA">
                  <w:pPr>
                    <w:spacing w:line="320" w:lineRule="exact"/>
                    <w:jc w:val="center"/>
                    <w:rPr>
                      <w:szCs w:val="21"/>
                    </w:rPr>
                  </w:pPr>
                  <w:r>
                    <w:rPr>
                      <w:rFonts w:hint="eastAsia"/>
                      <w:szCs w:val="21"/>
                    </w:rPr>
                    <w:t>85</w:t>
                  </w:r>
                </w:p>
              </w:tc>
              <w:tc>
                <w:tcPr>
                  <w:tcW w:w="1544" w:type="dxa"/>
                  <w:vAlign w:val="center"/>
                </w:tcPr>
                <w:p w14:paraId="6A00812E">
                  <w:pPr>
                    <w:spacing w:line="320" w:lineRule="exact"/>
                    <w:jc w:val="center"/>
                    <w:rPr>
                      <w:szCs w:val="21"/>
                    </w:rPr>
                  </w:pPr>
                  <w:r>
                    <w:rPr>
                      <w:rFonts w:hint="eastAsia"/>
                      <w:szCs w:val="21"/>
                    </w:rPr>
                    <w:t>稳态源</w:t>
                  </w:r>
                </w:p>
              </w:tc>
            </w:tr>
            <w:tr w14:paraId="78F1A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Align w:val="center"/>
                </w:tcPr>
                <w:p w14:paraId="3A888659">
                  <w:pPr>
                    <w:spacing w:line="320" w:lineRule="exact"/>
                    <w:jc w:val="center"/>
                    <w:rPr>
                      <w:szCs w:val="21"/>
                    </w:rPr>
                  </w:pPr>
                  <w:r>
                    <w:rPr>
                      <w:rFonts w:hint="eastAsia"/>
                      <w:szCs w:val="21"/>
                    </w:rPr>
                    <w:t>9</w:t>
                  </w:r>
                </w:p>
              </w:tc>
              <w:tc>
                <w:tcPr>
                  <w:tcW w:w="1968" w:type="dxa"/>
                </w:tcPr>
                <w:p w14:paraId="2296E24B">
                  <w:pPr>
                    <w:pStyle w:val="103"/>
                    <w:spacing w:line="320" w:lineRule="exact"/>
                    <w:rPr>
                      <w:sz w:val="21"/>
                      <w:szCs w:val="21"/>
                    </w:rPr>
                  </w:pPr>
                  <w:r>
                    <w:rPr>
                      <w:sz w:val="21"/>
                      <w:szCs w:val="21"/>
                    </w:rPr>
                    <w:t>钢筋弯曲机</w:t>
                  </w:r>
                </w:p>
              </w:tc>
              <w:tc>
                <w:tcPr>
                  <w:tcW w:w="1845" w:type="dxa"/>
                  <w:vAlign w:val="center"/>
                </w:tcPr>
                <w:p w14:paraId="1174288C">
                  <w:pPr>
                    <w:spacing w:line="320" w:lineRule="exact"/>
                    <w:jc w:val="center"/>
                    <w:rPr>
                      <w:szCs w:val="21"/>
                    </w:rPr>
                  </w:pPr>
                  <w:r>
                    <w:rPr>
                      <w:rFonts w:hint="eastAsia"/>
                      <w:szCs w:val="21"/>
                    </w:rPr>
                    <w:t>1</w:t>
                  </w:r>
                </w:p>
              </w:tc>
              <w:tc>
                <w:tcPr>
                  <w:tcW w:w="1737" w:type="dxa"/>
                  <w:vAlign w:val="center"/>
                </w:tcPr>
                <w:p w14:paraId="30443969">
                  <w:pPr>
                    <w:spacing w:line="320" w:lineRule="exact"/>
                    <w:jc w:val="center"/>
                    <w:rPr>
                      <w:szCs w:val="21"/>
                    </w:rPr>
                  </w:pPr>
                  <w:r>
                    <w:rPr>
                      <w:rFonts w:hint="eastAsia"/>
                      <w:szCs w:val="21"/>
                    </w:rPr>
                    <w:t>80</w:t>
                  </w:r>
                </w:p>
              </w:tc>
              <w:tc>
                <w:tcPr>
                  <w:tcW w:w="1544" w:type="dxa"/>
                  <w:vAlign w:val="center"/>
                </w:tcPr>
                <w:p w14:paraId="445B2D9D">
                  <w:pPr>
                    <w:spacing w:line="320" w:lineRule="exact"/>
                    <w:jc w:val="center"/>
                    <w:rPr>
                      <w:szCs w:val="21"/>
                    </w:rPr>
                  </w:pPr>
                  <w:r>
                    <w:rPr>
                      <w:rFonts w:hint="eastAsia"/>
                      <w:szCs w:val="21"/>
                    </w:rPr>
                    <w:t>稳态源</w:t>
                  </w:r>
                </w:p>
              </w:tc>
            </w:tr>
            <w:tr w14:paraId="12313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Align w:val="center"/>
                </w:tcPr>
                <w:p w14:paraId="6A105397">
                  <w:pPr>
                    <w:spacing w:line="320" w:lineRule="exact"/>
                    <w:jc w:val="center"/>
                    <w:rPr>
                      <w:szCs w:val="21"/>
                    </w:rPr>
                  </w:pPr>
                  <w:r>
                    <w:rPr>
                      <w:rFonts w:hint="eastAsia"/>
                      <w:szCs w:val="21"/>
                    </w:rPr>
                    <w:t>10</w:t>
                  </w:r>
                </w:p>
              </w:tc>
              <w:tc>
                <w:tcPr>
                  <w:tcW w:w="1968" w:type="dxa"/>
                </w:tcPr>
                <w:p w14:paraId="0F63C31E">
                  <w:pPr>
                    <w:pStyle w:val="103"/>
                    <w:spacing w:line="320" w:lineRule="exact"/>
                    <w:rPr>
                      <w:sz w:val="21"/>
                      <w:szCs w:val="21"/>
                    </w:rPr>
                  </w:pPr>
                  <w:r>
                    <w:rPr>
                      <w:sz w:val="21"/>
                      <w:szCs w:val="21"/>
                    </w:rPr>
                    <w:t>电焊机</w:t>
                  </w:r>
                </w:p>
              </w:tc>
              <w:tc>
                <w:tcPr>
                  <w:tcW w:w="1845" w:type="dxa"/>
                  <w:vAlign w:val="center"/>
                </w:tcPr>
                <w:p w14:paraId="014101A9">
                  <w:pPr>
                    <w:spacing w:line="320" w:lineRule="exact"/>
                    <w:jc w:val="center"/>
                    <w:rPr>
                      <w:szCs w:val="21"/>
                    </w:rPr>
                  </w:pPr>
                  <w:r>
                    <w:rPr>
                      <w:rFonts w:hint="eastAsia"/>
                      <w:szCs w:val="21"/>
                    </w:rPr>
                    <w:t>1</w:t>
                  </w:r>
                </w:p>
              </w:tc>
              <w:tc>
                <w:tcPr>
                  <w:tcW w:w="1737" w:type="dxa"/>
                  <w:vAlign w:val="center"/>
                </w:tcPr>
                <w:p w14:paraId="35E966DE">
                  <w:pPr>
                    <w:spacing w:line="320" w:lineRule="exact"/>
                    <w:jc w:val="center"/>
                    <w:rPr>
                      <w:szCs w:val="21"/>
                    </w:rPr>
                  </w:pPr>
                  <w:r>
                    <w:rPr>
                      <w:rFonts w:hint="eastAsia"/>
                      <w:szCs w:val="21"/>
                    </w:rPr>
                    <w:t>85</w:t>
                  </w:r>
                </w:p>
              </w:tc>
              <w:tc>
                <w:tcPr>
                  <w:tcW w:w="1544" w:type="dxa"/>
                  <w:vAlign w:val="center"/>
                </w:tcPr>
                <w:p w14:paraId="561C2E83">
                  <w:pPr>
                    <w:spacing w:line="320" w:lineRule="exact"/>
                    <w:jc w:val="center"/>
                    <w:rPr>
                      <w:szCs w:val="21"/>
                    </w:rPr>
                  </w:pPr>
                  <w:r>
                    <w:rPr>
                      <w:rFonts w:hint="eastAsia"/>
                      <w:szCs w:val="21"/>
                    </w:rPr>
                    <w:t>稳态源</w:t>
                  </w:r>
                </w:p>
              </w:tc>
            </w:tr>
            <w:tr w14:paraId="598E3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Align w:val="center"/>
                </w:tcPr>
                <w:p w14:paraId="0433BB49">
                  <w:pPr>
                    <w:spacing w:line="320" w:lineRule="exact"/>
                    <w:jc w:val="center"/>
                    <w:rPr>
                      <w:szCs w:val="21"/>
                    </w:rPr>
                  </w:pPr>
                  <w:r>
                    <w:rPr>
                      <w:rFonts w:hint="eastAsia"/>
                      <w:szCs w:val="21"/>
                    </w:rPr>
                    <w:t>11</w:t>
                  </w:r>
                </w:p>
              </w:tc>
              <w:tc>
                <w:tcPr>
                  <w:tcW w:w="1968" w:type="dxa"/>
                </w:tcPr>
                <w:p w14:paraId="4FA480C9">
                  <w:pPr>
                    <w:pStyle w:val="103"/>
                    <w:spacing w:line="320" w:lineRule="exact"/>
                    <w:rPr>
                      <w:sz w:val="21"/>
                      <w:szCs w:val="21"/>
                    </w:rPr>
                  </w:pPr>
                  <w:r>
                    <w:rPr>
                      <w:rFonts w:hint="eastAsia"/>
                      <w:sz w:val="21"/>
                      <w:szCs w:val="21"/>
                    </w:rPr>
                    <w:t>供水泵</w:t>
                  </w:r>
                </w:p>
              </w:tc>
              <w:tc>
                <w:tcPr>
                  <w:tcW w:w="1845" w:type="dxa"/>
                  <w:vAlign w:val="center"/>
                </w:tcPr>
                <w:p w14:paraId="74ED91BB">
                  <w:pPr>
                    <w:spacing w:line="320" w:lineRule="exact"/>
                    <w:jc w:val="center"/>
                    <w:rPr>
                      <w:szCs w:val="21"/>
                    </w:rPr>
                  </w:pPr>
                  <w:r>
                    <w:rPr>
                      <w:rFonts w:hint="eastAsia"/>
                      <w:szCs w:val="21"/>
                    </w:rPr>
                    <w:t>1</w:t>
                  </w:r>
                </w:p>
              </w:tc>
              <w:tc>
                <w:tcPr>
                  <w:tcW w:w="1737" w:type="dxa"/>
                  <w:vAlign w:val="center"/>
                </w:tcPr>
                <w:p w14:paraId="58FCB6A8">
                  <w:pPr>
                    <w:spacing w:line="320" w:lineRule="exact"/>
                    <w:jc w:val="center"/>
                    <w:rPr>
                      <w:szCs w:val="21"/>
                    </w:rPr>
                  </w:pPr>
                  <w:r>
                    <w:rPr>
                      <w:rFonts w:hint="eastAsia"/>
                      <w:szCs w:val="21"/>
                    </w:rPr>
                    <w:t>90</w:t>
                  </w:r>
                </w:p>
              </w:tc>
              <w:tc>
                <w:tcPr>
                  <w:tcW w:w="1544" w:type="dxa"/>
                  <w:vAlign w:val="center"/>
                </w:tcPr>
                <w:p w14:paraId="71F83175">
                  <w:pPr>
                    <w:spacing w:line="320" w:lineRule="exact"/>
                    <w:jc w:val="center"/>
                    <w:rPr>
                      <w:szCs w:val="21"/>
                    </w:rPr>
                  </w:pPr>
                  <w:r>
                    <w:rPr>
                      <w:rFonts w:hint="eastAsia"/>
                      <w:szCs w:val="21"/>
                    </w:rPr>
                    <w:t>不稳态源</w:t>
                  </w:r>
                </w:p>
              </w:tc>
            </w:tr>
            <w:tr w14:paraId="2E886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07" w:type="dxa"/>
                  <w:vAlign w:val="center"/>
                </w:tcPr>
                <w:p w14:paraId="4078A0BF">
                  <w:pPr>
                    <w:spacing w:line="320" w:lineRule="exact"/>
                    <w:jc w:val="center"/>
                    <w:rPr>
                      <w:szCs w:val="21"/>
                    </w:rPr>
                  </w:pPr>
                  <w:r>
                    <w:rPr>
                      <w:rFonts w:hint="eastAsia"/>
                      <w:szCs w:val="21"/>
                    </w:rPr>
                    <w:t>12</w:t>
                  </w:r>
                </w:p>
              </w:tc>
              <w:tc>
                <w:tcPr>
                  <w:tcW w:w="1968" w:type="dxa"/>
                </w:tcPr>
                <w:p w14:paraId="6EBB8DC2">
                  <w:pPr>
                    <w:pStyle w:val="103"/>
                    <w:spacing w:line="320" w:lineRule="exact"/>
                    <w:rPr>
                      <w:sz w:val="21"/>
                      <w:szCs w:val="21"/>
                    </w:rPr>
                  </w:pPr>
                  <w:r>
                    <w:rPr>
                      <w:rFonts w:hint="eastAsia"/>
                      <w:sz w:val="21"/>
                      <w:szCs w:val="21"/>
                    </w:rPr>
                    <w:t>排水泵</w:t>
                  </w:r>
                </w:p>
              </w:tc>
              <w:tc>
                <w:tcPr>
                  <w:tcW w:w="1845" w:type="dxa"/>
                  <w:vAlign w:val="center"/>
                </w:tcPr>
                <w:p w14:paraId="2C3A4B88">
                  <w:pPr>
                    <w:spacing w:line="320" w:lineRule="exact"/>
                    <w:jc w:val="center"/>
                    <w:rPr>
                      <w:szCs w:val="21"/>
                    </w:rPr>
                  </w:pPr>
                  <w:r>
                    <w:rPr>
                      <w:rFonts w:hint="eastAsia"/>
                      <w:szCs w:val="21"/>
                    </w:rPr>
                    <w:t>1</w:t>
                  </w:r>
                </w:p>
              </w:tc>
              <w:tc>
                <w:tcPr>
                  <w:tcW w:w="1737" w:type="dxa"/>
                  <w:vAlign w:val="center"/>
                </w:tcPr>
                <w:p w14:paraId="53706437">
                  <w:pPr>
                    <w:spacing w:line="320" w:lineRule="exact"/>
                    <w:jc w:val="center"/>
                    <w:rPr>
                      <w:szCs w:val="21"/>
                    </w:rPr>
                  </w:pPr>
                  <w:r>
                    <w:rPr>
                      <w:rFonts w:hint="eastAsia"/>
                      <w:szCs w:val="21"/>
                    </w:rPr>
                    <w:t>90</w:t>
                  </w:r>
                </w:p>
              </w:tc>
              <w:tc>
                <w:tcPr>
                  <w:tcW w:w="1544" w:type="dxa"/>
                  <w:vAlign w:val="center"/>
                </w:tcPr>
                <w:p w14:paraId="19C17A95">
                  <w:pPr>
                    <w:spacing w:line="320" w:lineRule="exact"/>
                    <w:jc w:val="center"/>
                    <w:rPr>
                      <w:szCs w:val="21"/>
                    </w:rPr>
                  </w:pPr>
                  <w:r>
                    <w:rPr>
                      <w:rFonts w:hint="eastAsia"/>
                      <w:szCs w:val="21"/>
                    </w:rPr>
                    <w:t>不稳态源</w:t>
                  </w:r>
                </w:p>
              </w:tc>
            </w:tr>
          </w:tbl>
          <w:p w14:paraId="4329BB38">
            <w:pPr>
              <w:spacing w:line="440" w:lineRule="exact"/>
              <w:ind w:firstLine="480" w:firstLineChars="200"/>
              <w:rPr>
                <w:sz w:val="24"/>
              </w:rPr>
            </w:pPr>
            <w:r>
              <w:rPr>
                <w:rFonts w:hint="eastAsia"/>
                <w:sz w:val="24"/>
              </w:rPr>
              <w:t>由上表可知，各类施工机械设备运转时产生的施工噪声从80dB（A）到95dB（A）不等。</w:t>
            </w:r>
          </w:p>
          <w:p w14:paraId="33001EA6">
            <w:pPr>
              <w:pStyle w:val="4"/>
              <w:numPr>
                <w:ilvl w:val="1"/>
                <w:numId w:val="28"/>
              </w:numPr>
            </w:pPr>
            <w:r>
              <w:rPr>
                <w:rFonts w:hint="eastAsia"/>
              </w:rPr>
              <w:t>施工机械噪声</w:t>
            </w:r>
          </w:p>
          <w:p w14:paraId="26A48ED6">
            <w:pPr>
              <w:spacing w:line="440" w:lineRule="exact"/>
              <w:ind w:firstLine="480" w:firstLineChars="200"/>
              <w:rPr>
                <w:sz w:val="24"/>
              </w:rPr>
            </w:pPr>
            <w:r>
              <w:rPr>
                <w:rFonts w:hint="eastAsia"/>
                <w:sz w:val="24"/>
              </w:rPr>
              <w:t>施工过程中，不同阶段会使用不同的机械设备，因此，施工现场噪声特点表现为强度较高、无规则、不连续等，其强度与施工机械的功率、工作状态等因素都有关。在施工噪声预测计算中，施工机械噪声衰减模式如下：</w:t>
            </w:r>
          </w:p>
          <w:p w14:paraId="12087AFE">
            <w:pPr>
              <w:ind w:firstLine="480" w:firstLineChars="200"/>
              <w:jc w:val="center"/>
              <w:rPr>
                <w:sz w:val="24"/>
              </w:rPr>
            </w:pPr>
            <w:r>
              <w:rPr>
                <w:sz w:val="24"/>
              </w:rPr>
              <w:drawing>
                <wp:inline distT="0" distB="0" distL="114300" distR="114300">
                  <wp:extent cx="1962150" cy="619125"/>
                  <wp:effectExtent l="0" t="0" r="0" b="9525"/>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41"/>
                          <a:stretch>
                            <a:fillRect/>
                          </a:stretch>
                        </pic:blipFill>
                        <pic:spPr>
                          <a:xfrm>
                            <a:off x="0" y="0"/>
                            <a:ext cx="1962150" cy="619125"/>
                          </a:xfrm>
                          <a:prstGeom prst="rect">
                            <a:avLst/>
                          </a:prstGeom>
                          <a:noFill/>
                          <a:ln>
                            <a:noFill/>
                          </a:ln>
                        </pic:spPr>
                      </pic:pic>
                    </a:graphicData>
                  </a:graphic>
                </wp:inline>
              </w:drawing>
            </w:r>
          </w:p>
          <w:p w14:paraId="6A630E2E">
            <w:pPr>
              <w:spacing w:line="440" w:lineRule="exact"/>
              <w:ind w:firstLine="480" w:firstLineChars="200"/>
              <w:rPr>
                <w:sz w:val="24"/>
              </w:rPr>
            </w:pPr>
            <w:r>
              <w:rPr>
                <w:rFonts w:hint="eastAsia"/>
                <w:sz w:val="24"/>
              </w:rPr>
              <w:t>式中：r1、r2——距声源的距离，m；</w:t>
            </w:r>
          </w:p>
          <w:p w14:paraId="7523E57B">
            <w:pPr>
              <w:spacing w:line="440" w:lineRule="exact"/>
              <w:ind w:firstLine="480" w:firstLineChars="200"/>
              <w:rPr>
                <w:sz w:val="24"/>
              </w:rPr>
            </w:pPr>
            <w:r>
              <w:rPr>
                <w:rFonts w:hint="eastAsia"/>
                <w:sz w:val="24"/>
              </w:rPr>
              <w:t>L1、L2——r1、r2处的声强级，dB(A)；</w:t>
            </w:r>
          </w:p>
          <w:p w14:paraId="7D2799AA">
            <w:pPr>
              <w:spacing w:line="440" w:lineRule="exact"/>
              <w:ind w:firstLine="480" w:firstLineChars="200"/>
              <w:rPr>
                <w:sz w:val="24"/>
              </w:rPr>
            </w:pPr>
            <w:r>
              <w:rPr>
                <w:rFonts w:hint="eastAsia"/>
                <w:sz w:val="24"/>
              </w:rPr>
              <w:t>△L——其他因素对噪声的影响值，dB(A)，本次环评按0dB（A）计。</w:t>
            </w:r>
          </w:p>
          <w:p w14:paraId="733F03DE">
            <w:pPr>
              <w:spacing w:line="440" w:lineRule="exact"/>
              <w:ind w:firstLine="480" w:firstLineChars="200"/>
              <w:rPr>
                <w:sz w:val="24"/>
              </w:rPr>
            </w:pPr>
            <w:r>
              <w:rPr>
                <w:rFonts w:hint="eastAsia"/>
                <w:sz w:val="24"/>
              </w:rPr>
              <w:t>项目主要施工机械在不同距离处的噪声预测见下表。</w:t>
            </w:r>
          </w:p>
          <w:p w14:paraId="53845841">
            <w:pPr>
              <w:pStyle w:val="48"/>
              <w:spacing w:before="156"/>
              <w:ind w:left="0"/>
            </w:pPr>
            <w:r>
              <w:rPr>
                <w:rFonts w:hint="eastAsia"/>
              </w:rPr>
              <w:t>施工机械噪声源强</w:t>
            </w:r>
          </w:p>
          <w:tbl>
            <w:tblPr>
              <w:tblStyle w:val="51"/>
              <w:tblW w:w="4995"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5"/>
              <w:gridCol w:w="757"/>
              <w:gridCol w:w="758"/>
              <w:gridCol w:w="758"/>
              <w:gridCol w:w="758"/>
              <w:gridCol w:w="758"/>
              <w:gridCol w:w="758"/>
              <w:gridCol w:w="758"/>
              <w:gridCol w:w="758"/>
              <w:gridCol w:w="759"/>
            </w:tblGrid>
            <w:tr w14:paraId="1C2AB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367" w:type="dxa"/>
                  <w:vMerge w:val="restart"/>
                  <w:tcBorders>
                    <w:bottom w:val="nil"/>
                  </w:tcBorders>
                  <w:vAlign w:val="center"/>
                </w:tcPr>
                <w:p w14:paraId="173A9227">
                  <w:pPr>
                    <w:pStyle w:val="89"/>
                  </w:pPr>
                  <w:r>
                    <w:t>机械名称</w:t>
                  </w:r>
                </w:p>
              </w:tc>
              <w:tc>
                <w:tcPr>
                  <w:tcW w:w="6823" w:type="dxa"/>
                  <w:gridSpan w:val="9"/>
                  <w:vAlign w:val="center"/>
                </w:tcPr>
                <w:p w14:paraId="3D05A228">
                  <w:pPr>
                    <w:pStyle w:val="89"/>
                  </w:pPr>
                  <w:r>
                    <w:t>不同距离处的噪声值dB(A)</w:t>
                  </w:r>
                </w:p>
              </w:tc>
            </w:tr>
            <w:tr w14:paraId="42172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7" w:hRule="atLeast"/>
                <w:jc w:val="center"/>
              </w:trPr>
              <w:tc>
                <w:tcPr>
                  <w:tcW w:w="1367" w:type="dxa"/>
                  <w:vMerge w:val="continue"/>
                  <w:tcBorders>
                    <w:top w:val="nil"/>
                  </w:tcBorders>
                  <w:vAlign w:val="center"/>
                </w:tcPr>
                <w:p w14:paraId="2DBBF02B">
                  <w:pPr>
                    <w:pStyle w:val="89"/>
                  </w:pPr>
                </w:p>
              </w:tc>
              <w:tc>
                <w:tcPr>
                  <w:tcW w:w="758" w:type="dxa"/>
                  <w:vAlign w:val="center"/>
                </w:tcPr>
                <w:p w14:paraId="1DF961B0">
                  <w:pPr>
                    <w:pStyle w:val="89"/>
                  </w:pPr>
                  <w:r>
                    <w:t>1m</w:t>
                  </w:r>
                </w:p>
              </w:tc>
              <w:tc>
                <w:tcPr>
                  <w:tcW w:w="758" w:type="dxa"/>
                  <w:vAlign w:val="center"/>
                </w:tcPr>
                <w:p w14:paraId="03255C08">
                  <w:pPr>
                    <w:pStyle w:val="89"/>
                  </w:pPr>
                  <w:r>
                    <w:t>10m</w:t>
                  </w:r>
                </w:p>
              </w:tc>
              <w:tc>
                <w:tcPr>
                  <w:tcW w:w="758" w:type="dxa"/>
                  <w:vAlign w:val="center"/>
                </w:tcPr>
                <w:p w14:paraId="4B485022">
                  <w:pPr>
                    <w:pStyle w:val="89"/>
                  </w:pPr>
                  <w:r>
                    <w:t>20m</w:t>
                  </w:r>
                </w:p>
              </w:tc>
              <w:tc>
                <w:tcPr>
                  <w:tcW w:w="758" w:type="dxa"/>
                  <w:vAlign w:val="center"/>
                </w:tcPr>
                <w:p w14:paraId="30370F28">
                  <w:pPr>
                    <w:pStyle w:val="89"/>
                  </w:pPr>
                  <w:r>
                    <w:rPr>
                      <w:rFonts w:hint="eastAsia"/>
                    </w:rPr>
                    <w:t>30</w:t>
                  </w:r>
                  <w:r>
                    <w:t>m</w:t>
                  </w:r>
                </w:p>
              </w:tc>
              <w:tc>
                <w:tcPr>
                  <w:tcW w:w="758" w:type="dxa"/>
                  <w:vAlign w:val="center"/>
                </w:tcPr>
                <w:p w14:paraId="4B4D441A">
                  <w:pPr>
                    <w:pStyle w:val="89"/>
                  </w:pPr>
                  <w:r>
                    <w:rPr>
                      <w:rFonts w:hint="eastAsia"/>
                    </w:rPr>
                    <w:t>50</w:t>
                  </w:r>
                  <w:r>
                    <w:t>m</w:t>
                  </w:r>
                </w:p>
              </w:tc>
              <w:tc>
                <w:tcPr>
                  <w:tcW w:w="758" w:type="dxa"/>
                  <w:vAlign w:val="center"/>
                </w:tcPr>
                <w:p w14:paraId="6E3A79BA">
                  <w:pPr>
                    <w:pStyle w:val="89"/>
                  </w:pPr>
                  <w:r>
                    <w:t>80m</w:t>
                  </w:r>
                </w:p>
              </w:tc>
              <w:tc>
                <w:tcPr>
                  <w:tcW w:w="758" w:type="dxa"/>
                  <w:vAlign w:val="center"/>
                </w:tcPr>
                <w:p w14:paraId="545CBE12">
                  <w:pPr>
                    <w:pStyle w:val="89"/>
                  </w:pPr>
                  <w:r>
                    <w:t>100m</w:t>
                  </w:r>
                </w:p>
              </w:tc>
              <w:tc>
                <w:tcPr>
                  <w:tcW w:w="758" w:type="dxa"/>
                  <w:vAlign w:val="center"/>
                </w:tcPr>
                <w:p w14:paraId="04F488CB">
                  <w:pPr>
                    <w:pStyle w:val="89"/>
                  </w:pPr>
                  <w:r>
                    <w:t>150m</w:t>
                  </w:r>
                </w:p>
              </w:tc>
              <w:tc>
                <w:tcPr>
                  <w:tcW w:w="759" w:type="dxa"/>
                  <w:vAlign w:val="center"/>
                </w:tcPr>
                <w:p w14:paraId="34307577">
                  <w:pPr>
                    <w:pStyle w:val="89"/>
                  </w:pPr>
                  <w:r>
                    <w:rPr>
                      <w:rFonts w:hint="eastAsia"/>
                    </w:rPr>
                    <w:t>200</w:t>
                  </w:r>
                  <w:r>
                    <w:t>m</w:t>
                  </w:r>
                </w:p>
              </w:tc>
            </w:tr>
            <w:tr w14:paraId="26907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367" w:type="dxa"/>
                  <w:tcBorders>
                    <w:top w:val="nil"/>
                  </w:tcBorders>
                  <w:vAlign w:val="center"/>
                </w:tcPr>
                <w:p w14:paraId="0D1AC58B">
                  <w:pPr>
                    <w:pStyle w:val="89"/>
                  </w:pPr>
                  <w:r>
                    <w:rPr>
                      <w:rFonts w:hint="eastAsia"/>
                    </w:rPr>
                    <w:t>挖掘机</w:t>
                  </w:r>
                </w:p>
              </w:tc>
              <w:tc>
                <w:tcPr>
                  <w:tcW w:w="758" w:type="dxa"/>
                  <w:vAlign w:val="center"/>
                </w:tcPr>
                <w:p w14:paraId="571927A8">
                  <w:pPr>
                    <w:pStyle w:val="89"/>
                    <w:rPr>
                      <w:bCs/>
                      <w:spacing w:val="-6"/>
                    </w:rPr>
                  </w:pPr>
                  <w:r>
                    <w:rPr>
                      <w:rFonts w:hint="eastAsia"/>
                    </w:rPr>
                    <w:t>95</w:t>
                  </w:r>
                </w:p>
              </w:tc>
              <w:tc>
                <w:tcPr>
                  <w:tcW w:w="758" w:type="dxa"/>
                  <w:vAlign w:val="center"/>
                </w:tcPr>
                <w:p w14:paraId="7B1340C7">
                  <w:pPr>
                    <w:pStyle w:val="89"/>
                    <w:rPr>
                      <w:bCs/>
                      <w:spacing w:val="-6"/>
                    </w:rPr>
                  </w:pPr>
                  <w:r>
                    <w:rPr>
                      <w:rFonts w:hint="eastAsia"/>
                    </w:rPr>
                    <w:t>75</w:t>
                  </w:r>
                </w:p>
              </w:tc>
              <w:tc>
                <w:tcPr>
                  <w:tcW w:w="758" w:type="dxa"/>
                  <w:vAlign w:val="center"/>
                </w:tcPr>
                <w:p w14:paraId="2CA90FF3">
                  <w:pPr>
                    <w:pStyle w:val="89"/>
                    <w:rPr>
                      <w:bCs/>
                      <w:spacing w:val="-6"/>
                    </w:rPr>
                  </w:pPr>
                  <w:r>
                    <w:rPr>
                      <w:rFonts w:hint="eastAsia"/>
                    </w:rPr>
                    <w:t>69</w:t>
                  </w:r>
                </w:p>
              </w:tc>
              <w:tc>
                <w:tcPr>
                  <w:tcW w:w="758" w:type="dxa"/>
                  <w:vAlign w:val="center"/>
                </w:tcPr>
                <w:p w14:paraId="6CD5A847">
                  <w:pPr>
                    <w:pStyle w:val="89"/>
                    <w:rPr>
                      <w:bCs/>
                      <w:spacing w:val="-6"/>
                    </w:rPr>
                  </w:pPr>
                  <w:r>
                    <w:rPr>
                      <w:rFonts w:hint="eastAsia"/>
                    </w:rPr>
                    <w:t>65</w:t>
                  </w:r>
                </w:p>
              </w:tc>
              <w:tc>
                <w:tcPr>
                  <w:tcW w:w="758" w:type="dxa"/>
                  <w:vAlign w:val="center"/>
                </w:tcPr>
                <w:p w14:paraId="5BA5A52D">
                  <w:pPr>
                    <w:pStyle w:val="89"/>
                    <w:rPr>
                      <w:bCs/>
                      <w:spacing w:val="-6"/>
                    </w:rPr>
                  </w:pPr>
                  <w:r>
                    <w:rPr>
                      <w:rFonts w:hint="eastAsia"/>
                    </w:rPr>
                    <w:t>61</w:t>
                  </w:r>
                </w:p>
              </w:tc>
              <w:tc>
                <w:tcPr>
                  <w:tcW w:w="758" w:type="dxa"/>
                  <w:vAlign w:val="center"/>
                </w:tcPr>
                <w:p w14:paraId="7CBE9313">
                  <w:pPr>
                    <w:pStyle w:val="89"/>
                    <w:rPr>
                      <w:bCs/>
                      <w:spacing w:val="-6"/>
                    </w:rPr>
                  </w:pPr>
                  <w:r>
                    <w:rPr>
                      <w:rFonts w:hint="eastAsia"/>
                    </w:rPr>
                    <w:t>57</w:t>
                  </w:r>
                </w:p>
              </w:tc>
              <w:tc>
                <w:tcPr>
                  <w:tcW w:w="758" w:type="dxa"/>
                  <w:vAlign w:val="center"/>
                </w:tcPr>
                <w:p w14:paraId="361D370A">
                  <w:pPr>
                    <w:pStyle w:val="89"/>
                    <w:rPr>
                      <w:bCs/>
                      <w:spacing w:val="-6"/>
                    </w:rPr>
                  </w:pPr>
                  <w:r>
                    <w:rPr>
                      <w:rFonts w:hint="eastAsia"/>
                    </w:rPr>
                    <w:t>55</w:t>
                  </w:r>
                </w:p>
              </w:tc>
              <w:tc>
                <w:tcPr>
                  <w:tcW w:w="758" w:type="dxa"/>
                  <w:vAlign w:val="center"/>
                </w:tcPr>
                <w:p w14:paraId="19D54D48">
                  <w:pPr>
                    <w:pStyle w:val="89"/>
                    <w:rPr>
                      <w:bCs/>
                      <w:spacing w:val="-6"/>
                    </w:rPr>
                  </w:pPr>
                  <w:r>
                    <w:rPr>
                      <w:rFonts w:hint="eastAsia"/>
                    </w:rPr>
                    <w:t>51</w:t>
                  </w:r>
                </w:p>
              </w:tc>
              <w:tc>
                <w:tcPr>
                  <w:tcW w:w="759" w:type="dxa"/>
                  <w:vAlign w:val="center"/>
                </w:tcPr>
                <w:p w14:paraId="2702840C">
                  <w:pPr>
                    <w:pStyle w:val="89"/>
                    <w:rPr>
                      <w:bCs/>
                      <w:spacing w:val="-6"/>
                    </w:rPr>
                  </w:pPr>
                  <w:r>
                    <w:rPr>
                      <w:rFonts w:hint="eastAsia"/>
                    </w:rPr>
                    <w:t>49</w:t>
                  </w:r>
                </w:p>
              </w:tc>
            </w:tr>
            <w:tr w14:paraId="6AE41E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367" w:type="dxa"/>
                  <w:tcBorders>
                    <w:top w:val="nil"/>
                  </w:tcBorders>
                  <w:vAlign w:val="center"/>
                </w:tcPr>
                <w:p w14:paraId="10735680">
                  <w:pPr>
                    <w:pStyle w:val="89"/>
                  </w:pPr>
                  <w:r>
                    <w:rPr>
                      <w:rFonts w:hint="eastAsia"/>
                    </w:rPr>
                    <w:t>推土机</w:t>
                  </w:r>
                </w:p>
              </w:tc>
              <w:tc>
                <w:tcPr>
                  <w:tcW w:w="758" w:type="dxa"/>
                  <w:vAlign w:val="center"/>
                </w:tcPr>
                <w:p w14:paraId="33CA310F">
                  <w:pPr>
                    <w:pStyle w:val="89"/>
                    <w:rPr>
                      <w:bCs/>
                      <w:spacing w:val="-6"/>
                    </w:rPr>
                  </w:pPr>
                  <w:r>
                    <w:rPr>
                      <w:rFonts w:hint="eastAsia"/>
                    </w:rPr>
                    <w:t>95</w:t>
                  </w:r>
                </w:p>
              </w:tc>
              <w:tc>
                <w:tcPr>
                  <w:tcW w:w="758" w:type="dxa"/>
                  <w:vAlign w:val="center"/>
                </w:tcPr>
                <w:p w14:paraId="6EC8EE01">
                  <w:pPr>
                    <w:pStyle w:val="89"/>
                    <w:rPr>
                      <w:bCs/>
                      <w:spacing w:val="-6"/>
                    </w:rPr>
                  </w:pPr>
                  <w:r>
                    <w:rPr>
                      <w:rFonts w:hint="eastAsia"/>
                    </w:rPr>
                    <w:t>75</w:t>
                  </w:r>
                </w:p>
              </w:tc>
              <w:tc>
                <w:tcPr>
                  <w:tcW w:w="758" w:type="dxa"/>
                  <w:vAlign w:val="center"/>
                </w:tcPr>
                <w:p w14:paraId="2D5F893C">
                  <w:pPr>
                    <w:pStyle w:val="89"/>
                    <w:rPr>
                      <w:bCs/>
                      <w:spacing w:val="-6"/>
                    </w:rPr>
                  </w:pPr>
                  <w:r>
                    <w:rPr>
                      <w:rFonts w:hint="eastAsia"/>
                    </w:rPr>
                    <w:t>69</w:t>
                  </w:r>
                </w:p>
              </w:tc>
              <w:tc>
                <w:tcPr>
                  <w:tcW w:w="758" w:type="dxa"/>
                  <w:vAlign w:val="center"/>
                </w:tcPr>
                <w:p w14:paraId="452099CA">
                  <w:pPr>
                    <w:pStyle w:val="89"/>
                    <w:rPr>
                      <w:bCs/>
                      <w:spacing w:val="-6"/>
                    </w:rPr>
                  </w:pPr>
                  <w:r>
                    <w:rPr>
                      <w:rFonts w:hint="eastAsia"/>
                    </w:rPr>
                    <w:t>65</w:t>
                  </w:r>
                </w:p>
              </w:tc>
              <w:tc>
                <w:tcPr>
                  <w:tcW w:w="758" w:type="dxa"/>
                  <w:vAlign w:val="center"/>
                </w:tcPr>
                <w:p w14:paraId="0EB8AFCE">
                  <w:pPr>
                    <w:pStyle w:val="89"/>
                    <w:rPr>
                      <w:bCs/>
                      <w:spacing w:val="-6"/>
                    </w:rPr>
                  </w:pPr>
                  <w:r>
                    <w:rPr>
                      <w:rFonts w:hint="eastAsia"/>
                    </w:rPr>
                    <w:t>61</w:t>
                  </w:r>
                </w:p>
              </w:tc>
              <w:tc>
                <w:tcPr>
                  <w:tcW w:w="758" w:type="dxa"/>
                  <w:vAlign w:val="center"/>
                </w:tcPr>
                <w:p w14:paraId="5E3D2802">
                  <w:pPr>
                    <w:pStyle w:val="89"/>
                    <w:rPr>
                      <w:bCs/>
                      <w:spacing w:val="-6"/>
                    </w:rPr>
                  </w:pPr>
                  <w:r>
                    <w:rPr>
                      <w:rFonts w:hint="eastAsia"/>
                    </w:rPr>
                    <w:t>57</w:t>
                  </w:r>
                </w:p>
              </w:tc>
              <w:tc>
                <w:tcPr>
                  <w:tcW w:w="758" w:type="dxa"/>
                  <w:vAlign w:val="center"/>
                </w:tcPr>
                <w:p w14:paraId="6B34BB14">
                  <w:pPr>
                    <w:pStyle w:val="89"/>
                    <w:rPr>
                      <w:bCs/>
                      <w:spacing w:val="-6"/>
                    </w:rPr>
                  </w:pPr>
                  <w:r>
                    <w:rPr>
                      <w:rFonts w:hint="eastAsia"/>
                    </w:rPr>
                    <w:t>55</w:t>
                  </w:r>
                </w:p>
              </w:tc>
              <w:tc>
                <w:tcPr>
                  <w:tcW w:w="758" w:type="dxa"/>
                  <w:vAlign w:val="center"/>
                </w:tcPr>
                <w:p w14:paraId="60F9CCC0">
                  <w:pPr>
                    <w:pStyle w:val="89"/>
                    <w:rPr>
                      <w:bCs/>
                      <w:spacing w:val="-6"/>
                    </w:rPr>
                  </w:pPr>
                  <w:r>
                    <w:rPr>
                      <w:rFonts w:hint="eastAsia"/>
                    </w:rPr>
                    <w:t>51</w:t>
                  </w:r>
                </w:p>
              </w:tc>
              <w:tc>
                <w:tcPr>
                  <w:tcW w:w="759" w:type="dxa"/>
                  <w:vAlign w:val="center"/>
                </w:tcPr>
                <w:p w14:paraId="6A30BD89">
                  <w:pPr>
                    <w:pStyle w:val="89"/>
                    <w:rPr>
                      <w:bCs/>
                      <w:spacing w:val="-6"/>
                    </w:rPr>
                  </w:pPr>
                  <w:r>
                    <w:rPr>
                      <w:rFonts w:hint="eastAsia"/>
                    </w:rPr>
                    <w:t>49</w:t>
                  </w:r>
                </w:p>
              </w:tc>
            </w:tr>
            <w:tr w14:paraId="6E17E4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367" w:type="dxa"/>
                  <w:tcBorders>
                    <w:top w:val="nil"/>
                  </w:tcBorders>
                  <w:vAlign w:val="center"/>
                </w:tcPr>
                <w:p w14:paraId="4C661297">
                  <w:pPr>
                    <w:pStyle w:val="89"/>
                  </w:pPr>
                  <w:r>
                    <w:rPr>
                      <w:rFonts w:hint="eastAsia"/>
                    </w:rPr>
                    <w:t>自卸汽车</w:t>
                  </w:r>
                </w:p>
              </w:tc>
              <w:tc>
                <w:tcPr>
                  <w:tcW w:w="758" w:type="dxa"/>
                  <w:vAlign w:val="center"/>
                </w:tcPr>
                <w:p w14:paraId="02E402E6">
                  <w:pPr>
                    <w:pStyle w:val="89"/>
                    <w:rPr>
                      <w:bCs/>
                      <w:spacing w:val="-6"/>
                    </w:rPr>
                  </w:pPr>
                  <w:r>
                    <w:rPr>
                      <w:rFonts w:hint="eastAsia"/>
                    </w:rPr>
                    <w:t>80</w:t>
                  </w:r>
                </w:p>
              </w:tc>
              <w:tc>
                <w:tcPr>
                  <w:tcW w:w="758" w:type="dxa"/>
                  <w:vAlign w:val="center"/>
                </w:tcPr>
                <w:p w14:paraId="004FF572">
                  <w:pPr>
                    <w:pStyle w:val="89"/>
                    <w:rPr>
                      <w:bCs/>
                      <w:spacing w:val="-6"/>
                    </w:rPr>
                  </w:pPr>
                  <w:r>
                    <w:rPr>
                      <w:rFonts w:hint="eastAsia"/>
                    </w:rPr>
                    <w:t>60</w:t>
                  </w:r>
                </w:p>
              </w:tc>
              <w:tc>
                <w:tcPr>
                  <w:tcW w:w="758" w:type="dxa"/>
                  <w:vAlign w:val="center"/>
                </w:tcPr>
                <w:p w14:paraId="1687B943">
                  <w:pPr>
                    <w:pStyle w:val="89"/>
                    <w:rPr>
                      <w:bCs/>
                      <w:spacing w:val="-6"/>
                    </w:rPr>
                  </w:pPr>
                  <w:r>
                    <w:rPr>
                      <w:rFonts w:hint="eastAsia"/>
                    </w:rPr>
                    <w:t>54</w:t>
                  </w:r>
                </w:p>
              </w:tc>
              <w:tc>
                <w:tcPr>
                  <w:tcW w:w="758" w:type="dxa"/>
                  <w:vAlign w:val="center"/>
                </w:tcPr>
                <w:p w14:paraId="6FDAF535">
                  <w:pPr>
                    <w:pStyle w:val="89"/>
                    <w:rPr>
                      <w:bCs/>
                      <w:spacing w:val="-6"/>
                    </w:rPr>
                  </w:pPr>
                  <w:r>
                    <w:rPr>
                      <w:rFonts w:hint="eastAsia"/>
                    </w:rPr>
                    <w:t>50</w:t>
                  </w:r>
                </w:p>
              </w:tc>
              <w:tc>
                <w:tcPr>
                  <w:tcW w:w="758" w:type="dxa"/>
                  <w:vAlign w:val="center"/>
                </w:tcPr>
                <w:p w14:paraId="3DFDD2D6">
                  <w:pPr>
                    <w:pStyle w:val="89"/>
                    <w:rPr>
                      <w:bCs/>
                      <w:spacing w:val="-6"/>
                    </w:rPr>
                  </w:pPr>
                  <w:r>
                    <w:rPr>
                      <w:rFonts w:hint="eastAsia"/>
                    </w:rPr>
                    <w:t>46</w:t>
                  </w:r>
                </w:p>
              </w:tc>
              <w:tc>
                <w:tcPr>
                  <w:tcW w:w="758" w:type="dxa"/>
                  <w:vAlign w:val="center"/>
                </w:tcPr>
                <w:p w14:paraId="4D8E3AD3">
                  <w:pPr>
                    <w:pStyle w:val="89"/>
                    <w:rPr>
                      <w:bCs/>
                      <w:spacing w:val="-6"/>
                    </w:rPr>
                  </w:pPr>
                  <w:r>
                    <w:rPr>
                      <w:rFonts w:hint="eastAsia"/>
                    </w:rPr>
                    <w:t>42</w:t>
                  </w:r>
                </w:p>
              </w:tc>
              <w:tc>
                <w:tcPr>
                  <w:tcW w:w="758" w:type="dxa"/>
                  <w:vAlign w:val="center"/>
                </w:tcPr>
                <w:p w14:paraId="64739DBF">
                  <w:pPr>
                    <w:pStyle w:val="89"/>
                    <w:rPr>
                      <w:bCs/>
                      <w:spacing w:val="-6"/>
                    </w:rPr>
                  </w:pPr>
                  <w:r>
                    <w:rPr>
                      <w:rFonts w:hint="eastAsia"/>
                    </w:rPr>
                    <w:t>40</w:t>
                  </w:r>
                </w:p>
              </w:tc>
              <w:tc>
                <w:tcPr>
                  <w:tcW w:w="758" w:type="dxa"/>
                  <w:vAlign w:val="center"/>
                </w:tcPr>
                <w:p w14:paraId="42779435">
                  <w:pPr>
                    <w:pStyle w:val="89"/>
                    <w:rPr>
                      <w:bCs/>
                      <w:spacing w:val="-6"/>
                    </w:rPr>
                  </w:pPr>
                  <w:r>
                    <w:rPr>
                      <w:rFonts w:hint="eastAsia"/>
                    </w:rPr>
                    <w:t>36</w:t>
                  </w:r>
                </w:p>
              </w:tc>
              <w:tc>
                <w:tcPr>
                  <w:tcW w:w="759" w:type="dxa"/>
                  <w:vAlign w:val="center"/>
                </w:tcPr>
                <w:p w14:paraId="007D9DB5">
                  <w:pPr>
                    <w:pStyle w:val="89"/>
                    <w:rPr>
                      <w:bCs/>
                      <w:spacing w:val="-6"/>
                    </w:rPr>
                  </w:pPr>
                  <w:r>
                    <w:rPr>
                      <w:rFonts w:hint="eastAsia"/>
                    </w:rPr>
                    <w:t>34</w:t>
                  </w:r>
                </w:p>
              </w:tc>
            </w:tr>
            <w:tr w14:paraId="60205D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367" w:type="dxa"/>
                  <w:tcBorders>
                    <w:top w:val="nil"/>
                  </w:tcBorders>
                  <w:vAlign w:val="center"/>
                </w:tcPr>
                <w:p w14:paraId="25994766">
                  <w:pPr>
                    <w:pStyle w:val="89"/>
                  </w:pPr>
                  <w:r>
                    <w:rPr>
                      <w:rFonts w:hint="eastAsia"/>
                    </w:rPr>
                    <w:t>简易起重吊车</w:t>
                  </w:r>
                </w:p>
              </w:tc>
              <w:tc>
                <w:tcPr>
                  <w:tcW w:w="758" w:type="dxa"/>
                  <w:vAlign w:val="center"/>
                </w:tcPr>
                <w:p w14:paraId="0454EA27">
                  <w:pPr>
                    <w:pStyle w:val="89"/>
                    <w:rPr>
                      <w:bCs/>
                      <w:spacing w:val="-6"/>
                    </w:rPr>
                  </w:pPr>
                  <w:r>
                    <w:rPr>
                      <w:rFonts w:hint="eastAsia"/>
                    </w:rPr>
                    <w:t>80</w:t>
                  </w:r>
                </w:p>
              </w:tc>
              <w:tc>
                <w:tcPr>
                  <w:tcW w:w="758" w:type="dxa"/>
                  <w:vAlign w:val="center"/>
                </w:tcPr>
                <w:p w14:paraId="48A78254">
                  <w:pPr>
                    <w:pStyle w:val="89"/>
                    <w:rPr>
                      <w:bCs/>
                      <w:spacing w:val="-6"/>
                    </w:rPr>
                  </w:pPr>
                  <w:r>
                    <w:rPr>
                      <w:rFonts w:hint="eastAsia"/>
                    </w:rPr>
                    <w:t>60</w:t>
                  </w:r>
                </w:p>
              </w:tc>
              <w:tc>
                <w:tcPr>
                  <w:tcW w:w="758" w:type="dxa"/>
                  <w:vAlign w:val="center"/>
                </w:tcPr>
                <w:p w14:paraId="5D3FB824">
                  <w:pPr>
                    <w:pStyle w:val="89"/>
                    <w:rPr>
                      <w:bCs/>
                      <w:spacing w:val="-6"/>
                    </w:rPr>
                  </w:pPr>
                  <w:r>
                    <w:rPr>
                      <w:rFonts w:hint="eastAsia"/>
                    </w:rPr>
                    <w:t>54</w:t>
                  </w:r>
                </w:p>
              </w:tc>
              <w:tc>
                <w:tcPr>
                  <w:tcW w:w="758" w:type="dxa"/>
                  <w:vAlign w:val="center"/>
                </w:tcPr>
                <w:p w14:paraId="70881EEF">
                  <w:pPr>
                    <w:pStyle w:val="89"/>
                    <w:rPr>
                      <w:bCs/>
                      <w:spacing w:val="-6"/>
                    </w:rPr>
                  </w:pPr>
                  <w:r>
                    <w:rPr>
                      <w:rFonts w:hint="eastAsia"/>
                    </w:rPr>
                    <w:t>50</w:t>
                  </w:r>
                </w:p>
              </w:tc>
              <w:tc>
                <w:tcPr>
                  <w:tcW w:w="758" w:type="dxa"/>
                  <w:vAlign w:val="center"/>
                </w:tcPr>
                <w:p w14:paraId="31179935">
                  <w:pPr>
                    <w:pStyle w:val="89"/>
                    <w:rPr>
                      <w:bCs/>
                      <w:spacing w:val="-6"/>
                    </w:rPr>
                  </w:pPr>
                  <w:r>
                    <w:rPr>
                      <w:rFonts w:hint="eastAsia"/>
                    </w:rPr>
                    <w:t>46</w:t>
                  </w:r>
                </w:p>
              </w:tc>
              <w:tc>
                <w:tcPr>
                  <w:tcW w:w="758" w:type="dxa"/>
                  <w:vAlign w:val="center"/>
                </w:tcPr>
                <w:p w14:paraId="715D4CC2">
                  <w:pPr>
                    <w:pStyle w:val="89"/>
                    <w:rPr>
                      <w:bCs/>
                      <w:spacing w:val="-6"/>
                    </w:rPr>
                  </w:pPr>
                  <w:r>
                    <w:rPr>
                      <w:rFonts w:hint="eastAsia"/>
                    </w:rPr>
                    <w:t>42</w:t>
                  </w:r>
                </w:p>
              </w:tc>
              <w:tc>
                <w:tcPr>
                  <w:tcW w:w="758" w:type="dxa"/>
                  <w:vAlign w:val="center"/>
                </w:tcPr>
                <w:p w14:paraId="2356ABC2">
                  <w:pPr>
                    <w:pStyle w:val="89"/>
                    <w:rPr>
                      <w:bCs/>
                      <w:spacing w:val="-6"/>
                    </w:rPr>
                  </w:pPr>
                  <w:r>
                    <w:rPr>
                      <w:rFonts w:hint="eastAsia"/>
                    </w:rPr>
                    <w:t>40</w:t>
                  </w:r>
                </w:p>
              </w:tc>
              <w:tc>
                <w:tcPr>
                  <w:tcW w:w="758" w:type="dxa"/>
                  <w:vAlign w:val="center"/>
                </w:tcPr>
                <w:p w14:paraId="4F07FFED">
                  <w:pPr>
                    <w:pStyle w:val="89"/>
                    <w:rPr>
                      <w:bCs/>
                      <w:spacing w:val="-6"/>
                    </w:rPr>
                  </w:pPr>
                  <w:r>
                    <w:rPr>
                      <w:rFonts w:hint="eastAsia"/>
                    </w:rPr>
                    <w:t>36</w:t>
                  </w:r>
                </w:p>
              </w:tc>
              <w:tc>
                <w:tcPr>
                  <w:tcW w:w="759" w:type="dxa"/>
                  <w:vAlign w:val="center"/>
                </w:tcPr>
                <w:p w14:paraId="00F207C2">
                  <w:pPr>
                    <w:pStyle w:val="89"/>
                    <w:rPr>
                      <w:bCs/>
                      <w:spacing w:val="-6"/>
                    </w:rPr>
                  </w:pPr>
                  <w:r>
                    <w:rPr>
                      <w:rFonts w:hint="eastAsia"/>
                    </w:rPr>
                    <w:t>34</w:t>
                  </w:r>
                </w:p>
              </w:tc>
            </w:tr>
            <w:tr w14:paraId="79548C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367" w:type="dxa"/>
                  <w:tcBorders>
                    <w:top w:val="nil"/>
                  </w:tcBorders>
                  <w:vAlign w:val="center"/>
                </w:tcPr>
                <w:p w14:paraId="54A01D5D">
                  <w:pPr>
                    <w:pStyle w:val="89"/>
                  </w:pPr>
                  <w:r>
                    <w:rPr>
                      <w:rFonts w:hint="eastAsia"/>
                    </w:rPr>
                    <w:t>机动翻斗车</w:t>
                  </w:r>
                </w:p>
              </w:tc>
              <w:tc>
                <w:tcPr>
                  <w:tcW w:w="758" w:type="dxa"/>
                  <w:vAlign w:val="center"/>
                </w:tcPr>
                <w:p w14:paraId="1D934E35">
                  <w:pPr>
                    <w:pStyle w:val="89"/>
                    <w:rPr>
                      <w:bCs/>
                      <w:spacing w:val="-6"/>
                    </w:rPr>
                  </w:pPr>
                  <w:r>
                    <w:rPr>
                      <w:rFonts w:hint="eastAsia"/>
                    </w:rPr>
                    <w:t>80</w:t>
                  </w:r>
                </w:p>
              </w:tc>
              <w:tc>
                <w:tcPr>
                  <w:tcW w:w="758" w:type="dxa"/>
                  <w:vAlign w:val="center"/>
                </w:tcPr>
                <w:p w14:paraId="372BFD6E">
                  <w:pPr>
                    <w:pStyle w:val="89"/>
                    <w:rPr>
                      <w:bCs/>
                      <w:spacing w:val="-6"/>
                    </w:rPr>
                  </w:pPr>
                  <w:r>
                    <w:rPr>
                      <w:rFonts w:hint="eastAsia"/>
                    </w:rPr>
                    <w:t>60</w:t>
                  </w:r>
                </w:p>
              </w:tc>
              <w:tc>
                <w:tcPr>
                  <w:tcW w:w="758" w:type="dxa"/>
                  <w:vAlign w:val="center"/>
                </w:tcPr>
                <w:p w14:paraId="2DA624F3">
                  <w:pPr>
                    <w:pStyle w:val="89"/>
                    <w:rPr>
                      <w:bCs/>
                      <w:spacing w:val="-6"/>
                    </w:rPr>
                  </w:pPr>
                  <w:r>
                    <w:rPr>
                      <w:rFonts w:hint="eastAsia"/>
                    </w:rPr>
                    <w:t>54</w:t>
                  </w:r>
                </w:p>
              </w:tc>
              <w:tc>
                <w:tcPr>
                  <w:tcW w:w="758" w:type="dxa"/>
                  <w:vAlign w:val="center"/>
                </w:tcPr>
                <w:p w14:paraId="59E45CC3">
                  <w:pPr>
                    <w:pStyle w:val="89"/>
                    <w:rPr>
                      <w:bCs/>
                      <w:spacing w:val="-6"/>
                    </w:rPr>
                  </w:pPr>
                  <w:r>
                    <w:rPr>
                      <w:rFonts w:hint="eastAsia"/>
                    </w:rPr>
                    <w:t>50</w:t>
                  </w:r>
                </w:p>
              </w:tc>
              <w:tc>
                <w:tcPr>
                  <w:tcW w:w="758" w:type="dxa"/>
                  <w:vAlign w:val="center"/>
                </w:tcPr>
                <w:p w14:paraId="28C7808E">
                  <w:pPr>
                    <w:pStyle w:val="89"/>
                    <w:rPr>
                      <w:bCs/>
                      <w:spacing w:val="-6"/>
                    </w:rPr>
                  </w:pPr>
                  <w:r>
                    <w:rPr>
                      <w:rFonts w:hint="eastAsia"/>
                    </w:rPr>
                    <w:t>46</w:t>
                  </w:r>
                </w:p>
              </w:tc>
              <w:tc>
                <w:tcPr>
                  <w:tcW w:w="758" w:type="dxa"/>
                  <w:vAlign w:val="center"/>
                </w:tcPr>
                <w:p w14:paraId="089B87A7">
                  <w:pPr>
                    <w:pStyle w:val="89"/>
                    <w:rPr>
                      <w:bCs/>
                      <w:spacing w:val="-6"/>
                    </w:rPr>
                  </w:pPr>
                  <w:r>
                    <w:rPr>
                      <w:rFonts w:hint="eastAsia"/>
                    </w:rPr>
                    <w:t>42</w:t>
                  </w:r>
                </w:p>
              </w:tc>
              <w:tc>
                <w:tcPr>
                  <w:tcW w:w="758" w:type="dxa"/>
                  <w:vAlign w:val="center"/>
                </w:tcPr>
                <w:p w14:paraId="51AFD0C2">
                  <w:pPr>
                    <w:pStyle w:val="89"/>
                    <w:rPr>
                      <w:bCs/>
                      <w:spacing w:val="-6"/>
                    </w:rPr>
                  </w:pPr>
                  <w:r>
                    <w:rPr>
                      <w:rFonts w:hint="eastAsia"/>
                    </w:rPr>
                    <w:t>40</w:t>
                  </w:r>
                </w:p>
              </w:tc>
              <w:tc>
                <w:tcPr>
                  <w:tcW w:w="758" w:type="dxa"/>
                  <w:vAlign w:val="center"/>
                </w:tcPr>
                <w:p w14:paraId="60E87A11">
                  <w:pPr>
                    <w:pStyle w:val="89"/>
                    <w:rPr>
                      <w:bCs/>
                      <w:spacing w:val="-6"/>
                    </w:rPr>
                  </w:pPr>
                  <w:r>
                    <w:rPr>
                      <w:rFonts w:hint="eastAsia"/>
                    </w:rPr>
                    <w:t>36</w:t>
                  </w:r>
                </w:p>
              </w:tc>
              <w:tc>
                <w:tcPr>
                  <w:tcW w:w="759" w:type="dxa"/>
                  <w:vAlign w:val="center"/>
                </w:tcPr>
                <w:p w14:paraId="519FC4FA">
                  <w:pPr>
                    <w:pStyle w:val="89"/>
                    <w:rPr>
                      <w:bCs/>
                      <w:spacing w:val="-6"/>
                    </w:rPr>
                  </w:pPr>
                  <w:r>
                    <w:rPr>
                      <w:rFonts w:hint="eastAsia"/>
                    </w:rPr>
                    <w:t>34</w:t>
                  </w:r>
                </w:p>
              </w:tc>
            </w:tr>
            <w:tr w14:paraId="0EF2E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367" w:type="dxa"/>
                  <w:tcBorders>
                    <w:top w:val="nil"/>
                  </w:tcBorders>
                  <w:vAlign w:val="center"/>
                </w:tcPr>
                <w:p w14:paraId="3BA88B1A">
                  <w:pPr>
                    <w:pStyle w:val="89"/>
                    <w:rPr>
                      <w:bCs/>
                      <w:spacing w:val="-6"/>
                    </w:rPr>
                  </w:pPr>
                  <w:r>
                    <w:rPr>
                      <w:rFonts w:hint="eastAsia"/>
                    </w:rPr>
                    <w:t>蛙式打夯机</w:t>
                  </w:r>
                </w:p>
              </w:tc>
              <w:tc>
                <w:tcPr>
                  <w:tcW w:w="758" w:type="dxa"/>
                  <w:vAlign w:val="center"/>
                </w:tcPr>
                <w:p w14:paraId="4BED26E8">
                  <w:pPr>
                    <w:pStyle w:val="89"/>
                    <w:rPr>
                      <w:bCs/>
                      <w:spacing w:val="-6"/>
                    </w:rPr>
                  </w:pPr>
                  <w:r>
                    <w:rPr>
                      <w:rFonts w:hint="eastAsia"/>
                    </w:rPr>
                    <w:t>95</w:t>
                  </w:r>
                </w:p>
              </w:tc>
              <w:tc>
                <w:tcPr>
                  <w:tcW w:w="758" w:type="dxa"/>
                  <w:vAlign w:val="center"/>
                </w:tcPr>
                <w:p w14:paraId="63FA708A">
                  <w:pPr>
                    <w:pStyle w:val="89"/>
                    <w:rPr>
                      <w:bCs/>
                      <w:spacing w:val="-6"/>
                    </w:rPr>
                  </w:pPr>
                  <w:r>
                    <w:rPr>
                      <w:rFonts w:hint="eastAsia"/>
                    </w:rPr>
                    <w:t>75</w:t>
                  </w:r>
                </w:p>
              </w:tc>
              <w:tc>
                <w:tcPr>
                  <w:tcW w:w="758" w:type="dxa"/>
                  <w:vAlign w:val="center"/>
                </w:tcPr>
                <w:p w14:paraId="19BC4B4E">
                  <w:pPr>
                    <w:pStyle w:val="89"/>
                    <w:rPr>
                      <w:bCs/>
                      <w:spacing w:val="-6"/>
                    </w:rPr>
                  </w:pPr>
                  <w:r>
                    <w:rPr>
                      <w:rFonts w:hint="eastAsia"/>
                    </w:rPr>
                    <w:t>69</w:t>
                  </w:r>
                </w:p>
              </w:tc>
              <w:tc>
                <w:tcPr>
                  <w:tcW w:w="758" w:type="dxa"/>
                  <w:vAlign w:val="center"/>
                </w:tcPr>
                <w:p w14:paraId="67A1BBC3">
                  <w:pPr>
                    <w:pStyle w:val="89"/>
                    <w:rPr>
                      <w:bCs/>
                      <w:spacing w:val="-6"/>
                    </w:rPr>
                  </w:pPr>
                  <w:r>
                    <w:rPr>
                      <w:rFonts w:hint="eastAsia"/>
                    </w:rPr>
                    <w:t>65</w:t>
                  </w:r>
                </w:p>
              </w:tc>
              <w:tc>
                <w:tcPr>
                  <w:tcW w:w="758" w:type="dxa"/>
                  <w:vAlign w:val="center"/>
                </w:tcPr>
                <w:p w14:paraId="42AD0C2B">
                  <w:pPr>
                    <w:pStyle w:val="89"/>
                    <w:rPr>
                      <w:bCs/>
                      <w:spacing w:val="-6"/>
                    </w:rPr>
                  </w:pPr>
                  <w:r>
                    <w:rPr>
                      <w:rFonts w:hint="eastAsia"/>
                    </w:rPr>
                    <w:t>61</w:t>
                  </w:r>
                </w:p>
              </w:tc>
              <w:tc>
                <w:tcPr>
                  <w:tcW w:w="758" w:type="dxa"/>
                  <w:vAlign w:val="center"/>
                </w:tcPr>
                <w:p w14:paraId="03B8AFC8">
                  <w:pPr>
                    <w:pStyle w:val="89"/>
                    <w:rPr>
                      <w:bCs/>
                      <w:spacing w:val="-6"/>
                    </w:rPr>
                  </w:pPr>
                  <w:r>
                    <w:rPr>
                      <w:rFonts w:hint="eastAsia"/>
                    </w:rPr>
                    <w:t>57</w:t>
                  </w:r>
                </w:p>
              </w:tc>
              <w:tc>
                <w:tcPr>
                  <w:tcW w:w="758" w:type="dxa"/>
                  <w:vAlign w:val="center"/>
                </w:tcPr>
                <w:p w14:paraId="5F3C3D2F">
                  <w:pPr>
                    <w:pStyle w:val="89"/>
                    <w:rPr>
                      <w:bCs/>
                      <w:spacing w:val="-6"/>
                    </w:rPr>
                  </w:pPr>
                  <w:r>
                    <w:rPr>
                      <w:rFonts w:hint="eastAsia"/>
                    </w:rPr>
                    <w:t>55</w:t>
                  </w:r>
                </w:p>
              </w:tc>
              <w:tc>
                <w:tcPr>
                  <w:tcW w:w="758" w:type="dxa"/>
                  <w:vAlign w:val="center"/>
                </w:tcPr>
                <w:p w14:paraId="25041063">
                  <w:pPr>
                    <w:pStyle w:val="89"/>
                    <w:rPr>
                      <w:bCs/>
                      <w:spacing w:val="-6"/>
                    </w:rPr>
                  </w:pPr>
                  <w:r>
                    <w:rPr>
                      <w:rFonts w:hint="eastAsia"/>
                    </w:rPr>
                    <w:t>51</w:t>
                  </w:r>
                </w:p>
              </w:tc>
              <w:tc>
                <w:tcPr>
                  <w:tcW w:w="759" w:type="dxa"/>
                  <w:vAlign w:val="center"/>
                </w:tcPr>
                <w:p w14:paraId="27F5776A">
                  <w:pPr>
                    <w:pStyle w:val="89"/>
                    <w:rPr>
                      <w:bCs/>
                      <w:spacing w:val="-6"/>
                    </w:rPr>
                  </w:pPr>
                  <w:r>
                    <w:rPr>
                      <w:rFonts w:hint="eastAsia"/>
                    </w:rPr>
                    <w:t>49</w:t>
                  </w:r>
                </w:p>
              </w:tc>
            </w:tr>
            <w:tr w14:paraId="4A0C0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367" w:type="dxa"/>
                  <w:tcBorders>
                    <w:top w:val="nil"/>
                  </w:tcBorders>
                  <w:vAlign w:val="center"/>
                </w:tcPr>
                <w:p w14:paraId="16D4A7DD">
                  <w:pPr>
                    <w:pStyle w:val="89"/>
                    <w:rPr>
                      <w:bCs/>
                      <w:spacing w:val="-6"/>
                    </w:rPr>
                  </w:pPr>
                  <w:r>
                    <w:rPr>
                      <w:rFonts w:hint="eastAsia"/>
                    </w:rPr>
                    <w:t>混凝土振动器</w:t>
                  </w:r>
                </w:p>
              </w:tc>
              <w:tc>
                <w:tcPr>
                  <w:tcW w:w="758" w:type="dxa"/>
                  <w:vAlign w:val="center"/>
                </w:tcPr>
                <w:p w14:paraId="773893E9">
                  <w:pPr>
                    <w:pStyle w:val="89"/>
                    <w:rPr>
                      <w:bCs/>
                      <w:spacing w:val="-6"/>
                    </w:rPr>
                  </w:pPr>
                  <w:r>
                    <w:rPr>
                      <w:rFonts w:hint="eastAsia"/>
                    </w:rPr>
                    <w:t>95</w:t>
                  </w:r>
                </w:p>
              </w:tc>
              <w:tc>
                <w:tcPr>
                  <w:tcW w:w="758" w:type="dxa"/>
                  <w:vAlign w:val="center"/>
                </w:tcPr>
                <w:p w14:paraId="508F4E8D">
                  <w:pPr>
                    <w:pStyle w:val="89"/>
                    <w:rPr>
                      <w:bCs/>
                      <w:spacing w:val="-6"/>
                    </w:rPr>
                  </w:pPr>
                  <w:r>
                    <w:rPr>
                      <w:rFonts w:hint="eastAsia"/>
                    </w:rPr>
                    <w:t>75</w:t>
                  </w:r>
                </w:p>
              </w:tc>
              <w:tc>
                <w:tcPr>
                  <w:tcW w:w="758" w:type="dxa"/>
                  <w:vAlign w:val="center"/>
                </w:tcPr>
                <w:p w14:paraId="24C54945">
                  <w:pPr>
                    <w:pStyle w:val="89"/>
                    <w:rPr>
                      <w:bCs/>
                      <w:spacing w:val="-6"/>
                    </w:rPr>
                  </w:pPr>
                  <w:r>
                    <w:rPr>
                      <w:rFonts w:hint="eastAsia"/>
                    </w:rPr>
                    <w:t>69</w:t>
                  </w:r>
                </w:p>
              </w:tc>
              <w:tc>
                <w:tcPr>
                  <w:tcW w:w="758" w:type="dxa"/>
                  <w:vAlign w:val="center"/>
                </w:tcPr>
                <w:p w14:paraId="3F98B1EF">
                  <w:pPr>
                    <w:pStyle w:val="89"/>
                    <w:rPr>
                      <w:bCs/>
                      <w:spacing w:val="-6"/>
                    </w:rPr>
                  </w:pPr>
                  <w:r>
                    <w:rPr>
                      <w:rFonts w:hint="eastAsia"/>
                    </w:rPr>
                    <w:t>65</w:t>
                  </w:r>
                </w:p>
              </w:tc>
              <w:tc>
                <w:tcPr>
                  <w:tcW w:w="758" w:type="dxa"/>
                  <w:vAlign w:val="center"/>
                </w:tcPr>
                <w:p w14:paraId="5FEEFDCE">
                  <w:pPr>
                    <w:pStyle w:val="89"/>
                    <w:rPr>
                      <w:bCs/>
                      <w:spacing w:val="-6"/>
                    </w:rPr>
                  </w:pPr>
                  <w:r>
                    <w:rPr>
                      <w:rFonts w:hint="eastAsia"/>
                    </w:rPr>
                    <w:t>61</w:t>
                  </w:r>
                </w:p>
              </w:tc>
              <w:tc>
                <w:tcPr>
                  <w:tcW w:w="758" w:type="dxa"/>
                  <w:vAlign w:val="center"/>
                </w:tcPr>
                <w:p w14:paraId="6E8BBBD3">
                  <w:pPr>
                    <w:pStyle w:val="89"/>
                    <w:rPr>
                      <w:bCs/>
                      <w:spacing w:val="-6"/>
                    </w:rPr>
                  </w:pPr>
                  <w:r>
                    <w:rPr>
                      <w:rFonts w:hint="eastAsia"/>
                    </w:rPr>
                    <w:t>57</w:t>
                  </w:r>
                </w:p>
              </w:tc>
              <w:tc>
                <w:tcPr>
                  <w:tcW w:w="758" w:type="dxa"/>
                  <w:vAlign w:val="center"/>
                </w:tcPr>
                <w:p w14:paraId="01B16E64">
                  <w:pPr>
                    <w:pStyle w:val="89"/>
                    <w:rPr>
                      <w:bCs/>
                      <w:spacing w:val="-6"/>
                    </w:rPr>
                  </w:pPr>
                  <w:r>
                    <w:rPr>
                      <w:rFonts w:hint="eastAsia"/>
                    </w:rPr>
                    <w:t>55</w:t>
                  </w:r>
                </w:p>
              </w:tc>
              <w:tc>
                <w:tcPr>
                  <w:tcW w:w="758" w:type="dxa"/>
                  <w:vAlign w:val="center"/>
                </w:tcPr>
                <w:p w14:paraId="0EE492A0">
                  <w:pPr>
                    <w:pStyle w:val="89"/>
                    <w:rPr>
                      <w:bCs/>
                      <w:spacing w:val="-6"/>
                    </w:rPr>
                  </w:pPr>
                  <w:r>
                    <w:rPr>
                      <w:rFonts w:hint="eastAsia"/>
                    </w:rPr>
                    <w:t>51</w:t>
                  </w:r>
                </w:p>
              </w:tc>
              <w:tc>
                <w:tcPr>
                  <w:tcW w:w="759" w:type="dxa"/>
                  <w:vAlign w:val="center"/>
                </w:tcPr>
                <w:p w14:paraId="71D9C29D">
                  <w:pPr>
                    <w:pStyle w:val="89"/>
                    <w:rPr>
                      <w:bCs/>
                      <w:spacing w:val="-6"/>
                    </w:rPr>
                  </w:pPr>
                  <w:r>
                    <w:rPr>
                      <w:rFonts w:hint="eastAsia"/>
                    </w:rPr>
                    <w:t>49</w:t>
                  </w:r>
                </w:p>
              </w:tc>
            </w:tr>
            <w:tr w14:paraId="54974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7" w:hRule="atLeast"/>
                <w:jc w:val="center"/>
              </w:trPr>
              <w:tc>
                <w:tcPr>
                  <w:tcW w:w="1367" w:type="dxa"/>
                  <w:tcBorders>
                    <w:top w:val="nil"/>
                  </w:tcBorders>
                  <w:vAlign w:val="center"/>
                </w:tcPr>
                <w:p w14:paraId="4A19AD03">
                  <w:pPr>
                    <w:pStyle w:val="89"/>
                  </w:pPr>
                  <w:r>
                    <w:rPr>
                      <w:rFonts w:hint="eastAsia"/>
                    </w:rPr>
                    <w:t>钢筋切断</w:t>
                  </w:r>
                </w:p>
              </w:tc>
              <w:tc>
                <w:tcPr>
                  <w:tcW w:w="758" w:type="dxa"/>
                  <w:vAlign w:val="center"/>
                </w:tcPr>
                <w:p w14:paraId="560F2BD9">
                  <w:pPr>
                    <w:pStyle w:val="89"/>
                    <w:rPr>
                      <w:bCs/>
                      <w:spacing w:val="-6"/>
                    </w:rPr>
                  </w:pPr>
                  <w:r>
                    <w:rPr>
                      <w:rFonts w:hint="eastAsia"/>
                    </w:rPr>
                    <w:t>85</w:t>
                  </w:r>
                </w:p>
              </w:tc>
              <w:tc>
                <w:tcPr>
                  <w:tcW w:w="758" w:type="dxa"/>
                  <w:vAlign w:val="center"/>
                </w:tcPr>
                <w:p w14:paraId="1F1202EB">
                  <w:pPr>
                    <w:pStyle w:val="89"/>
                    <w:rPr>
                      <w:bCs/>
                      <w:spacing w:val="-6"/>
                    </w:rPr>
                  </w:pPr>
                  <w:r>
                    <w:rPr>
                      <w:rFonts w:hint="eastAsia"/>
                    </w:rPr>
                    <w:t>65</w:t>
                  </w:r>
                </w:p>
              </w:tc>
              <w:tc>
                <w:tcPr>
                  <w:tcW w:w="758" w:type="dxa"/>
                  <w:vAlign w:val="center"/>
                </w:tcPr>
                <w:p w14:paraId="1106B81B">
                  <w:pPr>
                    <w:pStyle w:val="89"/>
                    <w:rPr>
                      <w:bCs/>
                      <w:spacing w:val="-6"/>
                    </w:rPr>
                  </w:pPr>
                  <w:r>
                    <w:rPr>
                      <w:rFonts w:hint="eastAsia"/>
                    </w:rPr>
                    <w:t>59</w:t>
                  </w:r>
                </w:p>
              </w:tc>
              <w:tc>
                <w:tcPr>
                  <w:tcW w:w="758" w:type="dxa"/>
                  <w:vAlign w:val="center"/>
                </w:tcPr>
                <w:p w14:paraId="49D1A944">
                  <w:pPr>
                    <w:pStyle w:val="89"/>
                    <w:rPr>
                      <w:bCs/>
                      <w:spacing w:val="-6"/>
                    </w:rPr>
                  </w:pPr>
                  <w:r>
                    <w:rPr>
                      <w:rFonts w:hint="eastAsia"/>
                    </w:rPr>
                    <w:t>55</w:t>
                  </w:r>
                </w:p>
              </w:tc>
              <w:tc>
                <w:tcPr>
                  <w:tcW w:w="758" w:type="dxa"/>
                  <w:vAlign w:val="center"/>
                </w:tcPr>
                <w:p w14:paraId="0B577E28">
                  <w:pPr>
                    <w:pStyle w:val="89"/>
                    <w:rPr>
                      <w:bCs/>
                      <w:spacing w:val="-6"/>
                    </w:rPr>
                  </w:pPr>
                  <w:r>
                    <w:rPr>
                      <w:rFonts w:hint="eastAsia"/>
                    </w:rPr>
                    <w:t>51</w:t>
                  </w:r>
                </w:p>
              </w:tc>
              <w:tc>
                <w:tcPr>
                  <w:tcW w:w="758" w:type="dxa"/>
                  <w:vAlign w:val="center"/>
                </w:tcPr>
                <w:p w14:paraId="368F7FF3">
                  <w:pPr>
                    <w:pStyle w:val="89"/>
                    <w:rPr>
                      <w:bCs/>
                      <w:spacing w:val="-6"/>
                    </w:rPr>
                  </w:pPr>
                  <w:r>
                    <w:rPr>
                      <w:rFonts w:hint="eastAsia"/>
                    </w:rPr>
                    <w:t>47</w:t>
                  </w:r>
                </w:p>
              </w:tc>
              <w:tc>
                <w:tcPr>
                  <w:tcW w:w="758" w:type="dxa"/>
                  <w:vAlign w:val="center"/>
                </w:tcPr>
                <w:p w14:paraId="3A2C68B1">
                  <w:pPr>
                    <w:pStyle w:val="89"/>
                    <w:rPr>
                      <w:bCs/>
                      <w:spacing w:val="-6"/>
                    </w:rPr>
                  </w:pPr>
                  <w:r>
                    <w:rPr>
                      <w:rFonts w:hint="eastAsia"/>
                    </w:rPr>
                    <w:t>45</w:t>
                  </w:r>
                </w:p>
              </w:tc>
              <w:tc>
                <w:tcPr>
                  <w:tcW w:w="758" w:type="dxa"/>
                  <w:vAlign w:val="center"/>
                </w:tcPr>
                <w:p w14:paraId="54B918DA">
                  <w:pPr>
                    <w:pStyle w:val="89"/>
                    <w:rPr>
                      <w:bCs/>
                      <w:spacing w:val="-6"/>
                    </w:rPr>
                  </w:pPr>
                  <w:r>
                    <w:rPr>
                      <w:rFonts w:hint="eastAsia"/>
                    </w:rPr>
                    <w:t>41</w:t>
                  </w:r>
                </w:p>
              </w:tc>
              <w:tc>
                <w:tcPr>
                  <w:tcW w:w="759" w:type="dxa"/>
                  <w:vAlign w:val="center"/>
                </w:tcPr>
                <w:p w14:paraId="5BFB5922">
                  <w:pPr>
                    <w:pStyle w:val="89"/>
                    <w:rPr>
                      <w:bCs/>
                      <w:spacing w:val="-6"/>
                    </w:rPr>
                  </w:pPr>
                  <w:r>
                    <w:rPr>
                      <w:rFonts w:hint="eastAsia"/>
                    </w:rPr>
                    <w:t>39</w:t>
                  </w:r>
                </w:p>
              </w:tc>
            </w:tr>
            <w:tr w14:paraId="4A7853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367" w:type="dxa"/>
                  <w:tcBorders>
                    <w:top w:val="nil"/>
                  </w:tcBorders>
                  <w:vAlign w:val="center"/>
                </w:tcPr>
                <w:p w14:paraId="4A033AF0">
                  <w:pPr>
                    <w:pStyle w:val="89"/>
                    <w:rPr>
                      <w:bCs/>
                      <w:spacing w:val="-6"/>
                    </w:rPr>
                  </w:pPr>
                  <w:r>
                    <w:t>钢筋弯曲机</w:t>
                  </w:r>
                </w:p>
              </w:tc>
              <w:tc>
                <w:tcPr>
                  <w:tcW w:w="758" w:type="dxa"/>
                  <w:vAlign w:val="center"/>
                </w:tcPr>
                <w:p w14:paraId="78F8F0CF">
                  <w:pPr>
                    <w:pStyle w:val="89"/>
                    <w:rPr>
                      <w:bCs/>
                      <w:spacing w:val="-6"/>
                    </w:rPr>
                  </w:pPr>
                  <w:r>
                    <w:rPr>
                      <w:rFonts w:hint="eastAsia"/>
                    </w:rPr>
                    <w:t>80</w:t>
                  </w:r>
                </w:p>
              </w:tc>
              <w:tc>
                <w:tcPr>
                  <w:tcW w:w="758" w:type="dxa"/>
                  <w:vAlign w:val="center"/>
                </w:tcPr>
                <w:p w14:paraId="013B3D6C">
                  <w:pPr>
                    <w:pStyle w:val="89"/>
                    <w:rPr>
                      <w:bCs/>
                      <w:spacing w:val="-6"/>
                    </w:rPr>
                  </w:pPr>
                  <w:r>
                    <w:rPr>
                      <w:rFonts w:hint="eastAsia"/>
                    </w:rPr>
                    <w:t>60</w:t>
                  </w:r>
                </w:p>
              </w:tc>
              <w:tc>
                <w:tcPr>
                  <w:tcW w:w="758" w:type="dxa"/>
                  <w:vAlign w:val="center"/>
                </w:tcPr>
                <w:p w14:paraId="58B01467">
                  <w:pPr>
                    <w:pStyle w:val="89"/>
                    <w:rPr>
                      <w:bCs/>
                      <w:spacing w:val="-6"/>
                    </w:rPr>
                  </w:pPr>
                  <w:r>
                    <w:rPr>
                      <w:rFonts w:hint="eastAsia"/>
                    </w:rPr>
                    <w:t>54</w:t>
                  </w:r>
                </w:p>
              </w:tc>
              <w:tc>
                <w:tcPr>
                  <w:tcW w:w="758" w:type="dxa"/>
                  <w:vAlign w:val="center"/>
                </w:tcPr>
                <w:p w14:paraId="760B87C9">
                  <w:pPr>
                    <w:pStyle w:val="89"/>
                    <w:rPr>
                      <w:bCs/>
                      <w:spacing w:val="-6"/>
                    </w:rPr>
                  </w:pPr>
                  <w:r>
                    <w:rPr>
                      <w:rFonts w:hint="eastAsia"/>
                    </w:rPr>
                    <w:t>50</w:t>
                  </w:r>
                </w:p>
              </w:tc>
              <w:tc>
                <w:tcPr>
                  <w:tcW w:w="758" w:type="dxa"/>
                  <w:vAlign w:val="center"/>
                </w:tcPr>
                <w:p w14:paraId="3365238E">
                  <w:pPr>
                    <w:pStyle w:val="89"/>
                    <w:rPr>
                      <w:bCs/>
                      <w:spacing w:val="-6"/>
                    </w:rPr>
                  </w:pPr>
                  <w:r>
                    <w:rPr>
                      <w:rFonts w:hint="eastAsia"/>
                    </w:rPr>
                    <w:t>46</w:t>
                  </w:r>
                </w:p>
              </w:tc>
              <w:tc>
                <w:tcPr>
                  <w:tcW w:w="758" w:type="dxa"/>
                  <w:vAlign w:val="center"/>
                </w:tcPr>
                <w:p w14:paraId="4A11CA0A">
                  <w:pPr>
                    <w:pStyle w:val="89"/>
                    <w:rPr>
                      <w:bCs/>
                      <w:spacing w:val="-6"/>
                    </w:rPr>
                  </w:pPr>
                  <w:r>
                    <w:rPr>
                      <w:rFonts w:hint="eastAsia"/>
                    </w:rPr>
                    <w:t>42</w:t>
                  </w:r>
                </w:p>
              </w:tc>
              <w:tc>
                <w:tcPr>
                  <w:tcW w:w="758" w:type="dxa"/>
                  <w:vAlign w:val="center"/>
                </w:tcPr>
                <w:p w14:paraId="2780B81A">
                  <w:pPr>
                    <w:pStyle w:val="89"/>
                    <w:rPr>
                      <w:bCs/>
                      <w:spacing w:val="-6"/>
                    </w:rPr>
                  </w:pPr>
                  <w:r>
                    <w:rPr>
                      <w:rFonts w:hint="eastAsia"/>
                    </w:rPr>
                    <w:t>40</w:t>
                  </w:r>
                </w:p>
              </w:tc>
              <w:tc>
                <w:tcPr>
                  <w:tcW w:w="758" w:type="dxa"/>
                  <w:vAlign w:val="center"/>
                </w:tcPr>
                <w:p w14:paraId="10238874">
                  <w:pPr>
                    <w:pStyle w:val="89"/>
                    <w:rPr>
                      <w:bCs/>
                      <w:spacing w:val="-6"/>
                    </w:rPr>
                  </w:pPr>
                  <w:r>
                    <w:rPr>
                      <w:rFonts w:hint="eastAsia"/>
                    </w:rPr>
                    <w:t>36</w:t>
                  </w:r>
                </w:p>
              </w:tc>
              <w:tc>
                <w:tcPr>
                  <w:tcW w:w="759" w:type="dxa"/>
                  <w:vAlign w:val="center"/>
                </w:tcPr>
                <w:p w14:paraId="3E3676CC">
                  <w:pPr>
                    <w:pStyle w:val="89"/>
                    <w:rPr>
                      <w:bCs/>
                      <w:spacing w:val="-6"/>
                    </w:rPr>
                  </w:pPr>
                  <w:r>
                    <w:rPr>
                      <w:rFonts w:hint="eastAsia"/>
                    </w:rPr>
                    <w:t>34</w:t>
                  </w:r>
                </w:p>
              </w:tc>
            </w:tr>
            <w:tr w14:paraId="51940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367" w:type="dxa"/>
                  <w:tcBorders>
                    <w:top w:val="nil"/>
                  </w:tcBorders>
                  <w:vAlign w:val="center"/>
                </w:tcPr>
                <w:p w14:paraId="05352FE2">
                  <w:pPr>
                    <w:pStyle w:val="89"/>
                  </w:pPr>
                  <w:r>
                    <w:rPr>
                      <w:rFonts w:hint="eastAsia"/>
                    </w:rPr>
                    <w:t>电焊机</w:t>
                  </w:r>
                </w:p>
              </w:tc>
              <w:tc>
                <w:tcPr>
                  <w:tcW w:w="758" w:type="dxa"/>
                  <w:vAlign w:val="center"/>
                </w:tcPr>
                <w:p w14:paraId="647A9D3C">
                  <w:pPr>
                    <w:pStyle w:val="89"/>
                    <w:rPr>
                      <w:bCs/>
                      <w:spacing w:val="-6"/>
                    </w:rPr>
                  </w:pPr>
                  <w:r>
                    <w:rPr>
                      <w:rFonts w:hint="eastAsia"/>
                    </w:rPr>
                    <w:t>85</w:t>
                  </w:r>
                </w:p>
              </w:tc>
              <w:tc>
                <w:tcPr>
                  <w:tcW w:w="758" w:type="dxa"/>
                  <w:vAlign w:val="center"/>
                </w:tcPr>
                <w:p w14:paraId="4EEEE01C">
                  <w:pPr>
                    <w:pStyle w:val="89"/>
                    <w:rPr>
                      <w:bCs/>
                      <w:spacing w:val="-6"/>
                    </w:rPr>
                  </w:pPr>
                  <w:r>
                    <w:rPr>
                      <w:rFonts w:hint="eastAsia"/>
                    </w:rPr>
                    <w:t>65</w:t>
                  </w:r>
                </w:p>
              </w:tc>
              <w:tc>
                <w:tcPr>
                  <w:tcW w:w="758" w:type="dxa"/>
                  <w:vAlign w:val="center"/>
                </w:tcPr>
                <w:p w14:paraId="3D187FCB">
                  <w:pPr>
                    <w:pStyle w:val="89"/>
                    <w:rPr>
                      <w:bCs/>
                      <w:spacing w:val="-6"/>
                    </w:rPr>
                  </w:pPr>
                  <w:r>
                    <w:rPr>
                      <w:rFonts w:hint="eastAsia"/>
                    </w:rPr>
                    <w:t>59</w:t>
                  </w:r>
                </w:p>
              </w:tc>
              <w:tc>
                <w:tcPr>
                  <w:tcW w:w="758" w:type="dxa"/>
                  <w:vAlign w:val="center"/>
                </w:tcPr>
                <w:p w14:paraId="6FEB5E9E">
                  <w:pPr>
                    <w:pStyle w:val="89"/>
                    <w:rPr>
                      <w:bCs/>
                      <w:spacing w:val="-6"/>
                    </w:rPr>
                  </w:pPr>
                  <w:r>
                    <w:rPr>
                      <w:rFonts w:hint="eastAsia"/>
                    </w:rPr>
                    <w:t>55</w:t>
                  </w:r>
                </w:p>
              </w:tc>
              <w:tc>
                <w:tcPr>
                  <w:tcW w:w="758" w:type="dxa"/>
                  <w:vAlign w:val="center"/>
                </w:tcPr>
                <w:p w14:paraId="3399C55E">
                  <w:pPr>
                    <w:pStyle w:val="89"/>
                    <w:rPr>
                      <w:bCs/>
                      <w:spacing w:val="-6"/>
                    </w:rPr>
                  </w:pPr>
                  <w:r>
                    <w:rPr>
                      <w:rFonts w:hint="eastAsia"/>
                    </w:rPr>
                    <w:t>51</w:t>
                  </w:r>
                </w:p>
              </w:tc>
              <w:tc>
                <w:tcPr>
                  <w:tcW w:w="758" w:type="dxa"/>
                  <w:vAlign w:val="center"/>
                </w:tcPr>
                <w:p w14:paraId="2D356544">
                  <w:pPr>
                    <w:pStyle w:val="89"/>
                    <w:rPr>
                      <w:bCs/>
                      <w:spacing w:val="-6"/>
                    </w:rPr>
                  </w:pPr>
                  <w:r>
                    <w:rPr>
                      <w:rFonts w:hint="eastAsia"/>
                    </w:rPr>
                    <w:t>47</w:t>
                  </w:r>
                </w:p>
              </w:tc>
              <w:tc>
                <w:tcPr>
                  <w:tcW w:w="758" w:type="dxa"/>
                  <w:vAlign w:val="center"/>
                </w:tcPr>
                <w:p w14:paraId="747AAB6E">
                  <w:pPr>
                    <w:pStyle w:val="89"/>
                    <w:rPr>
                      <w:bCs/>
                      <w:spacing w:val="-6"/>
                    </w:rPr>
                  </w:pPr>
                  <w:r>
                    <w:rPr>
                      <w:rFonts w:hint="eastAsia"/>
                    </w:rPr>
                    <w:t>45</w:t>
                  </w:r>
                </w:p>
              </w:tc>
              <w:tc>
                <w:tcPr>
                  <w:tcW w:w="758" w:type="dxa"/>
                  <w:vAlign w:val="center"/>
                </w:tcPr>
                <w:p w14:paraId="210F90FA">
                  <w:pPr>
                    <w:pStyle w:val="89"/>
                    <w:rPr>
                      <w:bCs/>
                      <w:spacing w:val="-6"/>
                    </w:rPr>
                  </w:pPr>
                  <w:r>
                    <w:rPr>
                      <w:rFonts w:hint="eastAsia"/>
                    </w:rPr>
                    <w:t>41</w:t>
                  </w:r>
                </w:p>
              </w:tc>
              <w:tc>
                <w:tcPr>
                  <w:tcW w:w="759" w:type="dxa"/>
                  <w:vAlign w:val="center"/>
                </w:tcPr>
                <w:p w14:paraId="6D397D97">
                  <w:pPr>
                    <w:pStyle w:val="89"/>
                    <w:rPr>
                      <w:bCs/>
                      <w:spacing w:val="-6"/>
                    </w:rPr>
                  </w:pPr>
                  <w:r>
                    <w:rPr>
                      <w:rFonts w:hint="eastAsia"/>
                    </w:rPr>
                    <w:t>39</w:t>
                  </w:r>
                </w:p>
              </w:tc>
            </w:tr>
            <w:tr w14:paraId="4F060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367" w:type="dxa"/>
                  <w:tcBorders>
                    <w:top w:val="nil"/>
                  </w:tcBorders>
                  <w:vAlign w:val="center"/>
                </w:tcPr>
                <w:p w14:paraId="360DE1E3">
                  <w:pPr>
                    <w:pStyle w:val="89"/>
                  </w:pPr>
                  <w:r>
                    <w:rPr>
                      <w:rFonts w:hint="eastAsia"/>
                    </w:rPr>
                    <w:t>供水泵</w:t>
                  </w:r>
                </w:p>
              </w:tc>
              <w:tc>
                <w:tcPr>
                  <w:tcW w:w="758" w:type="dxa"/>
                  <w:vAlign w:val="center"/>
                </w:tcPr>
                <w:p w14:paraId="4D9F87BF">
                  <w:pPr>
                    <w:pStyle w:val="89"/>
                    <w:rPr>
                      <w:bCs/>
                      <w:spacing w:val="-6"/>
                    </w:rPr>
                  </w:pPr>
                  <w:r>
                    <w:t>90</w:t>
                  </w:r>
                </w:p>
              </w:tc>
              <w:tc>
                <w:tcPr>
                  <w:tcW w:w="758" w:type="dxa"/>
                  <w:vAlign w:val="center"/>
                </w:tcPr>
                <w:p w14:paraId="7C2792C2">
                  <w:pPr>
                    <w:pStyle w:val="89"/>
                    <w:rPr>
                      <w:bCs/>
                      <w:spacing w:val="-6"/>
                    </w:rPr>
                  </w:pPr>
                  <w:r>
                    <w:rPr>
                      <w:rFonts w:hint="eastAsia"/>
                    </w:rPr>
                    <w:t>70</w:t>
                  </w:r>
                </w:p>
              </w:tc>
              <w:tc>
                <w:tcPr>
                  <w:tcW w:w="758" w:type="dxa"/>
                  <w:vAlign w:val="center"/>
                </w:tcPr>
                <w:p w14:paraId="15361DA8">
                  <w:pPr>
                    <w:pStyle w:val="89"/>
                    <w:rPr>
                      <w:bCs/>
                      <w:spacing w:val="-6"/>
                    </w:rPr>
                  </w:pPr>
                  <w:r>
                    <w:rPr>
                      <w:rFonts w:hint="eastAsia"/>
                    </w:rPr>
                    <w:t>64</w:t>
                  </w:r>
                </w:p>
              </w:tc>
              <w:tc>
                <w:tcPr>
                  <w:tcW w:w="758" w:type="dxa"/>
                  <w:vAlign w:val="center"/>
                </w:tcPr>
                <w:p w14:paraId="581C6F33">
                  <w:pPr>
                    <w:pStyle w:val="89"/>
                    <w:rPr>
                      <w:bCs/>
                      <w:spacing w:val="-6"/>
                    </w:rPr>
                  </w:pPr>
                  <w:r>
                    <w:rPr>
                      <w:rFonts w:hint="eastAsia"/>
                    </w:rPr>
                    <w:t>60</w:t>
                  </w:r>
                </w:p>
              </w:tc>
              <w:tc>
                <w:tcPr>
                  <w:tcW w:w="758" w:type="dxa"/>
                  <w:vAlign w:val="center"/>
                </w:tcPr>
                <w:p w14:paraId="55E2E812">
                  <w:pPr>
                    <w:pStyle w:val="89"/>
                    <w:rPr>
                      <w:bCs/>
                      <w:spacing w:val="-6"/>
                    </w:rPr>
                  </w:pPr>
                  <w:r>
                    <w:rPr>
                      <w:rFonts w:hint="eastAsia"/>
                    </w:rPr>
                    <w:t>56</w:t>
                  </w:r>
                </w:p>
              </w:tc>
              <w:tc>
                <w:tcPr>
                  <w:tcW w:w="758" w:type="dxa"/>
                  <w:vAlign w:val="center"/>
                </w:tcPr>
                <w:p w14:paraId="7CEDCDA2">
                  <w:pPr>
                    <w:pStyle w:val="89"/>
                    <w:rPr>
                      <w:bCs/>
                      <w:spacing w:val="-6"/>
                    </w:rPr>
                  </w:pPr>
                  <w:r>
                    <w:rPr>
                      <w:rFonts w:hint="eastAsia"/>
                    </w:rPr>
                    <w:t>52</w:t>
                  </w:r>
                </w:p>
              </w:tc>
              <w:tc>
                <w:tcPr>
                  <w:tcW w:w="758" w:type="dxa"/>
                  <w:vAlign w:val="center"/>
                </w:tcPr>
                <w:p w14:paraId="49F6AA8D">
                  <w:pPr>
                    <w:pStyle w:val="89"/>
                    <w:rPr>
                      <w:bCs/>
                      <w:spacing w:val="-6"/>
                    </w:rPr>
                  </w:pPr>
                  <w:r>
                    <w:rPr>
                      <w:rFonts w:hint="eastAsia"/>
                    </w:rPr>
                    <w:t>50</w:t>
                  </w:r>
                </w:p>
              </w:tc>
              <w:tc>
                <w:tcPr>
                  <w:tcW w:w="758" w:type="dxa"/>
                  <w:vAlign w:val="center"/>
                </w:tcPr>
                <w:p w14:paraId="16F9AFE1">
                  <w:pPr>
                    <w:pStyle w:val="89"/>
                    <w:rPr>
                      <w:bCs/>
                      <w:spacing w:val="-6"/>
                    </w:rPr>
                  </w:pPr>
                  <w:r>
                    <w:rPr>
                      <w:rFonts w:hint="eastAsia"/>
                    </w:rPr>
                    <w:t>46</w:t>
                  </w:r>
                </w:p>
              </w:tc>
              <w:tc>
                <w:tcPr>
                  <w:tcW w:w="759" w:type="dxa"/>
                  <w:vAlign w:val="center"/>
                </w:tcPr>
                <w:p w14:paraId="03DCF740">
                  <w:pPr>
                    <w:pStyle w:val="89"/>
                    <w:rPr>
                      <w:bCs/>
                      <w:spacing w:val="-6"/>
                    </w:rPr>
                  </w:pPr>
                  <w:r>
                    <w:rPr>
                      <w:rFonts w:hint="eastAsia"/>
                    </w:rPr>
                    <w:t>44</w:t>
                  </w:r>
                </w:p>
              </w:tc>
            </w:tr>
            <w:tr w14:paraId="14218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7" w:hRule="atLeast"/>
                <w:jc w:val="center"/>
              </w:trPr>
              <w:tc>
                <w:tcPr>
                  <w:tcW w:w="1367" w:type="dxa"/>
                  <w:tcBorders>
                    <w:top w:val="nil"/>
                  </w:tcBorders>
                  <w:vAlign w:val="center"/>
                </w:tcPr>
                <w:p w14:paraId="347B493A">
                  <w:pPr>
                    <w:pStyle w:val="89"/>
                  </w:pPr>
                  <w:r>
                    <w:rPr>
                      <w:rFonts w:hint="eastAsia"/>
                    </w:rPr>
                    <w:t>排水泵</w:t>
                  </w:r>
                </w:p>
              </w:tc>
              <w:tc>
                <w:tcPr>
                  <w:tcW w:w="758" w:type="dxa"/>
                  <w:vAlign w:val="center"/>
                </w:tcPr>
                <w:p w14:paraId="78B507D0">
                  <w:pPr>
                    <w:pStyle w:val="89"/>
                    <w:rPr>
                      <w:bCs/>
                      <w:spacing w:val="-6"/>
                    </w:rPr>
                  </w:pPr>
                  <w:r>
                    <w:t>90</w:t>
                  </w:r>
                </w:p>
              </w:tc>
              <w:tc>
                <w:tcPr>
                  <w:tcW w:w="758" w:type="dxa"/>
                  <w:vAlign w:val="center"/>
                </w:tcPr>
                <w:p w14:paraId="53F9BD48">
                  <w:pPr>
                    <w:pStyle w:val="89"/>
                    <w:rPr>
                      <w:bCs/>
                      <w:spacing w:val="-6"/>
                    </w:rPr>
                  </w:pPr>
                  <w:r>
                    <w:rPr>
                      <w:rFonts w:hint="eastAsia"/>
                    </w:rPr>
                    <w:t>70</w:t>
                  </w:r>
                </w:p>
              </w:tc>
              <w:tc>
                <w:tcPr>
                  <w:tcW w:w="758" w:type="dxa"/>
                  <w:vAlign w:val="center"/>
                </w:tcPr>
                <w:p w14:paraId="2EDF63C6">
                  <w:pPr>
                    <w:pStyle w:val="89"/>
                    <w:rPr>
                      <w:bCs/>
                      <w:spacing w:val="-6"/>
                    </w:rPr>
                  </w:pPr>
                  <w:r>
                    <w:rPr>
                      <w:rFonts w:hint="eastAsia"/>
                    </w:rPr>
                    <w:t>64</w:t>
                  </w:r>
                </w:p>
              </w:tc>
              <w:tc>
                <w:tcPr>
                  <w:tcW w:w="758" w:type="dxa"/>
                  <w:vAlign w:val="center"/>
                </w:tcPr>
                <w:p w14:paraId="4B037CFE">
                  <w:pPr>
                    <w:pStyle w:val="89"/>
                    <w:rPr>
                      <w:bCs/>
                      <w:spacing w:val="-6"/>
                    </w:rPr>
                  </w:pPr>
                  <w:r>
                    <w:rPr>
                      <w:rFonts w:hint="eastAsia"/>
                    </w:rPr>
                    <w:t>60</w:t>
                  </w:r>
                </w:p>
              </w:tc>
              <w:tc>
                <w:tcPr>
                  <w:tcW w:w="758" w:type="dxa"/>
                  <w:vAlign w:val="center"/>
                </w:tcPr>
                <w:p w14:paraId="5FDF02D9">
                  <w:pPr>
                    <w:pStyle w:val="89"/>
                    <w:rPr>
                      <w:bCs/>
                      <w:spacing w:val="-6"/>
                    </w:rPr>
                  </w:pPr>
                  <w:r>
                    <w:rPr>
                      <w:rFonts w:hint="eastAsia"/>
                    </w:rPr>
                    <w:t>56</w:t>
                  </w:r>
                </w:p>
              </w:tc>
              <w:tc>
                <w:tcPr>
                  <w:tcW w:w="758" w:type="dxa"/>
                  <w:vAlign w:val="center"/>
                </w:tcPr>
                <w:p w14:paraId="097D323A">
                  <w:pPr>
                    <w:pStyle w:val="89"/>
                    <w:rPr>
                      <w:bCs/>
                      <w:spacing w:val="-6"/>
                    </w:rPr>
                  </w:pPr>
                  <w:r>
                    <w:rPr>
                      <w:rFonts w:hint="eastAsia"/>
                    </w:rPr>
                    <w:t>52</w:t>
                  </w:r>
                </w:p>
              </w:tc>
              <w:tc>
                <w:tcPr>
                  <w:tcW w:w="758" w:type="dxa"/>
                  <w:vAlign w:val="center"/>
                </w:tcPr>
                <w:p w14:paraId="22FC840F">
                  <w:pPr>
                    <w:pStyle w:val="89"/>
                    <w:rPr>
                      <w:bCs/>
                      <w:spacing w:val="-6"/>
                    </w:rPr>
                  </w:pPr>
                  <w:r>
                    <w:rPr>
                      <w:rFonts w:hint="eastAsia"/>
                    </w:rPr>
                    <w:t>50</w:t>
                  </w:r>
                </w:p>
              </w:tc>
              <w:tc>
                <w:tcPr>
                  <w:tcW w:w="758" w:type="dxa"/>
                  <w:vAlign w:val="center"/>
                </w:tcPr>
                <w:p w14:paraId="4C62F4A3">
                  <w:pPr>
                    <w:pStyle w:val="89"/>
                    <w:rPr>
                      <w:bCs/>
                      <w:spacing w:val="-6"/>
                    </w:rPr>
                  </w:pPr>
                  <w:r>
                    <w:rPr>
                      <w:rFonts w:hint="eastAsia"/>
                    </w:rPr>
                    <w:t>46</w:t>
                  </w:r>
                </w:p>
              </w:tc>
              <w:tc>
                <w:tcPr>
                  <w:tcW w:w="759" w:type="dxa"/>
                  <w:vAlign w:val="center"/>
                </w:tcPr>
                <w:p w14:paraId="0B4FEC1B">
                  <w:pPr>
                    <w:pStyle w:val="89"/>
                    <w:rPr>
                      <w:bCs/>
                      <w:spacing w:val="-6"/>
                    </w:rPr>
                  </w:pPr>
                  <w:r>
                    <w:rPr>
                      <w:rFonts w:hint="eastAsia"/>
                    </w:rPr>
                    <w:t>44</w:t>
                  </w:r>
                </w:p>
              </w:tc>
            </w:tr>
          </w:tbl>
          <w:p w14:paraId="65693B55">
            <w:pPr>
              <w:spacing w:line="440" w:lineRule="exact"/>
              <w:ind w:firstLine="480" w:firstLineChars="200"/>
              <w:rPr>
                <w:sz w:val="24"/>
              </w:rPr>
            </w:pPr>
            <w:r>
              <w:rPr>
                <w:rFonts w:hint="eastAsia"/>
                <w:sz w:val="24"/>
              </w:rPr>
              <w:t>根据预测结果可知，单台施工机械昼间最大噪声在20m距离能达到《建筑施工场界环境噪声排放标准》昼间标准限值要求（70dB(A)）；单台施工机械夜间最大噪声在100m距离能达到《建筑施工场界环境噪声排放标准》夜间标准限值（55dB(A)）要求。工程施工主要以挖掘机施工为主，施工会对周边居民生产生活造成一定干扰，但随着程完工，对周边居民的影响随之消失。在实际施工过程中，往往是多种机械同时使用，由于多台机械交互作业，多台机械产生的噪声经叠加后，往往会使受声点噪声增大，而噪声的影响范围也会随之相应增加。但总体而言，施工机械噪声影响是短暂的，在采取相应的噪声防治措施后可将对周边环境敏感点的影响控制在可接受水平范围内，待施工期结束后，该部分影响也将随之消除。</w:t>
            </w:r>
          </w:p>
          <w:p w14:paraId="111625B7">
            <w:pPr>
              <w:spacing w:line="440" w:lineRule="exact"/>
              <w:ind w:firstLine="480" w:firstLineChars="200"/>
              <w:rPr>
                <w:sz w:val="24"/>
              </w:rPr>
            </w:pPr>
            <w:r>
              <w:rPr>
                <w:rFonts w:hint="eastAsia"/>
                <w:sz w:val="24"/>
              </w:rPr>
              <w:t>为最大限度地减少施工期噪声对环境和敏感点的影响，要求建设单位在工程施工期采取以下噪声控制措施：</w:t>
            </w:r>
          </w:p>
          <w:p w14:paraId="19B19E4C">
            <w:pPr>
              <w:spacing w:line="440" w:lineRule="exact"/>
              <w:ind w:firstLine="480" w:firstLineChars="200"/>
              <w:rPr>
                <w:sz w:val="24"/>
              </w:rPr>
            </w:pPr>
            <w:r>
              <w:rPr>
                <w:rFonts w:hint="eastAsia"/>
                <w:sz w:val="24"/>
              </w:rPr>
              <w:t>（1）从源头上降低噪声源强。必须选用符合国家噪声标准的设备，尽可能选用低噪声施工机械和工艺。</w:t>
            </w:r>
          </w:p>
          <w:p w14:paraId="4E1281A8">
            <w:pPr>
              <w:spacing w:line="440" w:lineRule="exact"/>
              <w:ind w:firstLine="480" w:firstLineChars="200"/>
              <w:rPr>
                <w:sz w:val="24"/>
              </w:rPr>
            </w:pPr>
            <w:r>
              <w:rPr>
                <w:rFonts w:hint="eastAsia"/>
                <w:sz w:val="24"/>
              </w:rPr>
              <w:t>（2）加强设备的维护和保养，保持设备良好运转状态，降低设备运行噪声。</w:t>
            </w:r>
          </w:p>
          <w:p w14:paraId="3704DEC7">
            <w:pPr>
              <w:spacing w:line="440" w:lineRule="exact"/>
              <w:ind w:firstLine="480" w:firstLineChars="200"/>
              <w:rPr>
                <w:sz w:val="24"/>
              </w:rPr>
            </w:pPr>
            <w:r>
              <w:rPr>
                <w:rFonts w:hint="eastAsia"/>
                <w:sz w:val="24"/>
              </w:rPr>
              <w:t>（3）在距离施工作业点较近居民区段，应设置简易挡墙或移动式围挡，隔离施工作业场地，对高噪声设备应增加阻尼金属减振器或橡胶减振垫以减少施工噪声对周围敏感点的影响，靠近居民区施工应避开夜间施工。</w:t>
            </w:r>
          </w:p>
          <w:p w14:paraId="50E33C7A">
            <w:pPr>
              <w:spacing w:line="440" w:lineRule="exact"/>
              <w:ind w:firstLine="480" w:firstLineChars="200"/>
              <w:rPr>
                <w:sz w:val="24"/>
              </w:rPr>
            </w:pPr>
            <w:r>
              <w:rPr>
                <w:rFonts w:hint="eastAsia"/>
                <w:sz w:val="24"/>
              </w:rPr>
              <w:t>（4）合理安排施工时间，禁止夜间进行产生环境噪声污染的建筑施工作业（22：00～06：00），一般居民区严重影响时段为（12:00~14:00），不影响时段为17:00~22:00。因此，环评要求严重影响时段（12:00~14:000）应禁止高噪音、大型设备施工，高噪声、大型设备应选择在居民区不影响时段进行施工。</w:t>
            </w:r>
          </w:p>
          <w:p w14:paraId="3893F966">
            <w:pPr>
              <w:spacing w:line="440" w:lineRule="exact"/>
              <w:ind w:firstLine="480" w:firstLineChars="200"/>
              <w:rPr>
                <w:sz w:val="24"/>
              </w:rPr>
            </w:pPr>
            <w:r>
              <w:rPr>
                <w:rFonts w:hint="eastAsia"/>
                <w:sz w:val="24"/>
              </w:rPr>
              <w:t>（5）加强劳动保护。改善施工人员的作业条件，高噪声环境下的施工作业人员、每人每天的工作时间不多于6h。给受噪声影响大的施工人员配发噪声防护用具，常用的个人防护用具有耳塞、防声棉、耳罩和头盔等。</w:t>
            </w:r>
          </w:p>
          <w:p w14:paraId="1FD3992B">
            <w:pPr>
              <w:pStyle w:val="4"/>
              <w:numPr>
                <w:ilvl w:val="1"/>
                <w:numId w:val="28"/>
              </w:numPr>
            </w:pPr>
            <w:r>
              <w:rPr>
                <w:rFonts w:hint="eastAsia"/>
              </w:rPr>
              <w:t>交通运输噪声</w:t>
            </w:r>
          </w:p>
          <w:p w14:paraId="13A7DBAB">
            <w:pPr>
              <w:spacing w:line="440" w:lineRule="exact"/>
              <w:ind w:firstLine="480" w:firstLineChars="200"/>
              <w:rPr>
                <w:sz w:val="24"/>
              </w:rPr>
            </w:pPr>
            <w:r>
              <w:rPr>
                <w:rFonts w:hint="eastAsia"/>
                <w:sz w:val="24"/>
              </w:rPr>
              <w:t>本项目运输道路主要为现有道路，道路沿线分布有大英县金元镇的部分居民区，施工期运输车辆产生的噪声会对这些声环境敏感点产生一定影响。施工期间运输车辆增多，将加重沿线交通噪声污染，但本项目所在区域车流量相对较少，对运输道路沿线两侧声环境贡献值较小。建设单位物料运输应尽可能安排在白天，避免夜间在声环境敏感点附近的路段进行运输作业；途经乡镇、村庄居民区时应减速慢行并禁止鸣笛，尽可能减缓交通噪声对沿线居民的影响。加之施工期有限，因此，不会对周边区域声环境质量产生严重不利影响，对周边居民影响较小。</w:t>
            </w:r>
          </w:p>
          <w:p w14:paraId="29A2E8D1">
            <w:pPr>
              <w:spacing w:line="440" w:lineRule="exact"/>
              <w:ind w:firstLine="480" w:firstLineChars="200"/>
              <w:rPr>
                <w:sz w:val="24"/>
              </w:rPr>
            </w:pPr>
            <w:r>
              <w:rPr>
                <w:rFonts w:hint="eastAsia"/>
                <w:sz w:val="24"/>
              </w:rPr>
              <w:t>施工期周围环境所受的噪声影响主要是发生在本项目的基建期的施工过程中，总体上存在无规则、强度大、暂时性等特点，且由于噪声源为流动源，设置临时声屏障。根据国内此类项目施工期环境保护经验，建议加强施工期间的施工组织和施工管理，合理安排施工进度和时间，环保施工、文明施工，快速施工，并因地制宜地制定有效的临时降噪措施，将施工期间的噪声影响降低到最小程度。</w:t>
            </w:r>
          </w:p>
          <w:p w14:paraId="69CA6E85">
            <w:pPr>
              <w:spacing w:line="440" w:lineRule="exact"/>
              <w:ind w:firstLine="480" w:firstLineChars="200"/>
              <w:rPr>
                <w:sz w:val="24"/>
              </w:rPr>
            </w:pPr>
            <w:r>
              <w:rPr>
                <w:rFonts w:hint="eastAsia"/>
                <w:sz w:val="24"/>
              </w:rPr>
              <w:t>综上，施工期噪声不可避免地会对周边居民的生产生活产生影响，但伴随着施工期结束，其影响将会消失。</w:t>
            </w:r>
          </w:p>
          <w:p w14:paraId="15FEC0EE">
            <w:pPr>
              <w:pStyle w:val="4"/>
              <w:numPr>
                <w:ilvl w:val="0"/>
                <w:numId w:val="28"/>
              </w:numPr>
            </w:pPr>
            <w:r>
              <w:rPr>
                <w:rFonts w:hint="eastAsia"/>
              </w:rPr>
              <w:t>固体废物对周边环境影响的治理措施</w:t>
            </w:r>
          </w:p>
          <w:p w14:paraId="693C316A">
            <w:pPr>
              <w:pStyle w:val="4"/>
              <w:numPr>
                <w:ilvl w:val="1"/>
                <w:numId w:val="28"/>
              </w:numPr>
            </w:pPr>
            <w:r>
              <w:rPr>
                <w:rFonts w:hint="eastAsia"/>
              </w:rPr>
              <w:t>剥离表土</w:t>
            </w:r>
          </w:p>
          <w:p w14:paraId="4540B03C">
            <w:pPr>
              <w:spacing w:line="440" w:lineRule="exact"/>
              <w:ind w:firstLine="480" w:firstLineChars="200"/>
              <w:rPr>
                <w:sz w:val="24"/>
              </w:rPr>
            </w:pPr>
            <w:r>
              <w:rPr>
                <w:rFonts w:hint="eastAsia"/>
                <w:sz w:val="24"/>
              </w:rPr>
              <w:t>施工进行前需对占地范围内耕地进行表土剥离，剥离厚度约30cm，共剥离表土0.15万m</w:t>
            </w:r>
            <w:r>
              <w:rPr>
                <w:rFonts w:hint="eastAsia"/>
                <w:sz w:val="24"/>
                <w:vertAlign w:val="superscript"/>
              </w:rPr>
              <w:t>3</w:t>
            </w:r>
            <w:r>
              <w:rPr>
                <w:rFonts w:hint="eastAsia"/>
                <w:sz w:val="24"/>
              </w:rPr>
              <w:t>，堆放于施工场地内的表土临时堆场</w:t>
            </w:r>
            <w:r>
              <w:rPr>
                <w:rFonts w:hint="eastAsia"/>
                <w:lang w:eastAsia="zh-CN"/>
              </w:rPr>
              <w:t>（约</w:t>
            </w:r>
            <w:r>
              <w:rPr>
                <w:rFonts w:hint="eastAsia"/>
                <w:lang w:val="en-US" w:eastAsia="zh-CN"/>
              </w:rPr>
              <w:t>200m</w:t>
            </w:r>
            <w:r>
              <w:rPr>
                <w:rFonts w:hint="eastAsia"/>
                <w:vertAlign w:val="superscript"/>
                <w:lang w:val="en-US" w:eastAsia="zh-CN"/>
              </w:rPr>
              <w:t>2</w:t>
            </w:r>
            <w:r>
              <w:rPr>
                <w:rFonts w:hint="eastAsia"/>
                <w:lang w:eastAsia="zh-CN"/>
              </w:rPr>
              <w:t>）</w:t>
            </w:r>
            <w:r>
              <w:rPr>
                <w:rFonts w:hint="eastAsia"/>
                <w:sz w:val="24"/>
              </w:rPr>
              <w:t>，后期全部用于绿化覆土。</w:t>
            </w:r>
          </w:p>
          <w:p w14:paraId="5DB5C9E2">
            <w:pPr>
              <w:spacing w:line="440" w:lineRule="exact"/>
              <w:ind w:firstLine="480" w:firstLineChars="200"/>
              <w:rPr>
                <w:sz w:val="24"/>
              </w:rPr>
            </w:pPr>
            <w:r>
              <w:rPr>
                <w:rFonts w:hint="eastAsia"/>
                <w:sz w:val="24"/>
              </w:rPr>
              <w:t>临时堆场地面压实并做好分区，土石方应做到边挖边清，及时清运，控制临时堆场的占地面积和堆放量。清运土石方时，运输车一律清洗轮胎，用毡布覆盖，尽量避免轮胎上的泥掉落至路面而造成扬尘。</w:t>
            </w:r>
          </w:p>
          <w:p w14:paraId="220EC602">
            <w:pPr>
              <w:pStyle w:val="4"/>
              <w:numPr>
                <w:ilvl w:val="1"/>
                <w:numId w:val="28"/>
              </w:numPr>
            </w:pPr>
            <w:r>
              <w:rPr>
                <w:rFonts w:hint="eastAsia"/>
              </w:rPr>
              <w:t>弃方</w:t>
            </w:r>
          </w:p>
          <w:p w14:paraId="2BCF0B93">
            <w:pPr>
              <w:spacing w:line="440" w:lineRule="exact"/>
              <w:ind w:firstLine="480" w:firstLineChars="200"/>
              <w:rPr>
                <w:sz w:val="24"/>
              </w:rPr>
            </w:pPr>
            <w:r>
              <w:rPr>
                <w:rFonts w:hint="eastAsia"/>
                <w:sz w:val="24"/>
              </w:rPr>
              <w:t>本项目土石方开挖总量0.8万m</w:t>
            </w:r>
            <w:r>
              <w:rPr>
                <w:rFonts w:hint="eastAsia"/>
                <w:sz w:val="24"/>
                <w:vertAlign w:val="superscript"/>
              </w:rPr>
              <w:t>3</w:t>
            </w:r>
            <w:r>
              <w:rPr>
                <w:rFonts w:hint="eastAsia"/>
                <w:sz w:val="24"/>
              </w:rPr>
              <w:t>（含表土0.15万m</w:t>
            </w:r>
            <w:r>
              <w:rPr>
                <w:rFonts w:hint="eastAsia"/>
                <w:sz w:val="24"/>
                <w:vertAlign w:val="superscript"/>
              </w:rPr>
              <w:t>2</w:t>
            </w:r>
            <w:r>
              <w:rPr>
                <w:rFonts w:hint="eastAsia"/>
                <w:sz w:val="24"/>
              </w:rPr>
              <w:t>），回填土石方总量0.32万m</w:t>
            </w:r>
            <w:r>
              <w:rPr>
                <w:rFonts w:hint="eastAsia"/>
                <w:sz w:val="24"/>
                <w:vertAlign w:val="superscript"/>
              </w:rPr>
              <w:t>3</w:t>
            </w:r>
            <w:r>
              <w:rPr>
                <w:rFonts w:hint="eastAsia"/>
                <w:sz w:val="24"/>
              </w:rPr>
              <w:t>（含绿化覆土0.15万m</w:t>
            </w:r>
            <w:r>
              <w:rPr>
                <w:rFonts w:hint="eastAsia"/>
                <w:sz w:val="24"/>
                <w:vertAlign w:val="superscript"/>
              </w:rPr>
              <w:t>2</w:t>
            </w:r>
            <w:r>
              <w:rPr>
                <w:rFonts w:hint="eastAsia"/>
                <w:sz w:val="24"/>
              </w:rPr>
              <w:t>），项目区内土石方调配调用后，余方0.48万m</w:t>
            </w:r>
            <w:r>
              <w:rPr>
                <w:rFonts w:hint="eastAsia"/>
                <w:sz w:val="24"/>
                <w:vertAlign w:val="superscript"/>
              </w:rPr>
              <w:t>3</w:t>
            </w:r>
            <w:r>
              <w:rPr>
                <w:rFonts w:hint="eastAsia"/>
                <w:sz w:val="24"/>
              </w:rPr>
              <w:t>（为河底清淤的淤泥）</w:t>
            </w:r>
            <w:r>
              <w:rPr>
                <w:rFonts w:hint="eastAsia"/>
                <w:sz w:val="24"/>
                <w:lang w:eastAsia="zh-CN"/>
              </w:rPr>
              <w:t>先运往施工场地中的淤泥翻晒场</w:t>
            </w:r>
            <w:r>
              <w:rPr>
                <w:rFonts w:hint="eastAsia"/>
                <w:lang w:eastAsia="zh-CN"/>
              </w:rPr>
              <w:t>（约</w:t>
            </w:r>
            <w:r>
              <w:rPr>
                <w:rFonts w:hint="eastAsia"/>
                <w:lang w:val="en-US" w:eastAsia="zh-CN"/>
              </w:rPr>
              <w:t>330m</w:t>
            </w:r>
            <w:r>
              <w:rPr>
                <w:rFonts w:hint="eastAsia"/>
                <w:vertAlign w:val="superscript"/>
                <w:lang w:val="en-US" w:eastAsia="zh-CN"/>
              </w:rPr>
              <w:t>2</w:t>
            </w:r>
            <w:r>
              <w:rPr>
                <w:rFonts w:hint="eastAsia"/>
                <w:lang w:eastAsia="zh-CN"/>
              </w:rPr>
              <w:t>），</w:t>
            </w:r>
            <w:r>
              <w:rPr>
                <w:rFonts w:hint="eastAsia"/>
                <w:sz w:val="24"/>
              </w:rPr>
              <w:t>翻晒后集中运往金元镇附近田地综合利用。余方中的淤泥饱含有机物，有利于植物生长，可改良农田面积为0.8hm</w:t>
            </w:r>
            <w:r>
              <w:rPr>
                <w:rFonts w:hint="eastAsia"/>
                <w:sz w:val="24"/>
                <w:vertAlign w:val="superscript"/>
              </w:rPr>
              <w:t>2</w:t>
            </w:r>
            <w:r>
              <w:rPr>
                <w:rFonts w:hint="eastAsia"/>
                <w:sz w:val="24"/>
              </w:rPr>
              <w:t>。</w:t>
            </w:r>
          </w:p>
          <w:p w14:paraId="40FBDFDE">
            <w:pPr>
              <w:pStyle w:val="4"/>
              <w:numPr>
                <w:ilvl w:val="1"/>
                <w:numId w:val="28"/>
              </w:numPr>
            </w:pPr>
            <w:r>
              <w:rPr>
                <w:rFonts w:hint="eastAsia"/>
              </w:rPr>
              <w:t>建筑垃圾</w:t>
            </w:r>
          </w:p>
          <w:p w14:paraId="19C81CD8">
            <w:pPr>
              <w:spacing w:line="440" w:lineRule="exact"/>
              <w:ind w:firstLine="480" w:firstLineChars="200"/>
              <w:rPr>
                <w:sz w:val="24"/>
              </w:rPr>
            </w:pPr>
            <w:r>
              <w:rPr>
                <w:rFonts w:hint="eastAsia"/>
                <w:sz w:val="24"/>
              </w:rPr>
              <w:t>工程在施工期将会产生</w:t>
            </w:r>
            <w:bookmarkStart w:id="35" w:name="_GoBack"/>
            <w:bookmarkEnd w:id="35"/>
            <w:r>
              <w:rPr>
                <w:rFonts w:hint="eastAsia"/>
                <w:sz w:val="24"/>
              </w:rPr>
              <w:t>一定量的碎砖块、废木料、废金属等施工垃圾。建设施工单位应对建筑垃圾尽量综合利用，剩余部分堆放达一定量时应及时清运到建筑垃圾场处理。</w:t>
            </w:r>
          </w:p>
          <w:p w14:paraId="2D07521A">
            <w:pPr>
              <w:spacing w:line="440" w:lineRule="exact"/>
              <w:ind w:firstLine="480" w:firstLineChars="200"/>
              <w:rPr>
                <w:sz w:val="24"/>
              </w:rPr>
            </w:pPr>
            <w:r>
              <w:rPr>
                <w:rFonts w:hint="eastAsia"/>
                <w:sz w:val="24"/>
              </w:rPr>
              <w:t>环评要求：建筑垃圾临时堆场应设标示牌，并进行防雨、防泄漏处理；施工期间产生的建筑垃圾应分类收集，可回收利用的废料（如钢筋、钢板、木材等下脚料）经收集后交由废物收购站处理，不能回收的建筑垃圾（如混凝土废料、含砖、石、砂的杂土等）应及时交由建筑垃圾清运公司及时清运至政府部门指定的建筑垃圾堆放场所，不得随意处理。</w:t>
            </w:r>
          </w:p>
          <w:p w14:paraId="0CE57BCD">
            <w:pPr>
              <w:pStyle w:val="4"/>
              <w:numPr>
                <w:ilvl w:val="1"/>
                <w:numId w:val="28"/>
              </w:numPr>
            </w:pPr>
            <w:r>
              <w:rPr>
                <w:rFonts w:hint="eastAsia"/>
              </w:rPr>
              <w:t>沉淀池污泥</w:t>
            </w:r>
          </w:p>
          <w:p w14:paraId="5ACB1E78">
            <w:pPr>
              <w:spacing w:line="440" w:lineRule="exact"/>
              <w:ind w:firstLine="480" w:firstLineChars="200"/>
              <w:rPr>
                <w:sz w:val="24"/>
              </w:rPr>
            </w:pPr>
            <w:r>
              <w:rPr>
                <w:rFonts w:hint="eastAsia"/>
                <w:sz w:val="24"/>
              </w:rPr>
              <w:t>沉淀池污泥定期清掏，与淤泥一同运至田地综合处理。</w:t>
            </w:r>
          </w:p>
          <w:p w14:paraId="3D5CC7DF">
            <w:pPr>
              <w:pStyle w:val="4"/>
              <w:numPr>
                <w:ilvl w:val="1"/>
                <w:numId w:val="28"/>
              </w:numPr>
            </w:pPr>
            <w:r>
              <w:rPr>
                <w:rFonts w:hint="eastAsia"/>
              </w:rPr>
              <w:t>生活垃圾</w:t>
            </w:r>
          </w:p>
          <w:p w14:paraId="2B6C8D88">
            <w:pPr>
              <w:spacing w:line="440" w:lineRule="exact"/>
              <w:ind w:firstLine="480" w:firstLineChars="200"/>
              <w:rPr>
                <w:sz w:val="24"/>
              </w:rPr>
            </w:pPr>
            <w:r>
              <w:rPr>
                <w:rFonts w:hint="eastAsia"/>
                <w:sz w:val="24"/>
              </w:rPr>
              <w:t>项目施工高峰期施工人员约100人，以每人每天平均产生垃圾1kg计，施工人员生活垃圾产生量约100kg/d，施工期为7个月，则本项目施工期内产生生活垃圾总量约21t。</w:t>
            </w:r>
          </w:p>
          <w:p w14:paraId="7E7E53DF">
            <w:pPr>
              <w:spacing w:line="440" w:lineRule="exact"/>
              <w:ind w:firstLine="480" w:firstLineChars="200"/>
              <w:rPr>
                <w:sz w:val="24"/>
              </w:rPr>
            </w:pPr>
            <w:r>
              <w:rPr>
                <w:rFonts w:hint="eastAsia"/>
                <w:sz w:val="24"/>
              </w:rPr>
              <w:t>环评要求施工方在施工区设置垃圾收集桶，生活垃圾经统一收集后及时清运至附近垃圾收集点，由环卫部门统一清运处置，不得随意丢弃，进入周边河流。</w:t>
            </w:r>
          </w:p>
          <w:p w14:paraId="4F649E6D">
            <w:pPr>
              <w:pStyle w:val="36"/>
              <w:ind w:firstLine="480"/>
              <w:rPr>
                <w:rFonts w:hint="default"/>
              </w:rPr>
            </w:pPr>
            <w:r>
              <w:t>综上，施工期固体废物对周边环境影响较小。</w:t>
            </w:r>
          </w:p>
          <w:p w14:paraId="621EA4B8">
            <w:pPr>
              <w:pStyle w:val="4"/>
              <w:numPr>
                <w:ilvl w:val="0"/>
                <w:numId w:val="28"/>
              </w:numPr>
            </w:pPr>
            <w:r>
              <w:rPr>
                <w:rFonts w:hint="eastAsia"/>
              </w:rPr>
              <w:t>施工期环境风险分析</w:t>
            </w:r>
          </w:p>
          <w:p w14:paraId="4CA220FA">
            <w:pPr>
              <w:pStyle w:val="36"/>
              <w:ind w:firstLine="480"/>
              <w:rPr>
                <w:rFonts w:hint="default"/>
              </w:rPr>
            </w:pPr>
            <w:r>
              <w:rPr>
                <w:rFonts w:hint="default"/>
              </w:rPr>
              <w:t>所谓“环境风险”是指突发性事故对环境造成的危害程度及可能性。根据《建设项目环境风险评价技术导则》（HJ 169-2018）相关技术要求，本评价将对施工过程中可能发生的事故风险进行环境影响分析，提出防范及应急措施，力求将环境风险降至最低。</w:t>
            </w:r>
          </w:p>
          <w:p w14:paraId="02D7F383">
            <w:pPr>
              <w:pStyle w:val="4"/>
              <w:numPr>
                <w:ilvl w:val="1"/>
                <w:numId w:val="28"/>
              </w:numPr>
            </w:pPr>
            <w:r>
              <w:rPr>
                <w:rFonts w:hint="eastAsia"/>
              </w:rPr>
              <w:t>风险调查</w:t>
            </w:r>
          </w:p>
          <w:p w14:paraId="31A59027">
            <w:pPr>
              <w:pStyle w:val="36"/>
              <w:ind w:firstLine="480"/>
              <w:rPr>
                <w:rFonts w:hint="default"/>
              </w:rPr>
            </w:pPr>
            <w:r>
              <w:rPr>
                <w:rFonts w:hint="default"/>
              </w:rPr>
              <w:t>根据工程施工特点、周围环境特点以及工程与周围环境之间的关系分析施工期的环境风险，风险主要体现在：废水处理设施事故引起水质污染</w:t>
            </w:r>
            <w:r>
              <w:t>、固废堆放事故引起水质污染</w:t>
            </w:r>
            <w:r>
              <w:rPr>
                <w:rFonts w:hint="default"/>
              </w:rPr>
              <w:t>。</w:t>
            </w:r>
          </w:p>
          <w:p w14:paraId="3797FE6A">
            <w:pPr>
              <w:pStyle w:val="4"/>
              <w:numPr>
                <w:ilvl w:val="1"/>
                <w:numId w:val="28"/>
              </w:numPr>
            </w:pPr>
            <w:r>
              <w:rPr>
                <w:rFonts w:hint="eastAsia"/>
              </w:rPr>
              <w:t>风险调查</w:t>
            </w:r>
          </w:p>
          <w:p w14:paraId="5D07F59C">
            <w:pPr>
              <w:pStyle w:val="36"/>
              <w:ind w:firstLine="480"/>
              <w:rPr>
                <w:rFonts w:hint="default"/>
              </w:rPr>
            </w:pPr>
            <w:r>
              <w:rPr>
                <w:rFonts w:hint="default"/>
              </w:rPr>
              <w:t>本项目为生态类建设项目，其运行期基本无“三废”排放，相应环境风险主要为施工期外源风险，本工程施工期主要是增加风险发生概率或加剧风险危害。根据本工程施工特点、周围环境特点以及工程与周围环境之间的关系，本工程的建设、运行和管理中具有潜在风险的类型有：</w:t>
            </w:r>
          </w:p>
          <w:p w14:paraId="156637FE">
            <w:pPr>
              <w:pStyle w:val="36"/>
              <w:ind w:firstLine="480"/>
              <w:rPr>
                <w:rFonts w:hint="default"/>
              </w:rPr>
            </w:pPr>
            <w:r>
              <w:rPr>
                <w:rFonts w:hint="default"/>
              </w:rPr>
              <w:t>①工程施工事故对河流水质的影响。</w:t>
            </w:r>
          </w:p>
          <w:p w14:paraId="0D7EC858">
            <w:pPr>
              <w:pStyle w:val="36"/>
              <w:ind w:firstLine="480"/>
              <w:rPr>
                <w:rFonts w:hint="default"/>
              </w:rPr>
            </w:pPr>
            <w:r>
              <w:rPr>
                <w:rFonts w:hint="default"/>
              </w:rPr>
              <w:t>②工程施工事故对生态环境的影响。</w:t>
            </w:r>
          </w:p>
          <w:p w14:paraId="53D88CDE">
            <w:pPr>
              <w:pStyle w:val="4"/>
              <w:numPr>
                <w:ilvl w:val="1"/>
                <w:numId w:val="28"/>
              </w:numPr>
            </w:pPr>
            <w:r>
              <w:rPr>
                <w:rFonts w:hint="eastAsia"/>
              </w:rPr>
              <w:t>源项分析及风险因素</w:t>
            </w:r>
          </w:p>
          <w:p w14:paraId="35A103A1">
            <w:pPr>
              <w:pStyle w:val="36"/>
              <w:ind w:firstLine="480"/>
              <w:rPr>
                <w:rFonts w:hint="default"/>
              </w:rPr>
            </w:pPr>
            <w:r>
              <w:rPr>
                <w:rFonts w:hint="default"/>
              </w:rPr>
              <w:t>根据各事件和事故的特性和产生方式、造成危害的途径、危害的后果与严重性分别对各风险进行分析，其结果见下表。</w:t>
            </w:r>
          </w:p>
          <w:p w14:paraId="7D150F4D">
            <w:pPr>
              <w:pStyle w:val="48"/>
              <w:spacing w:before="156"/>
              <w:ind w:left="0"/>
            </w:pPr>
            <w:r>
              <w:rPr>
                <w:rFonts w:hint="eastAsia"/>
              </w:rPr>
              <w:t>工程环境风险危害特性分析表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2"/>
              <w:gridCol w:w="1744"/>
              <w:gridCol w:w="2787"/>
              <w:gridCol w:w="2048"/>
            </w:tblGrid>
            <w:tr w14:paraId="1E31F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2" w:type="dxa"/>
                  <w:vAlign w:val="center"/>
                </w:tcPr>
                <w:p w14:paraId="2BF8F8AE">
                  <w:pPr>
                    <w:pStyle w:val="36"/>
                    <w:spacing w:line="320" w:lineRule="exact"/>
                    <w:ind w:firstLine="0" w:firstLineChars="0"/>
                    <w:jc w:val="center"/>
                    <w:rPr>
                      <w:rFonts w:hint="default"/>
                      <w:sz w:val="21"/>
                      <w:szCs w:val="21"/>
                    </w:rPr>
                  </w:pPr>
                  <w:r>
                    <w:rPr>
                      <w:sz w:val="21"/>
                      <w:szCs w:val="21"/>
                    </w:rPr>
                    <w:t>风险类型</w:t>
                  </w:r>
                </w:p>
              </w:tc>
              <w:tc>
                <w:tcPr>
                  <w:tcW w:w="1744" w:type="dxa"/>
                  <w:vAlign w:val="center"/>
                </w:tcPr>
                <w:p w14:paraId="096900DC">
                  <w:pPr>
                    <w:pStyle w:val="36"/>
                    <w:spacing w:line="320" w:lineRule="exact"/>
                    <w:ind w:firstLine="0" w:firstLineChars="0"/>
                    <w:jc w:val="center"/>
                    <w:rPr>
                      <w:rFonts w:hint="default"/>
                      <w:sz w:val="21"/>
                      <w:szCs w:val="21"/>
                    </w:rPr>
                  </w:pPr>
                  <w:r>
                    <w:rPr>
                      <w:sz w:val="21"/>
                      <w:szCs w:val="21"/>
                    </w:rPr>
                    <w:t>子项</w:t>
                  </w:r>
                </w:p>
              </w:tc>
              <w:tc>
                <w:tcPr>
                  <w:tcW w:w="2787" w:type="dxa"/>
                  <w:vAlign w:val="center"/>
                </w:tcPr>
                <w:p w14:paraId="1C529CA4">
                  <w:pPr>
                    <w:pStyle w:val="36"/>
                    <w:spacing w:line="320" w:lineRule="exact"/>
                    <w:ind w:firstLine="0" w:firstLineChars="0"/>
                    <w:jc w:val="center"/>
                    <w:rPr>
                      <w:rFonts w:hint="default"/>
                      <w:sz w:val="21"/>
                      <w:szCs w:val="21"/>
                    </w:rPr>
                  </w:pPr>
                  <w:r>
                    <w:rPr>
                      <w:sz w:val="21"/>
                      <w:szCs w:val="21"/>
                    </w:rPr>
                    <w:t>产生方式和危害途径</w:t>
                  </w:r>
                </w:p>
              </w:tc>
              <w:tc>
                <w:tcPr>
                  <w:tcW w:w="2048" w:type="dxa"/>
                  <w:vAlign w:val="center"/>
                </w:tcPr>
                <w:p w14:paraId="284FF335">
                  <w:pPr>
                    <w:pStyle w:val="36"/>
                    <w:spacing w:line="320" w:lineRule="exact"/>
                    <w:ind w:firstLine="0" w:firstLineChars="0"/>
                    <w:jc w:val="center"/>
                    <w:rPr>
                      <w:rFonts w:hint="default"/>
                      <w:sz w:val="21"/>
                      <w:szCs w:val="21"/>
                    </w:rPr>
                  </w:pPr>
                  <w:r>
                    <w:rPr>
                      <w:sz w:val="21"/>
                      <w:szCs w:val="21"/>
                    </w:rPr>
                    <w:t>后果与严重性</w:t>
                  </w:r>
                </w:p>
              </w:tc>
            </w:tr>
            <w:tr w14:paraId="363E2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2" w:type="dxa"/>
                  <w:vAlign w:val="center"/>
                </w:tcPr>
                <w:p w14:paraId="7D0A8CA5">
                  <w:pPr>
                    <w:pStyle w:val="36"/>
                    <w:spacing w:line="320" w:lineRule="exact"/>
                    <w:ind w:firstLine="0" w:firstLineChars="0"/>
                    <w:jc w:val="center"/>
                    <w:rPr>
                      <w:rFonts w:hint="default"/>
                      <w:sz w:val="21"/>
                      <w:szCs w:val="21"/>
                    </w:rPr>
                  </w:pPr>
                  <w:r>
                    <w:rPr>
                      <w:sz w:val="21"/>
                      <w:szCs w:val="21"/>
                    </w:rPr>
                    <w:t>水环境风险</w:t>
                  </w:r>
                </w:p>
              </w:tc>
              <w:tc>
                <w:tcPr>
                  <w:tcW w:w="1744" w:type="dxa"/>
                  <w:vAlign w:val="center"/>
                </w:tcPr>
                <w:p w14:paraId="18C28B48">
                  <w:pPr>
                    <w:pStyle w:val="36"/>
                    <w:spacing w:line="320" w:lineRule="exact"/>
                    <w:ind w:firstLine="0" w:firstLineChars="0"/>
                    <w:jc w:val="center"/>
                    <w:rPr>
                      <w:rFonts w:hint="default"/>
                      <w:sz w:val="21"/>
                      <w:szCs w:val="21"/>
                    </w:rPr>
                  </w:pPr>
                  <w:r>
                    <w:rPr>
                      <w:sz w:val="21"/>
                      <w:szCs w:val="21"/>
                    </w:rPr>
                    <w:t>水质恶化</w:t>
                  </w:r>
                </w:p>
              </w:tc>
              <w:tc>
                <w:tcPr>
                  <w:tcW w:w="2787" w:type="dxa"/>
                  <w:vAlign w:val="center"/>
                </w:tcPr>
                <w:p w14:paraId="7A660E03">
                  <w:pPr>
                    <w:pStyle w:val="36"/>
                    <w:spacing w:line="320" w:lineRule="exact"/>
                    <w:ind w:firstLine="0" w:firstLineChars="0"/>
                    <w:jc w:val="center"/>
                    <w:rPr>
                      <w:rFonts w:hint="default"/>
                      <w:sz w:val="21"/>
                      <w:szCs w:val="21"/>
                    </w:rPr>
                  </w:pPr>
                  <w:r>
                    <w:rPr>
                      <w:rFonts w:hint="default"/>
                      <w:sz w:val="21"/>
                      <w:szCs w:val="21"/>
                    </w:rPr>
                    <w:t>施工废水以及建筑垃圾等排入地表径流</w:t>
                  </w:r>
                </w:p>
              </w:tc>
              <w:tc>
                <w:tcPr>
                  <w:tcW w:w="2048" w:type="dxa"/>
                  <w:vAlign w:val="center"/>
                </w:tcPr>
                <w:p w14:paraId="38348685">
                  <w:pPr>
                    <w:pStyle w:val="36"/>
                    <w:spacing w:line="320" w:lineRule="exact"/>
                    <w:ind w:firstLine="0" w:firstLineChars="0"/>
                    <w:jc w:val="center"/>
                    <w:rPr>
                      <w:rFonts w:hint="default"/>
                      <w:sz w:val="21"/>
                      <w:szCs w:val="21"/>
                    </w:rPr>
                  </w:pPr>
                  <w:r>
                    <w:rPr>
                      <w:rFonts w:hint="default"/>
                      <w:sz w:val="21"/>
                      <w:szCs w:val="21"/>
                    </w:rPr>
                    <w:t>水质恶化影响水</w:t>
                  </w:r>
                </w:p>
                <w:p w14:paraId="521978DA">
                  <w:pPr>
                    <w:pStyle w:val="36"/>
                    <w:spacing w:line="320" w:lineRule="exact"/>
                    <w:ind w:firstLine="0" w:firstLineChars="0"/>
                    <w:jc w:val="center"/>
                    <w:rPr>
                      <w:rFonts w:hint="default"/>
                      <w:sz w:val="21"/>
                      <w:szCs w:val="21"/>
                    </w:rPr>
                  </w:pPr>
                  <w:r>
                    <w:rPr>
                      <w:rFonts w:hint="default"/>
                      <w:sz w:val="21"/>
                      <w:szCs w:val="21"/>
                    </w:rPr>
                    <w:t>环境</w:t>
                  </w:r>
                </w:p>
              </w:tc>
            </w:tr>
            <w:tr w14:paraId="72031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2" w:type="dxa"/>
                  <w:vAlign w:val="center"/>
                </w:tcPr>
                <w:p w14:paraId="09CCBE59">
                  <w:pPr>
                    <w:pStyle w:val="36"/>
                    <w:spacing w:line="320" w:lineRule="exact"/>
                    <w:ind w:firstLine="0" w:firstLineChars="0"/>
                    <w:jc w:val="center"/>
                    <w:rPr>
                      <w:rFonts w:hint="default"/>
                      <w:sz w:val="21"/>
                      <w:szCs w:val="21"/>
                    </w:rPr>
                  </w:pPr>
                  <w:r>
                    <w:rPr>
                      <w:sz w:val="21"/>
                      <w:szCs w:val="21"/>
                    </w:rPr>
                    <w:t>生态风险</w:t>
                  </w:r>
                </w:p>
              </w:tc>
              <w:tc>
                <w:tcPr>
                  <w:tcW w:w="1744" w:type="dxa"/>
                  <w:vAlign w:val="center"/>
                </w:tcPr>
                <w:p w14:paraId="0EAF11AF">
                  <w:pPr>
                    <w:pStyle w:val="36"/>
                    <w:spacing w:line="320" w:lineRule="exact"/>
                    <w:ind w:firstLine="0" w:firstLineChars="0"/>
                    <w:jc w:val="center"/>
                    <w:rPr>
                      <w:rFonts w:hint="default"/>
                      <w:sz w:val="21"/>
                      <w:szCs w:val="21"/>
                    </w:rPr>
                  </w:pPr>
                  <w:r>
                    <w:rPr>
                      <w:sz w:val="21"/>
                      <w:szCs w:val="21"/>
                    </w:rPr>
                    <w:t>物种减少</w:t>
                  </w:r>
                </w:p>
              </w:tc>
              <w:tc>
                <w:tcPr>
                  <w:tcW w:w="2787" w:type="dxa"/>
                  <w:vAlign w:val="center"/>
                </w:tcPr>
                <w:p w14:paraId="6D4626A3">
                  <w:pPr>
                    <w:pStyle w:val="36"/>
                    <w:spacing w:line="320" w:lineRule="exact"/>
                    <w:ind w:firstLine="0" w:firstLineChars="0"/>
                    <w:jc w:val="center"/>
                    <w:rPr>
                      <w:rFonts w:hint="default"/>
                      <w:sz w:val="21"/>
                      <w:szCs w:val="21"/>
                    </w:rPr>
                  </w:pPr>
                  <w:r>
                    <w:rPr>
                      <w:rFonts w:hint="default"/>
                      <w:sz w:val="21"/>
                      <w:szCs w:val="21"/>
                    </w:rPr>
                    <w:t>施工占地、水质恶化造成对陆生动植物、水生生物造成影响</w:t>
                  </w:r>
                </w:p>
              </w:tc>
              <w:tc>
                <w:tcPr>
                  <w:tcW w:w="2048" w:type="dxa"/>
                  <w:vAlign w:val="center"/>
                </w:tcPr>
                <w:p w14:paraId="374520AB">
                  <w:pPr>
                    <w:pStyle w:val="36"/>
                    <w:spacing w:line="320" w:lineRule="exact"/>
                    <w:ind w:firstLine="0" w:firstLineChars="0"/>
                    <w:jc w:val="center"/>
                    <w:rPr>
                      <w:rFonts w:hint="default"/>
                      <w:sz w:val="21"/>
                      <w:szCs w:val="21"/>
                    </w:rPr>
                  </w:pPr>
                  <w:r>
                    <w:rPr>
                      <w:rFonts w:hint="default"/>
                      <w:sz w:val="21"/>
                      <w:szCs w:val="21"/>
                    </w:rPr>
                    <w:t>物种减少</w:t>
                  </w:r>
                </w:p>
              </w:tc>
            </w:tr>
          </w:tbl>
          <w:p w14:paraId="7BB747A8">
            <w:pPr>
              <w:pStyle w:val="36"/>
              <w:ind w:firstLine="480"/>
              <w:rPr>
                <w:rFonts w:hint="default"/>
              </w:rPr>
            </w:pPr>
            <w:r>
              <w:rPr>
                <w:rFonts w:hint="default"/>
              </w:rPr>
              <w:t>环境风险分析：</w:t>
            </w:r>
          </w:p>
          <w:p w14:paraId="4144F83C">
            <w:pPr>
              <w:pStyle w:val="36"/>
              <w:ind w:firstLine="480"/>
              <w:rPr>
                <w:rFonts w:hint="default"/>
              </w:rPr>
            </w:pPr>
            <w:r>
              <w:rPr>
                <w:rFonts w:hint="default"/>
              </w:rPr>
              <w:t>①水质恶化对水生生物的影响</w:t>
            </w:r>
          </w:p>
          <w:p w14:paraId="0DF3E78C">
            <w:pPr>
              <w:pStyle w:val="36"/>
              <w:ind w:firstLine="480"/>
              <w:rPr>
                <w:rFonts w:hint="default"/>
              </w:rPr>
            </w:pPr>
            <w:r>
              <w:rPr>
                <w:rFonts w:hint="default"/>
              </w:rPr>
              <w:t>施工期若不注意严格采取水环境保护措施，冲洗废水、含油废水以及建筑垃圾等随意排入河沟，会造成河沟水质的恶化，从而对河沟中水生生物产生影响。</w:t>
            </w:r>
          </w:p>
          <w:p w14:paraId="61069FDA">
            <w:pPr>
              <w:pStyle w:val="36"/>
              <w:ind w:firstLine="480"/>
              <w:rPr>
                <w:rFonts w:hint="default"/>
              </w:rPr>
            </w:pPr>
            <w:r>
              <w:rPr>
                <w:rFonts w:hint="default"/>
              </w:rPr>
              <w:t>②本项目的实施对陆生动植物影响较小。项目建成后，通过实行迹地整治和实施植被恢复措施，区域生态系统将很快得到恢复，对自然生态系统不会造成不可逆的破坏。鸟类、两栖动物等也会逐渐迁移，通过繁殖，在较短的时间内能够恢复到建设前的水平。</w:t>
            </w:r>
          </w:p>
          <w:p w14:paraId="562F5EA9">
            <w:pPr>
              <w:pStyle w:val="4"/>
              <w:numPr>
                <w:ilvl w:val="1"/>
                <w:numId w:val="28"/>
              </w:numPr>
            </w:pPr>
            <w:r>
              <w:rPr>
                <w:rFonts w:hint="eastAsia"/>
              </w:rPr>
              <w:t>风险预防对策措施</w:t>
            </w:r>
          </w:p>
          <w:p w14:paraId="724F6BE2">
            <w:pPr>
              <w:pStyle w:val="36"/>
              <w:ind w:firstLine="480"/>
              <w:rPr>
                <w:rFonts w:hint="default"/>
              </w:rPr>
            </w:pPr>
            <w:r>
              <w:rPr>
                <w:rFonts w:hint="default"/>
              </w:rPr>
              <w:t>①政府有关部门及工程管理机构应加大对工程区的执法力度，加强监督管理。</w:t>
            </w:r>
          </w:p>
          <w:p w14:paraId="6BEAABEB">
            <w:pPr>
              <w:pStyle w:val="36"/>
              <w:ind w:firstLine="480"/>
              <w:rPr>
                <w:rFonts w:hint="default"/>
              </w:rPr>
            </w:pPr>
            <w:r>
              <w:rPr>
                <w:rFonts w:hint="default"/>
              </w:rPr>
              <w:t>②建设单位和施工单位要严格采取相关的水环境保护措施，不将施工废水、施工人员生活污水以及建筑垃圾等随意乱排，及时清理，尽量降低施工期间对河流水质产生的影响。</w:t>
            </w:r>
          </w:p>
          <w:p w14:paraId="24D24917">
            <w:pPr>
              <w:pStyle w:val="36"/>
              <w:ind w:firstLine="480"/>
              <w:rPr>
                <w:rFonts w:hint="default"/>
              </w:rPr>
            </w:pPr>
            <w:r>
              <w:rPr>
                <w:rFonts w:hint="default"/>
              </w:rPr>
              <w:t>③加强工程建设期生态保护措施，工程施工设计中应尽量减少影响面积，把影响程度降至最低。同时在施工完成后，利用本地物种，对施工区的植被进行恢复。另外，加强对施工人员的环境保护和动物保护意识的宣传教育等。</w:t>
            </w:r>
          </w:p>
          <w:p w14:paraId="324AAE6E">
            <w:pPr>
              <w:pStyle w:val="36"/>
              <w:ind w:firstLine="480"/>
              <w:rPr>
                <w:rFonts w:hint="default"/>
              </w:rPr>
            </w:pPr>
            <w:r>
              <w:rPr>
                <w:rFonts w:hint="default"/>
              </w:rPr>
              <w:t>④施工前，施工单位要对项目区范围内地下管线情况进行调查，结合相关资料和实地勘测，确保地下管线位置的精确标注。</w:t>
            </w:r>
          </w:p>
          <w:p w14:paraId="761278D7">
            <w:pPr>
              <w:pStyle w:val="36"/>
              <w:ind w:firstLine="480"/>
              <w:rPr>
                <w:rFonts w:hint="default"/>
              </w:rPr>
            </w:pPr>
            <w:r>
              <w:rPr>
                <w:rFonts w:hint="default"/>
              </w:rPr>
              <w:t>综上所述，本项目总体风险可控。相关部门通过加强政策宣传，制定工作预案，可以保证工程建设的顺利实施。</w:t>
            </w:r>
          </w:p>
        </w:tc>
      </w:tr>
      <w:tr w14:paraId="0A852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6" w:hRule="atLeast"/>
          <w:jc w:val="center"/>
        </w:trPr>
        <w:tc>
          <w:tcPr>
            <w:tcW w:w="409" w:type="pct"/>
            <w:vAlign w:val="center"/>
          </w:tcPr>
          <w:p w14:paraId="0EF70392">
            <w:pPr>
              <w:jc w:val="center"/>
              <w:rPr>
                <w:b/>
                <w:sz w:val="28"/>
                <w:szCs w:val="21"/>
              </w:rPr>
            </w:pPr>
            <w:r>
              <w:rPr>
                <w:bCs/>
              </w:rPr>
              <w:t>运营期环境影响和保护措施</w:t>
            </w:r>
          </w:p>
        </w:tc>
        <w:tc>
          <w:tcPr>
            <w:tcW w:w="4590" w:type="pct"/>
            <w:vAlign w:val="center"/>
          </w:tcPr>
          <w:p w14:paraId="3550BB2D">
            <w:pPr>
              <w:pStyle w:val="48"/>
              <w:numPr>
                <w:ilvl w:val="0"/>
                <w:numId w:val="0"/>
              </w:numPr>
              <w:spacing w:before="156"/>
              <w:ind w:left="-425"/>
              <w:jc w:val="both"/>
              <w:rPr>
                <w:bCs/>
              </w:rPr>
            </w:pPr>
          </w:p>
          <w:p w14:paraId="75297D98">
            <w:pPr>
              <w:autoSpaceDE w:val="0"/>
              <w:autoSpaceDN w:val="0"/>
              <w:adjustRightInd w:val="0"/>
              <w:snapToGrid w:val="0"/>
              <w:spacing w:line="440" w:lineRule="exact"/>
              <w:ind w:firstLine="480" w:firstLineChars="200"/>
              <w:rPr>
                <w:b/>
                <w:bCs/>
                <w:sz w:val="24"/>
              </w:rPr>
            </w:pPr>
            <w:r>
              <w:rPr>
                <w:rFonts w:hint="eastAsia"/>
                <w:b/>
                <w:bCs/>
                <w:sz w:val="24"/>
              </w:rPr>
              <w:t>1、对地表水环境的影响</w:t>
            </w:r>
          </w:p>
          <w:p w14:paraId="53C41EAA">
            <w:pPr>
              <w:autoSpaceDE w:val="0"/>
              <w:autoSpaceDN w:val="0"/>
              <w:adjustRightInd w:val="0"/>
              <w:snapToGrid w:val="0"/>
              <w:spacing w:line="440" w:lineRule="exact"/>
              <w:ind w:firstLine="480" w:firstLineChars="200"/>
              <w:rPr>
                <w:sz w:val="24"/>
              </w:rPr>
            </w:pPr>
            <w:r>
              <w:rPr>
                <w:rFonts w:hint="eastAsia"/>
                <w:sz w:val="24"/>
              </w:rPr>
              <w:t>本工程实施后，水流流势将变得顺畅，提高了河道的行洪能力，增加了水体的过流速率，从而增加了水体的稀释和自净能力，提高了水体中的溶解氧浓度和污染物的降解速率，COD、氨氮、总磷等有机污染因子的浓度将降低，有助于改善河道水质。项目工程建成后，由于其工程本身不排放污染物，对水环境基本不会造成影响。项目的建设对防洪起到重要作用，汛期因发生涝灾导致受淹区污物下泄污染河流水质的概率大大降低，减少洪水期各类污染物的入河量，对水环境改善有利。</w:t>
            </w:r>
          </w:p>
          <w:p w14:paraId="25D92FB5">
            <w:pPr>
              <w:autoSpaceDE w:val="0"/>
              <w:autoSpaceDN w:val="0"/>
              <w:adjustRightInd w:val="0"/>
              <w:snapToGrid w:val="0"/>
              <w:spacing w:line="440" w:lineRule="exact"/>
              <w:ind w:firstLine="480" w:firstLineChars="200"/>
              <w:rPr>
                <w:b/>
                <w:bCs/>
                <w:sz w:val="24"/>
              </w:rPr>
            </w:pPr>
            <w:r>
              <w:rPr>
                <w:rFonts w:hint="eastAsia"/>
                <w:b/>
                <w:bCs/>
                <w:sz w:val="24"/>
              </w:rPr>
              <w:t>2、对防洪的影响</w:t>
            </w:r>
          </w:p>
          <w:p w14:paraId="18080554">
            <w:pPr>
              <w:autoSpaceDE w:val="0"/>
              <w:autoSpaceDN w:val="0"/>
              <w:adjustRightInd w:val="0"/>
              <w:snapToGrid w:val="0"/>
              <w:spacing w:line="440" w:lineRule="exact"/>
              <w:ind w:firstLine="480" w:firstLineChars="200"/>
              <w:rPr>
                <w:sz w:val="24"/>
              </w:rPr>
            </w:pPr>
            <w:r>
              <w:rPr>
                <w:rFonts w:hint="eastAsia"/>
                <w:sz w:val="24"/>
              </w:rPr>
              <w:t>本工程建设任务是：改善河道行洪能力、岸坡抗冲刷能力及改善河道水景观，增强保护区山洪灾害综合防御能力，有效减少风险转移频次、人员伤亡及财产损失，有效的保护了大英县金元镇场镇、圆通寺村及金元社区的安全，保护人口0.28万人，保护耕地0.2万亩。</w:t>
            </w:r>
          </w:p>
          <w:p w14:paraId="06C12170">
            <w:pPr>
              <w:autoSpaceDE w:val="0"/>
              <w:autoSpaceDN w:val="0"/>
              <w:adjustRightInd w:val="0"/>
              <w:snapToGrid w:val="0"/>
              <w:spacing w:line="440" w:lineRule="exact"/>
              <w:ind w:firstLine="480" w:firstLineChars="200"/>
              <w:rPr>
                <w:sz w:val="24"/>
              </w:rPr>
            </w:pPr>
            <w:r>
              <w:rPr>
                <w:rFonts w:hint="eastAsia"/>
                <w:sz w:val="24"/>
              </w:rPr>
              <w:t>根据《防洪标准》（GB50201-2014）、《水利水电工程等级划分及洪水标准》（SL252-2017）相关规定，结合当地的社会经济、耕地情况、常住人口及当量经济规模，确定本工程河段防洪标准为10年一遇。整治加固段为基础防冲加固，不设防洪标准；改建水闸洪水设计标准为10年一遇，校核标准为30年一遇，消能防冲设计标准为10年一遇。根据《水利水电工程等级划分及洪水标准》（SL252-2017），本工程建筑物级别为5级，主要建筑物级别为5级，次要建筑物及临时建筑物为5级。</w:t>
            </w:r>
          </w:p>
          <w:p w14:paraId="3A2C88D3">
            <w:pPr>
              <w:autoSpaceDE w:val="0"/>
              <w:autoSpaceDN w:val="0"/>
              <w:adjustRightInd w:val="0"/>
              <w:snapToGrid w:val="0"/>
              <w:spacing w:line="440" w:lineRule="exact"/>
              <w:ind w:firstLine="480" w:firstLineChars="200"/>
              <w:rPr>
                <w:sz w:val="24"/>
              </w:rPr>
            </w:pPr>
            <w:r>
              <w:rPr>
                <w:rFonts w:hint="eastAsia"/>
                <w:sz w:val="24"/>
              </w:rPr>
              <w:t>堤后原有的坡面或支沟排水通道受堤防阻隔，需要设置相应的排水通道。本次堤防和护岸修建后，堤后形成防洪保护，能有效防御河道内相应设计标准洪水。</w:t>
            </w:r>
          </w:p>
          <w:p w14:paraId="5989D6E6">
            <w:pPr>
              <w:autoSpaceDE w:val="0"/>
              <w:autoSpaceDN w:val="0"/>
              <w:adjustRightInd w:val="0"/>
              <w:snapToGrid w:val="0"/>
              <w:spacing w:line="440" w:lineRule="exact"/>
              <w:ind w:firstLine="480" w:firstLineChars="200"/>
              <w:rPr>
                <w:b/>
                <w:bCs/>
                <w:sz w:val="24"/>
              </w:rPr>
            </w:pPr>
            <w:r>
              <w:rPr>
                <w:rFonts w:hint="eastAsia"/>
                <w:b/>
                <w:bCs/>
                <w:sz w:val="24"/>
              </w:rPr>
              <w:t>3、对生态环境的影响</w:t>
            </w:r>
          </w:p>
          <w:p w14:paraId="18062400">
            <w:pPr>
              <w:autoSpaceDE w:val="0"/>
              <w:autoSpaceDN w:val="0"/>
              <w:adjustRightInd w:val="0"/>
              <w:snapToGrid w:val="0"/>
              <w:spacing w:line="440" w:lineRule="exact"/>
              <w:ind w:firstLine="480" w:firstLineChars="200"/>
              <w:rPr>
                <w:sz w:val="24"/>
              </w:rPr>
            </w:pPr>
            <w:r>
              <w:rPr>
                <w:rFonts w:hint="eastAsia"/>
                <w:sz w:val="24"/>
              </w:rPr>
              <w:t>（1）对陆生生态系统的影响</w:t>
            </w:r>
          </w:p>
          <w:p w14:paraId="3E9FE3CD">
            <w:pPr>
              <w:autoSpaceDE w:val="0"/>
              <w:autoSpaceDN w:val="0"/>
              <w:adjustRightInd w:val="0"/>
              <w:snapToGrid w:val="0"/>
              <w:spacing w:line="440" w:lineRule="exact"/>
              <w:ind w:firstLine="480" w:firstLineChars="200"/>
              <w:rPr>
                <w:sz w:val="24"/>
              </w:rPr>
            </w:pPr>
            <w:r>
              <w:rPr>
                <w:rFonts w:hint="eastAsia"/>
                <w:sz w:val="24"/>
              </w:rPr>
              <w:t>运营期间，本工程将会在一定程度上可以改善该河段生态系统的稳定状态，陆生动物将慢慢恢复，可以有效弥补项目施工对植物、动物造成的影响。</w:t>
            </w:r>
          </w:p>
          <w:p w14:paraId="16F2F41C">
            <w:pPr>
              <w:autoSpaceDE w:val="0"/>
              <w:autoSpaceDN w:val="0"/>
              <w:adjustRightInd w:val="0"/>
              <w:snapToGrid w:val="0"/>
              <w:spacing w:line="440" w:lineRule="exact"/>
              <w:ind w:firstLine="480" w:firstLineChars="200"/>
              <w:rPr>
                <w:sz w:val="24"/>
              </w:rPr>
            </w:pPr>
            <w:r>
              <w:rPr>
                <w:rFonts w:hint="eastAsia"/>
                <w:sz w:val="24"/>
              </w:rPr>
              <w:t>（2）对水生生态系统的影响</w:t>
            </w:r>
          </w:p>
          <w:p w14:paraId="018B9856">
            <w:pPr>
              <w:autoSpaceDE w:val="0"/>
              <w:autoSpaceDN w:val="0"/>
              <w:adjustRightInd w:val="0"/>
              <w:snapToGrid w:val="0"/>
              <w:spacing w:line="440" w:lineRule="exact"/>
              <w:ind w:firstLine="480" w:firstLineChars="200"/>
              <w:rPr>
                <w:sz w:val="24"/>
              </w:rPr>
            </w:pPr>
            <w:r>
              <w:rPr>
                <w:rFonts w:hint="eastAsia"/>
                <w:sz w:val="24"/>
              </w:rPr>
              <w:t>本工程运营期间对水生生态系统的影响主要体现于水生生境的改善，为各种水生和鱼类创造了良好的生存环境，可以促进水生植物和鱼类的生长。</w:t>
            </w:r>
          </w:p>
          <w:p w14:paraId="635FDDA0">
            <w:pPr>
              <w:autoSpaceDE w:val="0"/>
              <w:autoSpaceDN w:val="0"/>
              <w:adjustRightInd w:val="0"/>
              <w:snapToGrid w:val="0"/>
              <w:spacing w:line="440" w:lineRule="exact"/>
              <w:ind w:firstLine="480" w:firstLineChars="200"/>
              <w:rPr>
                <w:b/>
                <w:bCs/>
                <w:sz w:val="24"/>
              </w:rPr>
            </w:pPr>
            <w:r>
              <w:rPr>
                <w:rFonts w:hint="eastAsia"/>
                <w:b/>
                <w:bCs/>
                <w:sz w:val="24"/>
              </w:rPr>
              <w:t>4、</w:t>
            </w:r>
            <w:bookmarkStart w:id="10" w:name="OLE_LINK1"/>
            <w:r>
              <w:rPr>
                <w:rFonts w:hint="eastAsia"/>
                <w:b/>
                <w:bCs/>
                <w:sz w:val="24"/>
              </w:rPr>
              <w:t>项目运营期环境正效益分析</w:t>
            </w:r>
            <w:bookmarkEnd w:id="10"/>
          </w:p>
          <w:p w14:paraId="6FC640C7">
            <w:pPr>
              <w:pStyle w:val="36"/>
              <w:ind w:firstLine="480"/>
              <w:rPr>
                <w:rFonts w:hint="default"/>
              </w:rPr>
            </w:pPr>
            <w:r>
              <w:t>①防洪减灾</w:t>
            </w:r>
          </w:p>
          <w:p w14:paraId="23B00F0D">
            <w:pPr>
              <w:pStyle w:val="36"/>
              <w:ind w:firstLine="480"/>
              <w:rPr>
                <w:rFonts w:hint="default"/>
              </w:rPr>
            </w:pPr>
            <w:r>
              <w:t>通过河湖整治，使河流更加顺直、通畅，有利于洪水宣泄，使保护区内农田及沿河居民免遭洪水侵袭，维护城乡生态环境系统的正常平衡，保证正常的生产和生活秩序。本工程修建后，对促进城市建设和国民经济发展起着重大作用，社会效益显著。</w:t>
            </w:r>
          </w:p>
          <w:p w14:paraId="343E29D5">
            <w:pPr>
              <w:pStyle w:val="36"/>
              <w:ind w:firstLine="480"/>
              <w:rPr>
                <w:rFonts w:hint="default"/>
              </w:rPr>
            </w:pPr>
            <w:r>
              <w:t>②环境效益</w:t>
            </w:r>
          </w:p>
          <w:p w14:paraId="4FD7AE7D">
            <w:pPr>
              <w:pStyle w:val="36"/>
              <w:ind w:firstLine="480"/>
              <w:rPr>
                <w:rFonts w:hint="default"/>
              </w:rPr>
            </w:pPr>
            <w:r>
              <w:t>河湖整治可有效保护各工程区的生态环境，减少冲刷与浪蚀造成的水土流失，有利于城镇生态和自然生态环境保护。同时，工程可有效减免洪水肆虐后带来一些次生环境污染，避免洪泛对河流水质和陆面环境污染。</w:t>
            </w:r>
          </w:p>
          <w:p w14:paraId="204DD0A5">
            <w:pPr>
              <w:pStyle w:val="36"/>
              <w:ind w:firstLine="480"/>
              <w:rPr>
                <w:rFonts w:hint="default"/>
              </w:rPr>
            </w:pPr>
            <w:r>
              <w:t>③社会效益</w:t>
            </w:r>
          </w:p>
          <w:p w14:paraId="644A1E9C">
            <w:pPr>
              <w:pStyle w:val="36"/>
              <w:ind w:firstLine="480"/>
              <w:rPr>
                <w:rFonts w:hint="default"/>
                <w:highlight w:val="yellow"/>
              </w:rPr>
            </w:pPr>
            <w:r>
              <w:t>工程建成后，河道的防洪能力显著提高，为河边镇的居民提供了一个安居乐业、休养生息的良好环境，提高了河边镇人们的生活质量。为河边镇社会经济发展营造了一个良好的投资环境，促进了河边镇的社会经济可持续稳定发展。</w:t>
            </w:r>
          </w:p>
        </w:tc>
      </w:tr>
      <w:tr w14:paraId="78C75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9" w:type="pct"/>
            <w:vAlign w:val="center"/>
          </w:tcPr>
          <w:p w14:paraId="31B2C273">
            <w:pPr>
              <w:jc w:val="center"/>
              <w:rPr>
                <w:bCs/>
              </w:rPr>
            </w:pPr>
            <w:r>
              <w:rPr>
                <w:rFonts w:hint="eastAsia"/>
                <w:bCs/>
              </w:rPr>
              <w:t>选址选线环境合理性分析</w:t>
            </w:r>
          </w:p>
        </w:tc>
        <w:tc>
          <w:tcPr>
            <w:tcW w:w="4590" w:type="pct"/>
            <w:vAlign w:val="center"/>
          </w:tcPr>
          <w:p w14:paraId="31DA9084">
            <w:pPr>
              <w:pStyle w:val="4"/>
              <w:numPr>
                <w:ilvl w:val="0"/>
                <w:numId w:val="31"/>
              </w:numPr>
            </w:pPr>
            <w:r>
              <w:rPr>
                <w:rFonts w:hint="eastAsia"/>
              </w:rPr>
              <w:t>主体工程选址选线合理性分析</w:t>
            </w:r>
          </w:p>
          <w:p w14:paraId="28E6F085">
            <w:pPr>
              <w:pStyle w:val="36"/>
              <w:ind w:firstLine="480"/>
              <w:rPr>
                <w:rFonts w:hint="default"/>
              </w:rPr>
            </w:pPr>
            <w:r>
              <w:t>本项目为河湖整治工程，位于四川省遂宁市大英县金元镇场镇内，由于工程河段历来洪水灾害频繁，洪灾损失较重，工程河段现状破损严重等原因，严重威胁沿河两岸人民正常生产、生活和生命财产安全。为针对金元镇金水河进行河道整治，本项目起点、终点明确，选址建设唯一。</w:t>
            </w:r>
          </w:p>
          <w:p w14:paraId="3EA5EC9E">
            <w:pPr>
              <w:pStyle w:val="36"/>
              <w:ind w:firstLine="480"/>
              <w:rPr>
                <w:rFonts w:hint="default"/>
              </w:rPr>
            </w:pPr>
            <w:r>
              <w:t>根据大英县自然资源和规划局关于遂宁市大英县大英支干渠至寸塘口水库引水河道整治项目不需办理用地预审的说明，本项目建设内容为河道整治，不涉及基本农田，不涉及新增建设用地，不需办理用地预审。根据调查，项目河段不涉及自然保护区、风景名胜区。不涉及水产种质资源保护区、不涉及国家保护珍稀鱼类，水生保护动物，重要水生生物的自然产卵场、索饵场、越冬场和洄游通道等。</w:t>
            </w:r>
          </w:p>
          <w:p w14:paraId="7E733C1E">
            <w:pPr>
              <w:pStyle w:val="36"/>
              <w:ind w:firstLine="480"/>
              <w:rPr>
                <w:rFonts w:hint="default"/>
              </w:rPr>
            </w:pPr>
            <w:r>
              <w:t>因此，项目主体工程选址选线合理。</w:t>
            </w:r>
          </w:p>
          <w:p w14:paraId="25D6391F">
            <w:pPr>
              <w:pStyle w:val="4"/>
              <w:numPr>
                <w:ilvl w:val="0"/>
                <w:numId w:val="31"/>
              </w:numPr>
            </w:pPr>
            <w:r>
              <w:rPr>
                <w:rFonts w:hint="eastAsia"/>
              </w:rPr>
              <w:t>临时工程布置合理性分析</w:t>
            </w:r>
          </w:p>
          <w:p w14:paraId="265A153B">
            <w:pPr>
              <w:pStyle w:val="4"/>
              <w:numPr>
                <w:ilvl w:val="1"/>
                <w:numId w:val="31"/>
              </w:numPr>
            </w:pPr>
            <w:r>
              <w:rPr>
                <w:rFonts w:hint="eastAsia"/>
              </w:rPr>
              <w:t>施工场地设置合理性分析</w:t>
            </w:r>
          </w:p>
          <w:p w14:paraId="68ED5066">
            <w:pPr>
              <w:pStyle w:val="36"/>
              <w:ind w:firstLine="480"/>
              <w:rPr>
                <w:rFonts w:hint="default"/>
              </w:rPr>
            </w:pPr>
            <w:r>
              <w:t>本项目需要的混凝土、钢筋、砂石等原材料均外购，由汽车运到项目设置的施工场地。施工场地主要设置材料堆放场、车辆设备停放区、表土临时堆放区、生产区等必要的设施。</w:t>
            </w:r>
          </w:p>
          <w:p w14:paraId="73323C55">
            <w:pPr>
              <w:pStyle w:val="36"/>
              <w:ind w:firstLine="480"/>
              <w:rPr>
                <w:rFonts w:hint="default"/>
              </w:rPr>
            </w:pPr>
            <w:r>
              <w:t>施工期间挖掘机、推土机、自卸汽车等机械车辆仅在早、晚期间进出车辆设备停放区，产生的扬尘、噪声影响时段较短，通过洒水降尘、合理安排施工时间，禁止夜间施工等措施降低施工机械进出施工区对周边居民、大气环境及周边声环境的影响。施工人员产生的生活污水通过租住民房现有生活污水处理设施处理后用作农田施肥，不外排，施工场地废水通过设置隔油沉淀池循环使用，不外排，施工区产生的生活垃圾交由环卫部门定期清运处置。施工扬尘通过施工场地四周设置喷雾除尘系统；设置洗车平台对进出车辆轮胎进行冲洗，减少扬尘；施工场地内混凝土外购商砼，避免现场设置混凝土搅拌站等产生大量粉尘和噪声设施、避免大量储存，并加强施工场地扬尘管理后，项目施工粉尘对周围大气环境影响较小。本项目禁止施工期废水、废渣等随意丢弃进入地表水体，影响下游地表水质。项目从工程布置上杜绝施工场地废水、废渣以及可能的水土流失造成对金水河河水质的负面影响。</w:t>
            </w:r>
          </w:p>
          <w:p w14:paraId="69417C91">
            <w:pPr>
              <w:pStyle w:val="4"/>
              <w:numPr>
                <w:ilvl w:val="1"/>
                <w:numId w:val="31"/>
              </w:numPr>
            </w:pPr>
            <w:r>
              <w:rPr>
                <w:rFonts w:hint="eastAsia"/>
              </w:rPr>
              <w:t>表土临时堆场设置合理性分析</w:t>
            </w:r>
          </w:p>
          <w:p w14:paraId="1054B1E7">
            <w:pPr>
              <w:pStyle w:val="36"/>
              <w:ind w:firstLine="480"/>
              <w:rPr>
                <w:rFonts w:hint="default"/>
              </w:rPr>
            </w:pPr>
            <w:r>
              <w:t>项目沿岸受洪水灾害频繁，表土资源显得尤为重要。项目表土剥离量约0.15万m</w:t>
            </w:r>
            <w:r>
              <w:rPr>
                <w:vertAlign w:val="superscript"/>
              </w:rPr>
              <w:t>3</w:t>
            </w:r>
            <w:r>
              <w:t>，后期全部用于施工结束后的覆土、绿化、复耕工程覆土消耗。为保护表土资源，项目在施工场地内设置一处表土临时堆放区</w:t>
            </w:r>
            <w:r>
              <w:rPr>
                <w:rFonts w:hint="eastAsia"/>
                <w:lang w:eastAsia="zh-CN"/>
              </w:rPr>
              <w:t>（约</w:t>
            </w:r>
            <w:r>
              <w:rPr>
                <w:rFonts w:hint="eastAsia"/>
                <w:lang w:val="en-US" w:eastAsia="zh-CN"/>
              </w:rPr>
              <w:t>200m</w:t>
            </w:r>
            <w:r>
              <w:rPr>
                <w:rFonts w:hint="eastAsia"/>
                <w:vertAlign w:val="superscript"/>
                <w:lang w:val="en-US" w:eastAsia="zh-CN"/>
              </w:rPr>
              <w:t>2</w:t>
            </w:r>
            <w:r>
              <w:rPr>
                <w:rFonts w:hint="eastAsia"/>
                <w:lang w:eastAsia="zh-CN"/>
              </w:rPr>
              <w:t>）</w:t>
            </w:r>
            <w:r>
              <w:t>，表土临时堆场表面采取防雨布覆盖，四周设置编织袋挡墙、排水沟。</w:t>
            </w:r>
          </w:p>
          <w:p w14:paraId="1C399BA0">
            <w:pPr>
              <w:pStyle w:val="4"/>
              <w:numPr>
                <w:ilvl w:val="1"/>
                <w:numId w:val="31"/>
              </w:numPr>
            </w:pPr>
            <w:r>
              <w:rPr>
                <w:rFonts w:hint="eastAsia"/>
              </w:rPr>
              <w:t>淤泥翻晒场设置合理性分析</w:t>
            </w:r>
          </w:p>
          <w:p w14:paraId="6913FF25">
            <w:pPr>
              <w:pStyle w:val="36"/>
              <w:ind w:firstLine="480"/>
              <w:rPr>
                <w:rFonts w:hint="default"/>
              </w:rPr>
            </w:pPr>
            <w:r>
              <w:t>本工程在施工场地内设置淤泥翻晒场</w:t>
            </w:r>
            <w:r>
              <w:rPr>
                <w:rFonts w:hint="eastAsia"/>
                <w:lang w:eastAsia="zh-CN"/>
              </w:rPr>
              <w:t>（约</w:t>
            </w:r>
            <w:r>
              <w:rPr>
                <w:rFonts w:hint="eastAsia"/>
                <w:lang w:val="en-US" w:eastAsia="zh-CN"/>
              </w:rPr>
              <w:t>330m</w:t>
            </w:r>
            <w:r>
              <w:rPr>
                <w:rFonts w:hint="eastAsia"/>
                <w:vertAlign w:val="superscript"/>
                <w:lang w:val="en-US" w:eastAsia="zh-CN"/>
              </w:rPr>
              <w:t>2</w:t>
            </w:r>
            <w:r>
              <w:rPr>
                <w:rFonts w:hint="eastAsia"/>
                <w:lang w:eastAsia="zh-CN"/>
              </w:rPr>
              <w:t>）</w:t>
            </w:r>
            <w:r>
              <w:t>，对河底淤泥进行翻晒，淤泥翻晒场地面采取简单压实硬化处理，淤泥干化后采用挖掘机通过自卸装载机运至金元镇附近田地进行综合利用。淤泥翻晒场采取设置截排水沟、土袋拦挡、防雨布遮盖等措施对其进行保护。</w:t>
            </w:r>
          </w:p>
          <w:p w14:paraId="3F302D38">
            <w:pPr>
              <w:pStyle w:val="4"/>
              <w:numPr>
                <w:ilvl w:val="1"/>
                <w:numId w:val="31"/>
              </w:numPr>
            </w:pPr>
            <w:r>
              <w:rPr>
                <w:rFonts w:hint="eastAsia"/>
              </w:rPr>
              <w:t>淤泥消纳场设置合理性分析</w:t>
            </w:r>
          </w:p>
          <w:p w14:paraId="3643A412">
            <w:pPr>
              <w:pStyle w:val="36"/>
              <w:ind w:firstLine="480"/>
              <w:rPr>
                <w:rFonts w:hint="default"/>
              </w:rPr>
            </w:pPr>
            <w:r>
              <w:t>本项目需要消纳淤泥0.48万m</w:t>
            </w:r>
            <w:r>
              <w:rPr>
                <w:rFonts w:hint="eastAsia"/>
                <w:vertAlign w:val="superscript"/>
                <w:lang w:val="en-US" w:eastAsia="zh-CN"/>
              </w:rPr>
              <w:t>3</w:t>
            </w:r>
            <w:r>
              <w:t>（自然方），在项目施工场地北侧约100米位置设置有1处淤泥消纳场地，项目河道淤泥满足《土壤环境质量农用地土壤污染风险管控标准》（GB15618-2018）中风险筛选标值要求，项目疏浚清淤河道底泥中不存在重金属超标污染现象，降低了土壤污染风险，且河道底泥富含有机质和养分（如氮、磷、钾），可改善土壤肥力，有利于植物生长，可改良农田面积为0.8hm</w:t>
            </w:r>
            <w:r>
              <w:rPr>
                <w:vertAlign w:val="superscript"/>
              </w:rPr>
              <w:t>2</w:t>
            </w:r>
            <w:r>
              <w:t>。其次，淤泥能增强土壤保水性和透气性，减少化肥使用，降低种植成本。同时，科学控制淤泥施用量，避免土壤板结或养分失衡，并遵守</w:t>
            </w:r>
            <w:r>
              <w:rPr>
                <w:rFonts w:hint="eastAsia"/>
                <w:lang w:eastAsia="zh-CN"/>
              </w:rPr>
              <w:t>《中华人民共和国土壤污染防治法》</w:t>
            </w:r>
            <w:r>
              <w:t>等相关法规，通过定期监测土壤和地下水质量，评估长期生态影响，并加强公众沟通，可确保项目安全可行，兼具环境与经济效益。</w:t>
            </w:r>
          </w:p>
          <w:p w14:paraId="5BFA2180">
            <w:pPr>
              <w:pStyle w:val="36"/>
              <w:ind w:firstLine="480"/>
              <w:rPr>
                <w:rFonts w:hint="default"/>
              </w:rPr>
            </w:pPr>
            <w:r>
              <w:t>根据调查，项目占地区域未发现历史文物古迹，未发现特殊生态敏感区和重要生态敏感区，总体来说区域无环境制约因素。同时对项目所涉及的环境问题也可通过采取一定的措施予以减缓、防范。</w:t>
            </w:r>
          </w:p>
          <w:p w14:paraId="25E418F9">
            <w:pPr>
              <w:pStyle w:val="36"/>
              <w:ind w:firstLine="480"/>
              <w:rPr>
                <w:rFonts w:hint="default"/>
              </w:rPr>
            </w:pPr>
            <w:r>
              <w:t>综上，在采取严格的环保措施后施工场地对周围居民影响较小、对河道影响较小，故选址合理。</w:t>
            </w:r>
          </w:p>
          <w:p w14:paraId="3A9ECA65">
            <w:pPr>
              <w:pStyle w:val="36"/>
              <w:ind w:firstLine="480"/>
              <w:rPr>
                <w:rFonts w:hint="default"/>
              </w:rPr>
            </w:pPr>
          </w:p>
        </w:tc>
      </w:tr>
    </w:tbl>
    <w:p w14:paraId="129C636D">
      <w:r>
        <w:br w:type="page"/>
      </w:r>
    </w:p>
    <w:p w14:paraId="149F168E">
      <w:pPr>
        <w:pStyle w:val="3"/>
      </w:pPr>
      <w:bookmarkStart w:id="11" w:name="_Toc1467"/>
      <w:r>
        <w:rPr>
          <w:rFonts w:hint="eastAsia"/>
        </w:rPr>
        <w:t>主要生态环境保护措施</w:t>
      </w:r>
      <w:bookmarkEnd w:id="11"/>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8371"/>
      </w:tblGrid>
      <w:tr w14:paraId="40CA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tcBorders>
              <w:tl2br w:val="nil"/>
              <w:tr2bl w:val="nil"/>
            </w:tcBorders>
            <w:vAlign w:val="center"/>
          </w:tcPr>
          <w:p w14:paraId="363103C7">
            <w:pPr>
              <w:autoSpaceDE w:val="0"/>
              <w:autoSpaceDN w:val="0"/>
              <w:adjustRightInd w:val="0"/>
              <w:snapToGrid w:val="0"/>
              <w:jc w:val="center"/>
              <w:rPr>
                <w:kern w:val="0"/>
                <w:sz w:val="24"/>
              </w:rPr>
            </w:pPr>
            <w:r>
              <w:rPr>
                <w:rFonts w:hint="eastAsia"/>
                <w:kern w:val="0"/>
                <w:sz w:val="24"/>
              </w:rPr>
              <w:t>施工期生态环境保护措施</w:t>
            </w:r>
          </w:p>
        </w:tc>
        <w:tc>
          <w:tcPr>
            <w:tcW w:w="8276" w:type="dxa"/>
            <w:tcBorders>
              <w:tl2br w:val="nil"/>
              <w:tr2bl w:val="nil"/>
            </w:tcBorders>
            <w:vAlign w:val="center"/>
          </w:tcPr>
          <w:p w14:paraId="116AB9FE">
            <w:pPr>
              <w:pStyle w:val="4"/>
              <w:numPr>
                <w:ilvl w:val="0"/>
                <w:numId w:val="32"/>
              </w:numPr>
            </w:pPr>
            <w:r>
              <w:rPr>
                <w:rFonts w:hint="eastAsia"/>
              </w:rPr>
              <w:t>施工期生态环境保护措施分析</w:t>
            </w:r>
          </w:p>
          <w:p w14:paraId="466E10CD">
            <w:pPr>
              <w:adjustRightInd w:val="0"/>
              <w:snapToGrid w:val="0"/>
              <w:spacing w:line="440" w:lineRule="exact"/>
              <w:ind w:firstLine="482"/>
              <w:rPr>
                <w:sz w:val="24"/>
              </w:rPr>
            </w:pPr>
            <w:r>
              <w:rPr>
                <w:rFonts w:hint="eastAsia"/>
                <w:sz w:val="24"/>
              </w:rPr>
              <w:t>项目施工过程中占压、开挖、回填等施工活动都可能会造成生态破坏或水土流失。本项目施工期对于生态环境的影响是暂时的，项目施工期生态环境保护措施主要为生态影响减缓措施、水土流失防治措施、施工迹地恢复措施等。</w:t>
            </w:r>
          </w:p>
          <w:p w14:paraId="078765E9">
            <w:pPr>
              <w:adjustRightInd w:val="0"/>
              <w:snapToGrid w:val="0"/>
              <w:spacing w:line="440" w:lineRule="exact"/>
              <w:ind w:firstLine="482"/>
              <w:rPr>
                <w:b/>
                <w:bCs/>
                <w:sz w:val="24"/>
              </w:rPr>
            </w:pPr>
            <w:r>
              <w:rPr>
                <w:rFonts w:hint="eastAsia"/>
                <w:b/>
                <w:bCs/>
                <w:sz w:val="24"/>
              </w:rPr>
              <w:t>（1）施工期陆生植物保护措施</w:t>
            </w:r>
          </w:p>
          <w:p w14:paraId="705D6286">
            <w:pPr>
              <w:autoSpaceDE w:val="0"/>
              <w:autoSpaceDN w:val="0"/>
              <w:adjustRightInd w:val="0"/>
              <w:snapToGrid w:val="0"/>
              <w:spacing w:line="440" w:lineRule="exact"/>
              <w:ind w:firstLine="480" w:firstLineChars="200"/>
              <w:rPr>
                <w:sz w:val="24"/>
              </w:rPr>
            </w:pPr>
            <w:r>
              <w:rPr>
                <w:rFonts w:hint="eastAsia"/>
                <w:sz w:val="24"/>
              </w:rPr>
              <w:t>工程沿线无珍稀保护植物，野生植物以构树、构树等树种和狗尾草、葎草等草本植物为主，人工种植植物以海桐、金森女贞、石楠等城市常见植物为主。施工期采取的植物保护措施如下：</w:t>
            </w:r>
          </w:p>
          <w:p w14:paraId="4999A870">
            <w:pPr>
              <w:numPr>
                <w:ilvl w:val="0"/>
                <w:numId w:val="33"/>
              </w:numPr>
              <w:autoSpaceDE w:val="0"/>
              <w:autoSpaceDN w:val="0"/>
              <w:adjustRightInd w:val="0"/>
              <w:snapToGrid w:val="0"/>
              <w:spacing w:line="440" w:lineRule="exact"/>
              <w:ind w:firstLine="480" w:firstLineChars="200"/>
              <w:rPr>
                <w:sz w:val="24"/>
              </w:rPr>
            </w:pPr>
            <w:r>
              <w:rPr>
                <w:rFonts w:hint="eastAsia"/>
                <w:sz w:val="24"/>
              </w:rPr>
              <w:t>按照施工组织的要求，施工单位严格按照规定的工程征占地范围进行施工，减少表土及植被的破坏。施工区设置保护土壤、植被的宣传牌和警示牌，标明施工活动区，严禁超范围占压植被。</w:t>
            </w:r>
          </w:p>
          <w:p w14:paraId="26DFB0F9">
            <w:pPr>
              <w:numPr>
                <w:ilvl w:val="0"/>
                <w:numId w:val="33"/>
              </w:numPr>
              <w:autoSpaceDE w:val="0"/>
              <w:autoSpaceDN w:val="0"/>
              <w:adjustRightInd w:val="0"/>
              <w:snapToGrid w:val="0"/>
              <w:spacing w:line="440" w:lineRule="exact"/>
              <w:ind w:firstLine="480" w:firstLineChars="200"/>
              <w:rPr>
                <w:sz w:val="24"/>
              </w:rPr>
            </w:pPr>
            <w:r>
              <w:rPr>
                <w:rFonts w:hint="eastAsia"/>
                <w:sz w:val="24"/>
              </w:rPr>
              <w:t>施工区表层土壤单独存放并全部用于施工结束后覆土。</w:t>
            </w:r>
          </w:p>
          <w:p w14:paraId="6E950397">
            <w:pPr>
              <w:numPr>
                <w:ilvl w:val="0"/>
                <w:numId w:val="33"/>
              </w:numPr>
              <w:autoSpaceDE w:val="0"/>
              <w:autoSpaceDN w:val="0"/>
              <w:adjustRightInd w:val="0"/>
              <w:snapToGrid w:val="0"/>
              <w:spacing w:line="440" w:lineRule="exact"/>
              <w:ind w:firstLine="480" w:firstLineChars="200"/>
              <w:rPr>
                <w:sz w:val="24"/>
              </w:rPr>
            </w:pPr>
            <w:r>
              <w:rPr>
                <w:rFonts w:hint="eastAsia"/>
                <w:sz w:val="24"/>
              </w:rPr>
              <w:t>加强工程永久占地周围植被的保护，并在永久建筑物周围做好绿化。</w:t>
            </w:r>
          </w:p>
          <w:p w14:paraId="65B7AE77">
            <w:pPr>
              <w:numPr>
                <w:ilvl w:val="0"/>
                <w:numId w:val="33"/>
              </w:numPr>
              <w:autoSpaceDE w:val="0"/>
              <w:autoSpaceDN w:val="0"/>
              <w:adjustRightInd w:val="0"/>
              <w:snapToGrid w:val="0"/>
              <w:spacing w:line="440" w:lineRule="exact"/>
              <w:ind w:firstLine="480" w:firstLineChars="200"/>
              <w:rPr>
                <w:sz w:val="24"/>
              </w:rPr>
            </w:pPr>
            <w:r>
              <w:rPr>
                <w:rFonts w:hint="eastAsia"/>
                <w:sz w:val="24"/>
              </w:rPr>
              <w:t>施工区周边实施植物绿化措施，并做好抚育管理。施工扰动区域内的植被恢复以当地适生树种和草本为主，乔灌草结合，使工程区尽快融入当地景观。</w:t>
            </w:r>
          </w:p>
          <w:p w14:paraId="52ACF9C0">
            <w:pPr>
              <w:numPr>
                <w:ilvl w:val="0"/>
                <w:numId w:val="33"/>
              </w:numPr>
              <w:autoSpaceDE w:val="0"/>
              <w:autoSpaceDN w:val="0"/>
              <w:adjustRightInd w:val="0"/>
              <w:snapToGrid w:val="0"/>
              <w:spacing w:line="440" w:lineRule="exact"/>
              <w:ind w:firstLine="480" w:firstLineChars="200"/>
              <w:rPr>
                <w:sz w:val="24"/>
              </w:rPr>
            </w:pPr>
            <w:r>
              <w:rPr>
                <w:rFonts w:hint="eastAsia"/>
                <w:sz w:val="24"/>
              </w:rPr>
              <w:t>对于临时堆料场，在开挖前应剥离表层土，在场区划出区域进行堆放，施工完毕后，在采取水土保持措施的同时将剥离的表土层进行回填覆土，然后进行迹地恢复；对于临时建筑物，在施工结束后，应该拆除建筑物，并覆土、迹地恢复。</w:t>
            </w:r>
          </w:p>
          <w:p w14:paraId="50F61184">
            <w:pPr>
              <w:numPr>
                <w:ilvl w:val="0"/>
                <w:numId w:val="33"/>
              </w:numPr>
              <w:autoSpaceDE w:val="0"/>
              <w:autoSpaceDN w:val="0"/>
              <w:adjustRightInd w:val="0"/>
              <w:snapToGrid w:val="0"/>
              <w:spacing w:line="440" w:lineRule="exact"/>
              <w:ind w:firstLine="480" w:firstLineChars="200"/>
              <w:rPr>
                <w:sz w:val="24"/>
              </w:rPr>
            </w:pPr>
            <w:r>
              <w:rPr>
                <w:rFonts w:hint="eastAsia"/>
                <w:sz w:val="24"/>
              </w:rPr>
              <w:t>施工期间对施工人员和附近居民加强施工区生态环境保护的宣传教育，施工活动必须局限于工程征、租地范围，尽可能减小扰动区域，加强对施工区域范围的监管力度。</w:t>
            </w:r>
          </w:p>
          <w:p w14:paraId="0B0ADBD5">
            <w:pPr>
              <w:numPr>
                <w:ilvl w:val="0"/>
                <w:numId w:val="33"/>
              </w:numPr>
              <w:autoSpaceDE w:val="0"/>
              <w:autoSpaceDN w:val="0"/>
              <w:adjustRightInd w:val="0"/>
              <w:snapToGrid w:val="0"/>
              <w:spacing w:line="440" w:lineRule="exact"/>
              <w:ind w:firstLine="480" w:firstLineChars="200"/>
              <w:rPr>
                <w:sz w:val="24"/>
              </w:rPr>
            </w:pPr>
            <w:r>
              <w:rPr>
                <w:rFonts w:hint="eastAsia"/>
                <w:sz w:val="24"/>
              </w:rPr>
              <w:t>施工期以公告、宣传册发放等形式教育施工人员，避免破坏周边植被。</w:t>
            </w:r>
          </w:p>
          <w:p w14:paraId="3AA03CEA">
            <w:pPr>
              <w:adjustRightInd w:val="0"/>
              <w:snapToGrid w:val="0"/>
              <w:spacing w:line="440" w:lineRule="exact"/>
              <w:ind w:firstLine="482"/>
              <w:rPr>
                <w:sz w:val="24"/>
              </w:rPr>
            </w:pPr>
            <w:r>
              <w:rPr>
                <w:rFonts w:hint="eastAsia"/>
                <w:sz w:val="24"/>
              </w:rPr>
              <w:t>施工结束后，应严格按照水保方案对工程区域进行植被恢复。</w:t>
            </w:r>
          </w:p>
          <w:p w14:paraId="304DC23D">
            <w:pPr>
              <w:adjustRightInd w:val="0"/>
              <w:snapToGrid w:val="0"/>
              <w:spacing w:line="440" w:lineRule="exact"/>
              <w:ind w:firstLine="482"/>
              <w:rPr>
                <w:b/>
                <w:bCs/>
                <w:sz w:val="24"/>
              </w:rPr>
            </w:pPr>
            <w:r>
              <w:rPr>
                <w:rFonts w:hint="eastAsia"/>
                <w:b/>
                <w:bCs/>
                <w:sz w:val="24"/>
              </w:rPr>
              <w:t>（2）施工期的野生动物保护</w:t>
            </w:r>
          </w:p>
          <w:p w14:paraId="322160D9">
            <w:pPr>
              <w:adjustRightInd w:val="0"/>
              <w:snapToGrid w:val="0"/>
              <w:spacing w:line="440" w:lineRule="exact"/>
              <w:ind w:firstLine="482"/>
              <w:rPr>
                <w:sz w:val="24"/>
              </w:rPr>
            </w:pPr>
            <w:r>
              <w:rPr>
                <w:rFonts w:hint="eastAsia"/>
                <w:sz w:val="24"/>
              </w:rPr>
              <w:t>①避免夜间施工，以保证野生动物夜间的正常活动；合理安排施工时间，要避开早晨和黄昏时段作业（这些时段为多数动物的休息和觅食时段）；</w:t>
            </w:r>
          </w:p>
          <w:p w14:paraId="458D31A2">
            <w:pPr>
              <w:adjustRightInd w:val="0"/>
              <w:snapToGrid w:val="0"/>
              <w:spacing w:line="440" w:lineRule="exact"/>
              <w:ind w:firstLine="482"/>
              <w:rPr>
                <w:sz w:val="24"/>
              </w:rPr>
            </w:pPr>
            <w:r>
              <w:rPr>
                <w:rFonts w:hint="eastAsia"/>
                <w:sz w:val="24"/>
              </w:rPr>
              <w:t>②为了减少工程施工对野生动物的惊扰，尽量避开早晨、黄昏和正午时段使用强噪声施工机械；</w:t>
            </w:r>
          </w:p>
          <w:p w14:paraId="54B5F4A8">
            <w:pPr>
              <w:adjustRightInd w:val="0"/>
              <w:snapToGrid w:val="0"/>
              <w:spacing w:line="440" w:lineRule="exact"/>
              <w:ind w:firstLine="482"/>
              <w:rPr>
                <w:sz w:val="24"/>
              </w:rPr>
            </w:pPr>
            <w:r>
              <w:rPr>
                <w:rFonts w:hint="eastAsia"/>
                <w:sz w:val="24"/>
              </w:rPr>
              <w:t>③针对两栖类与爬行类动物，防止因施工造成的水源污染、水质改变和土壤污染，尽量减少占地区内的植被破坏，尽可能保护好爬行动物的栖息生境；</w:t>
            </w:r>
          </w:p>
          <w:p w14:paraId="6377C4F2">
            <w:pPr>
              <w:adjustRightInd w:val="0"/>
              <w:snapToGrid w:val="0"/>
              <w:spacing w:line="440" w:lineRule="exact"/>
              <w:ind w:firstLine="482"/>
              <w:rPr>
                <w:sz w:val="24"/>
              </w:rPr>
            </w:pPr>
            <w:r>
              <w:rPr>
                <w:rFonts w:hint="eastAsia"/>
                <w:sz w:val="24"/>
              </w:rPr>
              <w:t>④针对鸟类，施工避开鸟类等飞禽的迁徙通道，并加强施工人员保护鸟类的宣传教育；</w:t>
            </w:r>
          </w:p>
          <w:p w14:paraId="04CB51AF">
            <w:pPr>
              <w:adjustRightInd w:val="0"/>
              <w:snapToGrid w:val="0"/>
              <w:spacing w:line="440" w:lineRule="exact"/>
              <w:ind w:firstLine="482"/>
              <w:rPr>
                <w:sz w:val="24"/>
              </w:rPr>
            </w:pPr>
            <w:r>
              <w:rPr>
                <w:rFonts w:hint="eastAsia"/>
                <w:sz w:val="24"/>
              </w:rPr>
              <w:t>⑤针对兽类，严禁猎捕，对工程废物和施工人员的生活垃圾立即处理，避免生活垃圾为鼠类等疫源性兽类提供生活环境，避免小型兽类的种群爆发。</w:t>
            </w:r>
          </w:p>
          <w:p w14:paraId="07094AEB">
            <w:pPr>
              <w:adjustRightInd w:val="0"/>
              <w:snapToGrid w:val="0"/>
              <w:spacing w:line="440" w:lineRule="exact"/>
              <w:ind w:firstLine="482"/>
              <w:rPr>
                <w:b/>
                <w:bCs/>
                <w:sz w:val="24"/>
              </w:rPr>
            </w:pPr>
            <w:r>
              <w:rPr>
                <w:rFonts w:hint="eastAsia"/>
                <w:b/>
                <w:bCs/>
                <w:sz w:val="24"/>
              </w:rPr>
              <w:t>（3）水生生物保护措施</w:t>
            </w:r>
          </w:p>
          <w:p w14:paraId="0A8BD086">
            <w:pPr>
              <w:adjustRightInd w:val="0"/>
              <w:snapToGrid w:val="0"/>
              <w:spacing w:line="440" w:lineRule="exact"/>
              <w:ind w:firstLine="482"/>
              <w:rPr>
                <w:sz w:val="24"/>
              </w:rPr>
            </w:pPr>
            <w:r>
              <w:rPr>
                <w:rFonts w:hint="eastAsia"/>
                <w:sz w:val="24"/>
              </w:rPr>
              <w:t>①加强宣传，制定生态环境保护手册，增强施工人员环保意识。</w:t>
            </w:r>
          </w:p>
          <w:p w14:paraId="30CB4C2B">
            <w:pPr>
              <w:adjustRightInd w:val="0"/>
              <w:snapToGrid w:val="0"/>
              <w:spacing w:line="440" w:lineRule="exact"/>
              <w:ind w:firstLine="482"/>
              <w:rPr>
                <w:sz w:val="24"/>
              </w:rPr>
            </w:pPr>
            <w:r>
              <w:rPr>
                <w:rFonts w:hint="eastAsia"/>
                <w:sz w:val="24"/>
              </w:rPr>
              <w:t>②项目涉水施工的工程尽量选择在非汛期进行，涉水施工段施工过程中设置临时围堰导流，采取分段导流方式，减少施工活动对河道的扰动。</w:t>
            </w:r>
          </w:p>
          <w:p w14:paraId="0235DCE6">
            <w:pPr>
              <w:adjustRightInd w:val="0"/>
              <w:snapToGrid w:val="0"/>
              <w:spacing w:line="440" w:lineRule="exact"/>
              <w:ind w:firstLine="482"/>
              <w:rPr>
                <w:sz w:val="24"/>
              </w:rPr>
            </w:pPr>
            <w:r>
              <w:rPr>
                <w:rFonts w:hint="eastAsia"/>
                <w:sz w:val="24"/>
              </w:rPr>
              <w:t>③加强对涉水工程施工的管理，严格按照环保要求施工，严禁将生活污水、施工生产废水排入河道，及时清运施工废物，最大程度减少施工废物对河流水质的不利影响。</w:t>
            </w:r>
          </w:p>
          <w:p w14:paraId="67681DC6">
            <w:pPr>
              <w:adjustRightInd w:val="0"/>
              <w:snapToGrid w:val="0"/>
              <w:spacing w:line="440" w:lineRule="exact"/>
              <w:ind w:firstLine="482"/>
              <w:rPr>
                <w:sz w:val="24"/>
              </w:rPr>
            </w:pPr>
            <w:r>
              <w:rPr>
                <w:rFonts w:hint="eastAsia"/>
                <w:sz w:val="24"/>
              </w:rPr>
              <w:t>④施工结束后及时对临时围堰进行拆除，对围堰拆除物采取拆除后及时进行清运，及时恢复河道的通行区域，恢复效果要求达到施工前的河道水环境现状。禁止将围堰拆除物丢入河道中，以免引起河道的水质污染和阻水现象。</w:t>
            </w:r>
          </w:p>
          <w:p w14:paraId="204B13F2">
            <w:pPr>
              <w:numPr>
                <w:ilvl w:val="0"/>
                <w:numId w:val="34"/>
              </w:numPr>
              <w:adjustRightInd w:val="0"/>
              <w:snapToGrid w:val="0"/>
              <w:spacing w:before="156" w:beforeLines="50"/>
              <w:jc w:val="center"/>
              <w:rPr>
                <w:b/>
                <w:szCs w:val="21"/>
              </w:rPr>
            </w:pPr>
            <w:r>
              <w:rPr>
                <w:rFonts w:hint="eastAsia"/>
                <w:b/>
                <w:szCs w:val="21"/>
              </w:rPr>
              <w:t>对水生生物主要保护措施</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1163"/>
              <w:gridCol w:w="2031"/>
              <w:gridCol w:w="1332"/>
              <w:gridCol w:w="1291"/>
              <w:gridCol w:w="1165"/>
            </w:tblGrid>
            <w:tr w14:paraId="74E41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1152" w:type="dxa"/>
                  <w:vAlign w:val="center"/>
                </w:tcPr>
                <w:p w14:paraId="7B48DB50">
                  <w:pPr>
                    <w:pStyle w:val="89"/>
                    <w:rPr>
                      <w:b/>
                      <w:kern w:val="2"/>
                    </w:rPr>
                  </w:pPr>
                  <w:r>
                    <w:rPr>
                      <w:b/>
                      <w:kern w:val="2"/>
                    </w:rPr>
                    <w:t>序号</w:t>
                  </w:r>
                </w:p>
              </w:tc>
              <w:tc>
                <w:tcPr>
                  <w:tcW w:w="1152" w:type="dxa"/>
                  <w:vAlign w:val="center"/>
                </w:tcPr>
                <w:p w14:paraId="3512994E">
                  <w:pPr>
                    <w:pStyle w:val="89"/>
                    <w:rPr>
                      <w:b/>
                      <w:kern w:val="2"/>
                    </w:rPr>
                  </w:pPr>
                  <w:r>
                    <w:rPr>
                      <w:b/>
                      <w:kern w:val="2"/>
                    </w:rPr>
                    <w:t>动植物类别</w:t>
                  </w:r>
                </w:p>
              </w:tc>
              <w:tc>
                <w:tcPr>
                  <w:tcW w:w="2012" w:type="dxa"/>
                  <w:vAlign w:val="center"/>
                </w:tcPr>
                <w:p w14:paraId="259007F3">
                  <w:pPr>
                    <w:pStyle w:val="89"/>
                    <w:rPr>
                      <w:b/>
                      <w:kern w:val="2"/>
                    </w:rPr>
                  </w:pPr>
                  <w:r>
                    <w:rPr>
                      <w:b/>
                      <w:kern w:val="2"/>
                    </w:rPr>
                    <w:t>可能影响对象</w:t>
                  </w:r>
                </w:p>
              </w:tc>
              <w:tc>
                <w:tcPr>
                  <w:tcW w:w="1320" w:type="dxa"/>
                  <w:vAlign w:val="center"/>
                </w:tcPr>
                <w:p w14:paraId="218DBB1D">
                  <w:pPr>
                    <w:pStyle w:val="89"/>
                    <w:rPr>
                      <w:b/>
                      <w:kern w:val="2"/>
                    </w:rPr>
                  </w:pPr>
                  <w:r>
                    <w:rPr>
                      <w:b/>
                      <w:kern w:val="2"/>
                    </w:rPr>
                    <w:t>持续时间</w:t>
                  </w:r>
                </w:p>
              </w:tc>
              <w:tc>
                <w:tcPr>
                  <w:tcW w:w="1279" w:type="dxa"/>
                  <w:vAlign w:val="center"/>
                </w:tcPr>
                <w:p w14:paraId="55500619">
                  <w:pPr>
                    <w:pStyle w:val="89"/>
                    <w:rPr>
                      <w:b/>
                      <w:kern w:val="2"/>
                    </w:rPr>
                  </w:pPr>
                  <w:r>
                    <w:rPr>
                      <w:b/>
                      <w:kern w:val="2"/>
                    </w:rPr>
                    <w:t>主要</w:t>
                  </w:r>
                  <w:r>
                    <w:rPr>
                      <w:rFonts w:hint="eastAsia"/>
                      <w:b/>
                      <w:kern w:val="2"/>
                    </w:rPr>
                    <w:t>减缓</w:t>
                  </w:r>
                  <w:r>
                    <w:rPr>
                      <w:b/>
                      <w:kern w:val="2"/>
                    </w:rPr>
                    <w:t>措施</w:t>
                  </w:r>
                </w:p>
              </w:tc>
              <w:tc>
                <w:tcPr>
                  <w:tcW w:w="1154" w:type="dxa"/>
                  <w:vAlign w:val="center"/>
                </w:tcPr>
                <w:p w14:paraId="7A06E09E">
                  <w:pPr>
                    <w:pStyle w:val="89"/>
                    <w:rPr>
                      <w:b/>
                      <w:kern w:val="2"/>
                    </w:rPr>
                  </w:pPr>
                  <w:r>
                    <w:rPr>
                      <w:b/>
                      <w:kern w:val="2"/>
                    </w:rPr>
                    <w:t>措施可行性分析</w:t>
                  </w:r>
                </w:p>
              </w:tc>
            </w:tr>
            <w:tr w14:paraId="33581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2" w:type="dxa"/>
                  <w:vAlign w:val="center"/>
                </w:tcPr>
                <w:p w14:paraId="6C6ED8BE">
                  <w:pPr>
                    <w:pStyle w:val="89"/>
                    <w:rPr>
                      <w:kern w:val="2"/>
                    </w:rPr>
                  </w:pPr>
                  <w:r>
                    <w:rPr>
                      <w:kern w:val="2"/>
                    </w:rPr>
                    <w:t>1</w:t>
                  </w:r>
                </w:p>
              </w:tc>
              <w:tc>
                <w:tcPr>
                  <w:tcW w:w="1152" w:type="dxa"/>
                  <w:vAlign w:val="center"/>
                </w:tcPr>
                <w:p w14:paraId="737DD3B4">
                  <w:pPr>
                    <w:pStyle w:val="89"/>
                    <w:rPr>
                      <w:kern w:val="2"/>
                    </w:rPr>
                  </w:pPr>
                  <w:r>
                    <w:rPr>
                      <w:kern w:val="2"/>
                    </w:rPr>
                    <w:t>浮游植物</w:t>
                  </w:r>
                </w:p>
              </w:tc>
              <w:tc>
                <w:tcPr>
                  <w:tcW w:w="2012" w:type="dxa"/>
                  <w:vAlign w:val="center"/>
                </w:tcPr>
                <w:p w14:paraId="3D2F82C6">
                  <w:pPr>
                    <w:pStyle w:val="89"/>
                    <w:rPr>
                      <w:kern w:val="2"/>
                    </w:rPr>
                  </w:pPr>
                  <w:r>
                    <w:rPr>
                      <w:kern w:val="2"/>
                    </w:rPr>
                    <w:t>原生动物、轮虫、枝角类和</w:t>
                  </w:r>
                  <w:r>
                    <w:rPr>
                      <w:rFonts w:hint="eastAsia"/>
                      <w:kern w:val="2"/>
                    </w:rPr>
                    <w:t>桡足类</w:t>
                  </w:r>
                  <w:r>
                    <w:rPr>
                      <w:kern w:val="2"/>
                    </w:rPr>
                    <w:t>等</w:t>
                  </w:r>
                </w:p>
              </w:tc>
              <w:tc>
                <w:tcPr>
                  <w:tcW w:w="1320" w:type="dxa"/>
                  <w:vMerge w:val="restart"/>
                  <w:vAlign w:val="center"/>
                </w:tcPr>
                <w:p w14:paraId="62B8AC6F">
                  <w:pPr>
                    <w:pStyle w:val="89"/>
                    <w:rPr>
                      <w:kern w:val="2"/>
                    </w:rPr>
                  </w:pPr>
                  <w:r>
                    <w:rPr>
                      <w:kern w:val="2"/>
                    </w:rPr>
                    <w:t>河道施工（</w:t>
                  </w:r>
                  <w:r>
                    <w:rPr>
                      <w:rFonts w:hint="eastAsia"/>
                      <w:kern w:val="2"/>
                    </w:rPr>
                    <w:t>工期约7</w:t>
                  </w:r>
                  <w:r>
                    <w:rPr>
                      <w:kern w:val="2"/>
                    </w:rPr>
                    <w:t>个月）</w:t>
                  </w:r>
                </w:p>
              </w:tc>
              <w:tc>
                <w:tcPr>
                  <w:tcW w:w="1279" w:type="dxa"/>
                  <w:vMerge w:val="restart"/>
                  <w:vAlign w:val="center"/>
                </w:tcPr>
                <w:p w14:paraId="61BC1B9A">
                  <w:pPr>
                    <w:pStyle w:val="89"/>
                    <w:rPr>
                      <w:kern w:val="2"/>
                    </w:rPr>
                  </w:pPr>
                  <w:r>
                    <w:rPr>
                      <w:kern w:val="2"/>
                    </w:rPr>
                    <w:t>枯水期作业，围堰施工，减轻水体扰动</w:t>
                  </w:r>
                </w:p>
              </w:tc>
              <w:tc>
                <w:tcPr>
                  <w:tcW w:w="1154" w:type="dxa"/>
                  <w:vMerge w:val="restart"/>
                  <w:vAlign w:val="center"/>
                </w:tcPr>
                <w:p w14:paraId="087BD7C3">
                  <w:pPr>
                    <w:pStyle w:val="89"/>
                    <w:rPr>
                      <w:kern w:val="2"/>
                    </w:rPr>
                  </w:pPr>
                  <w:r>
                    <w:rPr>
                      <w:kern w:val="2"/>
                    </w:rPr>
                    <w:t>以鲫鱼等本土鱼</w:t>
                  </w:r>
                </w:p>
                <w:p w14:paraId="12110E23">
                  <w:pPr>
                    <w:pStyle w:val="89"/>
                    <w:rPr>
                      <w:kern w:val="2"/>
                    </w:rPr>
                  </w:pPr>
                  <w:r>
                    <w:rPr>
                      <w:kern w:val="2"/>
                    </w:rPr>
                    <w:t>类为主，避免外来物种干扰</w:t>
                  </w:r>
                </w:p>
              </w:tc>
            </w:tr>
            <w:tr w14:paraId="32B40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2" w:type="dxa"/>
                  <w:vAlign w:val="center"/>
                </w:tcPr>
                <w:p w14:paraId="5510BC85">
                  <w:pPr>
                    <w:pStyle w:val="89"/>
                    <w:rPr>
                      <w:kern w:val="2"/>
                    </w:rPr>
                  </w:pPr>
                  <w:r>
                    <w:rPr>
                      <w:kern w:val="2"/>
                    </w:rPr>
                    <w:t>2</w:t>
                  </w:r>
                </w:p>
              </w:tc>
              <w:tc>
                <w:tcPr>
                  <w:tcW w:w="1152" w:type="dxa"/>
                  <w:vAlign w:val="center"/>
                </w:tcPr>
                <w:p w14:paraId="7E1D2AA1">
                  <w:pPr>
                    <w:pStyle w:val="89"/>
                    <w:rPr>
                      <w:kern w:val="2"/>
                    </w:rPr>
                  </w:pPr>
                  <w:r>
                    <w:rPr>
                      <w:kern w:val="2"/>
                    </w:rPr>
                    <w:t>底栖动物</w:t>
                  </w:r>
                </w:p>
              </w:tc>
              <w:tc>
                <w:tcPr>
                  <w:tcW w:w="2012" w:type="dxa"/>
                  <w:vAlign w:val="center"/>
                </w:tcPr>
                <w:p w14:paraId="3FF96D68">
                  <w:pPr>
                    <w:pStyle w:val="89"/>
                    <w:rPr>
                      <w:kern w:val="2"/>
                    </w:rPr>
                  </w:pPr>
                  <w:r>
                    <w:rPr>
                      <w:kern w:val="2"/>
                    </w:rPr>
                    <w:t>水蚯蚓、摇蚊幼虫、蟹、虾、螺、蚌等</w:t>
                  </w:r>
                </w:p>
              </w:tc>
              <w:tc>
                <w:tcPr>
                  <w:tcW w:w="1320" w:type="dxa"/>
                  <w:vMerge w:val="continue"/>
                  <w:vAlign w:val="center"/>
                </w:tcPr>
                <w:p w14:paraId="5EE6FFA1">
                  <w:pPr>
                    <w:pStyle w:val="89"/>
                    <w:rPr>
                      <w:kern w:val="2"/>
                    </w:rPr>
                  </w:pPr>
                </w:p>
              </w:tc>
              <w:tc>
                <w:tcPr>
                  <w:tcW w:w="1279" w:type="dxa"/>
                  <w:vMerge w:val="continue"/>
                  <w:vAlign w:val="center"/>
                </w:tcPr>
                <w:p w14:paraId="5EE99CF3">
                  <w:pPr>
                    <w:pStyle w:val="89"/>
                    <w:rPr>
                      <w:kern w:val="2"/>
                    </w:rPr>
                  </w:pPr>
                </w:p>
              </w:tc>
              <w:tc>
                <w:tcPr>
                  <w:tcW w:w="1154" w:type="dxa"/>
                  <w:vMerge w:val="continue"/>
                  <w:vAlign w:val="center"/>
                </w:tcPr>
                <w:p w14:paraId="433711D6">
                  <w:pPr>
                    <w:pStyle w:val="89"/>
                    <w:rPr>
                      <w:kern w:val="2"/>
                    </w:rPr>
                  </w:pPr>
                </w:p>
              </w:tc>
            </w:tr>
            <w:tr w14:paraId="7DEB0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2" w:type="dxa"/>
                  <w:vAlign w:val="center"/>
                </w:tcPr>
                <w:p w14:paraId="3F655D3A">
                  <w:pPr>
                    <w:pStyle w:val="89"/>
                    <w:rPr>
                      <w:kern w:val="2"/>
                    </w:rPr>
                  </w:pPr>
                  <w:r>
                    <w:rPr>
                      <w:kern w:val="2"/>
                    </w:rPr>
                    <w:t>3</w:t>
                  </w:r>
                </w:p>
              </w:tc>
              <w:tc>
                <w:tcPr>
                  <w:tcW w:w="1152" w:type="dxa"/>
                  <w:vAlign w:val="center"/>
                </w:tcPr>
                <w:p w14:paraId="2EB6576F">
                  <w:pPr>
                    <w:pStyle w:val="89"/>
                    <w:rPr>
                      <w:kern w:val="2"/>
                    </w:rPr>
                  </w:pPr>
                  <w:r>
                    <w:rPr>
                      <w:kern w:val="2"/>
                    </w:rPr>
                    <w:t>水生植物</w:t>
                  </w:r>
                </w:p>
              </w:tc>
              <w:tc>
                <w:tcPr>
                  <w:tcW w:w="2012" w:type="dxa"/>
                  <w:vAlign w:val="center"/>
                </w:tcPr>
                <w:p w14:paraId="2444FD3D">
                  <w:pPr>
                    <w:pStyle w:val="89"/>
                    <w:rPr>
                      <w:kern w:val="2"/>
                    </w:rPr>
                  </w:pPr>
                  <w:r>
                    <w:rPr>
                      <w:kern w:val="2"/>
                    </w:rPr>
                    <w:t>金鱼藻、浮萍、芦苇、香蒲、狐尾藻等</w:t>
                  </w:r>
                </w:p>
              </w:tc>
              <w:tc>
                <w:tcPr>
                  <w:tcW w:w="1320" w:type="dxa"/>
                  <w:vMerge w:val="continue"/>
                  <w:vAlign w:val="center"/>
                </w:tcPr>
                <w:p w14:paraId="05B3E4AE">
                  <w:pPr>
                    <w:pStyle w:val="89"/>
                    <w:rPr>
                      <w:kern w:val="2"/>
                    </w:rPr>
                  </w:pPr>
                </w:p>
              </w:tc>
              <w:tc>
                <w:tcPr>
                  <w:tcW w:w="1279" w:type="dxa"/>
                  <w:vMerge w:val="continue"/>
                  <w:vAlign w:val="center"/>
                </w:tcPr>
                <w:p w14:paraId="6158A0AE">
                  <w:pPr>
                    <w:pStyle w:val="89"/>
                    <w:rPr>
                      <w:kern w:val="2"/>
                    </w:rPr>
                  </w:pPr>
                </w:p>
              </w:tc>
              <w:tc>
                <w:tcPr>
                  <w:tcW w:w="1154" w:type="dxa"/>
                  <w:vMerge w:val="continue"/>
                  <w:vAlign w:val="center"/>
                </w:tcPr>
                <w:p w14:paraId="20191944">
                  <w:pPr>
                    <w:pStyle w:val="89"/>
                    <w:rPr>
                      <w:kern w:val="2"/>
                    </w:rPr>
                  </w:pPr>
                </w:p>
              </w:tc>
            </w:tr>
            <w:tr w14:paraId="02558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2" w:type="dxa"/>
                  <w:vAlign w:val="center"/>
                </w:tcPr>
                <w:p w14:paraId="3CAAD142">
                  <w:pPr>
                    <w:pStyle w:val="89"/>
                    <w:rPr>
                      <w:kern w:val="2"/>
                    </w:rPr>
                  </w:pPr>
                  <w:r>
                    <w:rPr>
                      <w:kern w:val="2"/>
                    </w:rPr>
                    <w:t>4</w:t>
                  </w:r>
                </w:p>
              </w:tc>
              <w:tc>
                <w:tcPr>
                  <w:tcW w:w="1152" w:type="dxa"/>
                  <w:vAlign w:val="center"/>
                </w:tcPr>
                <w:p w14:paraId="002AB5E9">
                  <w:pPr>
                    <w:pStyle w:val="89"/>
                    <w:rPr>
                      <w:kern w:val="2"/>
                    </w:rPr>
                  </w:pPr>
                  <w:r>
                    <w:rPr>
                      <w:kern w:val="2"/>
                    </w:rPr>
                    <w:t>鱼类</w:t>
                  </w:r>
                </w:p>
              </w:tc>
              <w:tc>
                <w:tcPr>
                  <w:tcW w:w="2012" w:type="dxa"/>
                  <w:vAlign w:val="center"/>
                </w:tcPr>
                <w:p w14:paraId="01915276">
                  <w:pPr>
                    <w:pStyle w:val="89"/>
                    <w:rPr>
                      <w:kern w:val="2"/>
                    </w:rPr>
                  </w:pPr>
                  <w:r>
                    <w:rPr>
                      <w:kern w:val="2"/>
                    </w:rPr>
                    <w:t>泥鳅、鲫鱼、鲢鱼等</w:t>
                  </w:r>
                </w:p>
              </w:tc>
              <w:tc>
                <w:tcPr>
                  <w:tcW w:w="1320" w:type="dxa"/>
                  <w:vMerge w:val="continue"/>
                  <w:vAlign w:val="center"/>
                </w:tcPr>
                <w:p w14:paraId="3F152FCB">
                  <w:pPr>
                    <w:pStyle w:val="89"/>
                    <w:rPr>
                      <w:kern w:val="2"/>
                    </w:rPr>
                  </w:pPr>
                </w:p>
              </w:tc>
              <w:tc>
                <w:tcPr>
                  <w:tcW w:w="1279" w:type="dxa"/>
                  <w:vMerge w:val="continue"/>
                  <w:vAlign w:val="center"/>
                </w:tcPr>
                <w:p w14:paraId="2AD74611">
                  <w:pPr>
                    <w:pStyle w:val="89"/>
                    <w:rPr>
                      <w:kern w:val="2"/>
                    </w:rPr>
                  </w:pPr>
                </w:p>
              </w:tc>
              <w:tc>
                <w:tcPr>
                  <w:tcW w:w="1154" w:type="dxa"/>
                  <w:vMerge w:val="continue"/>
                  <w:vAlign w:val="center"/>
                </w:tcPr>
                <w:p w14:paraId="1FA7C5A2">
                  <w:pPr>
                    <w:pStyle w:val="89"/>
                    <w:rPr>
                      <w:kern w:val="2"/>
                    </w:rPr>
                  </w:pPr>
                </w:p>
              </w:tc>
            </w:tr>
          </w:tbl>
          <w:p w14:paraId="264D8D02">
            <w:pPr>
              <w:adjustRightInd w:val="0"/>
              <w:snapToGrid w:val="0"/>
              <w:spacing w:line="440" w:lineRule="exact"/>
              <w:ind w:firstLine="482"/>
              <w:rPr>
                <w:b/>
                <w:bCs/>
                <w:sz w:val="24"/>
              </w:rPr>
            </w:pPr>
            <w:r>
              <w:rPr>
                <w:rFonts w:hint="eastAsia"/>
                <w:b/>
                <w:bCs/>
                <w:sz w:val="24"/>
              </w:rPr>
              <w:t>（4）水土流失防治措施</w:t>
            </w:r>
          </w:p>
          <w:p w14:paraId="082758C1">
            <w:pPr>
              <w:adjustRightInd w:val="0"/>
              <w:snapToGrid w:val="0"/>
              <w:spacing w:line="440" w:lineRule="exact"/>
              <w:ind w:firstLine="482"/>
              <w:rPr>
                <w:sz w:val="24"/>
              </w:rPr>
            </w:pPr>
            <w:r>
              <w:rPr>
                <w:rFonts w:hint="eastAsia"/>
                <w:sz w:val="24"/>
              </w:rPr>
              <w:t>本项目的建设水土流失主要发生在施工期，水土保持应以施工期的水土流失防治为重点，并以施工期的水土流失预防为主。项目建设应合理安排开挖、填筑时序，尽量做到挖、填平衡，减少弃渣量。施工过程中注意保护开挖边线以外的植被。施工活动应尽量控制在施工场地范围内进行，避免破坏场地范围以外的植被。对河道开挖，围堰施工过程中可能造成植被破坏的地方，应进行生态恢复。在项目建设过程中，对开挖的易滑坡的地段和易产生地面径流的开挖处，要采取工程和生物措施进行围坡护栏，以拦截泥沙，减少泥沙对周围植被的影响，并恢复开挖面的植被，减少水土流失。工程施工期间，因地表开挖、土方堆存等，加剧水土流失，应采取严格环保、水保措施，以有效地控制水土流失的发生，确保渣土不进入河流。</w:t>
            </w:r>
          </w:p>
          <w:p w14:paraId="6884921E">
            <w:pPr>
              <w:adjustRightInd w:val="0"/>
              <w:snapToGrid w:val="0"/>
              <w:spacing w:line="440" w:lineRule="exact"/>
              <w:ind w:firstLine="482"/>
              <w:rPr>
                <w:sz w:val="24"/>
              </w:rPr>
            </w:pPr>
            <w:r>
              <w:rPr>
                <w:rFonts w:hint="eastAsia"/>
                <w:sz w:val="24"/>
              </w:rPr>
              <w:t>主体工程建设区施工过程中必须加强施工管理，做好施工组织设计：合理安排施工时序，分段施工，控制施工面，减少地表裸露的时间；要协调好主体工程开挖与填筑的进度关系，尽量减少土石方转运、倒运，减少水土流失；遇暴雨或大风天气应加强临时防护，雨季填筑土方时应随挖、随运、随压，避免产生水土流失，土方进入河流；边坡开挖要控制开挖面，开挖前进行放线，严格按照设计边坡进行开挖；工程结束后，应清理施工过程中的建筑材料散落体等废弃物。施工前剥离表层土运至施工场地内的临时堆场堆存，在施工结束后全部回填。</w:t>
            </w:r>
          </w:p>
          <w:p w14:paraId="40E676F8">
            <w:pPr>
              <w:adjustRightInd w:val="0"/>
              <w:snapToGrid w:val="0"/>
              <w:spacing w:line="440" w:lineRule="exact"/>
              <w:ind w:firstLine="482"/>
              <w:rPr>
                <w:sz w:val="24"/>
              </w:rPr>
            </w:pPr>
            <w:r>
              <w:rPr>
                <w:rFonts w:hint="eastAsia"/>
                <w:sz w:val="24"/>
              </w:rPr>
              <w:t>1）尽量减少临时工程占地，缩短临时占地使用时间，及时恢复土地原有功能。尽可能缩短疏松地面的裸露时间，合理安排施工时间，尽量避开大风和雨天施工，减少雨季施工时间，以减轻水土流失影响。</w:t>
            </w:r>
          </w:p>
          <w:p w14:paraId="646EDB6A">
            <w:pPr>
              <w:adjustRightInd w:val="0"/>
              <w:snapToGrid w:val="0"/>
              <w:spacing w:line="440" w:lineRule="exact"/>
              <w:ind w:firstLine="482"/>
              <w:rPr>
                <w:sz w:val="24"/>
              </w:rPr>
            </w:pPr>
            <w:r>
              <w:rPr>
                <w:rFonts w:hint="eastAsia"/>
                <w:sz w:val="24"/>
              </w:rPr>
              <w:t>2）为减少施工活动造成的水土流失影响，应进行表土剥离，在施工场地周边采取截、排水沟、挡渣墙等一系列防护措施进行防护。</w:t>
            </w:r>
          </w:p>
          <w:p w14:paraId="0BE44AC0">
            <w:pPr>
              <w:adjustRightInd w:val="0"/>
              <w:snapToGrid w:val="0"/>
              <w:spacing w:line="440" w:lineRule="exact"/>
              <w:ind w:firstLine="482"/>
              <w:rPr>
                <w:sz w:val="24"/>
              </w:rPr>
            </w:pPr>
            <w:r>
              <w:rPr>
                <w:rFonts w:hint="eastAsia"/>
                <w:sz w:val="24"/>
              </w:rPr>
              <w:t>3）沿临时道路、淤泥翻晒场、临时堆料场四周布置临时排水沟，为减少堆放过程中的水土流失，采用编织袋装表土做成土袋进行拦挡，同时采用防雨布和无纺布对其进行临时遮盖，起到防风、防冲刷的作用。</w:t>
            </w:r>
          </w:p>
          <w:p w14:paraId="5014680A">
            <w:pPr>
              <w:numPr>
                <w:ilvl w:val="0"/>
                <w:numId w:val="34"/>
              </w:numPr>
              <w:adjustRightInd w:val="0"/>
              <w:snapToGrid w:val="0"/>
              <w:spacing w:before="156" w:beforeLines="50"/>
              <w:jc w:val="center"/>
              <w:rPr>
                <w:b/>
                <w:szCs w:val="21"/>
              </w:rPr>
            </w:pPr>
            <w:r>
              <w:rPr>
                <w:rFonts w:hint="eastAsia"/>
                <w:b/>
                <w:szCs w:val="21"/>
              </w:rPr>
              <w:t>本项目主要水保措施汇总表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3"/>
              <w:gridCol w:w="3105"/>
              <w:gridCol w:w="2325"/>
            </w:tblGrid>
            <w:tr w14:paraId="6A9FE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13" w:type="dxa"/>
                  <w:vMerge w:val="restart"/>
                  <w:vAlign w:val="center"/>
                </w:tcPr>
                <w:p w14:paraId="39E81BA1">
                  <w:pPr>
                    <w:pStyle w:val="89"/>
                    <w:rPr>
                      <w:b/>
                      <w:kern w:val="2"/>
                    </w:rPr>
                  </w:pPr>
                  <w:bookmarkStart w:id="12" w:name="OLE_LINK41"/>
                  <w:r>
                    <w:rPr>
                      <w:b/>
                      <w:kern w:val="2"/>
                    </w:rPr>
                    <w:t>施工工程</w:t>
                  </w:r>
                </w:p>
              </w:tc>
              <w:tc>
                <w:tcPr>
                  <w:tcW w:w="5430" w:type="dxa"/>
                  <w:gridSpan w:val="2"/>
                  <w:vAlign w:val="center"/>
                </w:tcPr>
                <w:p w14:paraId="1878BAB8">
                  <w:pPr>
                    <w:pStyle w:val="89"/>
                    <w:rPr>
                      <w:b/>
                      <w:kern w:val="2"/>
                    </w:rPr>
                  </w:pPr>
                  <w:r>
                    <w:rPr>
                      <w:b/>
                      <w:kern w:val="2"/>
                    </w:rPr>
                    <w:t>防治措施</w:t>
                  </w:r>
                </w:p>
              </w:tc>
            </w:tr>
            <w:tr w14:paraId="3E3B1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13" w:type="dxa"/>
                  <w:vMerge w:val="continue"/>
                  <w:vAlign w:val="center"/>
                </w:tcPr>
                <w:p w14:paraId="1356FB27">
                  <w:pPr>
                    <w:pStyle w:val="89"/>
                    <w:rPr>
                      <w:b/>
                      <w:kern w:val="2"/>
                    </w:rPr>
                  </w:pPr>
                </w:p>
              </w:tc>
              <w:tc>
                <w:tcPr>
                  <w:tcW w:w="3105" w:type="dxa"/>
                  <w:vAlign w:val="center"/>
                </w:tcPr>
                <w:p w14:paraId="0AEDB2B4">
                  <w:pPr>
                    <w:pStyle w:val="89"/>
                    <w:rPr>
                      <w:b/>
                      <w:kern w:val="2"/>
                    </w:rPr>
                  </w:pPr>
                  <w:r>
                    <w:rPr>
                      <w:b/>
                      <w:kern w:val="2"/>
                    </w:rPr>
                    <w:t>主体工程</w:t>
                  </w:r>
                </w:p>
              </w:tc>
              <w:tc>
                <w:tcPr>
                  <w:tcW w:w="2325" w:type="dxa"/>
                  <w:vAlign w:val="center"/>
                </w:tcPr>
                <w:p w14:paraId="5BED6B52">
                  <w:pPr>
                    <w:pStyle w:val="89"/>
                    <w:rPr>
                      <w:b/>
                      <w:kern w:val="2"/>
                    </w:rPr>
                  </w:pPr>
                  <w:r>
                    <w:rPr>
                      <w:b/>
                      <w:kern w:val="2"/>
                    </w:rPr>
                    <w:t>主要水保措施</w:t>
                  </w:r>
                </w:p>
              </w:tc>
            </w:tr>
            <w:tr w14:paraId="35523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13" w:type="dxa"/>
                  <w:vAlign w:val="center"/>
                </w:tcPr>
                <w:p w14:paraId="7B089354">
                  <w:pPr>
                    <w:pStyle w:val="89"/>
                    <w:rPr>
                      <w:kern w:val="2"/>
                    </w:rPr>
                  </w:pPr>
                  <w:r>
                    <w:rPr>
                      <w:rFonts w:hint="eastAsia"/>
                      <w:kern w:val="2"/>
                    </w:rPr>
                    <w:t>主体工程防治区</w:t>
                  </w:r>
                </w:p>
                <w:p w14:paraId="1308E54B">
                  <w:pPr>
                    <w:pStyle w:val="89"/>
                    <w:rPr>
                      <w:kern w:val="2"/>
                    </w:rPr>
                  </w:pPr>
                  <w:r>
                    <w:rPr>
                      <w:rFonts w:hint="eastAsia"/>
                      <w:kern w:val="2"/>
                    </w:rPr>
                    <w:t>（加固护岸、拆除低堰危桥、堰改闸、排水涵管（洞）、河道清淤、下河梯步）</w:t>
                  </w:r>
                </w:p>
              </w:tc>
              <w:tc>
                <w:tcPr>
                  <w:tcW w:w="3105" w:type="dxa"/>
                  <w:vAlign w:val="center"/>
                </w:tcPr>
                <w:p w14:paraId="575137C0">
                  <w:pPr>
                    <w:pStyle w:val="89"/>
                    <w:rPr>
                      <w:kern w:val="2"/>
                    </w:rPr>
                  </w:pPr>
                  <w:r>
                    <w:rPr>
                      <w:rFonts w:hint="eastAsia"/>
                      <w:kern w:val="2"/>
                    </w:rPr>
                    <w:t>施工过程中，如遇降雨拟采用防雨布对区内裸露的土质坡面和松散的临时堆渣进行覆盖，对临河建设的水工建筑物基础下边坡设置挡板进行临时拦挡。</w:t>
                  </w:r>
                </w:p>
              </w:tc>
              <w:tc>
                <w:tcPr>
                  <w:tcW w:w="2325" w:type="dxa"/>
                  <w:vAlign w:val="center"/>
                </w:tcPr>
                <w:p w14:paraId="61D4A1DB">
                  <w:pPr>
                    <w:pStyle w:val="89"/>
                    <w:rPr>
                      <w:kern w:val="2"/>
                    </w:rPr>
                  </w:pPr>
                  <w:bookmarkStart w:id="13" w:name="OLE_LINK33"/>
                  <w:bookmarkStart w:id="14" w:name="OLE_LINK22"/>
                  <w:r>
                    <w:rPr>
                      <w:rFonts w:hint="eastAsia"/>
                      <w:kern w:val="2"/>
                    </w:rPr>
                    <w:t>1、剥离表土；</w:t>
                  </w:r>
                  <w:bookmarkEnd w:id="13"/>
                  <w:r>
                    <w:rPr>
                      <w:rFonts w:hint="eastAsia"/>
                      <w:kern w:val="2"/>
                    </w:rPr>
                    <w:t>2、</w:t>
                  </w:r>
                  <w:r>
                    <w:rPr>
                      <w:kern w:val="2"/>
                    </w:rPr>
                    <w:t>防雨布覆盖</w:t>
                  </w:r>
                  <w:r>
                    <w:rPr>
                      <w:rFonts w:hint="eastAsia"/>
                      <w:kern w:val="2"/>
                    </w:rPr>
                    <w:t>；3、临时拦挡</w:t>
                  </w:r>
                  <w:bookmarkEnd w:id="14"/>
                </w:p>
              </w:tc>
            </w:tr>
            <w:tr w14:paraId="69175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13" w:type="dxa"/>
                  <w:vAlign w:val="center"/>
                </w:tcPr>
                <w:p w14:paraId="2E3A87D4">
                  <w:pPr>
                    <w:pStyle w:val="89"/>
                    <w:rPr>
                      <w:kern w:val="2"/>
                    </w:rPr>
                  </w:pPr>
                  <w:bookmarkStart w:id="15" w:name="OLE_LINK21"/>
                  <w:r>
                    <w:rPr>
                      <w:rFonts w:hint="eastAsia"/>
                      <w:kern w:val="2"/>
                    </w:rPr>
                    <w:t>施工场地防治区</w:t>
                  </w:r>
                  <w:bookmarkEnd w:id="15"/>
                </w:p>
              </w:tc>
              <w:tc>
                <w:tcPr>
                  <w:tcW w:w="3105" w:type="dxa"/>
                  <w:vAlign w:val="center"/>
                </w:tcPr>
                <w:p w14:paraId="16799C38">
                  <w:pPr>
                    <w:pStyle w:val="89"/>
                    <w:rPr>
                      <w:kern w:val="2"/>
                    </w:rPr>
                  </w:pPr>
                  <w:r>
                    <w:rPr>
                      <w:rFonts w:hint="eastAsia"/>
                      <w:kern w:val="2"/>
                    </w:rPr>
                    <w:t>无</w:t>
                  </w:r>
                </w:p>
              </w:tc>
              <w:tc>
                <w:tcPr>
                  <w:tcW w:w="2325" w:type="dxa"/>
                  <w:vAlign w:val="center"/>
                </w:tcPr>
                <w:p w14:paraId="526ADFC4">
                  <w:pPr>
                    <w:pStyle w:val="89"/>
                    <w:rPr>
                      <w:kern w:val="2"/>
                    </w:rPr>
                  </w:pPr>
                  <w:r>
                    <w:rPr>
                      <w:rFonts w:hint="eastAsia"/>
                      <w:kern w:val="2"/>
                    </w:rPr>
                    <w:t>1、剥离表土铺垫、临时拦挡等保护；2、排水沟；3、沉淀池；</w:t>
                  </w:r>
                </w:p>
              </w:tc>
            </w:tr>
            <w:bookmarkEnd w:id="12"/>
          </w:tbl>
          <w:p w14:paraId="3E809FF9">
            <w:pPr>
              <w:adjustRightInd w:val="0"/>
              <w:snapToGrid w:val="0"/>
              <w:spacing w:line="440" w:lineRule="exact"/>
              <w:ind w:firstLine="482"/>
              <w:rPr>
                <w:b/>
                <w:bCs/>
                <w:sz w:val="24"/>
              </w:rPr>
            </w:pPr>
            <w:r>
              <w:rPr>
                <w:rFonts w:hint="eastAsia"/>
                <w:b/>
                <w:bCs/>
                <w:sz w:val="24"/>
              </w:rPr>
              <w:t>（5）施工迹地恢复措施</w:t>
            </w:r>
          </w:p>
          <w:p w14:paraId="6785FA55">
            <w:pPr>
              <w:adjustRightInd w:val="0"/>
              <w:snapToGrid w:val="0"/>
              <w:spacing w:line="440" w:lineRule="exact"/>
              <w:ind w:firstLine="482"/>
              <w:rPr>
                <w:sz w:val="24"/>
              </w:rPr>
            </w:pPr>
            <w:r>
              <w:rPr>
                <w:rFonts w:hint="eastAsia"/>
                <w:sz w:val="24"/>
              </w:rPr>
              <w:t>①施工结束后，应及时搬离施工场地内的各类机械设备，对各种临时建筑及时进行拆除，对拆除后能进行利用的建筑垃圾进行回收再利用，不能进行利用的建筑垃圾运至垃圾堆场处置。</w:t>
            </w:r>
          </w:p>
          <w:p w14:paraId="19E177C8">
            <w:pPr>
              <w:adjustRightInd w:val="0"/>
              <w:snapToGrid w:val="0"/>
              <w:spacing w:line="440" w:lineRule="exact"/>
              <w:ind w:firstLine="482"/>
              <w:rPr>
                <w:sz w:val="24"/>
              </w:rPr>
            </w:pPr>
            <w:r>
              <w:rPr>
                <w:rFonts w:hint="eastAsia"/>
                <w:sz w:val="24"/>
              </w:rPr>
              <w:t>②施工结束后及时对临时围堰进行拆除，采用人工配合机械对导流围堰进行拆除时应以河中心为起点向河岸方向拆除，保证河底地势平缓，无较大积水坑，对围堰拆除物采取拆除后及时进行清运，及时恢复河道的行洪能力，围堰拆除产生的土石方及时回填，禁止堆放至河边影响河道水质。禁止将围堰拆除物丢入河道中，以免引起河道的水质污染和阻水现象。河堤恢复时，应按照设计要求做施工保护，对施工剥离的表土单独保存在施工场地内的表土临时堆场并做好覆盖保护工作，待施工结束后将表土全部回填使用。施工结束后应及时对临时占地进行平整处理并采取相应恢复措施，避免水土流失加重对区域生态环境的破坏。</w:t>
            </w:r>
          </w:p>
          <w:p w14:paraId="79BCF285">
            <w:pPr>
              <w:adjustRightInd w:val="0"/>
              <w:snapToGrid w:val="0"/>
              <w:spacing w:line="440" w:lineRule="exact"/>
              <w:ind w:firstLine="482"/>
              <w:rPr>
                <w:sz w:val="24"/>
              </w:rPr>
            </w:pPr>
            <w:r>
              <w:rPr>
                <w:rFonts w:hint="eastAsia"/>
                <w:sz w:val="24"/>
              </w:rPr>
              <w:t>③施工结束后，及时拆除所有的临时设施，及时进行场地清理平整及植被绿化恢复工作，对植被恢复遵循“破坏多少，恢复多少”的原则。根据各处原有植被状况和植物立地条件等具体情况予以及时恢复。</w:t>
            </w:r>
          </w:p>
          <w:p w14:paraId="60B0C15D">
            <w:pPr>
              <w:adjustRightInd w:val="0"/>
              <w:snapToGrid w:val="0"/>
              <w:spacing w:line="440" w:lineRule="exact"/>
              <w:ind w:firstLine="482"/>
              <w:rPr>
                <w:sz w:val="24"/>
              </w:rPr>
            </w:pPr>
            <w:r>
              <w:rPr>
                <w:rFonts w:hint="eastAsia"/>
                <w:sz w:val="24"/>
              </w:rPr>
              <w:t>④施工结束后及时回填。按照如下工序进行作业：</w:t>
            </w:r>
          </w:p>
          <w:p w14:paraId="77F70019">
            <w:pPr>
              <w:adjustRightInd w:val="0"/>
              <w:snapToGrid w:val="0"/>
              <w:spacing w:line="440" w:lineRule="exact"/>
              <w:ind w:firstLine="482"/>
              <w:rPr>
                <w:sz w:val="24"/>
              </w:rPr>
            </w:pPr>
            <w:r>
              <w:rPr>
                <w:rFonts w:hint="eastAsia"/>
                <w:sz w:val="24"/>
              </w:rPr>
              <w:t>1）修坡：按照设计边坡坡度要求，进行边坡地基处理，清除杂草、突出物，用适当的材料填充空洞并振实，使边坡表面平整、密实，并符合设计边坡要求。</w:t>
            </w:r>
          </w:p>
          <w:p w14:paraId="59CBADD3">
            <w:pPr>
              <w:adjustRightInd w:val="0"/>
              <w:snapToGrid w:val="0"/>
              <w:spacing w:line="440" w:lineRule="exact"/>
              <w:ind w:firstLine="482"/>
              <w:rPr>
                <w:sz w:val="24"/>
              </w:rPr>
            </w:pPr>
            <w:r>
              <w:rPr>
                <w:rFonts w:hint="eastAsia"/>
                <w:sz w:val="24"/>
              </w:rPr>
              <w:t>2）覆土：在区域上回填2-3cm耕植土。</w:t>
            </w:r>
          </w:p>
          <w:p w14:paraId="75D86379">
            <w:pPr>
              <w:adjustRightInd w:val="0"/>
              <w:snapToGrid w:val="0"/>
              <w:spacing w:line="440" w:lineRule="exact"/>
              <w:ind w:firstLine="482"/>
              <w:rPr>
                <w:sz w:val="24"/>
              </w:rPr>
            </w:pPr>
            <w:r>
              <w:rPr>
                <w:rFonts w:hint="eastAsia"/>
                <w:sz w:val="24"/>
              </w:rPr>
              <w:t>3）播种：根据不同地理位置及当地气候特征选择适宜草种均匀播种，并使草子进入土壤之中。草籽播种后填表土，表土应保证一定深度。</w:t>
            </w:r>
          </w:p>
          <w:p w14:paraId="096D0169">
            <w:pPr>
              <w:adjustRightInd w:val="0"/>
              <w:snapToGrid w:val="0"/>
              <w:spacing w:line="440" w:lineRule="exact"/>
              <w:ind w:firstLine="482"/>
              <w:rPr>
                <w:sz w:val="24"/>
              </w:rPr>
            </w:pPr>
            <w:r>
              <w:rPr>
                <w:rFonts w:hint="eastAsia"/>
                <w:sz w:val="24"/>
              </w:rPr>
              <w:t>4）养护：草皮施工应选择在雨季前3～4个月进行，以利于草籽。</w:t>
            </w:r>
          </w:p>
          <w:p w14:paraId="35DBD4B7">
            <w:pPr>
              <w:pStyle w:val="4"/>
              <w:numPr>
                <w:ilvl w:val="0"/>
                <w:numId w:val="32"/>
              </w:numPr>
            </w:pPr>
            <w:r>
              <w:rPr>
                <w:rFonts w:hint="eastAsia"/>
              </w:rPr>
              <w:t>施工期水环境保护措施</w:t>
            </w:r>
          </w:p>
          <w:p w14:paraId="4D7C3377">
            <w:pPr>
              <w:adjustRightInd w:val="0"/>
              <w:snapToGrid w:val="0"/>
              <w:spacing w:line="440" w:lineRule="exact"/>
              <w:ind w:firstLine="482"/>
              <w:rPr>
                <w:b/>
                <w:bCs/>
                <w:sz w:val="24"/>
              </w:rPr>
            </w:pPr>
            <w:r>
              <w:rPr>
                <w:rFonts w:hint="eastAsia"/>
                <w:b/>
                <w:bCs/>
                <w:sz w:val="24"/>
              </w:rPr>
              <w:t>（1）施工废水及生活污水处置措施</w:t>
            </w:r>
          </w:p>
          <w:p w14:paraId="30CF44E8">
            <w:pPr>
              <w:adjustRightInd w:val="0"/>
              <w:snapToGrid w:val="0"/>
              <w:spacing w:line="440" w:lineRule="exact"/>
              <w:ind w:firstLine="482"/>
              <w:rPr>
                <w:sz w:val="24"/>
              </w:rPr>
            </w:pPr>
            <w:r>
              <w:rPr>
                <w:rFonts w:hint="eastAsia"/>
                <w:sz w:val="24"/>
              </w:rPr>
              <w:t>本项目废水主要为施工期产生的生产废水和生活污水，生产废水主要为基坑排水、车辆冲洗废水。</w:t>
            </w:r>
          </w:p>
          <w:p w14:paraId="1A93489B">
            <w:pPr>
              <w:adjustRightInd w:val="0"/>
              <w:snapToGrid w:val="0"/>
              <w:spacing w:line="440" w:lineRule="exact"/>
              <w:ind w:firstLine="482"/>
              <w:rPr>
                <w:sz w:val="24"/>
                <w:highlight w:val="yellow"/>
              </w:rPr>
            </w:pPr>
            <w:r>
              <w:rPr>
                <w:rFonts w:hint="eastAsia"/>
                <w:sz w:val="24"/>
              </w:rPr>
              <w:t>基坑排水：基坑排水包括初期排水和经常性排水。初期排水主要是基坑积水（覆盖层含水）、降雨、围堰渗水和其他途径来水。经常性排水主要包括：围堰渗水、降雨、施工废水等。治理措施：基坑建设采用防渗土工膜防渗，堤防采用分段施工，分段长度按100m计。初期排水和经常性排水均采用强排水法施工，每段选用水泵进行排水，经沉淀池沉淀处理后用于施工用水或洒水降尘，不外排。</w:t>
            </w:r>
          </w:p>
          <w:p w14:paraId="1F55315C">
            <w:pPr>
              <w:adjustRightInd w:val="0"/>
              <w:snapToGrid w:val="0"/>
              <w:spacing w:line="440" w:lineRule="exact"/>
              <w:ind w:firstLine="482"/>
              <w:rPr>
                <w:sz w:val="24"/>
              </w:rPr>
            </w:pPr>
            <w:r>
              <w:rPr>
                <w:rFonts w:hint="eastAsia"/>
                <w:sz w:val="24"/>
              </w:rPr>
              <w:t>排水沟汇集于集水坑排水的方式。本工程基坑排水主要为经常性排水。因此根据实际工程情况分段设置基坑排水明渠和集水坑（沉淀池），将基坑排水沉淀处理后回用。为了保障施工期不会对下游水质造成明显影响，本环评要求建设单位严格落实以下施工期水环境保护措施：</w:t>
            </w:r>
          </w:p>
          <w:p w14:paraId="2253621A">
            <w:pPr>
              <w:adjustRightInd w:val="0"/>
              <w:snapToGrid w:val="0"/>
              <w:spacing w:line="440" w:lineRule="exact"/>
              <w:ind w:firstLine="482"/>
              <w:rPr>
                <w:sz w:val="24"/>
              </w:rPr>
            </w:pPr>
            <w:r>
              <w:rPr>
                <w:rFonts w:hint="eastAsia"/>
                <w:sz w:val="24"/>
              </w:rPr>
              <w:t>①为保护项目涉及水体的环境质量，环评建议本项目施工应避开汛期及雨季，应选择在金水河枯水期间进行，按照作业控制线，严格控制作业范围，尤其是施工导流；</w:t>
            </w:r>
          </w:p>
          <w:p w14:paraId="73E74474">
            <w:pPr>
              <w:adjustRightInd w:val="0"/>
              <w:snapToGrid w:val="0"/>
              <w:spacing w:line="440" w:lineRule="exact"/>
              <w:ind w:firstLine="482"/>
              <w:rPr>
                <w:sz w:val="24"/>
              </w:rPr>
            </w:pPr>
            <w:r>
              <w:rPr>
                <w:rFonts w:hint="eastAsia"/>
                <w:sz w:val="24"/>
              </w:rPr>
              <w:t>②建设单位在施工期间，应制定施工规范、加强对施工人员的环保培训；开展施工场所的环境保护教育，让施工人员理解水资源保护的重要性，特别是在导流施工时，应加强施工管理和工程监理工作，施工场地不储存油料，项目用油主要为施工机械设备用油，严格检查施工机械，防止油料发生泄漏污染水体；</w:t>
            </w:r>
          </w:p>
          <w:p w14:paraId="0A39FB26">
            <w:pPr>
              <w:adjustRightInd w:val="0"/>
              <w:snapToGrid w:val="0"/>
              <w:spacing w:line="440" w:lineRule="exact"/>
              <w:ind w:firstLine="482"/>
              <w:rPr>
                <w:sz w:val="24"/>
              </w:rPr>
            </w:pPr>
            <w:r>
              <w:rPr>
                <w:rFonts w:hint="eastAsia"/>
                <w:sz w:val="24"/>
              </w:rPr>
              <w:t>③严禁施工期间的机械冲洗废水等水污染物排入地表水体；</w:t>
            </w:r>
          </w:p>
          <w:p w14:paraId="6D648E95">
            <w:pPr>
              <w:adjustRightInd w:val="0"/>
              <w:snapToGrid w:val="0"/>
              <w:spacing w:line="440" w:lineRule="exact"/>
              <w:ind w:firstLine="482"/>
              <w:rPr>
                <w:sz w:val="24"/>
              </w:rPr>
            </w:pPr>
            <w:r>
              <w:rPr>
                <w:rFonts w:hint="eastAsia"/>
                <w:sz w:val="24"/>
              </w:rPr>
              <w:t>④严禁施工期间的表土、弃方等堆放在地表水体附近，应备有临时遮挡的篷布，并严禁随意抛洒进入地表水中；</w:t>
            </w:r>
          </w:p>
          <w:p w14:paraId="45BEE9A8">
            <w:pPr>
              <w:adjustRightInd w:val="0"/>
              <w:snapToGrid w:val="0"/>
              <w:spacing w:line="440" w:lineRule="exact"/>
              <w:ind w:firstLine="482"/>
              <w:rPr>
                <w:sz w:val="24"/>
              </w:rPr>
            </w:pPr>
            <w:r>
              <w:rPr>
                <w:rFonts w:hint="eastAsia"/>
                <w:sz w:val="24"/>
              </w:rPr>
              <w:t>⑤施工期间应采取工程措施防止对地表水污染，河道施工应设置施工导流工程保障下游用水需求，根据实际工程情况分段设置基坑排水明渠和集水坑（沉淀池）。</w:t>
            </w:r>
          </w:p>
          <w:p w14:paraId="4816B1DD">
            <w:pPr>
              <w:adjustRightInd w:val="0"/>
              <w:snapToGrid w:val="0"/>
              <w:spacing w:line="440" w:lineRule="exact"/>
              <w:ind w:firstLine="482"/>
              <w:rPr>
                <w:sz w:val="24"/>
              </w:rPr>
            </w:pPr>
            <w:r>
              <w:rPr>
                <w:rFonts w:hint="eastAsia"/>
                <w:sz w:val="24"/>
              </w:rPr>
              <w:t>车辆冲洗废水：经隔油沉淀池处理后用于车辆冲洗，不外排。</w:t>
            </w:r>
          </w:p>
          <w:p w14:paraId="29B25157">
            <w:pPr>
              <w:adjustRightInd w:val="0"/>
              <w:snapToGrid w:val="0"/>
              <w:spacing w:line="440" w:lineRule="exact"/>
              <w:ind w:firstLine="482"/>
              <w:rPr>
                <w:sz w:val="24"/>
              </w:rPr>
            </w:pPr>
            <w:r>
              <w:rPr>
                <w:rFonts w:hint="eastAsia"/>
                <w:sz w:val="24"/>
              </w:rPr>
              <w:t>生活污水：依托城镇内河道沿线周边民房既有环保设施收集处理后用于周边农田施肥，不外排。</w:t>
            </w:r>
          </w:p>
          <w:p w14:paraId="38E73938">
            <w:pPr>
              <w:adjustRightInd w:val="0"/>
              <w:snapToGrid w:val="0"/>
              <w:spacing w:line="440" w:lineRule="exact"/>
              <w:ind w:firstLine="482"/>
              <w:rPr>
                <w:b/>
                <w:bCs/>
                <w:sz w:val="24"/>
              </w:rPr>
            </w:pPr>
            <w:r>
              <w:rPr>
                <w:rFonts w:hint="eastAsia"/>
                <w:b/>
                <w:bCs/>
                <w:sz w:val="24"/>
              </w:rPr>
              <w:t>（2）降雨面源流失防治措施</w:t>
            </w:r>
          </w:p>
          <w:p w14:paraId="198ADF2E">
            <w:pPr>
              <w:autoSpaceDE w:val="0"/>
              <w:autoSpaceDN w:val="0"/>
              <w:adjustRightInd w:val="0"/>
              <w:snapToGrid w:val="0"/>
              <w:spacing w:line="440" w:lineRule="exact"/>
              <w:ind w:firstLine="480" w:firstLineChars="200"/>
              <w:rPr>
                <w:sz w:val="24"/>
              </w:rPr>
            </w:pPr>
            <w:bookmarkStart w:id="16" w:name="OLE_LINK45"/>
            <w:r>
              <w:rPr>
                <w:rFonts w:hint="eastAsia"/>
                <w:sz w:val="24"/>
              </w:rPr>
              <w:t>主体工程防治区：施工过程中，如遇降雨拟采用防雨布对区内裸露的土质坡面和松散的临时堆渣进行覆盖，对临河建设的水工建筑物基础下边坡设置挡板进行临时拦挡。</w:t>
            </w:r>
          </w:p>
          <w:bookmarkEnd w:id="16"/>
          <w:p w14:paraId="7FA0A646">
            <w:pPr>
              <w:autoSpaceDE w:val="0"/>
              <w:autoSpaceDN w:val="0"/>
              <w:adjustRightInd w:val="0"/>
              <w:snapToGrid w:val="0"/>
              <w:spacing w:line="440" w:lineRule="exact"/>
              <w:ind w:firstLine="480" w:firstLineChars="200"/>
              <w:rPr>
                <w:sz w:val="24"/>
              </w:rPr>
            </w:pPr>
            <w:r>
              <w:rPr>
                <w:rFonts w:hint="eastAsia"/>
                <w:sz w:val="24"/>
              </w:rPr>
              <w:t>施工场地防治区：根据施工场地布置情况在其周边开挖简易排水沟，排水沟出口设置三级沉淀池。施工场地内的淤泥翻晒场在周边设置填土编织袋或挡土墙等进行临时拦挡，外侧布设排水沟，接三级沉淀池。施工场地内表土临时堆场周边设置临时拦挡，外侧布设排水沟，接三级沉淀池，降雨期间采用防雨布对临时堆土的土质坡面进行临时覆盖。</w:t>
            </w:r>
          </w:p>
          <w:p w14:paraId="5117BEF8">
            <w:pPr>
              <w:pStyle w:val="4"/>
              <w:numPr>
                <w:ilvl w:val="0"/>
                <w:numId w:val="32"/>
              </w:numPr>
            </w:pPr>
            <w:r>
              <w:rPr>
                <w:rFonts w:hint="eastAsia"/>
              </w:rPr>
              <w:t>施工期大气污染防治措施</w:t>
            </w:r>
          </w:p>
          <w:p w14:paraId="17060D88">
            <w:pPr>
              <w:adjustRightInd w:val="0"/>
              <w:snapToGrid w:val="0"/>
              <w:spacing w:line="440" w:lineRule="exact"/>
              <w:ind w:firstLine="482"/>
              <w:rPr>
                <w:b/>
                <w:bCs/>
                <w:sz w:val="24"/>
              </w:rPr>
            </w:pPr>
            <w:r>
              <w:rPr>
                <w:rFonts w:hint="eastAsia"/>
                <w:b/>
                <w:bCs/>
                <w:sz w:val="24"/>
              </w:rPr>
              <w:t>（1）施工粉尘</w:t>
            </w:r>
          </w:p>
          <w:p w14:paraId="5E41E149">
            <w:pPr>
              <w:adjustRightInd w:val="0"/>
              <w:snapToGrid w:val="0"/>
              <w:spacing w:line="440" w:lineRule="exact"/>
              <w:ind w:firstLine="480" w:firstLineChars="200"/>
              <w:rPr>
                <w:sz w:val="24"/>
              </w:rPr>
            </w:pPr>
            <w:r>
              <w:rPr>
                <w:rFonts w:hint="eastAsia"/>
                <w:sz w:val="24"/>
              </w:rPr>
              <w:t>在开挖时对干燥断面应洒水喷湿，使作业面保持一定的湿度；对施工场地范围内由于植被破坏而使表土松散干涸的场地，也应洒水喷湿防止粉尘；回填土方时，在表层土质干燥时应适当洒水，防止回填作业时产生粉尘扬起。施工场地周边应设置围挡，以减轻扬尘扩散，严禁在围挡外堆放施工材料、建筑垃圾等。施工场地产生的垃圾应及时清运。</w:t>
            </w:r>
          </w:p>
          <w:p w14:paraId="206CA748">
            <w:pPr>
              <w:adjustRightInd w:val="0"/>
              <w:snapToGrid w:val="0"/>
              <w:spacing w:line="440" w:lineRule="exact"/>
              <w:ind w:firstLine="482"/>
              <w:rPr>
                <w:b/>
                <w:bCs/>
                <w:sz w:val="24"/>
              </w:rPr>
            </w:pPr>
            <w:r>
              <w:rPr>
                <w:rFonts w:hint="eastAsia"/>
                <w:b/>
                <w:bCs/>
                <w:sz w:val="24"/>
              </w:rPr>
              <w:t>（2）堆场扬尘</w:t>
            </w:r>
          </w:p>
          <w:p w14:paraId="035A2F01">
            <w:pPr>
              <w:autoSpaceDE w:val="0"/>
              <w:autoSpaceDN w:val="0"/>
              <w:adjustRightInd w:val="0"/>
              <w:snapToGrid w:val="0"/>
              <w:spacing w:line="440" w:lineRule="exact"/>
              <w:ind w:firstLine="480" w:firstLineChars="200"/>
              <w:rPr>
                <w:sz w:val="24"/>
              </w:rPr>
            </w:pPr>
            <w:r>
              <w:rPr>
                <w:sz w:val="24"/>
              </w:rPr>
              <w:t>施工期要加强表土临时堆场的管理，并定期喷湿，此外对</w:t>
            </w:r>
            <w:r>
              <w:rPr>
                <w:rFonts w:hint="eastAsia"/>
                <w:sz w:val="24"/>
              </w:rPr>
              <w:t>表土</w:t>
            </w:r>
            <w:r>
              <w:rPr>
                <w:sz w:val="24"/>
              </w:rPr>
              <w:t>临时堆场采取遮盖措施，减少露天堆放和保证一定的含水率及减少裸露地面，临时堆场周围设置围挡，以减小扬尘对周边环境的影响。</w:t>
            </w:r>
          </w:p>
          <w:p w14:paraId="35C9F588">
            <w:pPr>
              <w:adjustRightInd w:val="0"/>
              <w:snapToGrid w:val="0"/>
              <w:spacing w:line="440" w:lineRule="exact"/>
              <w:ind w:firstLine="482"/>
              <w:rPr>
                <w:b/>
                <w:bCs/>
                <w:sz w:val="24"/>
              </w:rPr>
            </w:pPr>
            <w:r>
              <w:rPr>
                <w:rFonts w:hint="eastAsia"/>
                <w:b/>
                <w:bCs/>
                <w:sz w:val="24"/>
              </w:rPr>
              <w:t>（3）</w:t>
            </w:r>
            <w:r>
              <w:rPr>
                <w:b/>
                <w:bCs/>
                <w:sz w:val="24"/>
              </w:rPr>
              <w:t>运输扬尘</w:t>
            </w:r>
          </w:p>
          <w:p w14:paraId="1FDD36C7">
            <w:pPr>
              <w:autoSpaceDE w:val="0"/>
              <w:autoSpaceDN w:val="0"/>
              <w:adjustRightInd w:val="0"/>
              <w:snapToGrid w:val="0"/>
              <w:spacing w:line="440" w:lineRule="exact"/>
              <w:ind w:firstLine="480" w:firstLineChars="200"/>
              <w:rPr>
                <w:sz w:val="24"/>
              </w:rPr>
            </w:pPr>
            <w:r>
              <w:rPr>
                <w:sz w:val="24"/>
              </w:rPr>
              <w:t>在施工场地设置冲洗设施，对</w:t>
            </w:r>
            <w:r>
              <w:rPr>
                <w:rFonts w:hint="eastAsia"/>
                <w:sz w:val="24"/>
              </w:rPr>
              <w:t>进出车辆</w:t>
            </w:r>
            <w:r>
              <w:rPr>
                <w:sz w:val="24"/>
              </w:rPr>
              <w:t>轮胎、底盘进行冲洗，对所运</w:t>
            </w:r>
            <w:r>
              <w:rPr>
                <w:rFonts w:hint="eastAsia"/>
                <w:sz w:val="24"/>
              </w:rPr>
              <w:t>砂石</w:t>
            </w:r>
            <w:r>
              <w:rPr>
                <w:sz w:val="24"/>
              </w:rPr>
              <w:t>进行湿润；同时保证运土卡车完好无泄漏，装载时不宜过满，确保运输过程中不散落，如果运输过程中发生洒落应及时清除，减少污染；车辆应采用加盖篷布；土、砂、石料运输应控制运输量，严禁超载，超高不超出车厢挡板并加盖篷布，以减少扬尘对空气的污染；根据天气和施工情况在非雨天定时洒水，减少道路二次扬尘。</w:t>
            </w:r>
          </w:p>
          <w:p w14:paraId="048B3801">
            <w:pPr>
              <w:adjustRightInd w:val="0"/>
              <w:snapToGrid w:val="0"/>
              <w:spacing w:line="440" w:lineRule="exact"/>
              <w:ind w:firstLine="482"/>
            </w:pPr>
            <w:r>
              <w:rPr>
                <w:rFonts w:hint="eastAsia"/>
                <w:b/>
                <w:bCs/>
                <w:sz w:val="24"/>
              </w:rPr>
              <w:t>（4）</w:t>
            </w:r>
            <w:r>
              <w:rPr>
                <w:b/>
                <w:bCs/>
                <w:sz w:val="24"/>
              </w:rPr>
              <w:t>敏感点防护</w:t>
            </w:r>
          </w:p>
          <w:p w14:paraId="6BF02B51">
            <w:pPr>
              <w:autoSpaceDE w:val="0"/>
              <w:autoSpaceDN w:val="0"/>
              <w:adjustRightInd w:val="0"/>
              <w:snapToGrid w:val="0"/>
              <w:spacing w:line="440" w:lineRule="exact"/>
              <w:ind w:firstLine="480" w:firstLineChars="200"/>
              <w:rPr>
                <w:sz w:val="24"/>
              </w:rPr>
            </w:pPr>
            <w:r>
              <w:rPr>
                <w:sz w:val="24"/>
              </w:rPr>
              <w:t>临近敏感点的施工处应合理设置施工围挡，增加洒水频次，在施工前向周边居民公告并征求其同意后方可进行施工，同时应加强居民点附近的洒水降尘、施工道路清扫和洒水。另外，施工过程中受大气污染影响严重</w:t>
            </w:r>
            <w:r>
              <w:rPr>
                <w:rFonts w:hint="eastAsia"/>
                <w:sz w:val="24"/>
              </w:rPr>
              <w:t>的</w:t>
            </w:r>
            <w:r>
              <w:rPr>
                <w:sz w:val="24"/>
              </w:rPr>
              <w:t>施工人员，应着重对施工人员采取防护措施，按照国家有关劳动保护的规定，发放防尘用品，如</w:t>
            </w:r>
            <w:r>
              <w:rPr>
                <w:rFonts w:hint="eastAsia"/>
                <w:sz w:val="24"/>
              </w:rPr>
              <w:t>佩戴</w:t>
            </w:r>
            <w:r>
              <w:rPr>
                <w:sz w:val="24"/>
              </w:rPr>
              <w:t>防尘口罩等。</w:t>
            </w:r>
          </w:p>
          <w:p w14:paraId="77BAC207">
            <w:pPr>
              <w:autoSpaceDE w:val="0"/>
              <w:autoSpaceDN w:val="0"/>
              <w:adjustRightInd w:val="0"/>
              <w:snapToGrid w:val="0"/>
              <w:spacing w:line="440" w:lineRule="exact"/>
              <w:ind w:firstLine="480" w:firstLineChars="200"/>
            </w:pPr>
            <w:r>
              <w:rPr>
                <w:rFonts w:hint="eastAsia"/>
                <w:b/>
                <w:bCs/>
                <w:sz w:val="24"/>
              </w:rPr>
              <w:t>（5）</w:t>
            </w:r>
            <w:r>
              <w:rPr>
                <w:b/>
                <w:bCs/>
                <w:sz w:val="24"/>
                <w:szCs w:val="32"/>
              </w:rPr>
              <w:t>施工机械废气</w:t>
            </w:r>
          </w:p>
          <w:p w14:paraId="52B26D45">
            <w:pPr>
              <w:pStyle w:val="14"/>
              <w:spacing w:line="360" w:lineRule="auto"/>
              <w:ind w:firstLine="480" w:firstLineChars="200"/>
              <w:rPr>
                <w:rFonts w:ascii="Times New Roman" w:hAnsi="Times New Roman"/>
                <w:bCs/>
                <w:szCs w:val="21"/>
              </w:rPr>
            </w:pPr>
            <w:r>
              <w:rPr>
                <w:rFonts w:ascii="Times New Roman" w:hAnsi="Times New Roman"/>
                <w:bCs/>
                <w:szCs w:val="21"/>
              </w:rPr>
              <w:t>加强施工机械的保养维护，提高机械的正常使用率；加强对车辆的维修保养，禁止以柴油为燃料的施工机械超负荷工作，减少</w:t>
            </w:r>
            <w:r>
              <w:rPr>
                <w:rFonts w:hint="eastAsia" w:ascii="Times New Roman" w:hAnsi="Times New Roman"/>
                <w:bCs/>
                <w:szCs w:val="21"/>
              </w:rPr>
              <w:t>烟尘</w:t>
            </w:r>
            <w:r>
              <w:rPr>
                <w:rFonts w:ascii="Times New Roman" w:hAnsi="Times New Roman"/>
                <w:bCs/>
                <w:szCs w:val="21"/>
              </w:rPr>
              <w:t>和</w:t>
            </w:r>
            <w:r>
              <w:rPr>
                <w:rFonts w:hint="eastAsia" w:ascii="Times New Roman" w:hAnsi="Times New Roman"/>
                <w:bCs/>
                <w:szCs w:val="21"/>
              </w:rPr>
              <w:t>颗粒物</w:t>
            </w:r>
            <w:r>
              <w:rPr>
                <w:rFonts w:ascii="Times New Roman" w:hAnsi="Times New Roman"/>
                <w:bCs/>
                <w:szCs w:val="21"/>
              </w:rPr>
              <w:t>排放；机械</w:t>
            </w:r>
            <w:r>
              <w:rPr>
                <w:rFonts w:hint="eastAsia" w:ascii="Times New Roman" w:hAnsi="Times New Roman"/>
                <w:bCs/>
                <w:szCs w:val="21"/>
              </w:rPr>
              <w:t>尽量</w:t>
            </w:r>
            <w:r>
              <w:rPr>
                <w:rFonts w:ascii="Times New Roman" w:hAnsi="Times New Roman"/>
                <w:bCs/>
                <w:szCs w:val="21"/>
              </w:rPr>
              <w:t>选择电动工具，</w:t>
            </w:r>
            <w:r>
              <w:rPr>
                <w:rFonts w:hint="eastAsia" w:ascii="Times New Roman" w:hAnsi="Times New Roman"/>
                <w:bCs/>
                <w:szCs w:val="21"/>
              </w:rPr>
              <w:t>减少</w:t>
            </w:r>
            <w:r>
              <w:rPr>
                <w:rFonts w:ascii="Times New Roman" w:hAnsi="Times New Roman"/>
                <w:bCs/>
                <w:szCs w:val="21"/>
              </w:rPr>
              <w:t>燃油机械的使用；场内施工机械需选用符合相关标准的施工机械，并定期维护；施工机械应使用清洁的燃料能源；禁止使用废气超标排放的车辆。</w:t>
            </w:r>
          </w:p>
          <w:p w14:paraId="2216CB1B">
            <w:pPr>
              <w:pStyle w:val="14"/>
              <w:spacing w:line="360" w:lineRule="auto"/>
              <w:ind w:firstLine="480" w:firstLineChars="200"/>
              <w:rPr>
                <w:rFonts w:ascii="Times New Roman" w:hAnsi="Times New Roman"/>
              </w:rPr>
            </w:pPr>
            <w:r>
              <w:rPr>
                <w:rFonts w:hint="eastAsia"/>
                <w:b/>
                <w:bCs/>
              </w:rPr>
              <w:t>（6）</w:t>
            </w:r>
            <w:r>
              <w:rPr>
                <w:rFonts w:ascii="Times New Roman" w:hAnsi="Times New Roman"/>
                <w:b/>
                <w:szCs w:val="21"/>
              </w:rPr>
              <w:t>淤泥恶臭</w:t>
            </w:r>
          </w:p>
          <w:p w14:paraId="5F7A98E2">
            <w:pPr>
              <w:adjustRightInd w:val="0"/>
              <w:snapToGrid w:val="0"/>
              <w:spacing w:line="440" w:lineRule="exact"/>
              <w:ind w:firstLine="482"/>
              <w:rPr>
                <w:kern w:val="0"/>
                <w:sz w:val="24"/>
              </w:rPr>
            </w:pPr>
            <w:r>
              <w:rPr>
                <w:bCs/>
                <w:sz w:val="24"/>
                <w:szCs w:val="21"/>
              </w:rPr>
              <w:t>为避免清淤时可能产生的臭气对周围环境和敏感目标的影响，施工过程中应强化清淤作业管理，保证清淤设备运行稳定，以减少清淤过程中臭气的产生。如发现部分清淤点有明显臭气产生时，采取</w:t>
            </w:r>
            <w:r>
              <w:rPr>
                <w:rFonts w:hint="eastAsia"/>
                <w:bCs/>
                <w:sz w:val="24"/>
                <w:szCs w:val="21"/>
              </w:rPr>
              <w:t>喷洒除臭剂、</w:t>
            </w:r>
            <w:r>
              <w:rPr>
                <w:bCs/>
                <w:sz w:val="24"/>
                <w:szCs w:val="21"/>
              </w:rPr>
              <w:t>建挡板、加强对施工工人的保护，把受影响人群降至</w:t>
            </w:r>
            <w:r>
              <w:rPr>
                <w:rFonts w:hint="eastAsia"/>
                <w:bCs/>
                <w:sz w:val="24"/>
                <w:szCs w:val="21"/>
              </w:rPr>
              <w:t>最低</w:t>
            </w:r>
            <w:r>
              <w:rPr>
                <w:bCs/>
                <w:sz w:val="24"/>
                <w:szCs w:val="21"/>
              </w:rPr>
              <w:t>。</w:t>
            </w:r>
          </w:p>
          <w:p w14:paraId="7D47FA47">
            <w:pPr>
              <w:pStyle w:val="4"/>
              <w:numPr>
                <w:ilvl w:val="0"/>
                <w:numId w:val="32"/>
              </w:numPr>
            </w:pPr>
            <w:r>
              <w:rPr>
                <w:rFonts w:hint="eastAsia"/>
              </w:rPr>
              <w:t>施工期声环境保护措施</w:t>
            </w:r>
          </w:p>
          <w:p w14:paraId="4D597060">
            <w:pPr>
              <w:adjustRightInd w:val="0"/>
              <w:snapToGrid w:val="0"/>
              <w:spacing w:line="440" w:lineRule="exact"/>
              <w:ind w:firstLine="482"/>
              <w:rPr>
                <w:sz w:val="24"/>
              </w:rPr>
            </w:pPr>
            <w:r>
              <w:rPr>
                <w:rFonts w:hint="eastAsia"/>
                <w:sz w:val="24"/>
              </w:rPr>
              <w:t>为最大程度减轻项目施工对区域声环境的影响，环评提出以下噪声防治措施：</w:t>
            </w:r>
          </w:p>
          <w:p w14:paraId="7B38F301">
            <w:pPr>
              <w:adjustRightInd w:val="0"/>
              <w:snapToGrid w:val="0"/>
              <w:spacing w:line="440" w:lineRule="exact"/>
              <w:ind w:firstLine="480" w:firstLineChars="200"/>
              <w:rPr>
                <w:sz w:val="24"/>
              </w:rPr>
            </w:pPr>
            <w:r>
              <w:rPr>
                <w:rFonts w:hint="eastAsia"/>
                <w:sz w:val="24"/>
              </w:rPr>
              <w:t>①合理安排作业时间，科学布置施工场地，尽量远离声环境保护目标。夜间禁止施工，避免施工噪声扰民；如果工艺要求必须连续作业的强噪声施工，应先征得当地主管部门的同意，并及时向周边居民公告，以免发生噪声扰民纠纷。对噪声源强较大的设备，尽量分散分时使用，应严格限制施工时间。</w:t>
            </w:r>
          </w:p>
          <w:p w14:paraId="52CF6F4A">
            <w:pPr>
              <w:adjustRightInd w:val="0"/>
              <w:snapToGrid w:val="0"/>
              <w:spacing w:line="440" w:lineRule="exact"/>
              <w:ind w:firstLine="480" w:firstLineChars="200"/>
              <w:rPr>
                <w:sz w:val="24"/>
              </w:rPr>
            </w:pPr>
            <w:r>
              <w:rPr>
                <w:rFonts w:hint="eastAsia"/>
                <w:sz w:val="24"/>
              </w:rPr>
              <w:t>②选用符合国家标准的低噪声施工机械，引进低噪声设备，加强设备的维护和保养，保持机械良好运行状态，对噪声较大的施工设备安装减振装置或消声器，从源头上降低机械设备运行噪声。</w:t>
            </w:r>
          </w:p>
          <w:p w14:paraId="7AED4285">
            <w:pPr>
              <w:adjustRightInd w:val="0"/>
              <w:snapToGrid w:val="0"/>
              <w:spacing w:line="440" w:lineRule="exact"/>
              <w:ind w:firstLine="480" w:firstLineChars="200"/>
              <w:rPr>
                <w:sz w:val="24"/>
              </w:rPr>
            </w:pPr>
            <w:r>
              <w:rPr>
                <w:rFonts w:hint="eastAsia"/>
                <w:sz w:val="24"/>
              </w:rPr>
              <w:t>③对于交通运输噪声的控制，主要是加强施工运输车辆管理，合理安排运输路线与时段，尽可能减少施工车辆车流量。当运输车辆经过周边敏感点附近路段时，减速行驶，禁止鸣笛，减小运输车辆对道路沿线敏感点的影响。</w:t>
            </w:r>
          </w:p>
          <w:p w14:paraId="7B1DE3F2">
            <w:pPr>
              <w:adjustRightInd w:val="0"/>
              <w:snapToGrid w:val="0"/>
              <w:spacing w:line="440" w:lineRule="exact"/>
              <w:ind w:firstLine="480" w:firstLineChars="200"/>
              <w:rPr>
                <w:b/>
                <w:bCs/>
                <w:sz w:val="24"/>
              </w:rPr>
            </w:pPr>
            <w:r>
              <w:rPr>
                <w:rFonts w:hint="eastAsia"/>
                <w:sz w:val="24"/>
              </w:rPr>
              <w:t>④在靠近声环境敏感点的施工场地周边应设置围挡，施工围挡应选择隔音效果较好的材料，阻隔施工噪声传播，同时施工设备应采取基础减振等措施以此降低噪声。在施工前应向周边居民公告并征求其同意，同时严格控制施工时间，禁止在休息时间进行施工，禁止夜间施工，避免噪声扰民。在采取上述措施后，施工噪声对声环境敏感点的影响将降到最低。</w:t>
            </w:r>
          </w:p>
          <w:p w14:paraId="44BEB007">
            <w:pPr>
              <w:pStyle w:val="4"/>
              <w:numPr>
                <w:ilvl w:val="0"/>
                <w:numId w:val="32"/>
              </w:numPr>
            </w:pPr>
            <w:r>
              <w:rPr>
                <w:rFonts w:hint="eastAsia"/>
              </w:rPr>
              <w:t>施工期固废治理措施</w:t>
            </w:r>
          </w:p>
          <w:p w14:paraId="6273D2C9">
            <w:pPr>
              <w:adjustRightInd w:val="0"/>
              <w:snapToGrid w:val="0"/>
              <w:spacing w:line="440" w:lineRule="exact"/>
              <w:ind w:firstLine="480" w:firstLineChars="200"/>
              <w:jc w:val="left"/>
              <w:rPr>
                <w:sz w:val="24"/>
              </w:rPr>
            </w:pPr>
            <w:r>
              <w:rPr>
                <w:rFonts w:hint="eastAsia"/>
                <w:sz w:val="24"/>
              </w:rPr>
              <w:t>剥离表土：剥离表土统一堆存在表土临时堆场，施工结束后及时进行表土回覆。</w:t>
            </w:r>
          </w:p>
          <w:p w14:paraId="106A457C">
            <w:pPr>
              <w:adjustRightInd w:val="0"/>
              <w:snapToGrid w:val="0"/>
              <w:spacing w:line="440" w:lineRule="exact"/>
              <w:ind w:firstLine="480" w:firstLineChars="200"/>
              <w:jc w:val="left"/>
              <w:rPr>
                <w:sz w:val="24"/>
              </w:rPr>
            </w:pPr>
            <w:r>
              <w:rPr>
                <w:rFonts w:hint="eastAsia"/>
                <w:sz w:val="24"/>
              </w:rPr>
              <w:t>开挖土石方：部分堆存于临时堆场用于后期回填，部分用于永久工程填筑，部分集中运往金元镇附近田地综合利用。</w:t>
            </w:r>
          </w:p>
          <w:p w14:paraId="57F85F11">
            <w:pPr>
              <w:adjustRightInd w:val="0"/>
              <w:snapToGrid w:val="0"/>
              <w:spacing w:line="440" w:lineRule="exact"/>
              <w:ind w:firstLine="480" w:firstLineChars="200"/>
              <w:jc w:val="left"/>
              <w:rPr>
                <w:sz w:val="24"/>
              </w:rPr>
            </w:pPr>
            <w:r>
              <w:rPr>
                <w:rFonts w:hint="eastAsia"/>
                <w:sz w:val="24"/>
              </w:rPr>
              <w:t>沉淀池淤泥：沉淀池污泥定期清理，与淤泥一同运往金元镇附近田地综合利用。</w:t>
            </w:r>
          </w:p>
          <w:p w14:paraId="6E63F1C7">
            <w:pPr>
              <w:adjustRightInd w:val="0"/>
              <w:snapToGrid w:val="0"/>
              <w:spacing w:line="440" w:lineRule="exact"/>
              <w:ind w:firstLine="480" w:firstLineChars="200"/>
              <w:jc w:val="left"/>
              <w:rPr>
                <w:sz w:val="24"/>
              </w:rPr>
            </w:pPr>
            <w:r>
              <w:rPr>
                <w:rFonts w:hint="eastAsia"/>
                <w:sz w:val="24"/>
              </w:rPr>
              <w:t>建筑垃圾：进行分类收集，对可回收的进行回收外卖，对不能回收的收集清运至建筑垃圾堆放场。</w:t>
            </w:r>
          </w:p>
          <w:p w14:paraId="0B3F60FF">
            <w:pPr>
              <w:adjustRightInd w:val="0"/>
              <w:snapToGrid w:val="0"/>
              <w:spacing w:line="440" w:lineRule="exact"/>
              <w:ind w:firstLine="480" w:firstLineChars="200"/>
              <w:jc w:val="left"/>
              <w:rPr>
                <w:sz w:val="24"/>
              </w:rPr>
            </w:pPr>
            <w:r>
              <w:rPr>
                <w:rFonts w:hint="eastAsia"/>
                <w:sz w:val="24"/>
              </w:rPr>
              <w:t>生活垃圾：设置垃圾桶收集后由环卫部门统一清运。</w:t>
            </w:r>
          </w:p>
          <w:p w14:paraId="1978DA4D">
            <w:pPr>
              <w:adjustRightInd w:val="0"/>
              <w:snapToGrid w:val="0"/>
              <w:spacing w:line="440" w:lineRule="exact"/>
              <w:ind w:firstLine="480" w:firstLineChars="200"/>
              <w:jc w:val="left"/>
              <w:rPr>
                <w:sz w:val="24"/>
              </w:rPr>
            </w:pPr>
            <w:r>
              <w:rPr>
                <w:rFonts w:hint="eastAsia"/>
                <w:sz w:val="24"/>
              </w:rPr>
              <w:t>淤泥回填可行性分析：</w:t>
            </w:r>
          </w:p>
          <w:p w14:paraId="4C5B7046">
            <w:pPr>
              <w:adjustRightInd w:val="0"/>
              <w:snapToGrid w:val="0"/>
              <w:spacing w:line="440" w:lineRule="exact"/>
              <w:ind w:firstLine="480" w:firstLineChars="200"/>
              <w:jc w:val="left"/>
              <w:rPr>
                <w:sz w:val="24"/>
                <w:highlight w:val="yellow"/>
              </w:rPr>
            </w:pPr>
            <w:r>
              <w:rPr>
                <w:rFonts w:hint="eastAsia"/>
                <w:sz w:val="24"/>
              </w:rPr>
              <w:t>本项目部分淤泥用于护岸回填，部分运输至金元镇附近田地综合利用，本项目金水河位于金元镇场镇内，不涉及重金属工业企业，没有工业排口，沿线主要是农田，农田不涉及重金属，淤泥主要为常规的一些物质发酵和土壤流失沉积物等，河道清淤产生的淤泥还田利用按照《土壤环境质量农用地土壤污染风险管控标准（试行）》（GB15618-2018）中农用地土壤污染风险筛选值规定进行疏浚底泥检测分析。根据本项目底泥监测报告可知本项目淤泥检测结果不高于风险筛选值，不存在重金属污染情况，可按农业部门有关规定用于还田利用；高于风险筛选值的，严禁进入农田。</w:t>
            </w:r>
          </w:p>
          <w:p w14:paraId="6AEEFF06">
            <w:pPr>
              <w:pStyle w:val="4"/>
              <w:numPr>
                <w:ilvl w:val="0"/>
                <w:numId w:val="32"/>
              </w:numPr>
            </w:pPr>
            <w:r>
              <w:rPr>
                <w:rFonts w:hint="eastAsia"/>
              </w:rPr>
              <w:t>施工围堰保护措施</w:t>
            </w:r>
          </w:p>
          <w:p w14:paraId="6DBA81F6">
            <w:pPr>
              <w:autoSpaceDE w:val="0"/>
              <w:autoSpaceDN w:val="0"/>
              <w:adjustRightInd w:val="0"/>
              <w:snapToGrid w:val="0"/>
              <w:spacing w:line="440" w:lineRule="exact"/>
              <w:ind w:firstLine="480" w:firstLineChars="200"/>
              <w:rPr>
                <w:sz w:val="24"/>
              </w:rPr>
            </w:pPr>
            <w:r>
              <w:rPr>
                <w:sz w:val="24"/>
              </w:rPr>
              <w:t>项目围堰施工会对区域水生生态带来一定的影响，为减缓此类影响，本次评价提出如下保护措施：</w:t>
            </w:r>
          </w:p>
          <w:p w14:paraId="2718B314">
            <w:pPr>
              <w:autoSpaceDE w:val="0"/>
              <w:autoSpaceDN w:val="0"/>
              <w:adjustRightInd w:val="0"/>
              <w:snapToGrid w:val="0"/>
              <w:spacing w:line="440" w:lineRule="exact"/>
              <w:ind w:firstLine="480" w:firstLineChars="200"/>
              <w:rPr>
                <w:sz w:val="24"/>
              </w:rPr>
            </w:pPr>
            <w:r>
              <w:rPr>
                <w:sz w:val="24"/>
              </w:rPr>
              <w:t>①严格按照围堰设计要求，落实围堰填筑，做好防渗措施；</w:t>
            </w:r>
          </w:p>
          <w:p w14:paraId="799AD1B7">
            <w:pPr>
              <w:adjustRightInd w:val="0"/>
              <w:snapToGrid w:val="0"/>
              <w:spacing w:line="440" w:lineRule="exact"/>
              <w:ind w:firstLine="482"/>
              <w:rPr>
                <w:sz w:val="24"/>
              </w:rPr>
            </w:pPr>
            <w:r>
              <w:rPr>
                <w:sz w:val="24"/>
              </w:rPr>
              <w:t>②做好围堰排水工作，包括初期排水和经常性排水，</w:t>
            </w:r>
            <w:r>
              <w:rPr>
                <w:rFonts w:hint="eastAsia"/>
                <w:sz w:val="24"/>
              </w:rPr>
              <w:t>初期排水和经常性排水均采用强排水法施工，每段选用水泵进行排水，经沉淀池沉淀处理后用于施工用水或洒水降尘。</w:t>
            </w:r>
            <w:r>
              <w:rPr>
                <w:sz w:val="24"/>
              </w:rPr>
              <w:t>禁止直接排入河道，影响水质和水生生态环境。</w:t>
            </w:r>
          </w:p>
          <w:p w14:paraId="436C5650">
            <w:pPr>
              <w:adjustRightInd w:val="0"/>
              <w:snapToGrid w:val="0"/>
              <w:spacing w:line="440" w:lineRule="exact"/>
              <w:ind w:firstLine="480" w:firstLineChars="200"/>
              <w:jc w:val="left"/>
              <w:rPr>
                <w:sz w:val="24"/>
                <w:highlight w:val="yellow"/>
              </w:rPr>
            </w:pPr>
            <w:r>
              <w:rPr>
                <w:sz w:val="24"/>
              </w:rPr>
              <w:t>③围堰拆除产生的土石方尽快运走回填，禁止堆放至河边影响河道水质。</w:t>
            </w:r>
          </w:p>
          <w:p w14:paraId="2E380638">
            <w:pPr>
              <w:pStyle w:val="4"/>
              <w:numPr>
                <w:ilvl w:val="0"/>
                <w:numId w:val="32"/>
              </w:numPr>
            </w:pPr>
            <w:r>
              <w:rPr>
                <w:rFonts w:hint="eastAsia"/>
              </w:rPr>
              <w:t>环境风险</w:t>
            </w:r>
          </w:p>
          <w:p w14:paraId="36534CF0">
            <w:pPr>
              <w:autoSpaceDE w:val="0"/>
              <w:autoSpaceDN w:val="0"/>
              <w:adjustRightInd w:val="0"/>
              <w:snapToGrid w:val="0"/>
              <w:spacing w:line="440" w:lineRule="exact"/>
              <w:ind w:firstLine="480" w:firstLineChars="200"/>
              <w:rPr>
                <w:sz w:val="24"/>
              </w:rPr>
            </w:pPr>
            <w:r>
              <w:rPr>
                <w:sz w:val="24"/>
              </w:rPr>
              <w:t>风险评价是评价建设项目对人体健康和生态系统产生的风险。项目建设的</w:t>
            </w:r>
            <w:r>
              <w:rPr>
                <w:rFonts w:hint="eastAsia"/>
                <w:sz w:val="24"/>
              </w:rPr>
              <w:t>环境风险</w:t>
            </w:r>
            <w:r>
              <w:rPr>
                <w:sz w:val="24"/>
              </w:rPr>
              <w:t>是针对建设项目本身引起的风险进行评价的。基础设施建设项目可能诱发环境风险的因素一般为自然因素、生态因素、人为因素。</w:t>
            </w:r>
          </w:p>
          <w:p w14:paraId="34BB6EAD">
            <w:pPr>
              <w:autoSpaceDE w:val="0"/>
              <w:autoSpaceDN w:val="0"/>
              <w:adjustRightInd w:val="0"/>
              <w:snapToGrid w:val="0"/>
              <w:spacing w:line="440" w:lineRule="exact"/>
              <w:ind w:firstLine="480" w:firstLineChars="200"/>
              <w:rPr>
                <w:sz w:val="24"/>
              </w:rPr>
            </w:pPr>
            <w:r>
              <w:rPr>
                <w:sz w:val="24"/>
              </w:rPr>
              <w:t>①生态因素：项目区域内河流沿岸整体地势平缓，工程地质条件较好，工程施工过程可能对区域生态环境造成影响。</w:t>
            </w:r>
          </w:p>
          <w:p w14:paraId="1591B45F">
            <w:pPr>
              <w:autoSpaceDE w:val="0"/>
              <w:autoSpaceDN w:val="0"/>
              <w:adjustRightInd w:val="0"/>
              <w:snapToGrid w:val="0"/>
              <w:spacing w:line="440" w:lineRule="exact"/>
              <w:ind w:firstLine="480" w:firstLineChars="200"/>
              <w:rPr>
                <w:sz w:val="24"/>
              </w:rPr>
            </w:pPr>
            <w:r>
              <w:rPr>
                <w:sz w:val="24"/>
              </w:rPr>
              <w:t>②自然因素：暴雨、地震、冰雪等自然灾害，影响行车安全，影响施工正常进行，甚至暂停。</w:t>
            </w:r>
          </w:p>
          <w:p w14:paraId="11C16BF8">
            <w:pPr>
              <w:autoSpaceDE w:val="0"/>
              <w:autoSpaceDN w:val="0"/>
              <w:adjustRightInd w:val="0"/>
              <w:snapToGrid w:val="0"/>
              <w:spacing w:line="440" w:lineRule="exact"/>
              <w:ind w:firstLine="480" w:firstLineChars="200"/>
              <w:rPr>
                <w:sz w:val="24"/>
              </w:rPr>
            </w:pPr>
            <w:r>
              <w:rPr>
                <w:sz w:val="24"/>
              </w:rPr>
              <w:t>③人为因素：人为因素带来的环境风险主要为交通事故车辆燃油或</w:t>
            </w:r>
            <w:r>
              <w:rPr>
                <w:rFonts w:hint="eastAsia"/>
                <w:sz w:val="24"/>
              </w:rPr>
              <w:t>机油泄漏</w:t>
            </w:r>
            <w:r>
              <w:rPr>
                <w:sz w:val="24"/>
              </w:rPr>
              <w:t>环境污染水环境和环境空气；以及营地保存较多的土工织物、燃油</w:t>
            </w:r>
            <w:r>
              <w:rPr>
                <w:rFonts w:hint="eastAsia"/>
                <w:sz w:val="24"/>
              </w:rPr>
              <w:t>和其他</w:t>
            </w:r>
            <w:r>
              <w:rPr>
                <w:sz w:val="24"/>
              </w:rPr>
              <w:t>易燃、易爆材料的燃烧风险；以及沉淀池出现破损，施工废水未经处理直接排入</w:t>
            </w:r>
            <w:r>
              <w:rPr>
                <w:rFonts w:hint="eastAsia"/>
                <w:sz w:val="24"/>
              </w:rPr>
              <w:t>河流</w:t>
            </w:r>
            <w:r>
              <w:rPr>
                <w:sz w:val="24"/>
              </w:rPr>
              <w:t>。</w:t>
            </w:r>
          </w:p>
          <w:p w14:paraId="4457B933">
            <w:pPr>
              <w:autoSpaceDE w:val="0"/>
              <w:autoSpaceDN w:val="0"/>
              <w:adjustRightInd w:val="0"/>
              <w:snapToGrid w:val="0"/>
              <w:spacing w:line="440" w:lineRule="exact"/>
              <w:ind w:firstLine="480" w:firstLineChars="200"/>
              <w:rPr>
                <w:sz w:val="24"/>
              </w:rPr>
            </w:pPr>
            <w:r>
              <w:rPr>
                <w:sz w:val="24"/>
              </w:rPr>
              <w:t>结合项目所在地理环境分析，自然因素和生态因素的诱发环境风险可能性较小，但是，应予以足够的重视，采取有效措施最大限度</w:t>
            </w:r>
            <w:r>
              <w:rPr>
                <w:rFonts w:hint="eastAsia"/>
                <w:sz w:val="24"/>
              </w:rPr>
              <w:t>地</w:t>
            </w:r>
            <w:r>
              <w:rPr>
                <w:sz w:val="24"/>
              </w:rPr>
              <w:t>减少事故的发生。</w:t>
            </w:r>
          </w:p>
          <w:p w14:paraId="7468A487">
            <w:pPr>
              <w:autoSpaceDE w:val="0"/>
              <w:autoSpaceDN w:val="0"/>
              <w:adjustRightInd w:val="0"/>
              <w:snapToGrid w:val="0"/>
              <w:spacing w:line="440" w:lineRule="exact"/>
              <w:ind w:firstLine="480" w:firstLineChars="200"/>
              <w:rPr>
                <w:sz w:val="24"/>
              </w:rPr>
            </w:pPr>
            <w:r>
              <w:rPr>
                <w:sz w:val="24"/>
              </w:rPr>
              <w:t>本工程的工程施工和运行过程中不存在有毒有害生产、使用、贮运等，工程施工过程中主要</w:t>
            </w:r>
            <w:r>
              <w:rPr>
                <w:rFonts w:hint="eastAsia"/>
                <w:sz w:val="24"/>
              </w:rPr>
              <w:t>涉及</w:t>
            </w:r>
            <w:r>
              <w:rPr>
                <w:sz w:val="24"/>
              </w:rPr>
              <w:t>施工机械燃料的使用，施工区域内</w:t>
            </w:r>
            <w:r>
              <w:rPr>
                <w:rFonts w:hint="eastAsia"/>
                <w:sz w:val="24"/>
              </w:rPr>
              <w:t>储存</w:t>
            </w:r>
            <w:r>
              <w:rPr>
                <w:sz w:val="24"/>
              </w:rPr>
              <w:t>量较小，远小于危险化学品重大危险源储存临界量。同时在正常情况按设计进行疏浚和清淤时，不会发生淤泥外泄事故，当运输车辆侧翻，淤泥含水率较高，会很快流入河道中；同时沉淀池出现破损，施工废水未经处理直接排入</w:t>
            </w:r>
            <w:r>
              <w:rPr>
                <w:rFonts w:hint="eastAsia"/>
                <w:sz w:val="24"/>
              </w:rPr>
              <w:t>附近地表水体</w:t>
            </w:r>
            <w:r>
              <w:rPr>
                <w:sz w:val="24"/>
              </w:rPr>
              <w:t>，污染</w:t>
            </w:r>
            <w:r>
              <w:rPr>
                <w:rFonts w:hint="eastAsia"/>
                <w:sz w:val="24"/>
              </w:rPr>
              <w:t>河</w:t>
            </w:r>
            <w:r>
              <w:rPr>
                <w:sz w:val="24"/>
              </w:rPr>
              <w:t>水质发性和破坏性的特点，所以必须采取有效措施加以防范，加强控制和管理，杜绝、减轻和避免环境风险。</w:t>
            </w:r>
          </w:p>
          <w:p w14:paraId="6D7CC86D">
            <w:pPr>
              <w:autoSpaceDE w:val="0"/>
              <w:autoSpaceDN w:val="0"/>
              <w:adjustRightInd w:val="0"/>
              <w:snapToGrid w:val="0"/>
              <w:spacing w:line="440" w:lineRule="exact"/>
              <w:ind w:firstLine="480" w:firstLineChars="200"/>
              <w:rPr>
                <w:sz w:val="24"/>
              </w:rPr>
            </w:pPr>
            <w:r>
              <w:rPr>
                <w:sz w:val="24"/>
              </w:rPr>
              <w:t>施工人员应该严格执行相关的机械操作规程，管理人员必须加强对施工人员的监督，从工程措施和管理措施上杜绝翻车情况的出现；</w:t>
            </w:r>
          </w:p>
          <w:p w14:paraId="6721E153">
            <w:pPr>
              <w:autoSpaceDE w:val="0"/>
              <w:autoSpaceDN w:val="0"/>
              <w:adjustRightInd w:val="0"/>
              <w:snapToGrid w:val="0"/>
              <w:spacing w:line="440" w:lineRule="exact"/>
              <w:ind w:firstLine="480" w:firstLineChars="200"/>
              <w:rPr>
                <w:sz w:val="24"/>
              </w:rPr>
            </w:pPr>
            <w:r>
              <w:rPr>
                <w:sz w:val="24"/>
              </w:rPr>
              <w:t>施工废水经处理达标后回用；</w:t>
            </w:r>
          </w:p>
          <w:p w14:paraId="19CE245E">
            <w:pPr>
              <w:autoSpaceDE w:val="0"/>
              <w:autoSpaceDN w:val="0"/>
              <w:adjustRightInd w:val="0"/>
              <w:snapToGrid w:val="0"/>
              <w:spacing w:line="440" w:lineRule="exact"/>
              <w:ind w:firstLine="480" w:firstLineChars="200"/>
              <w:rPr>
                <w:sz w:val="24"/>
              </w:rPr>
            </w:pPr>
            <w:r>
              <w:rPr>
                <w:sz w:val="24"/>
              </w:rPr>
              <w:t>针对施工期可能遇到的暴雨、大风等恶劣天气应做好安全防护工作；</w:t>
            </w:r>
          </w:p>
          <w:p w14:paraId="1455DD41">
            <w:pPr>
              <w:autoSpaceDE w:val="0"/>
              <w:autoSpaceDN w:val="0"/>
              <w:adjustRightInd w:val="0"/>
              <w:snapToGrid w:val="0"/>
              <w:spacing w:line="440" w:lineRule="exact"/>
              <w:ind w:firstLine="480" w:firstLineChars="200"/>
              <w:rPr>
                <w:sz w:val="24"/>
              </w:rPr>
            </w:pPr>
            <w:r>
              <w:rPr>
                <w:sz w:val="24"/>
              </w:rPr>
              <w:t>严禁非工程管理车辆进入，防止因此发生意外突发事故；</w:t>
            </w:r>
          </w:p>
          <w:p w14:paraId="3D15B572">
            <w:pPr>
              <w:autoSpaceDE w:val="0"/>
              <w:autoSpaceDN w:val="0"/>
              <w:adjustRightInd w:val="0"/>
              <w:snapToGrid w:val="0"/>
              <w:spacing w:line="440" w:lineRule="exact"/>
              <w:ind w:firstLine="480" w:firstLineChars="200"/>
              <w:rPr>
                <w:sz w:val="24"/>
              </w:rPr>
            </w:pPr>
            <w:r>
              <w:rPr>
                <w:sz w:val="24"/>
              </w:rPr>
              <w:t>制定风险应急预案；</w:t>
            </w:r>
          </w:p>
          <w:p w14:paraId="04DE9E0D">
            <w:pPr>
              <w:autoSpaceDE w:val="0"/>
              <w:autoSpaceDN w:val="0"/>
              <w:adjustRightInd w:val="0"/>
              <w:snapToGrid w:val="0"/>
              <w:spacing w:line="440" w:lineRule="exact"/>
              <w:ind w:firstLine="480" w:firstLineChars="200"/>
              <w:rPr>
                <w:sz w:val="24"/>
              </w:rPr>
            </w:pPr>
            <w:r>
              <w:rPr>
                <w:sz w:val="24"/>
              </w:rPr>
              <w:t>遵守安全作业规则，防止发生火灾等事故；</w:t>
            </w:r>
          </w:p>
          <w:p w14:paraId="6B61FEB5">
            <w:pPr>
              <w:autoSpaceDE w:val="0"/>
              <w:autoSpaceDN w:val="0"/>
              <w:adjustRightInd w:val="0"/>
              <w:snapToGrid w:val="0"/>
              <w:spacing w:line="440" w:lineRule="exact"/>
              <w:ind w:firstLine="480" w:firstLineChars="200"/>
              <w:rPr>
                <w:sz w:val="24"/>
              </w:rPr>
            </w:pPr>
            <w:r>
              <w:rPr>
                <w:sz w:val="24"/>
              </w:rPr>
              <w:t>落实相关应急计划培训职责，对事故性或操作性溢油事故，最快做出反应（报告、控制、清除及要求救援措施）；</w:t>
            </w:r>
          </w:p>
          <w:p w14:paraId="2975697B">
            <w:pPr>
              <w:autoSpaceDE w:val="0"/>
              <w:autoSpaceDN w:val="0"/>
              <w:adjustRightInd w:val="0"/>
              <w:snapToGrid w:val="0"/>
              <w:spacing w:line="440" w:lineRule="exact"/>
              <w:ind w:firstLine="480" w:firstLineChars="200"/>
              <w:rPr>
                <w:sz w:val="24"/>
              </w:rPr>
            </w:pPr>
            <w:r>
              <w:rPr>
                <w:sz w:val="24"/>
              </w:rPr>
              <w:t>项目施工期间对机械油料统计由专人管理防止</w:t>
            </w:r>
            <w:r>
              <w:rPr>
                <w:rFonts w:hint="eastAsia"/>
                <w:sz w:val="24"/>
              </w:rPr>
              <w:t>泄漏</w:t>
            </w:r>
            <w:r>
              <w:rPr>
                <w:sz w:val="24"/>
              </w:rPr>
              <w:t>；</w:t>
            </w:r>
          </w:p>
          <w:p w14:paraId="185C53C0">
            <w:pPr>
              <w:autoSpaceDE w:val="0"/>
              <w:autoSpaceDN w:val="0"/>
              <w:adjustRightInd w:val="0"/>
              <w:snapToGrid w:val="0"/>
              <w:spacing w:line="440" w:lineRule="exact"/>
              <w:ind w:firstLine="480" w:firstLineChars="200"/>
              <w:rPr>
                <w:sz w:val="24"/>
              </w:rPr>
            </w:pPr>
            <w:r>
              <w:rPr>
                <w:sz w:val="24"/>
              </w:rPr>
              <w:t>油料在保管和使用时，应建立严格的管理和规章制度，油料装卸、使用时，全过程应有人在现场监督，一旦发生事故，立即采取防范措施；</w:t>
            </w:r>
          </w:p>
          <w:p w14:paraId="2905ABD7">
            <w:pPr>
              <w:autoSpaceDE w:val="0"/>
              <w:autoSpaceDN w:val="0"/>
              <w:adjustRightInd w:val="0"/>
              <w:snapToGrid w:val="0"/>
              <w:spacing w:line="440" w:lineRule="exact"/>
              <w:ind w:firstLine="480" w:firstLineChars="200"/>
              <w:rPr>
                <w:sz w:val="24"/>
              </w:rPr>
            </w:pPr>
            <w:r>
              <w:rPr>
                <w:sz w:val="24"/>
              </w:rPr>
              <w:t>配备一定围油、吸油、除油的设备或器材，并指定保管和使用的人员，以备不时之需；</w:t>
            </w:r>
          </w:p>
          <w:p w14:paraId="599E2EB2">
            <w:pPr>
              <w:autoSpaceDE w:val="0"/>
              <w:autoSpaceDN w:val="0"/>
              <w:adjustRightInd w:val="0"/>
              <w:snapToGrid w:val="0"/>
              <w:spacing w:line="440" w:lineRule="exact"/>
              <w:ind w:firstLine="480" w:firstLineChars="200"/>
              <w:rPr>
                <w:sz w:val="24"/>
              </w:rPr>
            </w:pPr>
            <w:r>
              <w:rPr>
                <w:sz w:val="24"/>
              </w:rPr>
              <w:t>加强施工期间的日常巡视和检查，如发现沉淀池破损，应及时修补，采取相应的应急措施，避免事故发生。</w:t>
            </w:r>
          </w:p>
          <w:p w14:paraId="24724978">
            <w:pPr>
              <w:autoSpaceDE w:val="0"/>
              <w:autoSpaceDN w:val="0"/>
              <w:adjustRightInd w:val="0"/>
              <w:snapToGrid w:val="0"/>
              <w:spacing w:line="440" w:lineRule="exact"/>
              <w:ind w:firstLine="480" w:firstLineChars="200"/>
              <w:rPr>
                <w:sz w:val="24"/>
              </w:rPr>
            </w:pPr>
            <w:r>
              <w:rPr>
                <w:sz w:val="24"/>
              </w:rPr>
              <w:t>若发现破损，应暂时停止淤泥的机械脱水，及时修补，待事故解除后再进行淤泥的机械脱水。</w:t>
            </w:r>
          </w:p>
          <w:p w14:paraId="4F793C29">
            <w:pPr>
              <w:autoSpaceDE w:val="0"/>
              <w:autoSpaceDN w:val="0"/>
              <w:adjustRightInd w:val="0"/>
              <w:snapToGrid w:val="0"/>
              <w:spacing w:line="440" w:lineRule="exact"/>
              <w:ind w:firstLine="480" w:firstLineChars="200"/>
              <w:rPr>
                <w:sz w:val="24"/>
              </w:rPr>
            </w:pPr>
            <w:r>
              <w:rPr>
                <w:sz w:val="24"/>
              </w:rPr>
              <w:t>施工单位要充分了解地方有关气象、水文、地质资料，紧密联络有关部门，合理安排工期，及时对各类构造物、山坡开挖面及料场进行防护，以便降低某些不可预见因素造成的环境风险损失。</w:t>
            </w:r>
          </w:p>
          <w:p w14:paraId="7905DA3E">
            <w:pPr>
              <w:autoSpaceDE w:val="0"/>
              <w:autoSpaceDN w:val="0"/>
              <w:adjustRightInd w:val="0"/>
              <w:snapToGrid w:val="0"/>
              <w:spacing w:line="440" w:lineRule="exact"/>
              <w:ind w:firstLine="480" w:firstLineChars="200"/>
              <w:rPr>
                <w:sz w:val="24"/>
              </w:rPr>
            </w:pPr>
            <w:r>
              <w:rPr>
                <w:sz w:val="24"/>
              </w:rPr>
              <w:t>针对本工程施工人员加强环保教育和宣传，防止施工人员野蛮施工，以防止工程施工污染沿线水源地的风险的发生。</w:t>
            </w:r>
          </w:p>
          <w:p w14:paraId="70926532">
            <w:pPr>
              <w:autoSpaceDE w:val="0"/>
              <w:autoSpaceDN w:val="0"/>
              <w:adjustRightInd w:val="0"/>
              <w:snapToGrid w:val="0"/>
              <w:spacing w:line="440" w:lineRule="exact"/>
              <w:ind w:firstLine="480" w:firstLineChars="200"/>
              <w:rPr>
                <w:sz w:val="24"/>
              </w:rPr>
            </w:pPr>
            <w:r>
              <w:rPr>
                <w:sz w:val="24"/>
              </w:rPr>
              <w:t>施工作业时，禁止施工污染物排入水体。临时工程四周设挡墙，堆土场四周设排水沟，出口设沉淀池，确保污染物不外排。</w:t>
            </w:r>
          </w:p>
          <w:p w14:paraId="3B4125ED">
            <w:pPr>
              <w:autoSpaceDE w:val="0"/>
              <w:autoSpaceDN w:val="0"/>
              <w:adjustRightInd w:val="0"/>
              <w:snapToGrid w:val="0"/>
              <w:spacing w:line="440" w:lineRule="exact"/>
              <w:ind w:firstLine="480" w:firstLineChars="200"/>
              <w:rPr>
                <w:sz w:val="24"/>
              </w:rPr>
            </w:pPr>
            <w:r>
              <w:rPr>
                <w:sz w:val="24"/>
              </w:rPr>
              <w:t>施工单位应在施工区配备足够的固体浮子式围油栏和吸油毡，一旦发生漏油事故迅速用固体浮子式围油栏截断，将溢油事故污染范围控制在围油栏包围的水域，以阻止油污扩散，同时迅速用吸油毡吸油，并配备报警系统及必要的通信器材，以便及时与施工辖区内的水务部门联系，及时采取应急措施，以减轻对周围水体的影响</w:t>
            </w:r>
            <w:r>
              <w:rPr>
                <w:rFonts w:hint="eastAsia"/>
                <w:sz w:val="24"/>
              </w:rPr>
              <w:t>；</w:t>
            </w:r>
          </w:p>
          <w:p w14:paraId="4D58CB31">
            <w:pPr>
              <w:autoSpaceDE w:val="0"/>
              <w:autoSpaceDN w:val="0"/>
              <w:adjustRightInd w:val="0"/>
              <w:snapToGrid w:val="0"/>
              <w:spacing w:line="440" w:lineRule="exact"/>
              <w:ind w:firstLine="480" w:firstLineChars="200"/>
              <w:rPr>
                <w:sz w:val="24"/>
              </w:rPr>
            </w:pPr>
            <w:r>
              <w:rPr>
                <w:sz w:val="24"/>
              </w:rPr>
              <w:t>制定饮用水水源保护区污染风险事故应急预案，预案应包括应急事故组织机构、应急救援队伍、应急设施及物资配备、应急报警系统、应急处理措施、应急培训计划等内容。</w:t>
            </w:r>
          </w:p>
          <w:p w14:paraId="6277E553">
            <w:pPr>
              <w:autoSpaceDE w:val="0"/>
              <w:autoSpaceDN w:val="0"/>
              <w:adjustRightInd w:val="0"/>
              <w:snapToGrid w:val="0"/>
              <w:spacing w:line="440" w:lineRule="exact"/>
              <w:ind w:firstLine="480" w:firstLineChars="200"/>
              <w:rPr>
                <w:sz w:val="24"/>
              </w:rPr>
            </w:pPr>
            <w:r>
              <w:rPr>
                <w:sz w:val="24"/>
              </w:rPr>
              <w:t>建设单位只要严格按照国家的有关技术标准进行设计、施工与生产，并落实评价提出的防范措施，制定详细、可行的风险应急预案，事故风险可降到最低水平。故本项目环境风险水平可接受。</w:t>
            </w:r>
          </w:p>
          <w:p w14:paraId="2CA588C8">
            <w:pPr>
              <w:pStyle w:val="4"/>
              <w:numPr>
                <w:ilvl w:val="0"/>
                <w:numId w:val="32"/>
              </w:numPr>
            </w:pPr>
            <w:r>
              <w:rPr>
                <w:rFonts w:hint="eastAsia"/>
              </w:rPr>
              <w:t>施工组织环境保护要求</w:t>
            </w:r>
          </w:p>
          <w:p w14:paraId="657D1C26">
            <w:pPr>
              <w:autoSpaceDE w:val="0"/>
              <w:autoSpaceDN w:val="0"/>
              <w:adjustRightInd w:val="0"/>
              <w:snapToGrid w:val="0"/>
              <w:spacing w:line="440" w:lineRule="exact"/>
              <w:ind w:firstLine="480" w:firstLineChars="200"/>
              <w:rPr>
                <w:sz w:val="24"/>
              </w:rPr>
            </w:pPr>
            <w:r>
              <w:rPr>
                <w:sz w:val="24"/>
              </w:rPr>
              <w:t>①在施工过程中要合理规划与安排工作进度。合理的工作进度可以避免施工过程中的重复作业，从而减少噪音和粉尘污染。例如，可以采用低噪音设备进行作业，减少施工现场的噪声污染。此外，通过合理规划施工物料的使用量，可以减少资源浪费，降低环境压力。施工现场要进行良好的防护措施。</w:t>
            </w:r>
          </w:p>
          <w:p w14:paraId="0BADC030">
            <w:pPr>
              <w:autoSpaceDE w:val="0"/>
              <w:autoSpaceDN w:val="0"/>
              <w:adjustRightInd w:val="0"/>
              <w:snapToGrid w:val="0"/>
              <w:spacing w:line="440" w:lineRule="exact"/>
              <w:ind w:firstLine="480" w:firstLineChars="200"/>
              <w:rPr>
                <w:sz w:val="24"/>
              </w:rPr>
            </w:pPr>
            <w:r>
              <w:rPr>
                <w:sz w:val="24"/>
              </w:rPr>
              <w:t>②在施工过程中，产生的粉尘和污水等污染物应在源头进行有效</w:t>
            </w:r>
            <w:r>
              <w:rPr>
                <w:rFonts w:hint="eastAsia"/>
                <w:sz w:val="24"/>
              </w:rPr>
              <w:t>的</w:t>
            </w:r>
            <w:r>
              <w:rPr>
                <w:sz w:val="24"/>
              </w:rPr>
              <w:t>控制。例如，可以采用喷淋装置对施工现场进行湿化处理，有效减少粉尘的扬尘量。另外，合理设置污水处理设施，对施工过程中产生的污水进行净化处理，避免对周边水体造成污染。</w:t>
            </w:r>
          </w:p>
          <w:p w14:paraId="23B2B7DF">
            <w:pPr>
              <w:autoSpaceDE w:val="0"/>
              <w:autoSpaceDN w:val="0"/>
              <w:adjustRightInd w:val="0"/>
              <w:snapToGrid w:val="0"/>
              <w:spacing w:line="440" w:lineRule="exact"/>
              <w:ind w:firstLine="480" w:firstLineChars="200"/>
              <w:rPr>
                <w:sz w:val="24"/>
              </w:rPr>
            </w:pPr>
            <w:r>
              <w:rPr>
                <w:sz w:val="24"/>
              </w:rPr>
              <w:t>③施工过程中应保护周边的植被和动物。植被是自然环境的重要组成部分对改善空气质量和人居环境具有重要作用。因此，在施工现场周边，要保护好现有的植被，避免因施工而导致的破坏。对于周边的动物，应根据实际情况采取相应的防护措施，避免对它们的生存环境造成不必要的影响。</w:t>
            </w:r>
          </w:p>
          <w:p w14:paraId="1A44B5F6">
            <w:pPr>
              <w:autoSpaceDE w:val="0"/>
              <w:autoSpaceDN w:val="0"/>
              <w:adjustRightInd w:val="0"/>
              <w:snapToGrid w:val="0"/>
              <w:spacing w:line="440" w:lineRule="exact"/>
              <w:ind w:firstLine="480" w:firstLineChars="200"/>
              <w:rPr>
                <w:sz w:val="24"/>
              </w:rPr>
            </w:pPr>
            <w:r>
              <w:rPr>
                <w:sz w:val="24"/>
              </w:rPr>
              <w:t>④施工过程中应加强对废弃物的管理和处理。废弃物的管理对环境保护至关重要。施工现场产生的废弃物应分类、储存和处理。有些废弃物可以进行再利用有些则需要进行恰当的处理和处置，以免对土壤和水源造成污染。施工企业应建立相应的废弃物管理制度，并按照国家相关法律法规进行处理。</w:t>
            </w:r>
          </w:p>
          <w:p w14:paraId="590570F0">
            <w:pPr>
              <w:adjustRightInd w:val="0"/>
              <w:snapToGrid w:val="0"/>
              <w:spacing w:line="440" w:lineRule="exact"/>
              <w:ind w:firstLine="480" w:firstLineChars="200"/>
              <w:jc w:val="left"/>
              <w:rPr>
                <w:sz w:val="24"/>
              </w:rPr>
            </w:pPr>
            <w:r>
              <w:rPr>
                <w:sz w:val="24"/>
              </w:rPr>
              <w:t>⑤施工过程中要进行环境影响评估和监测。环境影响评估是施工前必须进行的一项工作。通过对施工活动可能产生的环境影响进行评估，及时发现问题，并采取相应的改善措施。此外，还应建立环境监测系统，对施工过程中的噪音、粉尘和污水等环境参数进行监测，及时发现和解决问题。</w:t>
            </w:r>
          </w:p>
        </w:tc>
      </w:tr>
      <w:tr w14:paraId="5BB30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tcBorders>
              <w:tl2br w:val="nil"/>
              <w:tr2bl w:val="nil"/>
            </w:tcBorders>
            <w:vAlign w:val="center"/>
          </w:tcPr>
          <w:p w14:paraId="34BBF018">
            <w:pPr>
              <w:autoSpaceDE w:val="0"/>
              <w:autoSpaceDN w:val="0"/>
              <w:adjustRightInd w:val="0"/>
              <w:snapToGrid w:val="0"/>
              <w:jc w:val="center"/>
              <w:rPr>
                <w:kern w:val="0"/>
                <w:sz w:val="24"/>
              </w:rPr>
            </w:pPr>
            <w:r>
              <w:rPr>
                <w:rFonts w:hint="eastAsia"/>
                <w:kern w:val="0"/>
                <w:sz w:val="24"/>
              </w:rPr>
              <w:t>运营期生态环境保护措施</w:t>
            </w:r>
          </w:p>
        </w:tc>
        <w:tc>
          <w:tcPr>
            <w:tcW w:w="8276" w:type="dxa"/>
            <w:tcBorders>
              <w:tl2br w:val="nil"/>
              <w:tr2bl w:val="nil"/>
            </w:tcBorders>
            <w:vAlign w:val="center"/>
          </w:tcPr>
          <w:p w14:paraId="28F698F8">
            <w:pPr>
              <w:pStyle w:val="36"/>
              <w:ind w:firstLine="480"/>
              <w:rPr>
                <w:rFonts w:hint="default"/>
              </w:rPr>
            </w:pPr>
            <w:r>
              <w:t>本项目属于河湖整治工程，运营期间无污染物产生，且项目建成后有利于维护库岸安全稳定、畅通滨江活动空间、提升城市形象和生活品质等，不会对周边环境产生不利影响，运营期只需加强河道管理即可。</w:t>
            </w:r>
          </w:p>
          <w:p w14:paraId="17572A2D">
            <w:pPr>
              <w:pStyle w:val="36"/>
              <w:ind w:firstLine="480"/>
              <w:rPr>
                <w:rFonts w:hint="default"/>
              </w:rPr>
            </w:pPr>
            <w:r>
              <w:t>（1）项目施工结束后，应结合工程水土保持措施，及时进行迹地恢复与绿化美化等生态环境建设。对主要建筑物周边、施工占地迹地、堆场等进行播撒草种绿化，恢复其原有生态功能。</w:t>
            </w:r>
          </w:p>
          <w:p w14:paraId="05F9D026">
            <w:pPr>
              <w:pStyle w:val="36"/>
              <w:ind w:firstLine="480"/>
              <w:rPr>
                <w:rFonts w:hint="default"/>
              </w:rPr>
            </w:pPr>
            <w:r>
              <w:t>（2）设立河道保护公示牌，做好周边居民的生态环境保护宣传，增强周边居民的环境保护意识，禁止往河道内随意丢弃垃圾、排污等。</w:t>
            </w:r>
          </w:p>
        </w:tc>
      </w:tr>
      <w:tr w14:paraId="4A913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4" w:type="dxa"/>
            <w:tcBorders>
              <w:tl2br w:val="nil"/>
              <w:tr2bl w:val="nil"/>
            </w:tcBorders>
            <w:vAlign w:val="center"/>
          </w:tcPr>
          <w:p w14:paraId="7E0ADF36">
            <w:pPr>
              <w:autoSpaceDE w:val="0"/>
              <w:autoSpaceDN w:val="0"/>
              <w:adjustRightInd w:val="0"/>
              <w:snapToGrid w:val="0"/>
              <w:jc w:val="center"/>
              <w:rPr>
                <w:kern w:val="0"/>
                <w:sz w:val="24"/>
              </w:rPr>
            </w:pPr>
            <w:r>
              <w:rPr>
                <w:rFonts w:hint="eastAsia"/>
                <w:kern w:val="0"/>
                <w:sz w:val="24"/>
              </w:rPr>
              <w:t>其他</w:t>
            </w:r>
          </w:p>
        </w:tc>
        <w:tc>
          <w:tcPr>
            <w:tcW w:w="8276" w:type="dxa"/>
            <w:tcBorders>
              <w:tl2br w:val="nil"/>
              <w:tr2bl w:val="nil"/>
            </w:tcBorders>
            <w:vAlign w:val="center"/>
          </w:tcPr>
          <w:p w14:paraId="0222035F">
            <w:pPr>
              <w:pStyle w:val="4"/>
              <w:numPr>
                <w:ilvl w:val="0"/>
                <w:numId w:val="35"/>
              </w:numPr>
            </w:pPr>
            <w:r>
              <w:rPr>
                <w:rFonts w:hint="eastAsia"/>
              </w:rPr>
              <w:t>环境管理与监测计划</w:t>
            </w:r>
          </w:p>
          <w:p w14:paraId="6DE80496">
            <w:pPr>
              <w:pStyle w:val="4"/>
              <w:numPr>
                <w:ilvl w:val="1"/>
                <w:numId w:val="35"/>
              </w:numPr>
            </w:pPr>
            <w:r>
              <w:rPr>
                <w:rFonts w:hint="eastAsia"/>
              </w:rPr>
              <w:t>环境管理</w:t>
            </w:r>
          </w:p>
          <w:p w14:paraId="7904EDB8">
            <w:pPr>
              <w:numPr>
                <w:ilvl w:val="0"/>
                <w:numId w:val="36"/>
              </w:numPr>
              <w:tabs>
                <w:tab w:val="left" w:pos="0"/>
              </w:tabs>
              <w:autoSpaceDE w:val="0"/>
              <w:autoSpaceDN w:val="0"/>
              <w:adjustRightInd w:val="0"/>
              <w:snapToGrid w:val="0"/>
              <w:spacing w:line="440" w:lineRule="exact"/>
              <w:ind w:firstLine="480" w:firstLineChars="200"/>
              <w:rPr>
                <w:sz w:val="24"/>
              </w:rPr>
            </w:pPr>
            <w:r>
              <w:rPr>
                <w:rFonts w:hint="eastAsia"/>
                <w:sz w:val="24"/>
              </w:rPr>
              <w:t>环境管理目标</w:t>
            </w:r>
          </w:p>
          <w:p w14:paraId="4D20AD18">
            <w:pPr>
              <w:autoSpaceDE w:val="0"/>
              <w:autoSpaceDN w:val="0"/>
              <w:adjustRightInd w:val="0"/>
              <w:snapToGrid w:val="0"/>
              <w:spacing w:line="440" w:lineRule="exact"/>
              <w:ind w:firstLine="480" w:firstLineChars="200"/>
              <w:rPr>
                <w:sz w:val="24"/>
              </w:rPr>
            </w:pPr>
            <w:r>
              <w:rPr>
                <w:rFonts w:hint="eastAsia"/>
                <w:sz w:val="24"/>
              </w:rPr>
              <w:t>环境管理是项目管理的重要组成部分，是环境保护工作能否实施的关键。环境管理的目的在于保证项目各项环境保护措施能顺利实施，使项目建设对环境的不利影响得到控制或减免，实现项目建设与生态环境保护、经济发展相互协调。项目建设必须加强环境管理，以保证正常运行，消除对环境的不利影响。</w:t>
            </w:r>
          </w:p>
          <w:p w14:paraId="799D584B">
            <w:pPr>
              <w:numPr>
                <w:ilvl w:val="0"/>
                <w:numId w:val="36"/>
              </w:numPr>
              <w:tabs>
                <w:tab w:val="left" w:pos="0"/>
              </w:tabs>
              <w:autoSpaceDE w:val="0"/>
              <w:autoSpaceDN w:val="0"/>
              <w:adjustRightInd w:val="0"/>
              <w:snapToGrid w:val="0"/>
              <w:spacing w:line="440" w:lineRule="exact"/>
              <w:ind w:firstLine="480" w:firstLineChars="200"/>
              <w:rPr>
                <w:sz w:val="24"/>
              </w:rPr>
            </w:pPr>
            <w:r>
              <w:rPr>
                <w:rFonts w:hint="eastAsia"/>
                <w:sz w:val="24"/>
              </w:rPr>
              <w:t>环境管理主要内容</w:t>
            </w:r>
          </w:p>
          <w:p w14:paraId="245128A3">
            <w:pPr>
              <w:autoSpaceDE w:val="0"/>
              <w:autoSpaceDN w:val="0"/>
              <w:adjustRightInd w:val="0"/>
              <w:snapToGrid w:val="0"/>
              <w:spacing w:line="440" w:lineRule="exact"/>
              <w:ind w:firstLine="480" w:firstLineChars="200"/>
              <w:rPr>
                <w:sz w:val="24"/>
              </w:rPr>
            </w:pPr>
            <w:r>
              <w:rPr>
                <w:rFonts w:hint="eastAsia"/>
                <w:sz w:val="24"/>
              </w:rPr>
              <w:t>①控制施工期环境污染及生态破坏，杜绝野蛮施工，使施工期对环境污染及生态破坏程度降低到最小。</w:t>
            </w:r>
          </w:p>
          <w:p w14:paraId="5890C490">
            <w:pPr>
              <w:autoSpaceDE w:val="0"/>
              <w:autoSpaceDN w:val="0"/>
              <w:adjustRightInd w:val="0"/>
              <w:snapToGrid w:val="0"/>
              <w:spacing w:line="440" w:lineRule="exact"/>
              <w:ind w:firstLine="480" w:firstLineChars="200"/>
              <w:rPr>
                <w:sz w:val="24"/>
              </w:rPr>
            </w:pPr>
            <w:r>
              <w:rPr>
                <w:rFonts w:hint="eastAsia"/>
                <w:sz w:val="24"/>
              </w:rPr>
              <w:t>②对施工过程进行全程监理，防止施工扬尘、施工废水和噪声对周围环境的影响。对施工单位严格要求，按规定和要求对施工期“三废”排放进行控制。</w:t>
            </w:r>
          </w:p>
          <w:p w14:paraId="44D1AFDD">
            <w:pPr>
              <w:autoSpaceDE w:val="0"/>
              <w:autoSpaceDN w:val="0"/>
              <w:adjustRightInd w:val="0"/>
              <w:snapToGrid w:val="0"/>
              <w:spacing w:line="440" w:lineRule="exact"/>
              <w:ind w:firstLine="480" w:firstLineChars="200"/>
              <w:rPr>
                <w:sz w:val="24"/>
              </w:rPr>
            </w:pPr>
            <w:r>
              <w:rPr>
                <w:rFonts w:hint="eastAsia"/>
                <w:sz w:val="24"/>
              </w:rPr>
              <w:t>③施工期应由业主单位和施工企业签订施工合同，确立环境保护条款，明确责任。</w:t>
            </w:r>
          </w:p>
          <w:p w14:paraId="3B548C2C">
            <w:pPr>
              <w:autoSpaceDE w:val="0"/>
              <w:autoSpaceDN w:val="0"/>
              <w:adjustRightInd w:val="0"/>
              <w:snapToGrid w:val="0"/>
              <w:spacing w:line="440" w:lineRule="exact"/>
              <w:ind w:firstLine="480" w:firstLineChars="200"/>
              <w:rPr>
                <w:sz w:val="24"/>
              </w:rPr>
            </w:pPr>
            <w:r>
              <w:rPr>
                <w:rFonts w:hint="eastAsia"/>
                <w:sz w:val="24"/>
              </w:rPr>
              <w:t>④指导和监督检查施工过程中“三废”及噪声治理工作，使施工期对环境污染及生态破坏程度降至最小。</w:t>
            </w:r>
          </w:p>
          <w:p w14:paraId="35925A7D">
            <w:pPr>
              <w:autoSpaceDE w:val="0"/>
              <w:autoSpaceDN w:val="0"/>
              <w:adjustRightInd w:val="0"/>
              <w:snapToGrid w:val="0"/>
              <w:spacing w:line="440" w:lineRule="exact"/>
              <w:ind w:firstLine="480" w:firstLineChars="200"/>
              <w:rPr>
                <w:sz w:val="24"/>
              </w:rPr>
            </w:pPr>
            <w:r>
              <w:rPr>
                <w:rFonts w:hint="eastAsia"/>
                <w:sz w:val="24"/>
              </w:rPr>
              <w:t>⑤制定有效的措施，减少施工中废水、废气、固体废物（建筑垃圾、生活垃圾等）及噪声对环境的影响。</w:t>
            </w:r>
          </w:p>
          <w:p w14:paraId="4AA63378">
            <w:pPr>
              <w:autoSpaceDE w:val="0"/>
              <w:autoSpaceDN w:val="0"/>
              <w:adjustRightInd w:val="0"/>
              <w:snapToGrid w:val="0"/>
              <w:spacing w:line="440" w:lineRule="exact"/>
              <w:ind w:firstLine="480" w:firstLineChars="200"/>
              <w:rPr>
                <w:sz w:val="24"/>
              </w:rPr>
            </w:pPr>
            <w:r>
              <w:rPr>
                <w:rFonts w:hint="eastAsia"/>
                <w:sz w:val="24"/>
              </w:rPr>
              <w:t>⑥加强施工期扬尘监测。</w:t>
            </w:r>
          </w:p>
          <w:p w14:paraId="65115610">
            <w:pPr>
              <w:autoSpaceDE w:val="0"/>
              <w:autoSpaceDN w:val="0"/>
              <w:adjustRightInd w:val="0"/>
              <w:snapToGrid w:val="0"/>
              <w:spacing w:line="440" w:lineRule="exact"/>
              <w:ind w:firstLine="480" w:firstLineChars="200"/>
              <w:rPr>
                <w:sz w:val="24"/>
              </w:rPr>
            </w:pPr>
            <w:r>
              <w:rPr>
                <w:rFonts w:hint="eastAsia"/>
                <w:sz w:val="24"/>
              </w:rPr>
              <w:t>⑦加强施工期运输车辆车速、人员管理和教育。</w:t>
            </w:r>
          </w:p>
          <w:p w14:paraId="651F8AFD">
            <w:pPr>
              <w:autoSpaceDE w:val="0"/>
              <w:autoSpaceDN w:val="0"/>
              <w:adjustRightInd w:val="0"/>
              <w:snapToGrid w:val="0"/>
              <w:spacing w:line="440" w:lineRule="exact"/>
              <w:ind w:firstLine="480" w:firstLineChars="200"/>
              <w:rPr>
                <w:sz w:val="24"/>
              </w:rPr>
            </w:pPr>
            <w:r>
              <w:rPr>
                <w:rFonts w:hint="eastAsia"/>
                <w:sz w:val="24"/>
              </w:rPr>
              <w:t>⑧组织做好施工现场环境恢复工作。</w:t>
            </w:r>
          </w:p>
          <w:p w14:paraId="0623EA53">
            <w:pPr>
              <w:autoSpaceDE w:val="0"/>
              <w:autoSpaceDN w:val="0"/>
              <w:adjustRightInd w:val="0"/>
              <w:snapToGrid w:val="0"/>
              <w:spacing w:line="440" w:lineRule="exact"/>
              <w:ind w:firstLine="480" w:firstLineChars="200"/>
              <w:rPr>
                <w:sz w:val="24"/>
              </w:rPr>
            </w:pPr>
            <w:r>
              <w:rPr>
                <w:rFonts w:hint="eastAsia"/>
                <w:sz w:val="24"/>
              </w:rPr>
              <w:t>⑨施工期间要做到文明施工，根据施工计划制定防止扬尘污染的措施，如架设挡板、洒水，土方及时清运，运输车辆在离开现场上路行驶之前车轮用水冲洗、加盖帆布运输等，同时尽量避免在起风情况下装卸物料。</w:t>
            </w:r>
          </w:p>
          <w:p w14:paraId="2AE12089">
            <w:pPr>
              <w:autoSpaceDE w:val="0"/>
              <w:autoSpaceDN w:val="0"/>
              <w:adjustRightInd w:val="0"/>
              <w:snapToGrid w:val="0"/>
              <w:spacing w:line="440" w:lineRule="exact"/>
              <w:ind w:firstLine="480" w:firstLineChars="200"/>
              <w:rPr>
                <w:sz w:val="24"/>
              </w:rPr>
            </w:pPr>
            <w:r>
              <w:rPr>
                <w:rFonts w:eastAsia="微软雅黑"/>
                <w:sz w:val="24"/>
              </w:rPr>
              <w:t>⑩</w:t>
            </w:r>
            <w:r>
              <w:rPr>
                <w:sz w:val="24"/>
              </w:rPr>
              <w:t>施工人员生活污水严禁直接排入河流。施工场地应加强管理，防止土石方、施工材料邻近水域堆放。</w:t>
            </w:r>
          </w:p>
          <w:p w14:paraId="19A9EBF5">
            <w:pPr>
              <w:autoSpaceDE w:val="0"/>
              <w:autoSpaceDN w:val="0"/>
              <w:adjustRightInd w:val="0"/>
              <w:snapToGrid w:val="0"/>
              <w:spacing w:line="440" w:lineRule="exact"/>
              <w:ind w:firstLine="480" w:firstLineChars="200"/>
              <w:rPr>
                <w:sz w:val="24"/>
              </w:rPr>
            </w:pPr>
            <w:r>
              <w:rPr>
                <w:rFonts w:eastAsia="微软雅黑"/>
                <w:sz w:val="24"/>
              </w:rPr>
              <w:t>⑪</w:t>
            </w:r>
            <w:r>
              <w:rPr>
                <w:sz w:val="24"/>
              </w:rPr>
              <w:t>对施工临时占地和影响区，在施工结束后，要进行清理整治，重新疏松被碾压后变得密实的土壤，洼地要覆土填平并及时进行植被恢复绿化，将水土流失降至最低限度。</w:t>
            </w:r>
          </w:p>
          <w:p w14:paraId="26CDD4B9">
            <w:pPr>
              <w:autoSpaceDE w:val="0"/>
              <w:autoSpaceDN w:val="0"/>
              <w:adjustRightInd w:val="0"/>
              <w:snapToGrid w:val="0"/>
              <w:spacing w:line="440" w:lineRule="exact"/>
              <w:ind w:firstLine="480" w:firstLineChars="200"/>
              <w:rPr>
                <w:sz w:val="24"/>
              </w:rPr>
            </w:pPr>
            <w:r>
              <w:rPr>
                <w:rFonts w:eastAsia="微软雅黑"/>
                <w:sz w:val="24"/>
              </w:rPr>
              <w:t>⑫</w:t>
            </w:r>
            <w:r>
              <w:rPr>
                <w:sz w:val="24"/>
              </w:rPr>
              <w:t>临时</w:t>
            </w:r>
            <w:r>
              <w:rPr>
                <w:rFonts w:hint="eastAsia"/>
                <w:sz w:val="24"/>
              </w:rPr>
              <w:t>场地</w:t>
            </w:r>
            <w:r>
              <w:rPr>
                <w:sz w:val="24"/>
              </w:rPr>
              <w:t>采取土袋围挡</w:t>
            </w:r>
            <w:r>
              <w:rPr>
                <w:rFonts w:hint="eastAsia"/>
                <w:sz w:val="24"/>
              </w:rPr>
              <w:t>等</w:t>
            </w:r>
            <w:r>
              <w:rPr>
                <w:sz w:val="24"/>
              </w:rPr>
              <w:t>措施，防止产生水土流失</w:t>
            </w:r>
            <w:r>
              <w:rPr>
                <w:rFonts w:hint="eastAsia"/>
                <w:sz w:val="24"/>
              </w:rPr>
              <w:t>，同时</w:t>
            </w:r>
            <w:r>
              <w:rPr>
                <w:sz w:val="24"/>
              </w:rPr>
              <w:t>四周设排水沟，内部设排水盲沟，出口设沉</w:t>
            </w:r>
            <w:r>
              <w:rPr>
                <w:rFonts w:hint="eastAsia"/>
                <w:sz w:val="24"/>
              </w:rPr>
              <w:t>沙</w:t>
            </w:r>
            <w:r>
              <w:rPr>
                <w:sz w:val="24"/>
              </w:rPr>
              <w:t>池，确保污染物不外排。</w:t>
            </w:r>
          </w:p>
          <w:p w14:paraId="416671F5">
            <w:pPr>
              <w:pStyle w:val="4"/>
              <w:numPr>
                <w:ilvl w:val="1"/>
                <w:numId w:val="35"/>
              </w:numPr>
            </w:pPr>
            <w:r>
              <w:rPr>
                <w:rFonts w:hint="eastAsia"/>
              </w:rPr>
              <w:t>环境监测</w:t>
            </w:r>
          </w:p>
          <w:p w14:paraId="122E990D">
            <w:pPr>
              <w:pStyle w:val="36"/>
              <w:ind w:firstLine="480"/>
              <w:rPr>
                <w:rFonts w:hint="default"/>
              </w:rPr>
            </w:pPr>
            <w:r>
              <w:t>对影响环境变化的、对区域环境影响起控制作用的主要因子进行监测，力求做到有针对性、有代表性和监测方案的可操作性，并根据监测结果，对监测点进行适当的调整。通过必要的环境监测计划实施，全面及时地掌握工程区域环境状况，为制定必要的污染控制措施提供依据。</w:t>
            </w:r>
          </w:p>
          <w:p w14:paraId="20B2416B">
            <w:pPr>
              <w:pStyle w:val="36"/>
              <w:ind w:firstLine="480"/>
              <w:rPr>
                <w:rFonts w:hint="default"/>
              </w:rPr>
            </w:pPr>
            <w:r>
              <w:t>1）监测报告制度</w:t>
            </w:r>
          </w:p>
          <w:p w14:paraId="71847A76">
            <w:pPr>
              <w:pStyle w:val="36"/>
              <w:ind w:firstLine="480"/>
              <w:rPr>
                <w:rFonts w:hint="default"/>
              </w:rPr>
            </w:pPr>
            <w:r>
              <w:t>本工程环境监测任务应由工程环境管理机构负责组织实施，大气环境、生态环境及水土保持监测应委托具有相应监测资质和监测经验的单位进行监测。</w:t>
            </w:r>
          </w:p>
          <w:p w14:paraId="025B03D9">
            <w:pPr>
              <w:pStyle w:val="36"/>
              <w:ind w:firstLine="480"/>
              <w:rPr>
                <w:rFonts w:hint="default"/>
              </w:rPr>
            </w:pPr>
            <w:r>
              <w:t>环境监测应按国家和地方的环保要求进行，采用国家规定的标准监测方法，并按照规定。定期向有关环境保护主管部门上报监测结果。</w:t>
            </w:r>
          </w:p>
          <w:p w14:paraId="78AF3C6C">
            <w:pPr>
              <w:pStyle w:val="36"/>
              <w:ind w:firstLine="480"/>
              <w:rPr>
                <w:rFonts w:hint="default"/>
              </w:rPr>
            </w:pPr>
            <w:r>
              <w:t>2）环境监测内容</w:t>
            </w:r>
          </w:p>
          <w:p w14:paraId="75ADFBF6">
            <w:pPr>
              <w:pStyle w:val="36"/>
              <w:ind w:firstLine="480"/>
              <w:rPr>
                <w:rFonts w:hint="default"/>
              </w:rPr>
            </w:pPr>
            <w:r>
              <w:t>环境监测项目包括水质监测、环境空气监测、声环境监测。</w:t>
            </w:r>
          </w:p>
          <w:p w14:paraId="2EA7FF89">
            <w:pPr>
              <w:pStyle w:val="36"/>
              <w:ind w:firstLine="480"/>
              <w:rPr>
                <w:rFonts w:hint="default"/>
              </w:rPr>
            </w:pPr>
            <w:r>
              <w:t>①地表水</w:t>
            </w:r>
          </w:p>
          <w:p w14:paraId="7E02E549">
            <w:pPr>
              <w:pStyle w:val="36"/>
              <w:ind w:firstLine="480"/>
              <w:rPr>
                <w:rFonts w:hint="default"/>
              </w:rPr>
            </w:pPr>
            <w:r>
              <w:t>监测断面：金水河起点前约100米和终点后100米分别设置1个监测断面。</w:t>
            </w:r>
          </w:p>
          <w:p w14:paraId="50231C67">
            <w:pPr>
              <w:pStyle w:val="36"/>
              <w:ind w:firstLine="480"/>
              <w:rPr>
                <w:rFonts w:hint="default"/>
              </w:rPr>
            </w:pPr>
            <w:r>
              <w:t>监测项目：pH、SS、溶解氧、化学需氧量、五日生化需氧量、氨氮、总磷、总氮、石油类、粪大肠菌群等。</w:t>
            </w:r>
          </w:p>
          <w:p w14:paraId="6E05710F">
            <w:pPr>
              <w:pStyle w:val="36"/>
              <w:ind w:firstLine="480"/>
              <w:rPr>
                <w:rFonts w:hint="default"/>
              </w:rPr>
            </w:pPr>
            <w:r>
              <w:t>监测频率：施工高峰期内每季度监测3天，每天监测1次。</w:t>
            </w:r>
          </w:p>
          <w:p w14:paraId="61CF3DE4">
            <w:pPr>
              <w:pStyle w:val="36"/>
              <w:ind w:firstLine="480"/>
              <w:rPr>
                <w:rFonts w:hint="default"/>
              </w:rPr>
            </w:pPr>
            <w:r>
              <w:t>②环境空气</w:t>
            </w:r>
          </w:p>
          <w:p w14:paraId="66862DF7">
            <w:pPr>
              <w:pStyle w:val="36"/>
              <w:ind w:firstLine="480"/>
              <w:rPr>
                <w:rFonts w:hint="default"/>
              </w:rPr>
            </w:pPr>
            <w:r>
              <w:t>监测点布设：在施工场地附件活动较集中的区域设1个监测点。</w:t>
            </w:r>
          </w:p>
          <w:p w14:paraId="449E4A47">
            <w:pPr>
              <w:pStyle w:val="36"/>
              <w:ind w:firstLine="480"/>
              <w:rPr>
                <w:rFonts w:hint="default"/>
              </w:rPr>
            </w:pPr>
            <w:r>
              <w:t>监测项目：TSP</w:t>
            </w:r>
          </w:p>
          <w:p w14:paraId="07944EB4">
            <w:pPr>
              <w:pStyle w:val="36"/>
              <w:ind w:firstLine="480"/>
              <w:rPr>
                <w:rFonts w:hint="default"/>
              </w:rPr>
            </w:pPr>
            <w:r>
              <w:t>监测频率：施工高峰期内每季度监测3天，每天监测3天。</w:t>
            </w:r>
          </w:p>
          <w:p w14:paraId="5F9BF8C0">
            <w:pPr>
              <w:pStyle w:val="36"/>
              <w:ind w:firstLine="480"/>
              <w:rPr>
                <w:rFonts w:hint="default"/>
              </w:rPr>
            </w:pPr>
            <w:r>
              <w:t>③噪声</w:t>
            </w:r>
          </w:p>
          <w:p w14:paraId="7DA2C1C7">
            <w:pPr>
              <w:pStyle w:val="36"/>
              <w:ind w:firstLine="480"/>
              <w:rPr>
                <w:rFonts w:hint="default"/>
              </w:rPr>
            </w:pPr>
            <w:r>
              <w:t>监测点布设：在施工活动较集中的施工区和活动较集中区域较近居民点附近各设1个监测点。</w:t>
            </w:r>
          </w:p>
          <w:p w14:paraId="67F0DBF0">
            <w:pPr>
              <w:pStyle w:val="36"/>
              <w:ind w:firstLine="480"/>
              <w:rPr>
                <w:rFonts w:hint="default"/>
              </w:rPr>
            </w:pPr>
            <w:r>
              <w:t>监测内容：等效连续A声级（Leq）。</w:t>
            </w:r>
          </w:p>
          <w:p w14:paraId="1E326EB7">
            <w:pPr>
              <w:pStyle w:val="36"/>
              <w:ind w:firstLine="480"/>
              <w:rPr>
                <w:rFonts w:hint="default"/>
              </w:rPr>
            </w:pPr>
            <w:r>
              <w:t>监测频率：施工高峰期每月监测1次，每次监测1天。</w:t>
            </w:r>
          </w:p>
          <w:p w14:paraId="0FCE24DF">
            <w:pPr>
              <w:pStyle w:val="4"/>
              <w:numPr>
                <w:ilvl w:val="0"/>
                <w:numId w:val="35"/>
              </w:numPr>
            </w:pPr>
            <w:r>
              <w:rPr>
                <w:rFonts w:hint="eastAsia"/>
              </w:rPr>
              <w:t>环境竣工验收</w:t>
            </w:r>
          </w:p>
          <w:p w14:paraId="72692FF0">
            <w:pPr>
              <w:pStyle w:val="36"/>
              <w:ind w:firstLine="480"/>
              <w:rPr>
                <w:rFonts w:hint="default"/>
              </w:rPr>
            </w:pPr>
            <w:r>
              <w:t>根据《中华人民共和国环境保护法》及建设项目环境保护管理条例的规定，本项目应执行环境影响评价制度和环境保护设施与主体工程同时设计、同时施工、同时投产使用的“三同时”制度。</w:t>
            </w:r>
          </w:p>
          <w:p w14:paraId="4860FB7B">
            <w:pPr>
              <w:pStyle w:val="36"/>
              <w:ind w:firstLine="480"/>
              <w:rPr>
                <w:rFonts w:hint="default"/>
              </w:rPr>
            </w:pPr>
            <w:r>
              <w:t>竣工环境保护验收是为了查清本工程环境保护措施落实情况，分析已采取环保措施的有效性，确定项目对环境造成的实际影响及可能存在的潜在影响，全面做好生态恢复与污染防治工作。</w:t>
            </w:r>
          </w:p>
          <w:p w14:paraId="4B9C69BC">
            <w:pPr>
              <w:pStyle w:val="36"/>
              <w:ind w:firstLine="480"/>
              <w:rPr>
                <w:rFonts w:hint="default"/>
              </w:rPr>
            </w:pPr>
            <w:r>
              <w:t>环境保护验收调查报告由建设单位编制。建设单位、设计单位、施工单位、环评单位、监测单位或调查报告编制单位应参与验收。</w:t>
            </w:r>
          </w:p>
        </w:tc>
      </w:tr>
      <w:tr w14:paraId="2A6D5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4" w:type="dxa"/>
            <w:tcBorders>
              <w:tl2br w:val="nil"/>
              <w:tr2bl w:val="nil"/>
            </w:tcBorders>
            <w:vAlign w:val="center"/>
          </w:tcPr>
          <w:p w14:paraId="404A3734">
            <w:pPr>
              <w:autoSpaceDE w:val="0"/>
              <w:autoSpaceDN w:val="0"/>
              <w:adjustRightInd w:val="0"/>
              <w:snapToGrid w:val="0"/>
              <w:jc w:val="center"/>
              <w:rPr>
                <w:kern w:val="0"/>
                <w:sz w:val="24"/>
              </w:rPr>
            </w:pPr>
            <w:r>
              <w:rPr>
                <w:rFonts w:hint="eastAsia"/>
                <w:kern w:val="0"/>
                <w:sz w:val="24"/>
              </w:rPr>
              <w:t>环保投资</w:t>
            </w:r>
          </w:p>
        </w:tc>
        <w:tc>
          <w:tcPr>
            <w:tcW w:w="8276" w:type="dxa"/>
            <w:tcBorders>
              <w:tl2br w:val="nil"/>
              <w:tr2bl w:val="nil"/>
            </w:tcBorders>
            <w:vAlign w:val="center"/>
          </w:tcPr>
          <w:p w14:paraId="7A349BE8">
            <w:pPr>
              <w:adjustRightInd w:val="0"/>
              <w:snapToGrid w:val="0"/>
              <w:spacing w:line="440" w:lineRule="exact"/>
              <w:ind w:firstLine="480" w:firstLineChars="200"/>
              <w:rPr>
                <w:sz w:val="24"/>
              </w:rPr>
            </w:pPr>
            <w:r>
              <w:rPr>
                <w:rFonts w:hint="eastAsia"/>
                <w:sz w:val="24"/>
              </w:rPr>
              <w:t>本项目总投资1001.44万元，本次项目环保投资23.12万元，占总投资的2.31%，项目环保设施及设施一览表如下：</w:t>
            </w:r>
          </w:p>
          <w:p w14:paraId="4F4E0133">
            <w:pPr>
              <w:numPr>
                <w:ilvl w:val="0"/>
                <w:numId w:val="34"/>
              </w:numPr>
              <w:adjustRightInd w:val="0"/>
              <w:snapToGrid w:val="0"/>
              <w:spacing w:before="156" w:beforeLines="50"/>
              <w:jc w:val="center"/>
              <w:rPr>
                <w:b/>
                <w:szCs w:val="21"/>
              </w:rPr>
            </w:pPr>
            <w:r>
              <w:rPr>
                <w:rFonts w:hint="eastAsia"/>
                <w:b/>
                <w:szCs w:val="21"/>
              </w:rPr>
              <w:t>环保设施及投资一览表  单位：万元</w:t>
            </w:r>
          </w:p>
          <w:tbl>
            <w:tblPr>
              <w:tblStyle w:val="2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0"/>
              <w:gridCol w:w="1150"/>
              <w:gridCol w:w="5721"/>
              <w:gridCol w:w="694"/>
            </w:tblGrid>
            <w:tr w14:paraId="486DE4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6" w:type="pct"/>
                  <w:vAlign w:val="center"/>
                </w:tcPr>
                <w:p w14:paraId="7E90ED58">
                  <w:pPr>
                    <w:jc w:val="center"/>
                    <w:rPr>
                      <w:b/>
                      <w:szCs w:val="21"/>
                    </w:rPr>
                  </w:pPr>
                  <w:r>
                    <w:rPr>
                      <w:rFonts w:hint="eastAsia"/>
                      <w:b/>
                      <w:szCs w:val="21"/>
                    </w:rPr>
                    <w:t>类别</w:t>
                  </w:r>
                </w:p>
              </w:tc>
              <w:tc>
                <w:tcPr>
                  <w:tcW w:w="4217" w:type="pct"/>
                  <w:gridSpan w:val="2"/>
                  <w:vAlign w:val="center"/>
                </w:tcPr>
                <w:p w14:paraId="18EE57C9">
                  <w:pPr>
                    <w:jc w:val="center"/>
                    <w:rPr>
                      <w:b/>
                      <w:szCs w:val="21"/>
                    </w:rPr>
                  </w:pPr>
                  <w:r>
                    <w:rPr>
                      <w:rFonts w:hint="eastAsia"/>
                      <w:b/>
                      <w:szCs w:val="21"/>
                    </w:rPr>
                    <w:t>环保措施</w:t>
                  </w:r>
                </w:p>
              </w:tc>
              <w:tc>
                <w:tcPr>
                  <w:tcW w:w="426" w:type="pct"/>
                  <w:vAlign w:val="center"/>
                </w:tcPr>
                <w:p w14:paraId="0AAA7597">
                  <w:pPr>
                    <w:adjustRightInd w:val="0"/>
                    <w:snapToGrid w:val="0"/>
                    <w:jc w:val="center"/>
                    <w:rPr>
                      <w:b/>
                      <w:szCs w:val="21"/>
                    </w:rPr>
                  </w:pPr>
                  <w:r>
                    <w:rPr>
                      <w:rFonts w:hint="eastAsia"/>
                      <w:b/>
                      <w:szCs w:val="21"/>
                    </w:rPr>
                    <w:t>投资</w:t>
                  </w:r>
                </w:p>
              </w:tc>
            </w:tr>
            <w:tr w14:paraId="332AFA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6" w:type="pct"/>
                  <w:vMerge w:val="restart"/>
                  <w:vAlign w:val="center"/>
                </w:tcPr>
                <w:p w14:paraId="3AF0F4C8">
                  <w:pPr>
                    <w:pStyle w:val="77"/>
                    <w:jc w:val="center"/>
                    <w:rPr>
                      <w:rFonts w:ascii="Times New Roman" w:hAnsi="Times New Roman" w:cs="Times New Roman"/>
                      <w:szCs w:val="21"/>
                    </w:rPr>
                  </w:pPr>
                  <w:r>
                    <w:rPr>
                      <w:rFonts w:hint="eastAsia" w:ascii="Times New Roman" w:hAnsi="Times New Roman" w:cs="Times New Roman"/>
                      <w:szCs w:val="21"/>
                    </w:rPr>
                    <w:t>大气环境</w:t>
                  </w:r>
                </w:p>
              </w:tc>
              <w:tc>
                <w:tcPr>
                  <w:tcW w:w="706" w:type="pct"/>
                  <w:vAlign w:val="center"/>
                </w:tcPr>
                <w:p w14:paraId="48EB6CFB">
                  <w:pPr>
                    <w:pStyle w:val="38"/>
                    <w:rPr>
                      <w:rFonts w:hint="default"/>
                    </w:rPr>
                  </w:pPr>
                  <w:r>
                    <w:t>施工降尘</w:t>
                  </w:r>
                </w:p>
              </w:tc>
              <w:tc>
                <w:tcPr>
                  <w:tcW w:w="3510" w:type="pct"/>
                  <w:vAlign w:val="center"/>
                </w:tcPr>
                <w:p w14:paraId="0AC0A83D">
                  <w:pPr>
                    <w:widowControl/>
                    <w:jc w:val="center"/>
                    <w:rPr>
                      <w:szCs w:val="21"/>
                    </w:rPr>
                  </w:pPr>
                  <w:r>
                    <w:rPr>
                      <w:rFonts w:hint="eastAsia"/>
                      <w:color w:val="000000"/>
                      <w:kern w:val="0"/>
                      <w:szCs w:val="21"/>
                      <w:lang w:bidi="ar"/>
                    </w:rPr>
                    <w:t>施工作业面、施工场地、施工道路洒水降尘、施工场地打围作业，并设置喷雾降尘装置</w:t>
                  </w:r>
                </w:p>
              </w:tc>
              <w:tc>
                <w:tcPr>
                  <w:tcW w:w="426" w:type="pct"/>
                  <w:vAlign w:val="center"/>
                </w:tcPr>
                <w:p w14:paraId="1C02D17A">
                  <w:pPr>
                    <w:jc w:val="center"/>
                    <w:rPr>
                      <w:szCs w:val="21"/>
                    </w:rPr>
                  </w:pPr>
                  <w:r>
                    <w:rPr>
                      <w:rFonts w:hint="eastAsia"/>
                      <w:szCs w:val="21"/>
                      <w:lang w:val="en-US" w:eastAsia="zh-CN"/>
                    </w:rPr>
                    <w:t>1</w:t>
                  </w:r>
                  <w:r>
                    <w:rPr>
                      <w:rFonts w:hint="eastAsia"/>
                      <w:szCs w:val="21"/>
                    </w:rPr>
                    <w:t>.0</w:t>
                  </w:r>
                </w:p>
              </w:tc>
            </w:tr>
            <w:tr w14:paraId="732C7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6" w:type="pct"/>
                  <w:vMerge w:val="continue"/>
                  <w:vAlign w:val="center"/>
                </w:tcPr>
                <w:p w14:paraId="12D24D86">
                  <w:pPr>
                    <w:pStyle w:val="77"/>
                    <w:spacing w:before="3"/>
                    <w:ind w:left="106" w:right="165"/>
                    <w:jc w:val="center"/>
                    <w:rPr>
                      <w:rFonts w:ascii="Times New Roman" w:hAnsi="Times New Roman" w:cs="Times New Roman"/>
                      <w:szCs w:val="21"/>
                    </w:rPr>
                  </w:pPr>
                </w:p>
              </w:tc>
              <w:tc>
                <w:tcPr>
                  <w:tcW w:w="706" w:type="pct"/>
                  <w:vAlign w:val="center"/>
                </w:tcPr>
                <w:p w14:paraId="28F4BB76">
                  <w:pPr>
                    <w:pStyle w:val="38"/>
                    <w:rPr>
                      <w:rFonts w:hint="default"/>
                    </w:rPr>
                  </w:pPr>
                  <w:r>
                    <w:t>堆场扬尘</w:t>
                  </w:r>
                </w:p>
              </w:tc>
              <w:tc>
                <w:tcPr>
                  <w:tcW w:w="3510" w:type="pct"/>
                  <w:vAlign w:val="center"/>
                </w:tcPr>
                <w:p w14:paraId="4FC87708">
                  <w:pPr>
                    <w:widowControl/>
                    <w:jc w:val="center"/>
                    <w:rPr>
                      <w:szCs w:val="21"/>
                    </w:rPr>
                  </w:pPr>
                  <w:r>
                    <w:rPr>
                      <w:rFonts w:hint="eastAsia"/>
                      <w:color w:val="000000"/>
                      <w:kern w:val="0"/>
                      <w:szCs w:val="21"/>
                      <w:lang w:bidi="ar"/>
                    </w:rPr>
                    <w:t>表土临时堆场设置防尘网覆盖</w:t>
                  </w:r>
                </w:p>
              </w:tc>
              <w:tc>
                <w:tcPr>
                  <w:tcW w:w="426" w:type="pct"/>
                  <w:vAlign w:val="center"/>
                </w:tcPr>
                <w:p w14:paraId="588B4D97">
                  <w:pPr>
                    <w:pStyle w:val="77"/>
                    <w:spacing w:before="3"/>
                    <w:ind w:left="106" w:right="165"/>
                    <w:jc w:val="center"/>
                    <w:rPr>
                      <w:rFonts w:ascii="Times New Roman" w:hAnsi="Times New Roman" w:cs="Times New Roman"/>
                      <w:szCs w:val="21"/>
                      <w:lang w:val="en-US"/>
                    </w:rPr>
                  </w:pPr>
                  <w:r>
                    <w:rPr>
                      <w:rFonts w:hint="eastAsia" w:ascii="Times New Roman" w:hAnsi="Times New Roman" w:cs="Times New Roman"/>
                      <w:szCs w:val="21"/>
                      <w:lang w:val="en-US"/>
                    </w:rPr>
                    <w:t>1.0</w:t>
                  </w:r>
                </w:p>
              </w:tc>
            </w:tr>
            <w:tr w14:paraId="7997D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6" w:type="pct"/>
                  <w:vMerge w:val="continue"/>
                  <w:vAlign w:val="center"/>
                </w:tcPr>
                <w:p w14:paraId="0B1D2850">
                  <w:pPr>
                    <w:pStyle w:val="77"/>
                    <w:spacing w:before="3"/>
                    <w:ind w:left="106" w:right="165"/>
                    <w:jc w:val="center"/>
                    <w:rPr>
                      <w:rFonts w:ascii="Times New Roman" w:hAnsi="Times New Roman" w:cs="Times New Roman"/>
                      <w:szCs w:val="21"/>
                    </w:rPr>
                  </w:pPr>
                </w:p>
              </w:tc>
              <w:tc>
                <w:tcPr>
                  <w:tcW w:w="706" w:type="pct"/>
                  <w:vAlign w:val="center"/>
                </w:tcPr>
                <w:p w14:paraId="78A04A38">
                  <w:pPr>
                    <w:pStyle w:val="38"/>
                    <w:rPr>
                      <w:rFonts w:hint="default"/>
                    </w:rPr>
                  </w:pPr>
                  <w:r>
                    <w:t>运输车辆道路扬尘</w:t>
                  </w:r>
                </w:p>
              </w:tc>
              <w:tc>
                <w:tcPr>
                  <w:tcW w:w="3510" w:type="pct"/>
                  <w:vAlign w:val="center"/>
                </w:tcPr>
                <w:p w14:paraId="384C3949">
                  <w:pPr>
                    <w:widowControl/>
                    <w:jc w:val="center"/>
                    <w:rPr>
                      <w:szCs w:val="21"/>
                    </w:rPr>
                  </w:pPr>
                  <w:r>
                    <w:rPr>
                      <w:rFonts w:hint="eastAsia"/>
                      <w:color w:val="000000"/>
                      <w:kern w:val="0"/>
                      <w:szCs w:val="21"/>
                      <w:lang w:bidi="ar"/>
                    </w:rPr>
                    <w:t>汽车加盖篷布运输</w:t>
                  </w:r>
                  <w:r>
                    <w:rPr>
                      <w:rFonts w:hint="eastAsia"/>
                      <w:color w:val="000000"/>
                      <w:kern w:val="0"/>
                      <w:szCs w:val="21"/>
                      <w:lang w:eastAsia="zh-CN" w:bidi="ar"/>
                    </w:rPr>
                    <w:t>及</w:t>
                  </w:r>
                  <w:r>
                    <w:rPr>
                      <w:rFonts w:hint="eastAsia"/>
                      <w:color w:val="000000"/>
                      <w:kern w:val="0"/>
                      <w:szCs w:val="21"/>
                      <w:lang w:bidi="ar"/>
                    </w:rPr>
                    <w:t>时清扫道路沿线遗洒物料，进出车辆设置洗车平台，对汽车进行清洗</w:t>
                  </w:r>
                </w:p>
              </w:tc>
              <w:tc>
                <w:tcPr>
                  <w:tcW w:w="426" w:type="pct"/>
                  <w:vAlign w:val="center"/>
                </w:tcPr>
                <w:p w14:paraId="5F3E7192">
                  <w:pPr>
                    <w:pStyle w:val="77"/>
                    <w:spacing w:before="3"/>
                    <w:ind w:left="106" w:right="165"/>
                    <w:jc w:val="center"/>
                    <w:rPr>
                      <w:rFonts w:ascii="Times New Roman" w:hAnsi="Times New Roman" w:cs="Times New Roman"/>
                      <w:szCs w:val="21"/>
                      <w:lang w:val="en-US"/>
                    </w:rPr>
                  </w:pPr>
                  <w:r>
                    <w:rPr>
                      <w:rFonts w:hint="eastAsia" w:ascii="Times New Roman" w:hAnsi="Times New Roman" w:cs="Times New Roman"/>
                      <w:szCs w:val="21"/>
                      <w:lang w:val="en-US" w:eastAsia="zh-CN"/>
                    </w:rPr>
                    <w:t>1</w:t>
                  </w:r>
                  <w:r>
                    <w:rPr>
                      <w:rFonts w:hint="eastAsia" w:ascii="Times New Roman" w:hAnsi="Times New Roman" w:cs="Times New Roman"/>
                      <w:szCs w:val="21"/>
                      <w:lang w:val="en-US"/>
                    </w:rPr>
                    <w:t>.1</w:t>
                  </w:r>
                </w:p>
              </w:tc>
            </w:tr>
            <w:tr w14:paraId="47966C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6" w:type="pct"/>
                  <w:vMerge w:val="continue"/>
                  <w:vAlign w:val="center"/>
                </w:tcPr>
                <w:p w14:paraId="50F55C3A">
                  <w:pPr>
                    <w:pStyle w:val="77"/>
                    <w:spacing w:before="3"/>
                    <w:ind w:left="106" w:right="165"/>
                    <w:jc w:val="center"/>
                    <w:rPr>
                      <w:rFonts w:ascii="Times New Roman" w:hAnsi="Times New Roman" w:cs="Times New Roman"/>
                      <w:szCs w:val="21"/>
                    </w:rPr>
                  </w:pPr>
                </w:p>
              </w:tc>
              <w:tc>
                <w:tcPr>
                  <w:tcW w:w="706" w:type="pct"/>
                  <w:vAlign w:val="center"/>
                </w:tcPr>
                <w:p w14:paraId="6FDFF329">
                  <w:pPr>
                    <w:pStyle w:val="77"/>
                    <w:spacing w:before="3"/>
                    <w:ind w:left="106" w:right="165"/>
                    <w:jc w:val="center"/>
                    <w:rPr>
                      <w:rFonts w:ascii="Times New Roman" w:hAnsi="Times New Roman" w:cs="Times New Roman"/>
                      <w:szCs w:val="21"/>
                    </w:rPr>
                  </w:pPr>
                  <w:r>
                    <w:rPr>
                      <w:rFonts w:hint="eastAsia" w:ascii="Times New Roman" w:hAnsi="Times New Roman" w:cs="Times New Roman"/>
                      <w:szCs w:val="21"/>
                    </w:rPr>
                    <w:t>施工机械尾气</w:t>
                  </w:r>
                </w:p>
              </w:tc>
              <w:tc>
                <w:tcPr>
                  <w:tcW w:w="3510" w:type="pct"/>
                  <w:vAlign w:val="center"/>
                </w:tcPr>
                <w:p w14:paraId="7D8060C7">
                  <w:pPr>
                    <w:pStyle w:val="77"/>
                    <w:spacing w:before="3"/>
                    <w:ind w:left="106" w:right="165"/>
                    <w:jc w:val="center"/>
                    <w:rPr>
                      <w:rFonts w:ascii="Times New Roman" w:hAnsi="Times New Roman" w:cs="Times New Roman"/>
                      <w:szCs w:val="21"/>
                    </w:rPr>
                  </w:pPr>
                  <w:r>
                    <w:rPr>
                      <w:rFonts w:hint="eastAsia" w:ascii="Times New Roman" w:hAnsi="Times New Roman" w:cs="Times New Roman"/>
                      <w:szCs w:val="21"/>
                    </w:rPr>
                    <w:t>施工机械及车辆等定期保养，选用符合国家标准设备</w:t>
                  </w:r>
                </w:p>
              </w:tc>
              <w:tc>
                <w:tcPr>
                  <w:tcW w:w="426" w:type="pct"/>
                  <w:vAlign w:val="center"/>
                </w:tcPr>
                <w:p w14:paraId="410DC048">
                  <w:pPr>
                    <w:pStyle w:val="77"/>
                    <w:spacing w:before="3"/>
                    <w:ind w:left="106" w:right="165"/>
                    <w:jc w:val="center"/>
                    <w:rPr>
                      <w:rFonts w:ascii="Times New Roman" w:hAnsi="Times New Roman" w:cs="Times New Roman"/>
                      <w:szCs w:val="21"/>
                      <w:lang w:val="en-US"/>
                    </w:rPr>
                  </w:pPr>
                  <w:r>
                    <w:rPr>
                      <w:rFonts w:hint="eastAsia" w:ascii="Times New Roman" w:hAnsi="Times New Roman" w:cs="Times New Roman"/>
                      <w:szCs w:val="21"/>
                      <w:lang w:val="en-US" w:eastAsia="zh-CN"/>
                    </w:rPr>
                    <w:t>0</w:t>
                  </w:r>
                  <w:r>
                    <w:rPr>
                      <w:rFonts w:hint="eastAsia" w:ascii="Times New Roman" w:hAnsi="Times New Roman" w:cs="Times New Roman"/>
                      <w:szCs w:val="21"/>
                      <w:lang w:val="en-US"/>
                    </w:rPr>
                    <w:t>.3</w:t>
                  </w:r>
                </w:p>
              </w:tc>
            </w:tr>
            <w:tr w14:paraId="44C26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56" w:type="pct"/>
                  <w:vMerge w:val="restart"/>
                  <w:vAlign w:val="center"/>
                </w:tcPr>
                <w:p w14:paraId="70BD7157">
                  <w:pPr>
                    <w:jc w:val="center"/>
                    <w:rPr>
                      <w:szCs w:val="21"/>
                    </w:rPr>
                  </w:pPr>
                  <w:r>
                    <w:rPr>
                      <w:rFonts w:hint="eastAsia"/>
                      <w:szCs w:val="21"/>
                      <w:lang w:val="zh-CN" w:bidi="zh-CN"/>
                    </w:rPr>
                    <w:t>水环境</w:t>
                  </w:r>
                </w:p>
              </w:tc>
              <w:tc>
                <w:tcPr>
                  <w:tcW w:w="706" w:type="pct"/>
                  <w:vAlign w:val="center"/>
                </w:tcPr>
                <w:p w14:paraId="2EB1FF48">
                  <w:pPr>
                    <w:pStyle w:val="77"/>
                    <w:spacing w:before="1"/>
                    <w:ind w:left="118"/>
                    <w:jc w:val="center"/>
                    <w:rPr>
                      <w:rFonts w:ascii="Times New Roman" w:hAnsi="Times New Roman" w:cs="Times New Roman"/>
                      <w:szCs w:val="21"/>
                      <w:lang w:val="en-US"/>
                    </w:rPr>
                  </w:pPr>
                  <w:r>
                    <w:rPr>
                      <w:rFonts w:hint="eastAsia" w:ascii="Times New Roman" w:hAnsi="Times New Roman" w:cs="Times New Roman"/>
                      <w:szCs w:val="21"/>
                      <w:lang w:val="en-US"/>
                    </w:rPr>
                    <w:t>施工场地废水</w:t>
                  </w:r>
                </w:p>
              </w:tc>
              <w:tc>
                <w:tcPr>
                  <w:tcW w:w="3510" w:type="pct"/>
                  <w:vAlign w:val="center"/>
                </w:tcPr>
                <w:p w14:paraId="7D9B3D8D">
                  <w:pPr>
                    <w:pStyle w:val="38"/>
                    <w:rPr>
                      <w:rFonts w:hint="default"/>
                    </w:rPr>
                  </w:pPr>
                  <w:r>
                    <w:t>施工场地内设置临时隔油沉淀池</w:t>
                  </w:r>
                </w:p>
              </w:tc>
              <w:tc>
                <w:tcPr>
                  <w:tcW w:w="426" w:type="pct"/>
                  <w:vAlign w:val="center"/>
                </w:tcPr>
                <w:p w14:paraId="4795469A">
                  <w:pPr>
                    <w:jc w:val="center"/>
                    <w:rPr>
                      <w:rFonts w:hint="eastAsia" w:eastAsia="宋体"/>
                      <w:szCs w:val="21"/>
                      <w:lang w:val="en-US" w:eastAsia="zh-CN"/>
                    </w:rPr>
                  </w:pPr>
                  <w:r>
                    <w:rPr>
                      <w:rFonts w:hint="eastAsia"/>
                      <w:szCs w:val="21"/>
                    </w:rPr>
                    <w:t>1.</w:t>
                  </w:r>
                  <w:r>
                    <w:rPr>
                      <w:rFonts w:hint="eastAsia"/>
                      <w:szCs w:val="21"/>
                      <w:lang w:val="en-US" w:eastAsia="zh-CN"/>
                    </w:rPr>
                    <w:t>0</w:t>
                  </w:r>
                </w:p>
              </w:tc>
            </w:tr>
            <w:tr w14:paraId="65A4F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56" w:type="pct"/>
                  <w:vMerge w:val="continue"/>
                  <w:vAlign w:val="center"/>
                </w:tcPr>
                <w:p w14:paraId="724A5D07">
                  <w:pPr>
                    <w:jc w:val="center"/>
                    <w:rPr>
                      <w:szCs w:val="21"/>
                    </w:rPr>
                  </w:pPr>
                </w:p>
              </w:tc>
              <w:tc>
                <w:tcPr>
                  <w:tcW w:w="706" w:type="pct"/>
                  <w:vAlign w:val="center"/>
                </w:tcPr>
                <w:p w14:paraId="29DFDD64">
                  <w:pPr>
                    <w:jc w:val="center"/>
                    <w:rPr>
                      <w:szCs w:val="21"/>
                    </w:rPr>
                  </w:pPr>
                  <w:r>
                    <w:rPr>
                      <w:rFonts w:hint="eastAsia"/>
                      <w:szCs w:val="21"/>
                    </w:rPr>
                    <w:t>基坑排水</w:t>
                  </w:r>
                </w:p>
              </w:tc>
              <w:tc>
                <w:tcPr>
                  <w:tcW w:w="3510" w:type="pct"/>
                  <w:vAlign w:val="center"/>
                </w:tcPr>
                <w:p w14:paraId="0C3D04F2">
                  <w:pPr>
                    <w:widowControl/>
                    <w:jc w:val="center"/>
                    <w:rPr>
                      <w:szCs w:val="21"/>
                    </w:rPr>
                  </w:pPr>
                  <w:r>
                    <w:rPr>
                      <w:rFonts w:hint="eastAsia"/>
                      <w:color w:val="000000"/>
                      <w:kern w:val="0"/>
                      <w:szCs w:val="21"/>
                      <w:lang w:bidi="ar"/>
                    </w:rPr>
                    <w:t>导流采用渠道进水口断流，分段导流。在各基坑内设排水沟、集水坑，基坑排水为清洁水，经沉淀处理后回用</w:t>
                  </w:r>
                </w:p>
              </w:tc>
              <w:tc>
                <w:tcPr>
                  <w:tcW w:w="426" w:type="pct"/>
                  <w:vAlign w:val="center"/>
                </w:tcPr>
                <w:p w14:paraId="1BF3738F">
                  <w:pPr>
                    <w:jc w:val="center"/>
                    <w:rPr>
                      <w:rFonts w:hint="eastAsia" w:eastAsia="宋体"/>
                      <w:szCs w:val="21"/>
                      <w:lang w:val="en-US" w:eastAsia="zh-CN"/>
                    </w:rPr>
                  </w:pPr>
                  <w:r>
                    <w:rPr>
                      <w:rFonts w:hint="eastAsia"/>
                      <w:szCs w:val="21"/>
                    </w:rPr>
                    <w:t>1.</w:t>
                  </w:r>
                  <w:r>
                    <w:rPr>
                      <w:rFonts w:hint="eastAsia"/>
                      <w:szCs w:val="21"/>
                      <w:lang w:val="en-US" w:eastAsia="zh-CN"/>
                    </w:rPr>
                    <w:t>0</w:t>
                  </w:r>
                </w:p>
              </w:tc>
            </w:tr>
            <w:tr w14:paraId="10A3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4" w:hRule="atLeast"/>
                <w:jc w:val="center"/>
              </w:trPr>
              <w:tc>
                <w:tcPr>
                  <w:tcW w:w="356" w:type="pct"/>
                  <w:vMerge w:val="continue"/>
                  <w:vAlign w:val="center"/>
                </w:tcPr>
                <w:p w14:paraId="05D3C87A">
                  <w:pPr>
                    <w:jc w:val="center"/>
                    <w:rPr>
                      <w:szCs w:val="21"/>
                    </w:rPr>
                  </w:pPr>
                </w:p>
              </w:tc>
              <w:tc>
                <w:tcPr>
                  <w:tcW w:w="706" w:type="pct"/>
                  <w:vAlign w:val="center"/>
                </w:tcPr>
                <w:p w14:paraId="28BE9AA8">
                  <w:pPr>
                    <w:jc w:val="center"/>
                    <w:rPr>
                      <w:szCs w:val="21"/>
                    </w:rPr>
                  </w:pPr>
                  <w:r>
                    <w:rPr>
                      <w:rFonts w:hint="eastAsia"/>
                      <w:szCs w:val="21"/>
                    </w:rPr>
                    <w:t>生活污水</w:t>
                  </w:r>
                </w:p>
              </w:tc>
              <w:tc>
                <w:tcPr>
                  <w:tcW w:w="3510" w:type="pct"/>
                  <w:vAlign w:val="center"/>
                </w:tcPr>
                <w:p w14:paraId="333FEA8F">
                  <w:pPr>
                    <w:jc w:val="center"/>
                    <w:rPr>
                      <w:szCs w:val="21"/>
                    </w:rPr>
                  </w:pPr>
                  <w:r>
                    <w:rPr>
                      <w:rFonts w:hint="eastAsia"/>
                      <w:szCs w:val="21"/>
                    </w:rPr>
                    <w:t>租用场镇内民房进行处理，不外排</w:t>
                  </w:r>
                </w:p>
              </w:tc>
              <w:tc>
                <w:tcPr>
                  <w:tcW w:w="426" w:type="pct"/>
                  <w:vAlign w:val="center"/>
                </w:tcPr>
                <w:p w14:paraId="36164D63">
                  <w:pPr>
                    <w:jc w:val="center"/>
                    <w:rPr>
                      <w:rFonts w:hint="eastAsia" w:eastAsia="宋体"/>
                      <w:szCs w:val="21"/>
                      <w:lang w:eastAsia="zh-CN"/>
                    </w:rPr>
                  </w:pPr>
                  <w:r>
                    <w:rPr>
                      <w:rFonts w:hint="eastAsia"/>
                      <w:szCs w:val="21"/>
                      <w:lang w:val="en-US" w:eastAsia="zh-CN"/>
                    </w:rPr>
                    <w:t>0</w:t>
                  </w:r>
                </w:p>
              </w:tc>
            </w:tr>
            <w:tr w14:paraId="71CA6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56" w:type="pct"/>
                  <w:vMerge w:val="restart"/>
                  <w:vAlign w:val="center"/>
                </w:tcPr>
                <w:p w14:paraId="6EB8793A">
                  <w:pPr>
                    <w:pStyle w:val="77"/>
                    <w:jc w:val="center"/>
                    <w:rPr>
                      <w:rFonts w:ascii="Times New Roman" w:hAnsi="Times New Roman" w:cs="Times New Roman"/>
                      <w:szCs w:val="21"/>
                    </w:rPr>
                  </w:pPr>
                  <w:r>
                    <w:rPr>
                      <w:rFonts w:hint="eastAsia" w:ascii="Times New Roman" w:hAnsi="Times New Roman" w:cs="Times New Roman"/>
                      <w:szCs w:val="21"/>
                    </w:rPr>
                    <w:t>声环境</w:t>
                  </w:r>
                </w:p>
              </w:tc>
              <w:tc>
                <w:tcPr>
                  <w:tcW w:w="706" w:type="pct"/>
                  <w:vMerge w:val="restart"/>
                  <w:vAlign w:val="center"/>
                </w:tcPr>
                <w:p w14:paraId="360F8647">
                  <w:pPr>
                    <w:pStyle w:val="77"/>
                    <w:spacing w:before="1"/>
                    <w:ind w:left="118"/>
                    <w:jc w:val="center"/>
                    <w:rPr>
                      <w:rFonts w:ascii="Times New Roman" w:hAnsi="Times New Roman" w:cs="Times New Roman"/>
                      <w:szCs w:val="21"/>
                    </w:rPr>
                  </w:pPr>
                  <w:r>
                    <w:rPr>
                      <w:rFonts w:hint="eastAsia" w:ascii="Times New Roman" w:hAnsi="Times New Roman" w:cs="Times New Roman"/>
                      <w:szCs w:val="21"/>
                    </w:rPr>
                    <w:t>噪声治理措施</w:t>
                  </w:r>
                </w:p>
              </w:tc>
              <w:tc>
                <w:tcPr>
                  <w:tcW w:w="3510" w:type="pct"/>
                  <w:vAlign w:val="center"/>
                </w:tcPr>
                <w:p w14:paraId="0C9F3454">
                  <w:pPr>
                    <w:pStyle w:val="38"/>
                    <w:rPr>
                      <w:rFonts w:hint="default"/>
                    </w:rPr>
                  </w:pPr>
                  <w:r>
                    <w:t>施工时选用低噪声设备，基础减震等降低噪声；布局时通过合理平面布置进行降噪</w:t>
                  </w:r>
                </w:p>
              </w:tc>
              <w:tc>
                <w:tcPr>
                  <w:tcW w:w="426" w:type="pct"/>
                  <w:vMerge w:val="restart"/>
                  <w:vAlign w:val="center"/>
                </w:tcPr>
                <w:p w14:paraId="52A72885">
                  <w:pPr>
                    <w:jc w:val="center"/>
                    <w:rPr>
                      <w:szCs w:val="21"/>
                    </w:rPr>
                  </w:pPr>
                  <w:r>
                    <w:rPr>
                      <w:rFonts w:hint="eastAsia"/>
                      <w:szCs w:val="21"/>
                    </w:rPr>
                    <w:t>0.78</w:t>
                  </w:r>
                </w:p>
              </w:tc>
            </w:tr>
            <w:tr w14:paraId="35D96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30" w:hRule="atLeast"/>
                <w:jc w:val="center"/>
              </w:trPr>
              <w:tc>
                <w:tcPr>
                  <w:tcW w:w="356" w:type="pct"/>
                  <w:vMerge w:val="continue"/>
                  <w:vAlign w:val="center"/>
                </w:tcPr>
                <w:p w14:paraId="7C79FD48">
                  <w:pPr>
                    <w:jc w:val="center"/>
                    <w:rPr>
                      <w:szCs w:val="21"/>
                    </w:rPr>
                  </w:pPr>
                </w:p>
              </w:tc>
              <w:tc>
                <w:tcPr>
                  <w:tcW w:w="706" w:type="pct"/>
                  <w:vMerge w:val="continue"/>
                  <w:vAlign w:val="center"/>
                </w:tcPr>
                <w:p w14:paraId="6EF6B2C2">
                  <w:pPr>
                    <w:jc w:val="center"/>
                    <w:rPr>
                      <w:szCs w:val="21"/>
                    </w:rPr>
                  </w:pPr>
                </w:p>
              </w:tc>
              <w:tc>
                <w:tcPr>
                  <w:tcW w:w="3510" w:type="pct"/>
                  <w:vAlign w:val="center"/>
                </w:tcPr>
                <w:p w14:paraId="0934A335">
                  <w:pPr>
                    <w:jc w:val="center"/>
                    <w:rPr>
                      <w:szCs w:val="21"/>
                    </w:rPr>
                  </w:pPr>
                  <w:r>
                    <w:rPr>
                      <w:rFonts w:hint="eastAsia"/>
                      <w:szCs w:val="21"/>
                    </w:rPr>
                    <w:t>加强施工管理，合理进行施工平面布置，合理安排施工时间，高噪声设备禁止夜间施工，制定合理运输路线，采取控制车速和禁止鸣笛等措施，定期检修和维护机械设备；对于场内施工人员，配备个人防护措施；对于周边敏感点根据实际情况设置声障及围挡等</w:t>
                  </w:r>
                </w:p>
              </w:tc>
              <w:tc>
                <w:tcPr>
                  <w:tcW w:w="426" w:type="pct"/>
                  <w:vMerge w:val="continue"/>
                  <w:vAlign w:val="center"/>
                </w:tcPr>
                <w:p w14:paraId="4365DCEE">
                  <w:pPr>
                    <w:jc w:val="center"/>
                    <w:rPr>
                      <w:szCs w:val="21"/>
                    </w:rPr>
                  </w:pPr>
                </w:p>
              </w:tc>
            </w:tr>
            <w:tr w14:paraId="60C06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56" w:type="pct"/>
                  <w:vMerge w:val="restart"/>
                  <w:vAlign w:val="center"/>
                </w:tcPr>
                <w:p w14:paraId="6FF2BFF2">
                  <w:pPr>
                    <w:pStyle w:val="77"/>
                    <w:ind w:left="162" w:right="109"/>
                    <w:jc w:val="center"/>
                    <w:rPr>
                      <w:rFonts w:ascii="Times New Roman" w:hAnsi="Times New Roman" w:cs="Times New Roman"/>
                      <w:szCs w:val="21"/>
                      <w:lang w:val="en-US"/>
                    </w:rPr>
                  </w:pPr>
                  <w:r>
                    <w:rPr>
                      <w:rFonts w:hint="eastAsia" w:ascii="Times New Roman" w:hAnsi="Times New Roman" w:cs="Times New Roman"/>
                      <w:szCs w:val="21"/>
                      <w:lang w:val="en-US"/>
                    </w:rPr>
                    <w:t>固废</w:t>
                  </w:r>
                </w:p>
              </w:tc>
              <w:tc>
                <w:tcPr>
                  <w:tcW w:w="706" w:type="pct"/>
                  <w:vAlign w:val="center"/>
                </w:tcPr>
                <w:p w14:paraId="4EBAA17F">
                  <w:pPr>
                    <w:jc w:val="center"/>
                    <w:rPr>
                      <w:szCs w:val="21"/>
                    </w:rPr>
                  </w:pPr>
                  <w:r>
                    <w:rPr>
                      <w:rFonts w:hint="eastAsia"/>
                      <w:szCs w:val="21"/>
                    </w:rPr>
                    <w:t>建筑垃圾</w:t>
                  </w:r>
                </w:p>
              </w:tc>
              <w:tc>
                <w:tcPr>
                  <w:tcW w:w="3510" w:type="pct"/>
                  <w:vAlign w:val="center"/>
                </w:tcPr>
                <w:p w14:paraId="68D26544">
                  <w:pPr>
                    <w:pStyle w:val="38"/>
                    <w:rPr>
                      <w:rFonts w:hint="default"/>
                    </w:rPr>
                  </w:pPr>
                  <w:r>
                    <w:t>建筑垃圾可回收部分交废物收购站处理；不能回收部分及时清运到政府部门指定建筑垃圾堆放场</w:t>
                  </w:r>
                </w:p>
              </w:tc>
              <w:tc>
                <w:tcPr>
                  <w:tcW w:w="426" w:type="pct"/>
                  <w:vAlign w:val="center"/>
                </w:tcPr>
                <w:p w14:paraId="6A83E3A0">
                  <w:pPr>
                    <w:jc w:val="center"/>
                    <w:rPr>
                      <w:rFonts w:hint="default" w:eastAsia="宋体"/>
                      <w:szCs w:val="21"/>
                      <w:lang w:val="en-US" w:eastAsia="zh-CN"/>
                    </w:rPr>
                  </w:pPr>
                  <w:r>
                    <w:rPr>
                      <w:rFonts w:hint="eastAsia"/>
                      <w:szCs w:val="21"/>
                    </w:rPr>
                    <w:t>1</w:t>
                  </w:r>
                  <w:r>
                    <w:rPr>
                      <w:rFonts w:hint="eastAsia"/>
                      <w:szCs w:val="21"/>
                      <w:lang w:val="en-US" w:eastAsia="zh-CN"/>
                    </w:rPr>
                    <w:t>.0</w:t>
                  </w:r>
                </w:p>
              </w:tc>
            </w:tr>
            <w:tr w14:paraId="06A5D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56" w:type="pct"/>
                  <w:vMerge w:val="continue"/>
                  <w:vAlign w:val="center"/>
                </w:tcPr>
                <w:p w14:paraId="5194B784">
                  <w:pPr>
                    <w:jc w:val="center"/>
                    <w:rPr>
                      <w:szCs w:val="21"/>
                    </w:rPr>
                  </w:pPr>
                </w:p>
              </w:tc>
              <w:tc>
                <w:tcPr>
                  <w:tcW w:w="706" w:type="pct"/>
                  <w:vAlign w:val="center"/>
                </w:tcPr>
                <w:p w14:paraId="515119CB">
                  <w:pPr>
                    <w:jc w:val="center"/>
                    <w:rPr>
                      <w:szCs w:val="21"/>
                    </w:rPr>
                  </w:pPr>
                  <w:r>
                    <w:rPr>
                      <w:rFonts w:hint="eastAsia"/>
                      <w:szCs w:val="21"/>
                    </w:rPr>
                    <w:t>生活垃圾</w:t>
                  </w:r>
                </w:p>
              </w:tc>
              <w:tc>
                <w:tcPr>
                  <w:tcW w:w="3510" w:type="pct"/>
                  <w:vAlign w:val="center"/>
                </w:tcPr>
                <w:p w14:paraId="2F576E98">
                  <w:pPr>
                    <w:jc w:val="center"/>
                    <w:rPr>
                      <w:szCs w:val="21"/>
                    </w:rPr>
                  </w:pPr>
                  <w:r>
                    <w:rPr>
                      <w:rFonts w:hint="eastAsia"/>
                      <w:szCs w:val="21"/>
                    </w:rPr>
                    <w:t>集中收集后交由市政环卫部门统一收集处理</w:t>
                  </w:r>
                </w:p>
              </w:tc>
              <w:tc>
                <w:tcPr>
                  <w:tcW w:w="426" w:type="pct"/>
                  <w:vAlign w:val="center"/>
                </w:tcPr>
                <w:p w14:paraId="483A7BA2">
                  <w:pPr>
                    <w:jc w:val="center"/>
                    <w:rPr>
                      <w:rFonts w:hint="default" w:eastAsia="宋体"/>
                      <w:szCs w:val="21"/>
                      <w:lang w:val="en-US" w:eastAsia="zh-CN"/>
                    </w:rPr>
                  </w:pPr>
                  <w:r>
                    <w:rPr>
                      <w:rFonts w:hint="eastAsia"/>
                      <w:szCs w:val="21"/>
                    </w:rPr>
                    <w:t>1</w:t>
                  </w:r>
                  <w:r>
                    <w:rPr>
                      <w:rFonts w:hint="eastAsia"/>
                      <w:szCs w:val="21"/>
                      <w:lang w:val="en-US" w:eastAsia="zh-CN"/>
                    </w:rPr>
                    <w:t>.0</w:t>
                  </w:r>
                </w:p>
              </w:tc>
            </w:tr>
            <w:tr w14:paraId="4B684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56" w:type="pct"/>
                  <w:vMerge w:val="continue"/>
                  <w:vAlign w:val="center"/>
                </w:tcPr>
                <w:p w14:paraId="23E0D6AC">
                  <w:pPr>
                    <w:jc w:val="center"/>
                    <w:rPr>
                      <w:szCs w:val="21"/>
                    </w:rPr>
                  </w:pPr>
                </w:p>
              </w:tc>
              <w:tc>
                <w:tcPr>
                  <w:tcW w:w="706" w:type="pct"/>
                  <w:vAlign w:val="center"/>
                </w:tcPr>
                <w:p w14:paraId="03983CAF">
                  <w:pPr>
                    <w:jc w:val="center"/>
                    <w:rPr>
                      <w:szCs w:val="21"/>
                    </w:rPr>
                  </w:pPr>
                  <w:r>
                    <w:rPr>
                      <w:rFonts w:hint="eastAsia"/>
                      <w:szCs w:val="21"/>
                    </w:rPr>
                    <w:t>剥离表土</w:t>
                  </w:r>
                </w:p>
              </w:tc>
              <w:tc>
                <w:tcPr>
                  <w:tcW w:w="3510" w:type="pct"/>
                  <w:vAlign w:val="center"/>
                </w:tcPr>
                <w:p w14:paraId="025CC1E5">
                  <w:pPr>
                    <w:jc w:val="center"/>
                    <w:rPr>
                      <w:szCs w:val="21"/>
                    </w:rPr>
                  </w:pPr>
                  <w:r>
                    <w:rPr>
                      <w:rFonts w:hint="eastAsia"/>
                      <w:szCs w:val="21"/>
                    </w:rPr>
                    <w:t>暂存施工场地内的表土临时堆场，后期全部复垦</w:t>
                  </w:r>
                </w:p>
              </w:tc>
              <w:tc>
                <w:tcPr>
                  <w:tcW w:w="426" w:type="pct"/>
                  <w:vAlign w:val="center"/>
                </w:tcPr>
                <w:p w14:paraId="3B872A22">
                  <w:pPr>
                    <w:jc w:val="center"/>
                    <w:rPr>
                      <w:rFonts w:hint="eastAsia" w:eastAsia="宋体"/>
                      <w:szCs w:val="21"/>
                      <w:lang w:val="en-US" w:eastAsia="zh-CN"/>
                    </w:rPr>
                  </w:pPr>
                  <w:r>
                    <w:rPr>
                      <w:rFonts w:hint="eastAsia"/>
                      <w:szCs w:val="21"/>
                    </w:rPr>
                    <w:t>1.</w:t>
                  </w:r>
                  <w:r>
                    <w:rPr>
                      <w:rFonts w:hint="eastAsia"/>
                      <w:szCs w:val="21"/>
                      <w:lang w:val="en-US" w:eastAsia="zh-CN"/>
                    </w:rPr>
                    <w:t>0</w:t>
                  </w:r>
                </w:p>
              </w:tc>
            </w:tr>
            <w:tr w14:paraId="50425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56" w:type="pct"/>
                  <w:vMerge w:val="continue"/>
                  <w:vAlign w:val="center"/>
                </w:tcPr>
                <w:p w14:paraId="79730FC8">
                  <w:pPr>
                    <w:jc w:val="center"/>
                    <w:rPr>
                      <w:szCs w:val="21"/>
                    </w:rPr>
                  </w:pPr>
                </w:p>
              </w:tc>
              <w:tc>
                <w:tcPr>
                  <w:tcW w:w="706" w:type="pct"/>
                  <w:vAlign w:val="center"/>
                </w:tcPr>
                <w:p w14:paraId="4E315B26">
                  <w:pPr>
                    <w:jc w:val="center"/>
                    <w:rPr>
                      <w:szCs w:val="21"/>
                    </w:rPr>
                  </w:pPr>
                  <w:r>
                    <w:rPr>
                      <w:rFonts w:hint="eastAsia"/>
                      <w:szCs w:val="21"/>
                    </w:rPr>
                    <w:t>河道底泥</w:t>
                  </w:r>
                </w:p>
              </w:tc>
              <w:tc>
                <w:tcPr>
                  <w:tcW w:w="3510" w:type="pct"/>
                  <w:vAlign w:val="center"/>
                </w:tcPr>
                <w:p w14:paraId="5682A56F">
                  <w:pPr>
                    <w:jc w:val="center"/>
                    <w:rPr>
                      <w:szCs w:val="21"/>
                    </w:rPr>
                  </w:pPr>
                  <w:r>
                    <w:rPr>
                      <w:rFonts w:hint="eastAsia"/>
                      <w:szCs w:val="21"/>
                    </w:rPr>
                    <w:t>施工场地翻晒后集中运往金元镇附近田地综合利用</w:t>
                  </w:r>
                </w:p>
              </w:tc>
              <w:tc>
                <w:tcPr>
                  <w:tcW w:w="426" w:type="pct"/>
                  <w:vAlign w:val="center"/>
                </w:tcPr>
                <w:p w14:paraId="6D116AFD">
                  <w:pPr>
                    <w:jc w:val="center"/>
                    <w:rPr>
                      <w:rFonts w:hint="eastAsia" w:eastAsia="宋体"/>
                      <w:szCs w:val="21"/>
                      <w:lang w:val="en-US" w:eastAsia="zh-CN"/>
                    </w:rPr>
                  </w:pPr>
                  <w:r>
                    <w:rPr>
                      <w:rFonts w:hint="eastAsia"/>
                      <w:szCs w:val="21"/>
                    </w:rPr>
                    <w:t>1.</w:t>
                  </w:r>
                  <w:r>
                    <w:rPr>
                      <w:rFonts w:hint="eastAsia"/>
                      <w:szCs w:val="21"/>
                      <w:lang w:val="en-US" w:eastAsia="zh-CN"/>
                    </w:rPr>
                    <w:t>0</w:t>
                  </w:r>
                </w:p>
              </w:tc>
            </w:tr>
            <w:tr w14:paraId="3F51E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56" w:type="pct"/>
                  <w:vMerge w:val="restart"/>
                  <w:vAlign w:val="center"/>
                </w:tcPr>
                <w:p w14:paraId="1C774619">
                  <w:pPr>
                    <w:jc w:val="center"/>
                    <w:rPr>
                      <w:szCs w:val="21"/>
                    </w:rPr>
                  </w:pPr>
                  <w:r>
                    <w:rPr>
                      <w:rFonts w:hint="eastAsia"/>
                      <w:szCs w:val="21"/>
                    </w:rPr>
                    <w:t>生态</w:t>
                  </w:r>
                </w:p>
              </w:tc>
              <w:tc>
                <w:tcPr>
                  <w:tcW w:w="706" w:type="pct"/>
                  <w:vAlign w:val="center"/>
                </w:tcPr>
                <w:p w14:paraId="26C8F76A">
                  <w:pPr>
                    <w:jc w:val="center"/>
                    <w:rPr>
                      <w:szCs w:val="21"/>
                    </w:rPr>
                  </w:pPr>
                  <w:r>
                    <w:rPr>
                      <w:rFonts w:hint="eastAsia"/>
                      <w:szCs w:val="21"/>
                    </w:rPr>
                    <w:t>水生生态</w:t>
                  </w:r>
                </w:p>
              </w:tc>
              <w:tc>
                <w:tcPr>
                  <w:tcW w:w="3510" w:type="pct"/>
                  <w:vAlign w:val="center"/>
                </w:tcPr>
                <w:p w14:paraId="06C8582E">
                  <w:pPr>
                    <w:jc w:val="center"/>
                    <w:rPr>
                      <w:szCs w:val="21"/>
                    </w:rPr>
                  </w:pPr>
                  <w:r>
                    <w:rPr>
                      <w:rFonts w:hint="eastAsia"/>
                      <w:szCs w:val="21"/>
                    </w:rPr>
                    <w:t>项目采取导流施工，施工期安排在枯水期；通过加强管理，严禁向河道排放污水、建渣等污染物，禁止捕鱼等措施，对水生生态环境影响甚微</w:t>
                  </w:r>
                </w:p>
              </w:tc>
              <w:tc>
                <w:tcPr>
                  <w:tcW w:w="426" w:type="pct"/>
                  <w:vAlign w:val="center"/>
                </w:tcPr>
                <w:p w14:paraId="4EEB98CE">
                  <w:pPr>
                    <w:jc w:val="center"/>
                    <w:rPr>
                      <w:szCs w:val="21"/>
                    </w:rPr>
                  </w:pPr>
                  <w:r>
                    <w:rPr>
                      <w:rFonts w:hint="eastAsia"/>
                      <w:szCs w:val="21"/>
                    </w:rPr>
                    <w:t>0.80</w:t>
                  </w:r>
                </w:p>
              </w:tc>
            </w:tr>
            <w:tr w14:paraId="39432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56" w:type="pct"/>
                  <w:vMerge w:val="continue"/>
                  <w:vAlign w:val="center"/>
                </w:tcPr>
                <w:p w14:paraId="43ADC3FD">
                  <w:pPr>
                    <w:jc w:val="center"/>
                    <w:rPr>
                      <w:szCs w:val="21"/>
                    </w:rPr>
                  </w:pPr>
                </w:p>
              </w:tc>
              <w:tc>
                <w:tcPr>
                  <w:tcW w:w="706" w:type="pct"/>
                  <w:vAlign w:val="center"/>
                </w:tcPr>
                <w:p w14:paraId="7C4493DA">
                  <w:pPr>
                    <w:jc w:val="center"/>
                    <w:rPr>
                      <w:szCs w:val="21"/>
                    </w:rPr>
                  </w:pPr>
                  <w:r>
                    <w:rPr>
                      <w:rFonts w:hint="eastAsia"/>
                      <w:szCs w:val="21"/>
                    </w:rPr>
                    <w:t>陆生生态</w:t>
                  </w:r>
                </w:p>
              </w:tc>
              <w:tc>
                <w:tcPr>
                  <w:tcW w:w="3510" w:type="pct"/>
                  <w:vAlign w:val="center"/>
                </w:tcPr>
                <w:p w14:paraId="6DE91551">
                  <w:pPr>
                    <w:jc w:val="center"/>
                    <w:rPr>
                      <w:szCs w:val="21"/>
                    </w:rPr>
                  </w:pPr>
                  <w:r>
                    <w:rPr>
                      <w:rFonts w:hint="eastAsia"/>
                      <w:szCs w:val="21"/>
                    </w:rPr>
                    <w:t>施工场地合理平面布置，禁止滥砍滥伐；减少植被的破坏；同时加强对动物的保护，禁止狩猎等行为。项目施工范围较小，受人类生活影响，项目施工期对陆生生物影响甚微。施工结束后对堤岸护坡、施工场地进行生态恢复，绿化植物主要选择乔木、灌木、草本等植物进行配置</w:t>
                  </w:r>
                </w:p>
              </w:tc>
              <w:tc>
                <w:tcPr>
                  <w:tcW w:w="426" w:type="pct"/>
                  <w:vAlign w:val="center"/>
                </w:tcPr>
                <w:p w14:paraId="21E3BFD6">
                  <w:pPr>
                    <w:jc w:val="center"/>
                    <w:rPr>
                      <w:szCs w:val="21"/>
                    </w:rPr>
                  </w:pPr>
                  <w:r>
                    <w:rPr>
                      <w:rFonts w:hint="eastAsia"/>
                      <w:szCs w:val="21"/>
                      <w:lang w:val="en-US" w:eastAsia="zh-CN"/>
                    </w:rPr>
                    <w:t>1</w:t>
                  </w:r>
                  <w:r>
                    <w:rPr>
                      <w:rFonts w:hint="eastAsia"/>
                      <w:szCs w:val="21"/>
                    </w:rPr>
                    <w:t>0.</w:t>
                  </w:r>
                  <w:r>
                    <w:rPr>
                      <w:rFonts w:hint="eastAsia"/>
                      <w:szCs w:val="21"/>
                      <w:lang w:val="en-US" w:eastAsia="zh-CN"/>
                    </w:rPr>
                    <w:t>6</w:t>
                  </w:r>
                  <w:r>
                    <w:rPr>
                      <w:rFonts w:hint="eastAsia"/>
                      <w:szCs w:val="21"/>
                    </w:rPr>
                    <w:t>0</w:t>
                  </w:r>
                </w:p>
              </w:tc>
            </w:tr>
            <w:tr w14:paraId="01AF4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56" w:type="pct"/>
                  <w:vMerge w:val="continue"/>
                  <w:vAlign w:val="center"/>
                </w:tcPr>
                <w:p w14:paraId="615C3327">
                  <w:pPr>
                    <w:jc w:val="center"/>
                    <w:rPr>
                      <w:szCs w:val="21"/>
                    </w:rPr>
                  </w:pPr>
                </w:p>
              </w:tc>
              <w:tc>
                <w:tcPr>
                  <w:tcW w:w="706" w:type="pct"/>
                  <w:vAlign w:val="center"/>
                </w:tcPr>
                <w:p w14:paraId="292337A9">
                  <w:pPr>
                    <w:jc w:val="center"/>
                    <w:rPr>
                      <w:szCs w:val="21"/>
                    </w:rPr>
                  </w:pPr>
                  <w:r>
                    <w:rPr>
                      <w:rFonts w:hint="eastAsia"/>
                      <w:szCs w:val="21"/>
                    </w:rPr>
                    <w:t>水土流失</w:t>
                  </w:r>
                </w:p>
              </w:tc>
              <w:tc>
                <w:tcPr>
                  <w:tcW w:w="3510" w:type="pct"/>
                  <w:vAlign w:val="center"/>
                </w:tcPr>
                <w:p w14:paraId="471B15BA">
                  <w:pPr>
                    <w:jc w:val="center"/>
                    <w:rPr>
                      <w:szCs w:val="21"/>
                    </w:rPr>
                  </w:pPr>
                  <w:r>
                    <w:rPr>
                      <w:rFonts w:hint="eastAsia"/>
                      <w:szCs w:val="21"/>
                    </w:rPr>
                    <w:t>施工区设置拦挡、截流沟、沉淀池等；原料堆场、表土场设置防水薄膜覆盖等措施；合理安排施工时间，及时覆土绿化；减少施工周期等措施</w:t>
                  </w:r>
                </w:p>
              </w:tc>
              <w:tc>
                <w:tcPr>
                  <w:tcW w:w="426" w:type="pct"/>
                  <w:vAlign w:val="center"/>
                </w:tcPr>
                <w:p w14:paraId="751D5769">
                  <w:pPr>
                    <w:jc w:val="center"/>
                    <w:rPr>
                      <w:rFonts w:hint="default" w:eastAsia="宋体"/>
                      <w:szCs w:val="21"/>
                      <w:lang w:val="en-US" w:eastAsia="zh-CN"/>
                    </w:rPr>
                  </w:pPr>
                  <w:r>
                    <w:rPr>
                      <w:rFonts w:hint="eastAsia"/>
                      <w:szCs w:val="21"/>
                      <w:lang w:val="en-US" w:eastAsia="zh-CN"/>
                    </w:rPr>
                    <w:t>计入水土保持投资</w:t>
                  </w:r>
                </w:p>
              </w:tc>
            </w:tr>
            <w:tr w14:paraId="2E5C6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4" w:hRule="atLeast"/>
                <w:jc w:val="center"/>
              </w:trPr>
              <w:tc>
                <w:tcPr>
                  <w:tcW w:w="1062" w:type="pct"/>
                  <w:gridSpan w:val="2"/>
                  <w:vAlign w:val="center"/>
                </w:tcPr>
                <w:p w14:paraId="3BF682D7">
                  <w:pPr>
                    <w:pStyle w:val="38"/>
                    <w:rPr>
                      <w:rFonts w:hint="default"/>
                    </w:rPr>
                  </w:pPr>
                  <w:r>
                    <w:t>环境管理及监测</w:t>
                  </w:r>
                </w:p>
              </w:tc>
              <w:tc>
                <w:tcPr>
                  <w:tcW w:w="3510" w:type="pct"/>
                  <w:vAlign w:val="center"/>
                </w:tcPr>
                <w:p w14:paraId="7B063F48">
                  <w:pPr>
                    <w:pStyle w:val="38"/>
                    <w:rPr>
                      <w:rFonts w:hint="default"/>
                    </w:rPr>
                  </w:pPr>
                  <w:r>
                    <w:t>施工期设置环境管理机构，营运期环境管理由建设单位负责；施工环境监测工作由建设单位负责；施工期开展施工环境监理工作</w:t>
                  </w:r>
                </w:p>
              </w:tc>
              <w:tc>
                <w:tcPr>
                  <w:tcW w:w="426" w:type="pct"/>
                  <w:vAlign w:val="center"/>
                </w:tcPr>
                <w:p w14:paraId="39B6A172">
                  <w:pPr>
                    <w:pStyle w:val="77"/>
                    <w:jc w:val="center"/>
                    <w:rPr>
                      <w:rFonts w:ascii="Times New Roman" w:hAnsi="Times New Roman" w:cs="Times New Roman"/>
                      <w:szCs w:val="21"/>
                      <w:lang w:val="en-US"/>
                    </w:rPr>
                  </w:pPr>
                  <w:r>
                    <w:rPr>
                      <w:rFonts w:hint="eastAsia" w:ascii="Times New Roman" w:hAnsi="Times New Roman" w:cs="Times New Roman"/>
                      <w:szCs w:val="21"/>
                      <w:lang w:val="en-US" w:eastAsia="zh-CN"/>
                    </w:rPr>
                    <w:t>1</w:t>
                  </w:r>
                  <w:r>
                    <w:rPr>
                      <w:rFonts w:hint="eastAsia" w:ascii="Times New Roman" w:hAnsi="Times New Roman" w:cs="Times New Roman"/>
                      <w:szCs w:val="21"/>
                      <w:lang w:val="en-US"/>
                    </w:rPr>
                    <w:t>.54</w:t>
                  </w:r>
                </w:p>
              </w:tc>
            </w:tr>
            <w:tr w14:paraId="19D21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73" w:type="pct"/>
                  <w:gridSpan w:val="3"/>
                  <w:vAlign w:val="center"/>
                </w:tcPr>
                <w:p w14:paraId="2A27D17F">
                  <w:pPr>
                    <w:jc w:val="center"/>
                    <w:rPr>
                      <w:spacing w:val="-4"/>
                      <w:szCs w:val="21"/>
                    </w:rPr>
                  </w:pPr>
                  <w:r>
                    <w:rPr>
                      <w:rFonts w:hint="eastAsia"/>
                      <w:szCs w:val="21"/>
                    </w:rPr>
                    <w:t>合计</w:t>
                  </w:r>
                </w:p>
              </w:tc>
              <w:tc>
                <w:tcPr>
                  <w:tcW w:w="426" w:type="pct"/>
                  <w:vAlign w:val="center"/>
                </w:tcPr>
                <w:p w14:paraId="549CAE28">
                  <w:pPr>
                    <w:jc w:val="center"/>
                    <w:rPr>
                      <w:szCs w:val="21"/>
                    </w:rPr>
                  </w:pPr>
                  <w:r>
                    <w:rPr>
                      <w:rFonts w:hint="eastAsia"/>
                      <w:szCs w:val="21"/>
                    </w:rPr>
                    <w:t>23.12</w:t>
                  </w:r>
                </w:p>
              </w:tc>
            </w:tr>
          </w:tbl>
          <w:p w14:paraId="2BCE750E">
            <w:pPr>
              <w:pStyle w:val="36"/>
              <w:ind w:firstLine="0" w:firstLineChars="0"/>
              <w:rPr>
                <w:rFonts w:hint="default"/>
              </w:rPr>
            </w:pPr>
          </w:p>
        </w:tc>
      </w:tr>
    </w:tbl>
    <w:p w14:paraId="40AF632E">
      <w:pPr>
        <w:pStyle w:val="32"/>
        <w:rPr>
          <w:rFonts w:ascii="Times New Roman" w:cs="Times New Roman"/>
          <w:color w:val="auto"/>
        </w:rPr>
      </w:pPr>
    </w:p>
    <w:p w14:paraId="237CB16E">
      <w:pPr>
        <w:pStyle w:val="32"/>
        <w:rPr>
          <w:rFonts w:ascii="Times New Roman" w:cs="Times New Roman"/>
          <w:color w:val="auto"/>
        </w:rPr>
        <w:sectPr>
          <w:pgSz w:w="11906" w:h="16838"/>
          <w:pgMar w:top="1474" w:right="1474" w:bottom="1474" w:left="1474" w:header="851" w:footer="1020" w:gutter="0"/>
          <w:pgNumType w:fmt="numberInDash"/>
          <w:cols w:space="720" w:num="1"/>
          <w:docGrid w:type="linesAndChars" w:linePitch="312" w:charSpace="0"/>
        </w:sectPr>
      </w:pPr>
    </w:p>
    <w:bookmarkEnd w:id="3"/>
    <w:p w14:paraId="01AF9B03">
      <w:pPr>
        <w:pStyle w:val="3"/>
      </w:pPr>
      <w:bookmarkStart w:id="17" w:name="_Toc69482235"/>
      <w:bookmarkStart w:id="18" w:name="_Toc71376045"/>
      <w:bookmarkStart w:id="19" w:name="_Toc73024331"/>
      <w:bookmarkStart w:id="20" w:name="_Toc31204"/>
      <w:bookmarkStart w:id="21" w:name="_Toc73042828"/>
      <w:r>
        <w:t>生态环境保护措施监督检查清单</w:t>
      </w:r>
      <w:bookmarkEnd w:id="17"/>
      <w:bookmarkEnd w:id="18"/>
      <w:bookmarkEnd w:id="19"/>
      <w:bookmarkEnd w:id="20"/>
      <w:bookmarkEnd w:id="21"/>
    </w:p>
    <w:tbl>
      <w:tblPr>
        <w:tblStyle w:val="26"/>
        <w:tblW w:w="1519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32" w:type="dxa"/>
          <w:left w:w="64" w:type="dxa"/>
          <w:bottom w:w="32" w:type="dxa"/>
          <w:right w:w="64" w:type="dxa"/>
        </w:tblCellMar>
      </w:tblPr>
      <w:tblGrid>
        <w:gridCol w:w="1325"/>
        <w:gridCol w:w="9533"/>
        <w:gridCol w:w="2831"/>
        <w:gridCol w:w="788"/>
        <w:gridCol w:w="719"/>
      </w:tblGrid>
      <w:tr w14:paraId="71C2E6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32" w:type="dxa"/>
            <w:left w:w="64" w:type="dxa"/>
            <w:bottom w:w="32" w:type="dxa"/>
            <w:right w:w="64" w:type="dxa"/>
          </w:tblCellMar>
        </w:tblPrEx>
        <w:trPr>
          <w:tblHeader/>
          <w:jc w:val="center"/>
        </w:trPr>
        <w:tc>
          <w:tcPr>
            <w:tcW w:w="1325" w:type="dxa"/>
            <w:vMerge w:val="restart"/>
            <w:tcBorders>
              <w:tl2br w:val="single" w:color="auto" w:sz="4" w:space="0"/>
            </w:tcBorders>
            <w:vAlign w:val="center"/>
          </w:tcPr>
          <w:p w14:paraId="48DA7198">
            <w:pPr>
              <w:pStyle w:val="38"/>
              <w:rPr>
                <w:rFonts w:hint="default"/>
                <w:b/>
              </w:rPr>
            </w:pPr>
            <w:bookmarkStart w:id="22" w:name="_Toc69482236"/>
            <w:bookmarkStart w:id="23" w:name="_Toc71376046"/>
            <w:bookmarkStart w:id="24" w:name="_Toc73024332"/>
            <w:bookmarkStart w:id="25" w:name="_Toc73042829"/>
            <w:r>
              <w:rPr>
                <w:b/>
              </w:rPr>
              <w:t>内容</w:t>
            </w:r>
            <w:bookmarkEnd w:id="22"/>
            <w:bookmarkEnd w:id="23"/>
            <w:bookmarkEnd w:id="24"/>
            <w:bookmarkEnd w:id="25"/>
          </w:p>
          <w:p w14:paraId="7F44B433">
            <w:pPr>
              <w:pStyle w:val="38"/>
              <w:rPr>
                <w:rFonts w:hint="default"/>
                <w:b/>
                <w:kern w:val="2"/>
              </w:rPr>
            </w:pPr>
            <w:bookmarkStart w:id="26" w:name="_Toc73024333"/>
            <w:bookmarkStart w:id="27" w:name="_Toc69482237"/>
            <w:bookmarkStart w:id="28" w:name="_Toc71376047"/>
            <w:bookmarkStart w:id="29" w:name="_Toc73042830"/>
            <w:r>
              <w:rPr>
                <w:b/>
              </w:rPr>
              <w:t>要素</w:t>
            </w:r>
            <w:bookmarkEnd w:id="26"/>
            <w:bookmarkEnd w:id="27"/>
            <w:bookmarkEnd w:id="28"/>
            <w:bookmarkEnd w:id="29"/>
          </w:p>
        </w:tc>
        <w:tc>
          <w:tcPr>
            <w:tcW w:w="12364" w:type="dxa"/>
            <w:gridSpan w:val="2"/>
            <w:vAlign w:val="center"/>
          </w:tcPr>
          <w:p w14:paraId="09C21386">
            <w:pPr>
              <w:pStyle w:val="38"/>
              <w:rPr>
                <w:rFonts w:hint="default"/>
                <w:b/>
              </w:rPr>
            </w:pPr>
            <w:r>
              <w:rPr>
                <w:b/>
              </w:rPr>
              <w:t>施工期</w:t>
            </w:r>
          </w:p>
        </w:tc>
        <w:tc>
          <w:tcPr>
            <w:tcW w:w="1507" w:type="dxa"/>
            <w:gridSpan w:val="2"/>
            <w:vAlign w:val="center"/>
          </w:tcPr>
          <w:p w14:paraId="7573AD0E">
            <w:pPr>
              <w:pStyle w:val="38"/>
              <w:rPr>
                <w:rFonts w:hint="default"/>
                <w:b/>
              </w:rPr>
            </w:pPr>
            <w:r>
              <w:rPr>
                <w:b/>
              </w:rPr>
              <w:t>运营期</w:t>
            </w:r>
          </w:p>
        </w:tc>
      </w:tr>
      <w:tr w14:paraId="0D3436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32" w:type="dxa"/>
            <w:left w:w="64" w:type="dxa"/>
            <w:bottom w:w="32" w:type="dxa"/>
            <w:right w:w="64" w:type="dxa"/>
          </w:tblCellMar>
        </w:tblPrEx>
        <w:trPr>
          <w:tblHeader/>
          <w:jc w:val="center"/>
        </w:trPr>
        <w:tc>
          <w:tcPr>
            <w:tcW w:w="1325" w:type="dxa"/>
            <w:vMerge w:val="continue"/>
            <w:vAlign w:val="center"/>
          </w:tcPr>
          <w:p w14:paraId="5D1E067D">
            <w:pPr>
              <w:pStyle w:val="21"/>
              <w:adjustRightInd w:val="0"/>
              <w:snapToGrid w:val="0"/>
              <w:spacing w:beforeAutospacing="0" w:afterAutospacing="0"/>
              <w:ind w:firstLine="840"/>
              <w:jc w:val="center"/>
              <w:outlineLvl w:val="0"/>
              <w:rPr>
                <w:rFonts w:ascii="Times New Roman" w:hAnsi="Times New Roman"/>
                <w:b/>
                <w:kern w:val="2"/>
                <w:sz w:val="21"/>
                <w:szCs w:val="21"/>
              </w:rPr>
            </w:pPr>
          </w:p>
        </w:tc>
        <w:tc>
          <w:tcPr>
            <w:tcW w:w="9533" w:type="dxa"/>
            <w:vAlign w:val="center"/>
          </w:tcPr>
          <w:p w14:paraId="63EBE185">
            <w:pPr>
              <w:pStyle w:val="38"/>
              <w:rPr>
                <w:rFonts w:hint="default"/>
                <w:b/>
              </w:rPr>
            </w:pPr>
            <w:r>
              <w:rPr>
                <w:b/>
              </w:rPr>
              <w:t>环境保护措施</w:t>
            </w:r>
          </w:p>
        </w:tc>
        <w:tc>
          <w:tcPr>
            <w:tcW w:w="2831" w:type="dxa"/>
            <w:vAlign w:val="center"/>
          </w:tcPr>
          <w:p w14:paraId="6B378BAC">
            <w:pPr>
              <w:pStyle w:val="38"/>
              <w:rPr>
                <w:rFonts w:hint="default"/>
                <w:b/>
              </w:rPr>
            </w:pPr>
            <w:r>
              <w:rPr>
                <w:b/>
              </w:rPr>
              <w:t>验收要求</w:t>
            </w:r>
          </w:p>
        </w:tc>
        <w:tc>
          <w:tcPr>
            <w:tcW w:w="788" w:type="dxa"/>
            <w:vAlign w:val="center"/>
          </w:tcPr>
          <w:p w14:paraId="4CF635F4">
            <w:pPr>
              <w:pStyle w:val="38"/>
              <w:rPr>
                <w:rFonts w:hint="default"/>
                <w:b/>
              </w:rPr>
            </w:pPr>
            <w:r>
              <w:rPr>
                <w:b/>
              </w:rPr>
              <w:t>环境保护措施</w:t>
            </w:r>
          </w:p>
        </w:tc>
        <w:tc>
          <w:tcPr>
            <w:tcW w:w="719" w:type="dxa"/>
            <w:vAlign w:val="center"/>
          </w:tcPr>
          <w:p w14:paraId="1C809DD8">
            <w:pPr>
              <w:pStyle w:val="38"/>
              <w:rPr>
                <w:rFonts w:hint="default"/>
                <w:b/>
              </w:rPr>
            </w:pPr>
            <w:r>
              <w:rPr>
                <w:b/>
              </w:rPr>
              <w:t>验收要求</w:t>
            </w:r>
          </w:p>
        </w:tc>
      </w:tr>
      <w:tr w14:paraId="0FB8FA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32" w:type="dxa"/>
            <w:left w:w="64" w:type="dxa"/>
            <w:bottom w:w="32" w:type="dxa"/>
            <w:right w:w="64" w:type="dxa"/>
          </w:tblCellMar>
        </w:tblPrEx>
        <w:trPr>
          <w:jc w:val="center"/>
        </w:trPr>
        <w:tc>
          <w:tcPr>
            <w:tcW w:w="1325" w:type="dxa"/>
            <w:vAlign w:val="center"/>
          </w:tcPr>
          <w:p w14:paraId="272AB759">
            <w:pPr>
              <w:adjustRightInd w:val="0"/>
              <w:snapToGrid w:val="0"/>
              <w:jc w:val="center"/>
              <w:rPr>
                <w:sz w:val="24"/>
                <w:szCs w:val="21"/>
              </w:rPr>
            </w:pPr>
            <w:r>
              <w:rPr>
                <w:rFonts w:hint="eastAsia"/>
                <w:sz w:val="24"/>
                <w:szCs w:val="21"/>
              </w:rPr>
              <w:t>陆生生态</w:t>
            </w:r>
          </w:p>
        </w:tc>
        <w:tc>
          <w:tcPr>
            <w:tcW w:w="9533" w:type="dxa"/>
            <w:vAlign w:val="center"/>
          </w:tcPr>
          <w:p w14:paraId="2CC8A81A">
            <w:pPr>
              <w:widowControl/>
              <w:snapToGrid w:val="0"/>
              <w:ind w:firstLine="480" w:firstLineChars="200"/>
              <w:jc w:val="left"/>
              <w:rPr>
                <w:sz w:val="24"/>
              </w:rPr>
            </w:pPr>
            <w:r>
              <w:rPr>
                <w:rFonts w:hint="eastAsia"/>
                <w:sz w:val="24"/>
              </w:rPr>
              <w:t>①增强施工人员环保意识，合理制定施工方案，限定施工活动区域，尽量控制施工动土范围。</w:t>
            </w:r>
          </w:p>
          <w:p w14:paraId="28E5ADF6">
            <w:pPr>
              <w:widowControl/>
              <w:snapToGrid w:val="0"/>
              <w:ind w:firstLine="480" w:firstLineChars="200"/>
              <w:jc w:val="left"/>
              <w:rPr>
                <w:sz w:val="24"/>
              </w:rPr>
            </w:pPr>
            <w:r>
              <w:rPr>
                <w:rFonts w:hint="eastAsia"/>
                <w:sz w:val="24"/>
              </w:rPr>
              <w:t>②缩短施工作业时间，减少对区域常见野生动物的惊扰。优选施工时间，避开野生动物活动的高峰时段，严禁捕猎野生动物。</w:t>
            </w:r>
          </w:p>
          <w:p w14:paraId="0E4F78E8">
            <w:pPr>
              <w:widowControl/>
              <w:snapToGrid w:val="0"/>
              <w:ind w:firstLine="480" w:firstLineChars="200"/>
              <w:jc w:val="left"/>
              <w:rPr>
                <w:sz w:val="24"/>
              </w:rPr>
            </w:pPr>
            <w:r>
              <w:rPr>
                <w:rFonts w:hint="eastAsia"/>
                <w:sz w:val="24"/>
              </w:rPr>
              <w:t>③优化施工布置和临时占地，临时占地应尽量选择没有植被覆盖的裸地，尽量减少占用耕地，要保护好开挖地表剥离的植被及附着土壤。</w:t>
            </w:r>
          </w:p>
          <w:p w14:paraId="19DE1B26">
            <w:pPr>
              <w:widowControl/>
              <w:snapToGrid w:val="0"/>
              <w:ind w:firstLine="480" w:firstLineChars="200"/>
              <w:jc w:val="left"/>
              <w:rPr>
                <w:sz w:val="24"/>
                <w:szCs w:val="21"/>
              </w:rPr>
            </w:pPr>
            <w:r>
              <w:rPr>
                <w:rFonts w:hint="eastAsia"/>
                <w:sz w:val="24"/>
              </w:rPr>
              <w:t>④施工结束后应及时拆除临时工程建筑，对临时占地进行植被恢复及施工迹地恢复。</w:t>
            </w:r>
          </w:p>
        </w:tc>
        <w:tc>
          <w:tcPr>
            <w:tcW w:w="2831" w:type="dxa"/>
            <w:vAlign w:val="center"/>
          </w:tcPr>
          <w:p w14:paraId="78C4437D">
            <w:pPr>
              <w:adjustRightInd w:val="0"/>
              <w:snapToGrid w:val="0"/>
              <w:jc w:val="center"/>
              <w:rPr>
                <w:sz w:val="24"/>
                <w:szCs w:val="21"/>
              </w:rPr>
            </w:pPr>
            <w:r>
              <w:rPr>
                <w:rFonts w:hint="eastAsia"/>
                <w:sz w:val="24"/>
              </w:rPr>
              <w:t>未对区域陆生生态造成明显不利影响。</w:t>
            </w:r>
          </w:p>
        </w:tc>
        <w:tc>
          <w:tcPr>
            <w:tcW w:w="788" w:type="dxa"/>
            <w:vAlign w:val="center"/>
          </w:tcPr>
          <w:p w14:paraId="1C5E0594">
            <w:pPr>
              <w:snapToGrid w:val="0"/>
              <w:jc w:val="center"/>
              <w:rPr>
                <w:sz w:val="24"/>
                <w:szCs w:val="21"/>
              </w:rPr>
            </w:pPr>
            <w:r>
              <w:rPr>
                <w:rFonts w:hint="eastAsia"/>
                <w:sz w:val="24"/>
              </w:rPr>
              <w:t>/</w:t>
            </w:r>
          </w:p>
        </w:tc>
        <w:tc>
          <w:tcPr>
            <w:tcW w:w="719" w:type="dxa"/>
            <w:vAlign w:val="center"/>
          </w:tcPr>
          <w:p w14:paraId="5E08B948">
            <w:pPr>
              <w:snapToGrid w:val="0"/>
              <w:jc w:val="center"/>
              <w:rPr>
                <w:sz w:val="24"/>
                <w:szCs w:val="21"/>
              </w:rPr>
            </w:pPr>
            <w:r>
              <w:rPr>
                <w:rFonts w:hint="eastAsia"/>
                <w:sz w:val="24"/>
              </w:rPr>
              <w:t>/</w:t>
            </w:r>
          </w:p>
        </w:tc>
      </w:tr>
      <w:tr w14:paraId="18B219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32" w:type="dxa"/>
            <w:left w:w="64" w:type="dxa"/>
            <w:bottom w:w="32" w:type="dxa"/>
            <w:right w:w="64" w:type="dxa"/>
          </w:tblCellMar>
        </w:tblPrEx>
        <w:trPr>
          <w:jc w:val="center"/>
        </w:trPr>
        <w:tc>
          <w:tcPr>
            <w:tcW w:w="1325" w:type="dxa"/>
            <w:vAlign w:val="center"/>
          </w:tcPr>
          <w:p w14:paraId="465D2747">
            <w:pPr>
              <w:adjustRightInd w:val="0"/>
              <w:snapToGrid w:val="0"/>
              <w:jc w:val="center"/>
              <w:rPr>
                <w:sz w:val="24"/>
                <w:szCs w:val="21"/>
              </w:rPr>
            </w:pPr>
            <w:r>
              <w:rPr>
                <w:rFonts w:hint="eastAsia"/>
                <w:sz w:val="24"/>
                <w:szCs w:val="21"/>
              </w:rPr>
              <w:t>水生生态</w:t>
            </w:r>
          </w:p>
        </w:tc>
        <w:tc>
          <w:tcPr>
            <w:tcW w:w="9533" w:type="dxa"/>
            <w:vAlign w:val="center"/>
          </w:tcPr>
          <w:p w14:paraId="7EB899DE">
            <w:pPr>
              <w:adjustRightInd w:val="0"/>
              <w:snapToGrid w:val="0"/>
              <w:ind w:firstLine="480" w:firstLineChars="200"/>
              <w:jc w:val="left"/>
              <w:rPr>
                <w:sz w:val="24"/>
              </w:rPr>
            </w:pPr>
            <w:r>
              <w:rPr>
                <w:rFonts w:hint="eastAsia"/>
                <w:sz w:val="24"/>
              </w:rPr>
              <w:t>①加强对施工人员水生生态保护意识宣传等。</w:t>
            </w:r>
          </w:p>
          <w:p w14:paraId="0AF3DA01">
            <w:pPr>
              <w:adjustRightInd w:val="0"/>
              <w:snapToGrid w:val="0"/>
              <w:ind w:firstLine="480" w:firstLineChars="200"/>
              <w:jc w:val="left"/>
              <w:rPr>
                <w:sz w:val="24"/>
              </w:rPr>
            </w:pPr>
            <w:r>
              <w:rPr>
                <w:rFonts w:hint="eastAsia"/>
                <w:sz w:val="24"/>
              </w:rPr>
              <w:t>②施工选择在枯水期进行。采取围堰施工，合理控制施工范围，减少施工对河道的扰动；施工结束后对临时围堰及时拆除和清运，恢复河道行洪能力。</w:t>
            </w:r>
          </w:p>
          <w:p w14:paraId="47FF11AF">
            <w:pPr>
              <w:adjustRightInd w:val="0"/>
              <w:snapToGrid w:val="0"/>
              <w:ind w:firstLine="480" w:firstLineChars="200"/>
              <w:jc w:val="left"/>
              <w:rPr>
                <w:sz w:val="24"/>
                <w:szCs w:val="21"/>
              </w:rPr>
            </w:pPr>
            <w:r>
              <w:rPr>
                <w:rFonts w:hint="eastAsia"/>
                <w:sz w:val="24"/>
              </w:rPr>
              <w:t>③加强涉水施工区域环境管理工作，最大限度减少对水体生态环境的影响。禁止向河流排放施工废水、施工垃圾、生活垃圾等。</w:t>
            </w:r>
          </w:p>
        </w:tc>
        <w:tc>
          <w:tcPr>
            <w:tcW w:w="2831" w:type="dxa"/>
            <w:vAlign w:val="center"/>
          </w:tcPr>
          <w:p w14:paraId="1F563EB1">
            <w:pPr>
              <w:adjustRightInd w:val="0"/>
              <w:snapToGrid w:val="0"/>
              <w:jc w:val="center"/>
              <w:rPr>
                <w:sz w:val="24"/>
                <w:szCs w:val="21"/>
              </w:rPr>
            </w:pPr>
            <w:r>
              <w:rPr>
                <w:rFonts w:hint="eastAsia"/>
                <w:sz w:val="24"/>
              </w:rPr>
              <w:t>未对区域水生生态造成明显不利影响。</w:t>
            </w:r>
          </w:p>
        </w:tc>
        <w:tc>
          <w:tcPr>
            <w:tcW w:w="788" w:type="dxa"/>
            <w:vAlign w:val="center"/>
          </w:tcPr>
          <w:p w14:paraId="4AAFD727">
            <w:pPr>
              <w:snapToGrid w:val="0"/>
              <w:jc w:val="center"/>
              <w:rPr>
                <w:sz w:val="24"/>
                <w:szCs w:val="21"/>
              </w:rPr>
            </w:pPr>
            <w:r>
              <w:rPr>
                <w:rFonts w:hint="eastAsia"/>
                <w:sz w:val="24"/>
              </w:rPr>
              <w:t>/</w:t>
            </w:r>
          </w:p>
        </w:tc>
        <w:tc>
          <w:tcPr>
            <w:tcW w:w="719" w:type="dxa"/>
            <w:vAlign w:val="center"/>
          </w:tcPr>
          <w:p w14:paraId="56DDDE9D">
            <w:pPr>
              <w:snapToGrid w:val="0"/>
              <w:jc w:val="center"/>
              <w:rPr>
                <w:sz w:val="24"/>
                <w:szCs w:val="21"/>
              </w:rPr>
            </w:pPr>
            <w:r>
              <w:rPr>
                <w:rFonts w:hint="eastAsia"/>
                <w:sz w:val="24"/>
              </w:rPr>
              <w:t>/</w:t>
            </w:r>
          </w:p>
        </w:tc>
      </w:tr>
      <w:tr w14:paraId="18CE64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32" w:type="dxa"/>
            <w:left w:w="64" w:type="dxa"/>
            <w:bottom w:w="32" w:type="dxa"/>
            <w:right w:w="64" w:type="dxa"/>
          </w:tblCellMar>
        </w:tblPrEx>
        <w:trPr>
          <w:jc w:val="center"/>
        </w:trPr>
        <w:tc>
          <w:tcPr>
            <w:tcW w:w="1325" w:type="dxa"/>
            <w:vAlign w:val="center"/>
          </w:tcPr>
          <w:p w14:paraId="037631C1">
            <w:pPr>
              <w:adjustRightInd w:val="0"/>
              <w:snapToGrid w:val="0"/>
              <w:jc w:val="center"/>
              <w:rPr>
                <w:sz w:val="24"/>
                <w:szCs w:val="21"/>
              </w:rPr>
            </w:pPr>
            <w:r>
              <w:rPr>
                <w:rFonts w:hint="eastAsia"/>
                <w:sz w:val="24"/>
                <w:szCs w:val="21"/>
              </w:rPr>
              <w:t>地表水环境</w:t>
            </w:r>
          </w:p>
        </w:tc>
        <w:tc>
          <w:tcPr>
            <w:tcW w:w="9533" w:type="dxa"/>
            <w:vAlign w:val="center"/>
          </w:tcPr>
          <w:p w14:paraId="685F6C4A">
            <w:pPr>
              <w:adjustRightInd w:val="0"/>
              <w:snapToGrid w:val="0"/>
              <w:ind w:firstLine="480" w:firstLineChars="200"/>
              <w:jc w:val="left"/>
              <w:rPr>
                <w:sz w:val="24"/>
              </w:rPr>
            </w:pPr>
            <w:r>
              <w:rPr>
                <w:rFonts w:hint="eastAsia"/>
                <w:sz w:val="24"/>
              </w:rPr>
              <w:t>基坑排水经沉淀池沉淀后用于洒水降尘，不外排；</w:t>
            </w:r>
          </w:p>
          <w:p w14:paraId="2FCA2F0C">
            <w:pPr>
              <w:adjustRightInd w:val="0"/>
              <w:snapToGrid w:val="0"/>
              <w:ind w:firstLine="480" w:firstLineChars="200"/>
              <w:jc w:val="left"/>
              <w:rPr>
                <w:sz w:val="24"/>
              </w:rPr>
            </w:pPr>
            <w:r>
              <w:rPr>
                <w:rFonts w:hint="eastAsia"/>
                <w:sz w:val="24"/>
              </w:rPr>
              <w:t>沉沙池废水经沉淀池处理后用于施工用水或洒水降尘，不外排；</w:t>
            </w:r>
          </w:p>
          <w:p w14:paraId="7A7BA2DE">
            <w:pPr>
              <w:adjustRightInd w:val="0"/>
              <w:snapToGrid w:val="0"/>
              <w:ind w:firstLine="480" w:firstLineChars="200"/>
              <w:jc w:val="left"/>
              <w:rPr>
                <w:sz w:val="24"/>
              </w:rPr>
            </w:pPr>
            <w:r>
              <w:rPr>
                <w:rFonts w:hint="eastAsia"/>
                <w:sz w:val="24"/>
              </w:rPr>
              <w:t>车辆冲洗废水经隔油沉淀池处理后用于洒水降尘或冲洗车辆，不外排；</w:t>
            </w:r>
          </w:p>
          <w:p w14:paraId="742411BC">
            <w:pPr>
              <w:adjustRightInd w:val="0"/>
              <w:snapToGrid w:val="0"/>
              <w:ind w:firstLine="480" w:firstLineChars="200"/>
              <w:jc w:val="left"/>
              <w:rPr>
                <w:sz w:val="24"/>
                <w:szCs w:val="21"/>
              </w:rPr>
            </w:pPr>
            <w:r>
              <w:rPr>
                <w:rFonts w:hint="eastAsia"/>
                <w:sz w:val="24"/>
              </w:rPr>
              <w:t>生活污水租用沿线民房既有设施处理，不外排。</w:t>
            </w:r>
          </w:p>
        </w:tc>
        <w:tc>
          <w:tcPr>
            <w:tcW w:w="2831" w:type="dxa"/>
            <w:vAlign w:val="center"/>
          </w:tcPr>
          <w:p w14:paraId="26C95980">
            <w:pPr>
              <w:adjustRightInd w:val="0"/>
              <w:snapToGrid w:val="0"/>
              <w:jc w:val="center"/>
              <w:rPr>
                <w:sz w:val="24"/>
                <w:szCs w:val="21"/>
              </w:rPr>
            </w:pPr>
            <w:r>
              <w:rPr>
                <w:rFonts w:hint="eastAsia"/>
                <w:sz w:val="24"/>
              </w:rPr>
              <w:t>废水不外排，未对区域水环境造成明显不利影响。</w:t>
            </w:r>
          </w:p>
        </w:tc>
        <w:tc>
          <w:tcPr>
            <w:tcW w:w="788" w:type="dxa"/>
            <w:vAlign w:val="center"/>
          </w:tcPr>
          <w:p w14:paraId="157B5540">
            <w:pPr>
              <w:adjustRightInd w:val="0"/>
              <w:snapToGrid w:val="0"/>
              <w:jc w:val="center"/>
              <w:rPr>
                <w:sz w:val="24"/>
              </w:rPr>
            </w:pPr>
            <w:r>
              <w:rPr>
                <w:rFonts w:hint="eastAsia"/>
                <w:sz w:val="24"/>
              </w:rPr>
              <w:t>/</w:t>
            </w:r>
          </w:p>
        </w:tc>
        <w:tc>
          <w:tcPr>
            <w:tcW w:w="719" w:type="dxa"/>
            <w:vAlign w:val="center"/>
          </w:tcPr>
          <w:p w14:paraId="3782323F">
            <w:pPr>
              <w:adjustRightInd w:val="0"/>
              <w:snapToGrid w:val="0"/>
              <w:jc w:val="center"/>
              <w:rPr>
                <w:sz w:val="24"/>
                <w:szCs w:val="21"/>
              </w:rPr>
            </w:pPr>
            <w:r>
              <w:rPr>
                <w:rFonts w:hint="eastAsia"/>
                <w:sz w:val="24"/>
              </w:rPr>
              <w:t>/</w:t>
            </w:r>
          </w:p>
        </w:tc>
      </w:tr>
      <w:tr w14:paraId="18FCC1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32" w:type="dxa"/>
            <w:left w:w="64" w:type="dxa"/>
            <w:bottom w:w="32" w:type="dxa"/>
            <w:right w:w="64" w:type="dxa"/>
          </w:tblCellMar>
        </w:tblPrEx>
        <w:trPr>
          <w:jc w:val="center"/>
        </w:trPr>
        <w:tc>
          <w:tcPr>
            <w:tcW w:w="1325" w:type="dxa"/>
            <w:vAlign w:val="center"/>
          </w:tcPr>
          <w:p w14:paraId="41053067">
            <w:pPr>
              <w:adjustRightInd w:val="0"/>
              <w:snapToGrid w:val="0"/>
              <w:jc w:val="center"/>
              <w:rPr>
                <w:sz w:val="24"/>
                <w:szCs w:val="21"/>
              </w:rPr>
            </w:pPr>
            <w:r>
              <w:rPr>
                <w:rFonts w:hint="eastAsia"/>
                <w:sz w:val="24"/>
                <w:szCs w:val="21"/>
              </w:rPr>
              <w:t>地下水及土壤环境</w:t>
            </w:r>
          </w:p>
        </w:tc>
        <w:tc>
          <w:tcPr>
            <w:tcW w:w="9533" w:type="dxa"/>
            <w:vAlign w:val="center"/>
          </w:tcPr>
          <w:p w14:paraId="7F1EA7DF">
            <w:pPr>
              <w:adjustRightInd w:val="0"/>
              <w:snapToGrid w:val="0"/>
              <w:jc w:val="center"/>
              <w:rPr>
                <w:sz w:val="24"/>
                <w:szCs w:val="21"/>
              </w:rPr>
            </w:pPr>
            <w:r>
              <w:rPr>
                <w:rFonts w:hint="eastAsia"/>
                <w:sz w:val="24"/>
              </w:rPr>
              <w:t>/</w:t>
            </w:r>
          </w:p>
        </w:tc>
        <w:tc>
          <w:tcPr>
            <w:tcW w:w="2831" w:type="dxa"/>
            <w:vAlign w:val="center"/>
          </w:tcPr>
          <w:p w14:paraId="561B08A7">
            <w:pPr>
              <w:adjustRightInd w:val="0"/>
              <w:snapToGrid w:val="0"/>
              <w:jc w:val="center"/>
              <w:rPr>
                <w:sz w:val="24"/>
                <w:szCs w:val="21"/>
              </w:rPr>
            </w:pPr>
            <w:r>
              <w:rPr>
                <w:rFonts w:hint="eastAsia"/>
                <w:sz w:val="24"/>
              </w:rPr>
              <w:t>/</w:t>
            </w:r>
          </w:p>
        </w:tc>
        <w:tc>
          <w:tcPr>
            <w:tcW w:w="788" w:type="dxa"/>
            <w:vAlign w:val="center"/>
          </w:tcPr>
          <w:p w14:paraId="6627C535">
            <w:pPr>
              <w:adjustRightInd w:val="0"/>
              <w:snapToGrid w:val="0"/>
              <w:jc w:val="center"/>
              <w:rPr>
                <w:kern w:val="0"/>
                <w:sz w:val="24"/>
                <w:szCs w:val="21"/>
              </w:rPr>
            </w:pPr>
            <w:r>
              <w:rPr>
                <w:rFonts w:hint="eastAsia"/>
                <w:sz w:val="24"/>
              </w:rPr>
              <w:t>/</w:t>
            </w:r>
          </w:p>
        </w:tc>
        <w:tc>
          <w:tcPr>
            <w:tcW w:w="719" w:type="dxa"/>
            <w:vAlign w:val="center"/>
          </w:tcPr>
          <w:p w14:paraId="1EC57A97">
            <w:pPr>
              <w:adjustRightInd w:val="0"/>
              <w:snapToGrid w:val="0"/>
              <w:jc w:val="center"/>
              <w:rPr>
                <w:sz w:val="24"/>
                <w:szCs w:val="21"/>
              </w:rPr>
            </w:pPr>
            <w:r>
              <w:rPr>
                <w:rFonts w:hint="eastAsia"/>
                <w:sz w:val="24"/>
              </w:rPr>
              <w:t>/</w:t>
            </w:r>
          </w:p>
        </w:tc>
      </w:tr>
      <w:tr w14:paraId="01781D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32" w:type="dxa"/>
            <w:left w:w="64" w:type="dxa"/>
            <w:bottom w:w="32" w:type="dxa"/>
            <w:right w:w="64" w:type="dxa"/>
          </w:tblCellMar>
        </w:tblPrEx>
        <w:trPr>
          <w:jc w:val="center"/>
        </w:trPr>
        <w:tc>
          <w:tcPr>
            <w:tcW w:w="1325" w:type="dxa"/>
            <w:vAlign w:val="center"/>
          </w:tcPr>
          <w:p w14:paraId="33A1ED38">
            <w:pPr>
              <w:adjustRightInd w:val="0"/>
              <w:snapToGrid w:val="0"/>
              <w:jc w:val="center"/>
              <w:rPr>
                <w:sz w:val="24"/>
                <w:szCs w:val="21"/>
              </w:rPr>
            </w:pPr>
            <w:r>
              <w:rPr>
                <w:rFonts w:hint="eastAsia"/>
                <w:sz w:val="24"/>
                <w:szCs w:val="21"/>
              </w:rPr>
              <w:t>声环境</w:t>
            </w:r>
          </w:p>
        </w:tc>
        <w:tc>
          <w:tcPr>
            <w:tcW w:w="9533" w:type="dxa"/>
            <w:vAlign w:val="center"/>
          </w:tcPr>
          <w:p w14:paraId="66164A98">
            <w:pPr>
              <w:adjustRightInd w:val="0"/>
              <w:snapToGrid w:val="0"/>
              <w:ind w:firstLine="480" w:firstLineChars="200"/>
              <w:jc w:val="center"/>
              <w:rPr>
                <w:sz w:val="24"/>
                <w:szCs w:val="21"/>
              </w:rPr>
            </w:pPr>
            <w:r>
              <w:rPr>
                <w:rFonts w:hint="eastAsia"/>
                <w:sz w:val="24"/>
              </w:rPr>
              <w:t>合理布置施工现场和安排施工时间，采用打围施工；选用低噪高效设备并定期保养维护；合理安排运输时间及路线，运输车辆途经敏感点时应注意限速禁鸣。</w:t>
            </w:r>
          </w:p>
        </w:tc>
        <w:tc>
          <w:tcPr>
            <w:tcW w:w="2831" w:type="dxa"/>
            <w:vAlign w:val="center"/>
          </w:tcPr>
          <w:p w14:paraId="00388D7A">
            <w:pPr>
              <w:adjustRightInd w:val="0"/>
              <w:snapToGrid w:val="0"/>
              <w:jc w:val="center"/>
              <w:rPr>
                <w:sz w:val="24"/>
                <w:szCs w:val="21"/>
              </w:rPr>
            </w:pPr>
            <w:r>
              <w:rPr>
                <w:rFonts w:hint="eastAsia"/>
                <w:sz w:val="24"/>
              </w:rPr>
              <w:t>满足《建筑施工场界环境噪声排放标准》（GB12523-2011）要求</w:t>
            </w:r>
          </w:p>
        </w:tc>
        <w:tc>
          <w:tcPr>
            <w:tcW w:w="788" w:type="dxa"/>
            <w:vAlign w:val="center"/>
          </w:tcPr>
          <w:p w14:paraId="14983626">
            <w:pPr>
              <w:adjustRightInd w:val="0"/>
              <w:snapToGrid w:val="0"/>
              <w:jc w:val="center"/>
              <w:rPr>
                <w:sz w:val="24"/>
                <w:szCs w:val="21"/>
              </w:rPr>
            </w:pPr>
            <w:r>
              <w:rPr>
                <w:rFonts w:hint="eastAsia"/>
                <w:sz w:val="24"/>
              </w:rPr>
              <w:t>/</w:t>
            </w:r>
          </w:p>
        </w:tc>
        <w:tc>
          <w:tcPr>
            <w:tcW w:w="719" w:type="dxa"/>
            <w:vAlign w:val="center"/>
          </w:tcPr>
          <w:p w14:paraId="2E620575">
            <w:pPr>
              <w:adjustRightInd w:val="0"/>
              <w:snapToGrid w:val="0"/>
              <w:jc w:val="center"/>
              <w:rPr>
                <w:sz w:val="24"/>
                <w:szCs w:val="21"/>
              </w:rPr>
            </w:pPr>
            <w:r>
              <w:rPr>
                <w:rFonts w:hint="eastAsia"/>
                <w:sz w:val="24"/>
              </w:rPr>
              <w:t>/</w:t>
            </w:r>
          </w:p>
        </w:tc>
      </w:tr>
      <w:tr w14:paraId="1296BE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32" w:type="dxa"/>
            <w:left w:w="64" w:type="dxa"/>
            <w:bottom w:w="32" w:type="dxa"/>
            <w:right w:w="64" w:type="dxa"/>
          </w:tblCellMar>
        </w:tblPrEx>
        <w:trPr>
          <w:jc w:val="center"/>
        </w:trPr>
        <w:tc>
          <w:tcPr>
            <w:tcW w:w="1325" w:type="dxa"/>
            <w:vAlign w:val="center"/>
          </w:tcPr>
          <w:p w14:paraId="780E7674">
            <w:pPr>
              <w:adjustRightInd w:val="0"/>
              <w:snapToGrid w:val="0"/>
              <w:jc w:val="center"/>
              <w:rPr>
                <w:sz w:val="24"/>
                <w:szCs w:val="21"/>
              </w:rPr>
            </w:pPr>
            <w:r>
              <w:rPr>
                <w:rFonts w:hint="eastAsia"/>
                <w:sz w:val="24"/>
                <w:szCs w:val="21"/>
              </w:rPr>
              <w:t>振动</w:t>
            </w:r>
          </w:p>
        </w:tc>
        <w:tc>
          <w:tcPr>
            <w:tcW w:w="9533" w:type="dxa"/>
            <w:vAlign w:val="center"/>
          </w:tcPr>
          <w:p w14:paraId="5DE32A63">
            <w:pPr>
              <w:adjustRightInd w:val="0"/>
              <w:snapToGrid w:val="0"/>
              <w:jc w:val="center"/>
              <w:rPr>
                <w:sz w:val="24"/>
                <w:szCs w:val="21"/>
              </w:rPr>
            </w:pPr>
            <w:r>
              <w:rPr>
                <w:rFonts w:hint="eastAsia" w:hAnsi="宋体" w:cs="宋体"/>
                <w:sz w:val="24"/>
              </w:rPr>
              <w:t>/</w:t>
            </w:r>
          </w:p>
        </w:tc>
        <w:tc>
          <w:tcPr>
            <w:tcW w:w="2831" w:type="dxa"/>
            <w:vAlign w:val="center"/>
          </w:tcPr>
          <w:p w14:paraId="6EDE1312">
            <w:pPr>
              <w:adjustRightInd w:val="0"/>
              <w:snapToGrid w:val="0"/>
              <w:jc w:val="center"/>
              <w:rPr>
                <w:sz w:val="24"/>
                <w:szCs w:val="21"/>
              </w:rPr>
            </w:pPr>
            <w:r>
              <w:rPr>
                <w:rFonts w:hint="eastAsia" w:hAnsi="宋体" w:cs="宋体"/>
                <w:sz w:val="24"/>
              </w:rPr>
              <w:t>/</w:t>
            </w:r>
          </w:p>
        </w:tc>
        <w:tc>
          <w:tcPr>
            <w:tcW w:w="788" w:type="dxa"/>
            <w:vAlign w:val="center"/>
          </w:tcPr>
          <w:p w14:paraId="588E8416">
            <w:pPr>
              <w:adjustRightInd w:val="0"/>
              <w:snapToGrid w:val="0"/>
              <w:jc w:val="center"/>
              <w:rPr>
                <w:sz w:val="24"/>
                <w:szCs w:val="21"/>
              </w:rPr>
            </w:pPr>
            <w:r>
              <w:rPr>
                <w:rFonts w:hint="eastAsia"/>
                <w:sz w:val="24"/>
              </w:rPr>
              <w:t>/</w:t>
            </w:r>
          </w:p>
        </w:tc>
        <w:tc>
          <w:tcPr>
            <w:tcW w:w="719" w:type="dxa"/>
            <w:vAlign w:val="center"/>
          </w:tcPr>
          <w:p w14:paraId="6E6E2538">
            <w:pPr>
              <w:adjustRightInd w:val="0"/>
              <w:snapToGrid w:val="0"/>
              <w:jc w:val="center"/>
              <w:rPr>
                <w:sz w:val="24"/>
                <w:szCs w:val="21"/>
              </w:rPr>
            </w:pPr>
            <w:r>
              <w:rPr>
                <w:rFonts w:hint="eastAsia"/>
                <w:sz w:val="24"/>
              </w:rPr>
              <w:t>/</w:t>
            </w:r>
          </w:p>
        </w:tc>
      </w:tr>
      <w:tr w14:paraId="0C8C39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32" w:type="dxa"/>
            <w:left w:w="64" w:type="dxa"/>
            <w:bottom w:w="32" w:type="dxa"/>
            <w:right w:w="64" w:type="dxa"/>
          </w:tblCellMar>
        </w:tblPrEx>
        <w:trPr>
          <w:jc w:val="center"/>
        </w:trPr>
        <w:tc>
          <w:tcPr>
            <w:tcW w:w="1325" w:type="dxa"/>
            <w:vAlign w:val="center"/>
          </w:tcPr>
          <w:p w14:paraId="3C12F5A5">
            <w:pPr>
              <w:adjustRightInd w:val="0"/>
              <w:snapToGrid w:val="0"/>
              <w:jc w:val="center"/>
              <w:rPr>
                <w:sz w:val="24"/>
                <w:szCs w:val="21"/>
              </w:rPr>
            </w:pPr>
            <w:r>
              <w:rPr>
                <w:rFonts w:hint="eastAsia"/>
                <w:sz w:val="24"/>
                <w:szCs w:val="21"/>
              </w:rPr>
              <w:t>大气环境</w:t>
            </w:r>
          </w:p>
        </w:tc>
        <w:tc>
          <w:tcPr>
            <w:tcW w:w="9533" w:type="dxa"/>
            <w:vAlign w:val="center"/>
          </w:tcPr>
          <w:p w14:paraId="3E668353">
            <w:pPr>
              <w:adjustRightInd w:val="0"/>
              <w:snapToGrid w:val="0"/>
              <w:ind w:firstLine="480" w:firstLineChars="200"/>
              <w:jc w:val="center"/>
              <w:rPr>
                <w:sz w:val="24"/>
                <w:szCs w:val="21"/>
              </w:rPr>
            </w:pPr>
            <w:r>
              <w:rPr>
                <w:rFonts w:hint="eastAsia" w:hAnsi="宋体" w:cs="宋体"/>
                <w:sz w:val="24"/>
              </w:rPr>
              <w:t>施工场地设置围挡；配备洒水车，对施工场地及临时道路定期洒水降尘；运输车辆清洁上路、限速行驶并加盖篷布；临时堆场周围设置围挡并采取遮盖措施等。</w:t>
            </w:r>
          </w:p>
        </w:tc>
        <w:tc>
          <w:tcPr>
            <w:tcW w:w="2831" w:type="dxa"/>
            <w:vAlign w:val="center"/>
          </w:tcPr>
          <w:p w14:paraId="7DC8CC75">
            <w:pPr>
              <w:widowControl/>
              <w:snapToGrid w:val="0"/>
              <w:jc w:val="center"/>
              <w:rPr>
                <w:sz w:val="24"/>
                <w:szCs w:val="21"/>
              </w:rPr>
            </w:pPr>
            <w:r>
              <w:rPr>
                <w:rFonts w:hint="eastAsia" w:hAnsi="宋体" w:cs="宋体"/>
                <w:kern w:val="0"/>
                <w:sz w:val="24"/>
                <w:lang w:bidi="ar"/>
              </w:rPr>
              <w:t>《四川省施工场地扬尘排放标准》（</w:t>
            </w:r>
            <w:r>
              <w:rPr>
                <w:rFonts w:hint="eastAsia"/>
                <w:kern w:val="0"/>
                <w:sz w:val="24"/>
                <w:lang w:bidi="ar"/>
              </w:rPr>
              <w:t>DB51/2682-2020</w:t>
            </w:r>
            <w:r>
              <w:rPr>
                <w:rFonts w:hint="eastAsia" w:hAnsi="宋体" w:cs="宋体"/>
                <w:kern w:val="0"/>
                <w:sz w:val="24"/>
                <w:lang w:bidi="ar"/>
              </w:rPr>
              <w:t>）遂宁市标准</w:t>
            </w:r>
          </w:p>
        </w:tc>
        <w:tc>
          <w:tcPr>
            <w:tcW w:w="788" w:type="dxa"/>
            <w:vAlign w:val="center"/>
          </w:tcPr>
          <w:p w14:paraId="1B58A562">
            <w:pPr>
              <w:adjustRightInd w:val="0"/>
              <w:snapToGrid w:val="0"/>
              <w:jc w:val="center"/>
              <w:rPr>
                <w:sz w:val="24"/>
              </w:rPr>
            </w:pPr>
            <w:r>
              <w:rPr>
                <w:rFonts w:hint="eastAsia" w:ascii="宋体" w:hAnsi="宋体" w:cs="宋体"/>
                <w:sz w:val="24"/>
              </w:rPr>
              <w:t>/</w:t>
            </w:r>
          </w:p>
        </w:tc>
        <w:tc>
          <w:tcPr>
            <w:tcW w:w="719" w:type="dxa"/>
            <w:vAlign w:val="center"/>
          </w:tcPr>
          <w:p w14:paraId="32CD6443">
            <w:pPr>
              <w:adjustRightInd w:val="0"/>
              <w:snapToGrid w:val="0"/>
              <w:jc w:val="center"/>
              <w:rPr>
                <w:sz w:val="24"/>
                <w:szCs w:val="21"/>
                <w:highlight w:val="yellow"/>
              </w:rPr>
            </w:pPr>
            <w:r>
              <w:rPr>
                <w:rFonts w:hint="eastAsia" w:ascii="宋体" w:hAnsi="宋体" w:cs="宋体"/>
                <w:sz w:val="24"/>
              </w:rPr>
              <w:t>/</w:t>
            </w:r>
          </w:p>
        </w:tc>
      </w:tr>
      <w:tr w14:paraId="003264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32" w:type="dxa"/>
            <w:left w:w="64" w:type="dxa"/>
            <w:bottom w:w="32" w:type="dxa"/>
            <w:right w:w="64" w:type="dxa"/>
          </w:tblCellMar>
        </w:tblPrEx>
        <w:trPr>
          <w:jc w:val="center"/>
        </w:trPr>
        <w:tc>
          <w:tcPr>
            <w:tcW w:w="1325" w:type="dxa"/>
            <w:vAlign w:val="center"/>
          </w:tcPr>
          <w:p w14:paraId="7A73ACF5">
            <w:pPr>
              <w:adjustRightInd w:val="0"/>
              <w:snapToGrid w:val="0"/>
              <w:jc w:val="center"/>
              <w:rPr>
                <w:sz w:val="24"/>
                <w:szCs w:val="21"/>
              </w:rPr>
            </w:pPr>
            <w:r>
              <w:rPr>
                <w:rFonts w:hint="eastAsia"/>
                <w:sz w:val="24"/>
                <w:szCs w:val="21"/>
              </w:rPr>
              <w:t>固体废物</w:t>
            </w:r>
          </w:p>
        </w:tc>
        <w:tc>
          <w:tcPr>
            <w:tcW w:w="9533" w:type="dxa"/>
            <w:vAlign w:val="center"/>
          </w:tcPr>
          <w:p w14:paraId="42BF2BCA">
            <w:pPr>
              <w:adjustRightInd w:val="0"/>
              <w:snapToGrid w:val="0"/>
              <w:jc w:val="center"/>
              <w:rPr>
                <w:rFonts w:hint="eastAsia" w:hAnsi="宋体" w:cs="宋体"/>
                <w:sz w:val="24"/>
              </w:rPr>
            </w:pPr>
            <w:r>
              <w:rPr>
                <w:rFonts w:hint="eastAsia" w:hAnsi="宋体" w:cs="宋体"/>
                <w:sz w:val="24"/>
              </w:rPr>
              <w:t>剥离表土：统一堆存在施工场地内的表土临时堆场，施工结束后表土全部回覆。</w:t>
            </w:r>
          </w:p>
          <w:p w14:paraId="3AFFB6BB">
            <w:pPr>
              <w:adjustRightInd w:val="0"/>
              <w:snapToGrid w:val="0"/>
              <w:jc w:val="center"/>
              <w:rPr>
                <w:rFonts w:hint="eastAsia" w:hAnsi="宋体" w:cs="宋体"/>
                <w:sz w:val="24"/>
              </w:rPr>
            </w:pPr>
            <w:r>
              <w:rPr>
                <w:rFonts w:hAnsi="宋体" w:cs="宋体"/>
                <w:sz w:val="24"/>
              </w:rPr>
              <w:t>建筑垃圾</w:t>
            </w:r>
            <w:r>
              <w:rPr>
                <w:rFonts w:hint="eastAsia" w:hAnsi="宋体" w:cs="宋体"/>
                <w:sz w:val="24"/>
              </w:rPr>
              <w:t>：</w:t>
            </w:r>
            <w:r>
              <w:rPr>
                <w:rFonts w:hAnsi="宋体" w:cs="宋体"/>
                <w:sz w:val="24"/>
              </w:rPr>
              <w:t>分类收集，对可回收的进行回收外卖，对不能回收的统一收集</w:t>
            </w:r>
            <w:r>
              <w:rPr>
                <w:rFonts w:hint="eastAsia" w:hAnsi="宋体" w:cs="宋体"/>
                <w:sz w:val="24"/>
              </w:rPr>
              <w:t>后运</w:t>
            </w:r>
            <w:r>
              <w:rPr>
                <w:rFonts w:hAnsi="宋体" w:cs="宋体"/>
                <w:sz w:val="24"/>
              </w:rPr>
              <w:t>至</w:t>
            </w:r>
            <w:r>
              <w:rPr>
                <w:rFonts w:hint="eastAsia" w:hAnsi="宋体" w:cs="宋体"/>
                <w:sz w:val="24"/>
              </w:rPr>
              <w:t>政府指定的</w:t>
            </w:r>
            <w:r>
              <w:rPr>
                <w:rFonts w:hAnsi="宋体" w:cs="宋体"/>
                <w:sz w:val="24"/>
              </w:rPr>
              <w:t>建筑垃圾堆场处理；</w:t>
            </w:r>
          </w:p>
          <w:p w14:paraId="7F11EF4F">
            <w:pPr>
              <w:adjustRightInd w:val="0"/>
              <w:snapToGrid w:val="0"/>
              <w:jc w:val="center"/>
              <w:rPr>
                <w:rFonts w:hint="eastAsia" w:hAnsi="宋体" w:cs="宋体"/>
                <w:sz w:val="24"/>
              </w:rPr>
            </w:pPr>
            <w:r>
              <w:rPr>
                <w:rFonts w:hAnsi="宋体" w:cs="宋体"/>
                <w:sz w:val="24"/>
              </w:rPr>
              <w:t>生活垃圾</w:t>
            </w:r>
            <w:r>
              <w:rPr>
                <w:rFonts w:hint="eastAsia" w:hAnsi="宋体" w:cs="宋体"/>
                <w:sz w:val="24"/>
              </w:rPr>
              <w:t>：</w:t>
            </w:r>
            <w:r>
              <w:rPr>
                <w:rFonts w:hAnsi="宋体" w:cs="宋体"/>
                <w:sz w:val="24"/>
              </w:rPr>
              <w:t>通过在施工场地周围设垃圾桶进行收集后</w:t>
            </w:r>
            <w:r>
              <w:rPr>
                <w:rFonts w:hint="eastAsia" w:hAnsi="宋体" w:cs="宋体"/>
                <w:sz w:val="24"/>
              </w:rPr>
              <w:t>交环卫处理</w:t>
            </w:r>
            <w:r>
              <w:rPr>
                <w:rFonts w:hAnsi="宋体" w:cs="宋体"/>
                <w:sz w:val="24"/>
              </w:rPr>
              <w:t>。</w:t>
            </w:r>
          </w:p>
          <w:p w14:paraId="6E169F8F">
            <w:pPr>
              <w:adjustRightInd w:val="0"/>
              <w:snapToGrid w:val="0"/>
              <w:jc w:val="center"/>
              <w:rPr>
                <w:rFonts w:hint="eastAsia" w:hAnsi="宋体" w:cs="宋体"/>
                <w:sz w:val="24"/>
              </w:rPr>
            </w:pPr>
            <w:r>
              <w:rPr>
                <w:rFonts w:hint="eastAsia" w:hAnsi="宋体" w:cs="宋体"/>
                <w:sz w:val="24"/>
              </w:rPr>
              <w:t>河底淤泥：经过压滤翻晒后</w:t>
            </w:r>
            <w:r>
              <w:rPr>
                <w:rFonts w:hAnsi="宋体" w:cs="宋体"/>
                <w:sz w:val="24"/>
              </w:rPr>
              <w:t>（含水率小于60%）</w:t>
            </w:r>
            <w:r>
              <w:rPr>
                <w:rFonts w:hint="eastAsia" w:hAnsi="宋体" w:cs="宋体"/>
                <w:sz w:val="24"/>
              </w:rPr>
              <w:t>运至项目北侧田地综合利用。</w:t>
            </w:r>
          </w:p>
          <w:p w14:paraId="74F42682">
            <w:pPr>
              <w:adjustRightInd w:val="0"/>
              <w:snapToGrid w:val="0"/>
              <w:jc w:val="center"/>
              <w:rPr>
                <w:sz w:val="24"/>
                <w:szCs w:val="21"/>
              </w:rPr>
            </w:pPr>
            <w:r>
              <w:rPr>
                <w:rFonts w:hint="eastAsia" w:hAnsi="宋体" w:cs="宋体"/>
                <w:sz w:val="24"/>
              </w:rPr>
              <w:t>沉淀池淤泥：定期清掏至淤泥翻晒场，后期与淤泥一同综合利用。</w:t>
            </w:r>
          </w:p>
        </w:tc>
        <w:tc>
          <w:tcPr>
            <w:tcW w:w="2831" w:type="dxa"/>
            <w:vAlign w:val="center"/>
          </w:tcPr>
          <w:p w14:paraId="55764947">
            <w:pPr>
              <w:adjustRightInd w:val="0"/>
              <w:snapToGrid w:val="0"/>
              <w:jc w:val="center"/>
              <w:rPr>
                <w:sz w:val="24"/>
                <w:szCs w:val="21"/>
              </w:rPr>
            </w:pPr>
            <w:r>
              <w:rPr>
                <w:rFonts w:hint="eastAsia" w:hAnsi="宋体" w:cs="宋体"/>
                <w:sz w:val="24"/>
              </w:rPr>
              <w:t>固废得到合理有效处置，未对环境造成二次污染。</w:t>
            </w:r>
          </w:p>
        </w:tc>
        <w:tc>
          <w:tcPr>
            <w:tcW w:w="788" w:type="dxa"/>
            <w:vAlign w:val="center"/>
          </w:tcPr>
          <w:p w14:paraId="35E612F8">
            <w:pPr>
              <w:adjustRightInd w:val="0"/>
              <w:snapToGrid w:val="0"/>
              <w:jc w:val="center"/>
              <w:rPr>
                <w:sz w:val="24"/>
                <w:szCs w:val="21"/>
              </w:rPr>
            </w:pPr>
            <w:r>
              <w:rPr>
                <w:rFonts w:hint="eastAsia" w:ascii="宋体" w:hAnsi="宋体" w:cs="宋体"/>
                <w:sz w:val="24"/>
              </w:rPr>
              <w:t>/</w:t>
            </w:r>
          </w:p>
        </w:tc>
        <w:tc>
          <w:tcPr>
            <w:tcW w:w="719" w:type="dxa"/>
            <w:vAlign w:val="center"/>
          </w:tcPr>
          <w:p w14:paraId="56727654">
            <w:pPr>
              <w:adjustRightInd w:val="0"/>
              <w:snapToGrid w:val="0"/>
              <w:jc w:val="center"/>
              <w:rPr>
                <w:sz w:val="24"/>
                <w:szCs w:val="21"/>
              </w:rPr>
            </w:pPr>
            <w:r>
              <w:rPr>
                <w:rFonts w:hint="eastAsia" w:ascii="宋体" w:hAnsi="宋体" w:cs="宋体"/>
                <w:sz w:val="24"/>
              </w:rPr>
              <w:t>/</w:t>
            </w:r>
          </w:p>
        </w:tc>
      </w:tr>
      <w:tr w14:paraId="2694F3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32" w:type="dxa"/>
            <w:left w:w="64" w:type="dxa"/>
            <w:bottom w:w="32" w:type="dxa"/>
            <w:right w:w="64" w:type="dxa"/>
          </w:tblCellMar>
        </w:tblPrEx>
        <w:trPr>
          <w:jc w:val="center"/>
        </w:trPr>
        <w:tc>
          <w:tcPr>
            <w:tcW w:w="1325" w:type="dxa"/>
            <w:vAlign w:val="center"/>
          </w:tcPr>
          <w:p w14:paraId="283C24F8">
            <w:pPr>
              <w:adjustRightInd w:val="0"/>
              <w:snapToGrid w:val="0"/>
              <w:jc w:val="center"/>
              <w:rPr>
                <w:sz w:val="24"/>
                <w:szCs w:val="21"/>
              </w:rPr>
            </w:pPr>
            <w:r>
              <w:rPr>
                <w:rFonts w:hint="eastAsia"/>
                <w:sz w:val="24"/>
                <w:szCs w:val="21"/>
              </w:rPr>
              <w:t>电磁环境</w:t>
            </w:r>
          </w:p>
        </w:tc>
        <w:tc>
          <w:tcPr>
            <w:tcW w:w="9533" w:type="dxa"/>
            <w:vAlign w:val="center"/>
          </w:tcPr>
          <w:p w14:paraId="26630966">
            <w:pPr>
              <w:adjustRightInd w:val="0"/>
              <w:snapToGrid w:val="0"/>
              <w:jc w:val="center"/>
              <w:rPr>
                <w:sz w:val="24"/>
                <w:szCs w:val="21"/>
              </w:rPr>
            </w:pPr>
            <w:r>
              <w:rPr>
                <w:rFonts w:hint="eastAsia" w:hAnsi="宋体" w:cs="宋体"/>
                <w:sz w:val="24"/>
              </w:rPr>
              <w:t>/</w:t>
            </w:r>
          </w:p>
        </w:tc>
        <w:tc>
          <w:tcPr>
            <w:tcW w:w="2831" w:type="dxa"/>
            <w:vAlign w:val="center"/>
          </w:tcPr>
          <w:p w14:paraId="406C64F9">
            <w:pPr>
              <w:adjustRightInd w:val="0"/>
              <w:snapToGrid w:val="0"/>
              <w:jc w:val="center"/>
              <w:rPr>
                <w:sz w:val="24"/>
                <w:szCs w:val="21"/>
              </w:rPr>
            </w:pPr>
            <w:r>
              <w:rPr>
                <w:rFonts w:hint="eastAsia" w:hAnsi="宋体" w:cs="宋体"/>
                <w:sz w:val="24"/>
              </w:rPr>
              <w:t>/</w:t>
            </w:r>
          </w:p>
        </w:tc>
        <w:tc>
          <w:tcPr>
            <w:tcW w:w="788" w:type="dxa"/>
            <w:vAlign w:val="center"/>
          </w:tcPr>
          <w:p w14:paraId="196A72E9">
            <w:pPr>
              <w:adjustRightInd w:val="0"/>
              <w:snapToGrid w:val="0"/>
              <w:jc w:val="center"/>
              <w:rPr>
                <w:sz w:val="24"/>
                <w:szCs w:val="21"/>
              </w:rPr>
            </w:pPr>
            <w:r>
              <w:rPr>
                <w:rFonts w:hint="eastAsia" w:ascii="宋体" w:hAnsi="宋体" w:cs="宋体"/>
                <w:sz w:val="24"/>
              </w:rPr>
              <w:t>/</w:t>
            </w:r>
          </w:p>
        </w:tc>
        <w:tc>
          <w:tcPr>
            <w:tcW w:w="719" w:type="dxa"/>
            <w:vAlign w:val="center"/>
          </w:tcPr>
          <w:p w14:paraId="23C70EF1">
            <w:pPr>
              <w:adjustRightInd w:val="0"/>
              <w:snapToGrid w:val="0"/>
              <w:jc w:val="center"/>
              <w:rPr>
                <w:sz w:val="24"/>
                <w:szCs w:val="21"/>
              </w:rPr>
            </w:pPr>
            <w:r>
              <w:rPr>
                <w:rFonts w:hint="eastAsia" w:ascii="宋体" w:hAnsi="宋体" w:cs="宋体"/>
                <w:sz w:val="24"/>
              </w:rPr>
              <w:t>/</w:t>
            </w:r>
          </w:p>
        </w:tc>
      </w:tr>
      <w:tr w14:paraId="69D7E0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32" w:type="dxa"/>
            <w:left w:w="64" w:type="dxa"/>
            <w:bottom w:w="32" w:type="dxa"/>
            <w:right w:w="64" w:type="dxa"/>
          </w:tblCellMar>
        </w:tblPrEx>
        <w:trPr>
          <w:jc w:val="center"/>
        </w:trPr>
        <w:tc>
          <w:tcPr>
            <w:tcW w:w="1325" w:type="dxa"/>
            <w:vAlign w:val="center"/>
          </w:tcPr>
          <w:p w14:paraId="3B417444">
            <w:pPr>
              <w:adjustRightInd w:val="0"/>
              <w:snapToGrid w:val="0"/>
              <w:jc w:val="center"/>
              <w:rPr>
                <w:sz w:val="24"/>
                <w:szCs w:val="21"/>
              </w:rPr>
            </w:pPr>
            <w:r>
              <w:rPr>
                <w:rFonts w:hint="eastAsia"/>
                <w:sz w:val="24"/>
                <w:szCs w:val="21"/>
              </w:rPr>
              <w:t>环境风险</w:t>
            </w:r>
          </w:p>
        </w:tc>
        <w:tc>
          <w:tcPr>
            <w:tcW w:w="9533" w:type="dxa"/>
            <w:vAlign w:val="center"/>
          </w:tcPr>
          <w:p w14:paraId="59161EA8">
            <w:pPr>
              <w:adjustRightInd w:val="0"/>
              <w:snapToGrid w:val="0"/>
              <w:jc w:val="center"/>
              <w:rPr>
                <w:sz w:val="24"/>
                <w:szCs w:val="21"/>
              </w:rPr>
            </w:pPr>
            <w:r>
              <w:rPr>
                <w:rFonts w:hint="eastAsia" w:hAnsi="宋体" w:cs="宋体"/>
                <w:sz w:val="24"/>
              </w:rPr>
              <w:t>/</w:t>
            </w:r>
          </w:p>
        </w:tc>
        <w:tc>
          <w:tcPr>
            <w:tcW w:w="2831" w:type="dxa"/>
            <w:vAlign w:val="center"/>
          </w:tcPr>
          <w:p w14:paraId="40A2F796">
            <w:pPr>
              <w:adjustRightInd w:val="0"/>
              <w:snapToGrid w:val="0"/>
              <w:jc w:val="center"/>
              <w:rPr>
                <w:sz w:val="24"/>
                <w:szCs w:val="21"/>
              </w:rPr>
            </w:pPr>
            <w:r>
              <w:rPr>
                <w:rFonts w:hint="eastAsia" w:hAnsi="宋体" w:cs="宋体"/>
                <w:sz w:val="24"/>
              </w:rPr>
              <w:t>/</w:t>
            </w:r>
          </w:p>
        </w:tc>
        <w:tc>
          <w:tcPr>
            <w:tcW w:w="788" w:type="dxa"/>
            <w:vAlign w:val="center"/>
          </w:tcPr>
          <w:p w14:paraId="47010631">
            <w:pPr>
              <w:adjustRightInd w:val="0"/>
              <w:snapToGrid w:val="0"/>
              <w:jc w:val="center"/>
              <w:rPr>
                <w:bCs/>
                <w:kern w:val="0"/>
                <w:sz w:val="24"/>
                <w:szCs w:val="21"/>
                <w:lang w:bidi="zh-TW"/>
              </w:rPr>
            </w:pPr>
            <w:r>
              <w:rPr>
                <w:rFonts w:hint="eastAsia" w:ascii="宋体" w:hAnsi="宋体" w:cs="宋体"/>
                <w:sz w:val="24"/>
              </w:rPr>
              <w:t>/</w:t>
            </w:r>
          </w:p>
        </w:tc>
        <w:tc>
          <w:tcPr>
            <w:tcW w:w="719" w:type="dxa"/>
            <w:vAlign w:val="center"/>
          </w:tcPr>
          <w:p w14:paraId="0D575155">
            <w:pPr>
              <w:adjustRightInd w:val="0"/>
              <w:snapToGrid w:val="0"/>
              <w:jc w:val="center"/>
              <w:rPr>
                <w:bCs/>
                <w:kern w:val="0"/>
                <w:sz w:val="24"/>
                <w:szCs w:val="21"/>
                <w:lang w:bidi="zh-TW"/>
              </w:rPr>
            </w:pPr>
            <w:r>
              <w:rPr>
                <w:rFonts w:hint="eastAsia" w:ascii="宋体" w:hAnsi="宋体" w:cs="宋体"/>
                <w:sz w:val="24"/>
              </w:rPr>
              <w:t>/</w:t>
            </w:r>
          </w:p>
        </w:tc>
      </w:tr>
      <w:tr w14:paraId="7DEC9D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32" w:type="dxa"/>
            <w:left w:w="64" w:type="dxa"/>
            <w:bottom w:w="32" w:type="dxa"/>
            <w:right w:w="64" w:type="dxa"/>
          </w:tblCellMar>
        </w:tblPrEx>
        <w:trPr>
          <w:jc w:val="center"/>
        </w:trPr>
        <w:tc>
          <w:tcPr>
            <w:tcW w:w="1325" w:type="dxa"/>
            <w:vAlign w:val="center"/>
          </w:tcPr>
          <w:p w14:paraId="19DDB787">
            <w:pPr>
              <w:adjustRightInd w:val="0"/>
              <w:snapToGrid w:val="0"/>
              <w:jc w:val="center"/>
              <w:rPr>
                <w:sz w:val="24"/>
                <w:szCs w:val="21"/>
              </w:rPr>
            </w:pPr>
            <w:r>
              <w:rPr>
                <w:rFonts w:hint="eastAsia"/>
                <w:sz w:val="24"/>
                <w:szCs w:val="21"/>
              </w:rPr>
              <w:t>环境监测</w:t>
            </w:r>
          </w:p>
        </w:tc>
        <w:tc>
          <w:tcPr>
            <w:tcW w:w="9533" w:type="dxa"/>
            <w:vAlign w:val="center"/>
          </w:tcPr>
          <w:p w14:paraId="69D66313">
            <w:pPr>
              <w:adjustRightInd w:val="0"/>
              <w:snapToGrid w:val="0"/>
              <w:jc w:val="center"/>
              <w:rPr>
                <w:sz w:val="24"/>
                <w:szCs w:val="21"/>
              </w:rPr>
            </w:pPr>
            <w:r>
              <w:rPr>
                <w:rFonts w:hint="eastAsia" w:hAnsi="宋体" w:cs="宋体"/>
                <w:sz w:val="24"/>
              </w:rPr>
              <w:t>/</w:t>
            </w:r>
          </w:p>
        </w:tc>
        <w:tc>
          <w:tcPr>
            <w:tcW w:w="2831" w:type="dxa"/>
            <w:vAlign w:val="center"/>
          </w:tcPr>
          <w:p w14:paraId="60A3B01C">
            <w:pPr>
              <w:adjustRightInd w:val="0"/>
              <w:snapToGrid w:val="0"/>
              <w:jc w:val="center"/>
              <w:rPr>
                <w:sz w:val="24"/>
                <w:szCs w:val="21"/>
              </w:rPr>
            </w:pPr>
            <w:r>
              <w:rPr>
                <w:rFonts w:hint="eastAsia" w:hAnsi="宋体" w:cs="宋体"/>
                <w:sz w:val="24"/>
              </w:rPr>
              <w:t>/</w:t>
            </w:r>
          </w:p>
        </w:tc>
        <w:tc>
          <w:tcPr>
            <w:tcW w:w="788" w:type="dxa"/>
            <w:vAlign w:val="center"/>
          </w:tcPr>
          <w:p w14:paraId="02A804B5">
            <w:pPr>
              <w:adjustRightInd w:val="0"/>
              <w:snapToGrid w:val="0"/>
              <w:jc w:val="center"/>
              <w:rPr>
                <w:sz w:val="24"/>
                <w:szCs w:val="21"/>
              </w:rPr>
            </w:pPr>
            <w:r>
              <w:rPr>
                <w:rFonts w:hint="eastAsia" w:ascii="宋体" w:hAnsi="宋体" w:cs="宋体"/>
                <w:sz w:val="24"/>
              </w:rPr>
              <w:t>/</w:t>
            </w:r>
          </w:p>
        </w:tc>
        <w:tc>
          <w:tcPr>
            <w:tcW w:w="719" w:type="dxa"/>
            <w:vAlign w:val="center"/>
          </w:tcPr>
          <w:p w14:paraId="02C941C4">
            <w:pPr>
              <w:adjustRightInd w:val="0"/>
              <w:snapToGrid w:val="0"/>
              <w:jc w:val="center"/>
              <w:rPr>
                <w:sz w:val="24"/>
                <w:szCs w:val="21"/>
              </w:rPr>
            </w:pPr>
            <w:r>
              <w:rPr>
                <w:rFonts w:hint="eastAsia" w:ascii="宋体" w:hAnsi="宋体" w:cs="宋体"/>
                <w:sz w:val="24"/>
              </w:rPr>
              <w:t>/</w:t>
            </w:r>
          </w:p>
        </w:tc>
      </w:tr>
      <w:tr w14:paraId="5140C2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32" w:type="dxa"/>
            <w:left w:w="64" w:type="dxa"/>
            <w:bottom w:w="32" w:type="dxa"/>
            <w:right w:w="64" w:type="dxa"/>
          </w:tblCellMar>
        </w:tblPrEx>
        <w:trPr>
          <w:jc w:val="center"/>
        </w:trPr>
        <w:tc>
          <w:tcPr>
            <w:tcW w:w="1325" w:type="dxa"/>
            <w:vAlign w:val="center"/>
          </w:tcPr>
          <w:p w14:paraId="7964EE2D">
            <w:pPr>
              <w:adjustRightInd w:val="0"/>
              <w:snapToGrid w:val="0"/>
              <w:jc w:val="center"/>
              <w:rPr>
                <w:sz w:val="24"/>
                <w:szCs w:val="21"/>
              </w:rPr>
            </w:pPr>
            <w:r>
              <w:rPr>
                <w:rFonts w:hint="eastAsia"/>
                <w:sz w:val="24"/>
                <w:szCs w:val="21"/>
              </w:rPr>
              <w:t>其他</w:t>
            </w:r>
          </w:p>
        </w:tc>
        <w:tc>
          <w:tcPr>
            <w:tcW w:w="9533" w:type="dxa"/>
            <w:vAlign w:val="center"/>
          </w:tcPr>
          <w:p w14:paraId="30122351">
            <w:pPr>
              <w:adjustRightInd w:val="0"/>
              <w:snapToGrid w:val="0"/>
              <w:jc w:val="center"/>
              <w:rPr>
                <w:sz w:val="24"/>
                <w:szCs w:val="21"/>
              </w:rPr>
            </w:pPr>
            <w:r>
              <w:rPr>
                <w:rFonts w:hint="eastAsia" w:hAnsi="宋体" w:cs="宋体"/>
                <w:sz w:val="24"/>
              </w:rPr>
              <w:t>/</w:t>
            </w:r>
          </w:p>
        </w:tc>
        <w:tc>
          <w:tcPr>
            <w:tcW w:w="2831" w:type="dxa"/>
            <w:vAlign w:val="center"/>
          </w:tcPr>
          <w:p w14:paraId="42E1B4B7">
            <w:pPr>
              <w:adjustRightInd w:val="0"/>
              <w:snapToGrid w:val="0"/>
              <w:jc w:val="center"/>
              <w:rPr>
                <w:sz w:val="24"/>
                <w:szCs w:val="21"/>
              </w:rPr>
            </w:pPr>
            <w:r>
              <w:rPr>
                <w:rFonts w:hint="eastAsia" w:hAnsi="宋体" w:cs="宋体"/>
                <w:sz w:val="24"/>
              </w:rPr>
              <w:t>/</w:t>
            </w:r>
          </w:p>
        </w:tc>
        <w:tc>
          <w:tcPr>
            <w:tcW w:w="788" w:type="dxa"/>
            <w:vAlign w:val="center"/>
          </w:tcPr>
          <w:p w14:paraId="67DEA599">
            <w:pPr>
              <w:adjustRightInd w:val="0"/>
              <w:snapToGrid w:val="0"/>
              <w:jc w:val="center"/>
              <w:rPr>
                <w:sz w:val="24"/>
                <w:szCs w:val="21"/>
              </w:rPr>
            </w:pPr>
            <w:r>
              <w:rPr>
                <w:rFonts w:hint="eastAsia" w:ascii="宋体" w:hAnsi="宋体" w:cs="宋体"/>
                <w:sz w:val="24"/>
              </w:rPr>
              <w:t>/</w:t>
            </w:r>
          </w:p>
        </w:tc>
        <w:tc>
          <w:tcPr>
            <w:tcW w:w="719" w:type="dxa"/>
            <w:vAlign w:val="center"/>
          </w:tcPr>
          <w:p w14:paraId="6383C59B">
            <w:pPr>
              <w:adjustRightInd w:val="0"/>
              <w:snapToGrid w:val="0"/>
              <w:jc w:val="center"/>
              <w:rPr>
                <w:sz w:val="24"/>
                <w:szCs w:val="21"/>
              </w:rPr>
            </w:pPr>
            <w:r>
              <w:rPr>
                <w:rFonts w:hint="eastAsia" w:ascii="宋体" w:hAnsi="宋体" w:cs="宋体"/>
                <w:sz w:val="24"/>
              </w:rPr>
              <w:t>/</w:t>
            </w:r>
          </w:p>
        </w:tc>
      </w:tr>
    </w:tbl>
    <w:p w14:paraId="3C64E26E">
      <w:pPr>
        <w:rPr>
          <w:snapToGrid w:val="0"/>
          <w:sz w:val="24"/>
        </w:rPr>
      </w:pPr>
    </w:p>
    <w:p w14:paraId="054F5966">
      <w:pPr>
        <w:rPr>
          <w:snapToGrid w:val="0"/>
          <w:sz w:val="24"/>
        </w:rPr>
        <w:sectPr>
          <w:pgSz w:w="16838" w:h="11906" w:orient="landscape"/>
          <w:pgMar w:top="1519" w:right="1440" w:bottom="1519" w:left="1440" w:header="851" w:footer="1077" w:gutter="0"/>
          <w:pgNumType w:fmt="numberInDash"/>
          <w:cols w:space="425" w:num="1"/>
          <w:docGrid w:linePitch="312" w:charSpace="0"/>
        </w:sectPr>
      </w:pPr>
    </w:p>
    <w:p w14:paraId="502563D0">
      <w:pPr>
        <w:rPr>
          <w:snapToGrid w:val="0"/>
          <w:sz w:val="24"/>
        </w:rPr>
      </w:pPr>
    </w:p>
    <w:p w14:paraId="45730086">
      <w:pPr>
        <w:pStyle w:val="3"/>
      </w:pPr>
      <w:bookmarkStart w:id="30" w:name="_Toc73042837"/>
      <w:bookmarkStart w:id="31" w:name="_Toc69482244"/>
      <w:bookmarkStart w:id="32" w:name="_Toc27896"/>
      <w:bookmarkStart w:id="33" w:name="_Toc73024340"/>
      <w:bookmarkStart w:id="34" w:name="_Toc71376054"/>
      <w:r>
        <w:t>结论</w:t>
      </w:r>
      <w:bookmarkEnd w:id="30"/>
      <w:bookmarkEnd w:id="31"/>
      <w:bookmarkEnd w:id="32"/>
      <w:bookmarkEnd w:id="33"/>
      <w:bookmarkEnd w:id="34"/>
    </w:p>
    <w:tbl>
      <w:tblPr>
        <w:tblStyle w:val="26"/>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14:paraId="466E84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vAlign w:val="center"/>
          </w:tcPr>
          <w:p w14:paraId="67E7E5FA">
            <w:pPr>
              <w:adjustRightInd w:val="0"/>
              <w:snapToGrid w:val="0"/>
              <w:spacing w:line="440" w:lineRule="exact"/>
              <w:ind w:firstLine="480" w:firstLineChars="200"/>
              <w:rPr>
                <w:sz w:val="24"/>
              </w:rPr>
            </w:pPr>
            <w:r>
              <w:rPr>
                <w:rFonts w:hint="eastAsia"/>
                <w:sz w:val="24"/>
              </w:rPr>
              <w:t>本项目符合国家和行业产业政策要求，符合区域规划要求；符合“三线一单”要求；附近大气环境、水环境、声环境质量满足相应的标准要求；项目施工期采取的“三废”及噪声治理措施经济技术可行、措施有效，污染物能够达标排放，工程实施后不会对地表水、环境空气、声学环境产生明显影响，能维持当地环境功能要求。工程实施后有利于维护库岸安全稳定、畅通滨江活动空间、提升城市形象和生活品质，并极大地改善了沿河的生态环境，社会效益明显，经济上合理，环境上可行，该项目的建设是可行的。</w:t>
            </w:r>
          </w:p>
        </w:tc>
      </w:tr>
    </w:tbl>
    <w:p w14:paraId="18E6DCC4"/>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Yu Mincho Light">
    <w:altName w:val="Yu Gothic"/>
    <w:panose1 w:val="00000000000000000000"/>
    <w:charset w:val="80"/>
    <w:family w:val="roman"/>
    <w:pitch w:val="default"/>
    <w:sig w:usb0="00000000" w:usb1="00000000" w:usb2="00000012" w:usb3="00000000" w:csb0="0002009F" w:csb1="00000000"/>
  </w:font>
  <w:font w:name="Yu Gothic">
    <w:panose1 w:val="020B0400000000000000"/>
    <w:charset w:val="80"/>
    <w:family w:val="auto"/>
    <w:pitch w:val="default"/>
    <w:sig w:usb0="E00002FF" w:usb1="2AC7FDFF" w:usb2="00000016" w:usb3="00000000" w:csb0="2002009F" w:csb1="00000000"/>
  </w:font>
  <w:font w:name="方正小标宋_GBK">
    <w:altName w:val="微软雅黑"/>
    <w:panose1 w:val="02000000000000000000"/>
    <w:charset w:val="86"/>
    <w:family w:val="script"/>
    <w:pitch w:val="default"/>
    <w:sig w:usb0="00000000" w:usb1="00000000" w:usb2="00082016" w:usb3="00000000" w:csb0="00040001" w:csb1="00000000"/>
  </w:font>
  <w:font w:name="楷体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CBB3B">
    <w:pPr>
      <w:tabs>
        <w:tab w:val="center" w:pos="4153"/>
        <w:tab w:val="right" w:pos="8306"/>
      </w:tabs>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81849">
    <w:pPr>
      <w:tabs>
        <w:tab w:val="center" w:pos="4153"/>
        <w:tab w:val="right" w:pos="8306"/>
      </w:tabs>
      <w:rPr>
        <w:sz w:val="24"/>
      </w:rPr>
    </w:pPr>
    <w:r>
      <w:rPr>
        <w:rFonts w:hint="eastAsia"/>
        <w:sz w:val="24"/>
      </w:rPr>
      <w:t xml:space="preserve">— </w:t>
    </w:r>
    <w:r>
      <w:rPr>
        <w:sz w:val="24"/>
      </w:rPr>
      <w:fldChar w:fldCharType="begin"/>
    </w:r>
    <w:r>
      <w:rPr>
        <w:sz w:val="24"/>
      </w:rPr>
      <w:instrText xml:space="preserve">PAGE   \* MERGEFORMAT</w:instrText>
    </w:r>
    <w:r>
      <w:rPr>
        <w:sz w:val="24"/>
      </w:rPr>
      <w:fldChar w:fldCharType="separate"/>
    </w:r>
    <w:r>
      <w:rPr>
        <w:sz w:val="24"/>
        <w:lang w:val="zh-CN"/>
      </w:rPr>
      <w:t>90</w:t>
    </w:r>
    <w:r>
      <w:rPr>
        <w:sz w:val="24"/>
      </w:rPr>
      <w:fldChar w:fldCharType="end"/>
    </w:r>
    <w:r>
      <w:rPr>
        <w:sz w:val="24"/>
      </w:rPr>
      <w:t xml:space="preserve"> </w:t>
    </w:r>
    <w:r>
      <w:rPr>
        <w:rFonts w:hint="eastAsia"/>
        <w:sz w:val="24"/>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650DB">
    <w:pPr>
      <w:tabs>
        <w:tab w:val="center" w:pos="4153"/>
        <w:tab w:val="right" w:pos="8306"/>
      </w:tabs>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80FB2">
    <w:pPr>
      <w:framePr w:wrap="around" w:vAnchor="text" w:hAnchor="margin" w:xAlign="center" w:y="1"/>
      <w:tabs>
        <w:tab w:val="center" w:pos="4153"/>
        <w:tab w:val="right" w:pos="8306"/>
      </w:tabs>
    </w:pPr>
    <w:r>
      <w:fldChar w:fldCharType="begin"/>
    </w:r>
    <w:r>
      <w:instrText xml:space="preserve">PAGE  </w:instrText>
    </w:r>
    <w:r>
      <w:fldChar w:fldCharType="end"/>
    </w:r>
  </w:p>
  <w:p w14:paraId="6CAED563">
    <w:pPr>
      <w:tabs>
        <w:tab w:val="center" w:pos="4153"/>
        <w:tab w:val="right" w:pos="8306"/>
      </w:tabs>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B6828">
    <w:pPr>
      <w:pStyle w:val="35"/>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D32362">
                          <w:pPr>
                            <w:pStyle w:val="3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60D32362">
                    <w:pPr>
                      <w:pStyle w:val="3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B37148"/>
    <w:multiLevelType w:val="multilevel"/>
    <w:tmpl w:val="88B37148"/>
    <w:lvl w:ilvl="0" w:tentative="0">
      <w:start w:val="1"/>
      <w:numFmt w:val="decimal"/>
      <w:suff w:val="space"/>
      <w:lvlText w:val="%1、"/>
      <w:lvlJc w:val="left"/>
      <w:pPr>
        <w:ind w:left="425" w:hanging="425"/>
      </w:pPr>
      <w:rPr>
        <w:rFonts w:hint="default"/>
      </w:rPr>
    </w:lvl>
    <w:lvl w:ilvl="1" w:tentative="0">
      <w:start w:val="1"/>
      <w:numFmt w:val="decimal"/>
      <w:lvlText w:val="%1.%2."/>
      <w:lvlJc w:val="left"/>
      <w:pPr>
        <w:ind w:left="567" w:hanging="567"/>
      </w:pPr>
      <w:rPr>
        <w:rFonts w:hint="default" w:ascii="Times New Roman" w:hAnsi="Times New Roman"/>
        <w:color w:val="000000" w:themeColor="text1"/>
        <w14:textFill>
          <w14:solidFill>
            <w14:schemeClr w14:val="tx1"/>
          </w14:solidFill>
        </w14:textFill>
      </w:rPr>
    </w:lvl>
    <w:lvl w:ilvl="2" w:tentative="0">
      <w:start w:val="1"/>
      <w:numFmt w:val="decimal"/>
      <w:lvlText w:val="%1.%2.%3."/>
      <w:lvlJc w:val="left"/>
      <w:pPr>
        <w:ind w:left="709" w:hanging="709"/>
      </w:pPr>
      <w:rPr>
        <w:rFonts w:hint="default"/>
        <w:b/>
        <w:bCs/>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A155DFDE"/>
    <w:multiLevelType w:val="multilevel"/>
    <w:tmpl w:val="A155DFDE"/>
    <w:lvl w:ilvl="0" w:tentative="0">
      <w:start w:val="1"/>
      <w:numFmt w:val="decimal"/>
      <w:pStyle w:val="48"/>
      <w:lvlText w:val="表4-%1"/>
      <w:lvlJc w:val="left"/>
      <w:pPr>
        <w:tabs>
          <w:tab w:val="left" w:pos="420"/>
        </w:tabs>
        <w:ind w:left="425" w:hanging="425"/>
      </w:pPr>
      <w:rPr>
        <w:rFonts w:hint="default" w:ascii="宋体" w:hAnsi="宋体" w:eastAsia="宋体" w:cs="宋体"/>
      </w:rPr>
    </w:lvl>
    <w:lvl w:ilvl="1" w:tentative="0">
      <w:start w:val="1"/>
      <w:numFmt w:val="decimal"/>
      <w:lvlRestart w:val="0"/>
      <w:pStyle w:val="49"/>
      <w:suff w:val="space"/>
      <w:lvlText w:val="图4-%2"/>
      <w:lvlJc w:val="left"/>
      <w:pPr>
        <w:tabs>
          <w:tab w:val="left" w:pos="420"/>
        </w:tabs>
        <w:ind w:left="567" w:hanging="567"/>
      </w:pPr>
      <w:rPr>
        <w:rFonts w:hint="default" w:ascii="宋体" w:hAnsi="宋体" w:eastAsia="宋体" w:cs="宋体"/>
        <w:color w:val="000000" w:themeColor="text1"/>
        <w14:textFill>
          <w14:solidFill>
            <w14:schemeClr w14:val="tx1"/>
          </w14:solidFill>
        </w14:textFill>
      </w:rPr>
    </w:lvl>
    <w:lvl w:ilvl="2" w:tentative="0">
      <w:start w:val="1"/>
      <w:numFmt w:val="decimal"/>
      <w:lvlRestart w:val="1"/>
      <w:lvlText w:val="%3"/>
      <w:lvlJc w:val="left"/>
      <w:pPr>
        <w:tabs>
          <w:tab w:val="left" w:pos="420"/>
        </w:tabs>
        <w:ind w:left="709" w:hanging="709"/>
      </w:pPr>
      <w:rPr>
        <w:rFonts w:hint="default" w:ascii="宋体" w:hAnsi="宋体" w:eastAsia="宋体" w:cs="宋体"/>
        <w:b/>
        <w:bCs/>
      </w:rPr>
    </w:lvl>
    <w:lvl w:ilvl="3" w:tentative="0">
      <w:start w:val="1"/>
      <w:numFmt w:val="none"/>
      <w:lvlText w:val=""/>
      <w:lvlJc w:val="left"/>
      <w:pPr>
        <w:ind w:left="850" w:hanging="850"/>
      </w:pPr>
      <w:rPr>
        <w:rFonts w:hint="default" w:ascii="宋体" w:hAnsi="宋体" w:eastAsia="宋体" w:cs="宋体"/>
      </w:rPr>
    </w:lvl>
    <w:lvl w:ilvl="4" w:tentative="0">
      <w:start w:val="1"/>
      <w:numFmt w:val="none"/>
      <w:lvlText w:val=""/>
      <w:lvlJc w:val="left"/>
      <w:pPr>
        <w:ind w:left="991" w:hanging="991"/>
      </w:pPr>
      <w:rPr>
        <w:rFonts w:hint="eastAsia"/>
      </w:rPr>
    </w:lvl>
    <w:lvl w:ilvl="5" w:tentative="0">
      <w:start w:val="1"/>
      <w:numFmt w:val="none"/>
      <w:lvlText w:val=""/>
      <w:lvlJc w:val="left"/>
      <w:pPr>
        <w:ind w:left="1134" w:hanging="1134"/>
      </w:pPr>
      <w:rPr>
        <w:rFonts w:hint="eastAsia"/>
      </w:rPr>
    </w:lvl>
    <w:lvl w:ilvl="6" w:tentative="0">
      <w:start w:val="1"/>
      <w:numFmt w:val="none"/>
      <w:lvlText w:val=""/>
      <w:lvlJc w:val="left"/>
      <w:pPr>
        <w:ind w:left="1275" w:hanging="1275"/>
      </w:pPr>
      <w:rPr>
        <w:rFonts w:hint="eastAsia"/>
      </w:rPr>
    </w:lvl>
    <w:lvl w:ilvl="7" w:tentative="0">
      <w:start w:val="1"/>
      <w:numFmt w:val="none"/>
      <w:lvlText w:val=""/>
      <w:lvlJc w:val="left"/>
      <w:pPr>
        <w:ind w:left="1418" w:hanging="1418"/>
      </w:pPr>
      <w:rPr>
        <w:rFonts w:hint="eastAsia"/>
      </w:rPr>
    </w:lvl>
    <w:lvl w:ilvl="8" w:tentative="0">
      <w:start w:val="1"/>
      <w:numFmt w:val="none"/>
      <w:lvlText w:val=""/>
      <w:lvlJc w:val="left"/>
      <w:pPr>
        <w:ind w:left="1558" w:hanging="1558"/>
      </w:pPr>
      <w:rPr>
        <w:rFonts w:hint="eastAsia"/>
      </w:rPr>
    </w:lvl>
  </w:abstractNum>
  <w:abstractNum w:abstractNumId="2">
    <w:nsid w:val="A461D5C2"/>
    <w:multiLevelType w:val="multilevel"/>
    <w:tmpl w:val="A461D5C2"/>
    <w:lvl w:ilvl="0" w:tentative="0">
      <w:start w:val="1"/>
      <w:numFmt w:val="decimal"/>
      <w:suff w:val="space"/>
      <w:lvlText w:val="%1、"/>
      <w:lvlJc w:val="left"/>
      <w:pPr>
        <w:ind w:left="425" w:hanging="425"/>
      </w:pPr>
      <w:rPr>
        <w:rFonts w:hint="default"/>
      </w:rPr>
    </w:lvl>
    <w:lvl w:ilvl="1" w:tentative="0">
      <w:start w:val="1"/>
      <w:numFmt w:val="decimal"/>
      <w:lvlText w:val="%1.%2."/>
      <w:lvlJc w:val="left"/>
      <w:pPr>
        <w:ind w:left="567" w:hanging="567"/>
      </w:pPr>
      <w:rPr>
        <w:rFonts w:hint="default" w:ascii="Times New Roman" w:hAnsi="Times New Roman"/>
        <w:color w:val="000000" w:themeColor="text1"/>
        <w14:textFill>
          <w14:solidFill>
            <w14:schemeClr w14:val="tx1"/>
          </w14:solidFill>
        </w14:textFill>
      </w:rPr>
    </w:lvl>
    <w:lvl w:ilvl="2" w:tentative="0">
      <w:start w:val="1"/>
      <w:numFmt w:val="decimal"/>
      <w:lvlText w:val="%1.%2.%3."/>
      <w:lvlJc w:val="left"/>
      <w:pPr>
        <w:ind w:left="709" w:hanging="709"/>
      </w:pPr>
      <w:rPr>
        <w:rFonts w:hint="default"/>
        <w:b/>
        <w:bCs/>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A4F780F7"/>
    <w:multiLevelType w:val="multilevel"/>
    <w:tmpl w:val="A4F780F7"/>
    <w:lvl w:ilvl="0" w:tentative="0">
      <w:start w:val="1"/>
      <w:numFmt w:val="chineseCounting"/>
      <w:suff w:val="nothing"/>
      <w:lvlText w:val="%1、"/>
      <w:lvlJc w:val="left"/>
      <w:pPr>
        <w:tabs>
          <w:tab w:val="left" w:pos="0"/>
        </w:tabs>
        <w:ind w:left="0" w:firstLine="0"/>
      </w:pPr>
      <w:rPr>
        <w:rFonts w:hint="eastAsia" w:ascii="宋体" w:hAnsi="宋体" w:eastAsia="宋体" w:cs="宋体"/>
        <w:snapToGrid w:val="0"/>
        <w:sz w:val="30"/>
        <w:szCs w:val="30"/>
      </w:rPr>
    </w:lvl>
    <w:lvl w:ilvl="1" w:tentative="0">
      <w:start w:val="1"/>
      <w:numFmt w:val="decimal"/>
      <w:lvlRestart w:val="0"/>
      <w:suff w:val="nothing"/>
      <w:lvlText w:val="%2、"/>
      <w:lvlJc w:val="left"/>
      <w:pPr>
        <w:tabs>
          <w:tab w:val="left" w:pos="420"/>
        </w:tabs>
        <w:ind w:left="0" w:firstLine="0"/>
      </w:pPr>
      <w:rPr>
        <w:rFonts w:hint="default" w:ascii="Times New Roman" w:hAnsi="Times New Roman" w:eastAsia="宋体" w:cs="Times New Roman"/>
        <w:b/>
        <w:sz w:val="24"/>
        <w:szCs w:val="24"/>
      </w:rPr>
    </w:lvl>
    <w:lvl w:ilvl="2" w:tentative="0">
      <w:start w:val="1"/>
      <w:numFmt w:val="decimal"/>
      <w:lvlRestart w:val="0"/>
      <w:pStyle w:val="107"/>
      <w:suff w:val="nothing"/>
      <w:lvlText w:val="（%3）"/>
      <w:lvlJc w:val="left"/>
      <w:pPr>
        <w:tabs>
          <w:tab w:val="left" w:pos="420"/>
        </w:tabs>
        <w:ind w:left="0" w:firstLine="0"/>
      </w:pPr>
      <w:rPr>
        <w:rFonts w:hint="default" w:ascii="Times New Roman" w:hAnsi="Times New Roman" w:eastAsia="宋体" w:cs="Times New Roman"/>
        <w:b/>
        <w:sz w:val="24"/>
      </w:rPr>
    </w:lvl>
    <w:lvl w:ilvl="3" w:tentative="0">
      <w:start w:val="1"/>
      <w:numFmt w:val="decimal"/>
      <w:lvlRestart w:val="1"/>
      <w:isLgl/>
      <w:suff w:val="space"/>
      <w:lvlText w:val="图%1-%4"/>
      <w:lvlJc w:val="left"/>
      <w:pPr>
        <w:tabs>
          <w:tab w:val="left" w:pos="420"/>
        </w:tabs>
        <w:ind w:left="0" w:firstLine="0"/>
      </w:pPr>
      <w:rPr>
        <w:rFonts w:hint="eastAsia" w:ascii="宋体" w:hAnsi="宋体" w:eastAsia="宋体" w:cs="宋体"/>
        <w:b/>
        <w:sz w:val="21"/>
      </w:rPr>
    </w:lvl>
    <w:lvl w:ilvl="4" w:tentative="0">
      <w:start w:val="1"/>
      <w:numFmt w:val="decimal"/>
      <w:lvlRestart w:val="0"/>
      <w:isLgl/>
      <w:suff w:val="space"/>
      <w:lvlText w:val="表%1-%5"/>
      <w:lvlJc w:val="left"/>
      <w:pPr>
        <w:tabs>
          <w:tab w:val="left" w:pos="0"/>
        </w:tabs>
        <w:ind w:left="0" w:firstLine="0"/>
      </w:pPr>
      <w:rPr>
        <w:rFonts w:hint="eastAsia" w:ascii="宋体" w:hAnsi="宋体" w:eastAsia="宋体" w:cs="宋体"/>
        <w:sz w:val="21"/>
        <w:szCs w:val="21"/>
      </w:rPr>
    </w:lvl>
    <w:lvl w:ilvl="5" w:tentative="0">
      <w:start w:val="1"/>
      <w:numFmt w:val="low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4">
    <w:nsid w:val="AAD16218"/>
    <w:multiLevelType w:val="multilevel"/>
    <w:tmpl w:val="AAD16218"/>
    <w:lvl w:ilvl="0" w:tentative="0">
      <w:start w:val="1"/>
      <w:numFmt w:val="decimal"/>
      <w:pStyle w:val="4"/>
      <w:suff w:val="space"/>
      <w:lvlText w:val="%1、"/>
      <w:lvlJc w:val="left"/>
      <w:pPr>
        <w:ind w:left="425" w:hanging="425"/>
      </w:pPr>
      <w:rPr>
        <w:rFonts w:hint="default"/>
      </w:rPr>
    </w:lvl>
    <w:lvl w:ilvl="1" w:tentative="0">
      <w:start w:val="1"/>
      <w:numFmt w:val="decimal"/>
      <w:lvlText w:val="%1.%2."/>
      <w:lvlJc w:val="left"/>
      <w:pPr>
        <w:ind w:left="567" w:hanging="567"/>
      </w:pPr>
      <w:rPr>
        <w:rFonts w:hint="default" w:ascii="Times New Roman" w:hAnsi="Times New Roman"/>
        <w:color w:val="000000" w:themeColor="text1"/>
        <w14:textFill>
          <w14:solidFill>
            <w14:schemeClr w14:val="tx1"/>
          </w14:solidFill>
        </w14:textFill>
      </w:rPr>
    </w:lvl>
    <w:lvl w:ilvl="2" w:tentative="0">
      <w:start w:val="1"/>
      <w:numFmt w:val="decimal"/>
      <w:lvlText w:val="%1.%2.%3."/>
      <w:lvlJc w:val="left"/>
      <w:pPr>
        <w:ind w:left="709" w:hanging="709"/>
      </w:pPr>
      <w:rPr>
        <w:rFonts w:hint="default"/>
        <w:b/>
        <w:bCs/>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5">
    <w:nsid w:val="B9A0F314"/>
    <w:multiLevelType w:val="multilevel"/>
    <w:tmpl w:val="B9A0F314"/>
    <w:lvl w:ilvl="0" w:tentative="0">
      <w:start w:val="1"/>
      <w:numFmt w:val="decimal"/>
      <w:suff w:val="space"/>
      <w:lvlText w:val="%1、"/>
      <w:lvlJc w:val="left"/>
      <w:pPr>
        <w:ind w:left="425" w:hanging="425"/>
      </w:pPr>
      <w:rPr>
        <w:rFonts w:hint="default"/>
      </w:rPr>
    </w:lvl>
    <w:lvl w:ilvl="1" w:tentative="0">
      <w:start w:val="1"/>
      <w:numFmt w:val="decimal"/>
      <w:lvlText w:val="%1.%2."/>
      <w:lvlJc w:val="left"/>
      <w:pPr>
        <w:ind w:left="567" w:hanging="567"/>
      </w:pPr>
      <w:rPr>
        <w:rFonts w:hint="default" w:ascii="Times New Roman" w:hAnsi="Times New Roman"/>
        <w:color w:val="000000" w:themeColor="text1"/>
        <w14:textFill>
          <w14:solidFill>
            <w14:schemeClr w14:val="tx1"/>
          </w14:solidFill>
        </w14:textFill>
      </w:rPr>
    </w:lvl>
    <w:lvl w:ilvl="2" w:tentative="0">
      <w:start w:val="1"/>
      <w:numFmt w:val="decimal"/>
      <w:lvlText w:val="%1.%2.%3."/>
      <w:lvlJc w:val="left"/>
      <w:pPr>
        <w:ind w:left="709" w:hanging="709"/>
      </w:pPr>
      <w:rPr>
        <w:rFonts w:hint="default"/>
        <w:b/>
        <w:bCs/>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6">
    <w:nsid w:val="B9A1AB51"/>
    <w:multiLevelType w:val="singleLevel"/>
    <w:tmpl w:val="B9A1AB51"/>
    <w:lvl w:ilvl="0" w:tentative="0">
      <w:start w:val="1"/>
      <w:numFmt w:val="decimal"/>
      <w:suff w:val="nothing"/>
      <w:lvlText w:val="%1）"/>
      <w:lvlJc w:val="left"/>
    </w:lvl>
  </w:abstractNum>
  <w:abstractNum w:abstractNumId="7">
    <w:nsid w:val="C2E0317A"/>
    <w:multiLevelType w:val="multilevel"/>
    <w:tmpl w:val="C2E0317A"/>
    <w:lvl w:ilvl="0" w:tentative="0">
      <w:start w:val="1"/>
      <w:numFmt w:val="decimal"/>
      <w:suff w:val="space"/>
      <w:lvlText w:val="%1、"/>
      <w:lvlJc w:val="left"/>
      <w:pPr>
        <w:ind w:left="425" w:hanging="425"/>
      </w:pPr>
      <w:rPr>
        <w:rFonts w:hint="default"/>
      </w:rPr>
    </w:lvl>
    <w:lvl w:ilvl="1" w:tentative="0">
      <w:start w:val="1"/>
      <w:numFmt w:val="decimal"/>
      <w:lvlText w:val="%1.%2."/>
      <w:lvlJc w:val="left"/>
      <w:pPr>
        <w:ind w:left="567" w:hanging="567"/>
      </w:pPr>
      <w:rPr>
        <w:rFonts w:hint="default" w:ascii="Times New Roman" w:hAnsi="Times New Roman"/>
        <w:color w:val="000000" w:themeColor="text1"/>
        <w14:textFill>
          <w14:solidFill>
            <w14:schemeClr w14:val="tx1"/>
          </w14:solidFill>
        </w14:textFill>
      </w:rPr>
    </w:lvl>
    <w:lvl w:ilvl="2" w:tentative="0">
      <w:start w:val="1"/>
      <w:numFmt w:val="decimal"/>
      <w:lvlText w:val="%1.%2.%3."/>
      <w:lvlJc w:val="left"/>
      <w:pPr>
        <w:ind w:left="709" w:hanging="709"/>
      </w:pPr>
      <w:rPr>
        <w:rFonts w:hint="default"/>
        <w:b/>
        <w:bCs/>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8">
    <w:nsid w:val="D1F79C22"/>
    <w:multiLevelType w:val="multilevel"/>
    <w:tmpl w:val="D1F79C22"/>
    <w:lvl w:ilvl="0" w:tentative="0">
      <w:start w:val="1"/>
      <w:numFmt w:val="decimal"/>
      <w:pStyle w:val="5"/>
      <w:suff w:val="nothing"/>
      <w:lvlText w:val="（%1）"/>
      <w:lvlJc w:val="left"/>
      <w:pPr>
        <w:tabs>
          <w:tab w:val="left" w:pos="1678"/>
        </w:tabs>
        <w:ind w:left="-90"/>
      </w:pPr>
      <w:rPr>
        <w:rFonts w:hint="default"/>
      </w:rPr>
    </w:lvl>
    <w:lvl w:ilvl="1" w:tentative="0">
      <w:start w:val="1"/>
      <w:numFmt w:val="decimalEnclosedCircleChinese"/>
      <w:pStyle w:val="6"/>
      <w:lvlText w:val="%2"/>
      <w:lvlJc w:val="left"/>
      <w:pPr>
        <w:tabs>
          <w:tab w:val="left" w:pos="420"/>
        </w:tabs>
        <w:ind w:left="840" w:hanging="420"/>
      </w:pPr>
      <w:rPr>
        <w:rFonts w:hint="eastAsia" w:ascii="Times New Roman" w:hAnsi="Times New Roman" w:cs="Times New Roman"/>
        <w:sz w:val="24"/>
        <w:szCs w:val="24"/>
      </w:rPr>
    </w:lvl>
    <w:lvl w:ilvl="2" w:tentative="0">
      <w:start w:val="1"/>
      <w:numFmt w:val="decimal"/>
      <w:lvlText w:val="%3)"/>
      <w:lvlJc w:val="left"/>
      <w:pPr>
        <w:tabs>
          <w:tab w:val="left" w:pos="420"/>
        </w:tabs>
        <w:ind w:left="1260" w:hanging="420"/>
      </w:pPr>
      <w:rPr>
        <w:rFonts w:hint="default"/>
      </w:rPr>
    </w:lvl>
    <w:lvl w:ilvl="3" w:tentative="0">
      <w:start w:val="1"/>
      <w:numFmt w:val="lowerLetter"/>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9">
    <w:nsid w:val="D337F15C"/>
    <w:multiLevelType w:val="multilevel"/>
    <w:tmpl w:val="D337F15C"/>
    <w:lvl w:ilvl="0" w:tentative="0">
      <w:start w:val="1"/>
      <w:numFmt w:val="decimal"/>
      <w:pStyle w:val="43"/>
      <w:lvlText w:val="表2-%1"/>
      <w:lvlJc w:val="left"/>
      <w:pPr>
        <w:tabs>
          <w:tab w:val="left" w:pos="420"/>
        </w:tabs>
        <w:ind w:left="425" w:hanging="425"/>
      </w:pPr>
      <w:rPr>
        <w:rFonts w:hint="default" w:ascii="宋体" w:hAnsi="宋体" w:eastAsia="宋体" w:cs="宋体"/>
      </w:rPr>
    </w:lvl>
    <w:lvl w:ilvl="1" w:tentative="0">
      <w:start w:val="1"/>
      <w:numFmt w:val="decimal"/>
      <w:lvlRestart w:val="0"/>
      <w:suff w:val="space"/>
      <w:lvlText w:val="图2-%2"/>
      <w:lvlJc w:val="left"/>
      <w:pPr>
        <w:tabs>
          <w:tab w:val="left" w:pos="420"/>
        </w:tabs>
        <w:ind w:left="567" w:hanging="567"/>
      </w:pPr>
      <w:rPr>
        <w:rFonts w:hint="default" w:ascii="宋体" w:hAnsi="宋体" w:eastAsia="宋体" w:cs="宋体"/>
        <w:color w:val="000000" w:themeColor="text1"/>
        <w14:textFill>
          <w14:solidFill>
            <w14:schemeClr w14:val="tx1"/>
          </w14:solidFill>
        </w14:textFill>
      </w:rPr>
    </w:lvl>
    <w:lvl w:ilvl="2" w:tentative="0">
      <w:start w:val="1"/>
      <w:numFmt w:val="none"/>
      <w:lvlRestart w:val="1"/>
      <w:lvlText w:val=""/>
      <w:lvlJc w:val="left"/>
      <w:pPr>
        <w:tabs>
          <w:tab w:val="left" w:pos="420"/>
        </w:tabs>
        <w:ind w:left="709" w:hanging="709"/>
      </w:pPr>
      <w:rPr>
        <w:rFonts w:hint="default" w:ascii="宋体" w:hAnsi="宋体" w:eastAsia="宋体" w:cs="宋体"/>
        <w:b/>
        <w:bCs/>
      </w:rPr>
    </w:lvl>
    <w:lvl w:ilvl="3" w:tentative="0">
      <w:start w:val="1"/>
      <w:numFmt w:val="none"/>
      <w:lvlText w:val=""/>
      <w:lvlJc w:val="left"/>
      <w:pPr>
        <w:ind w:left="850" w:hanging="850"/>
      </w:pPr>
      <w:rPr>
        <w:rFonts w:hint="default" w:ascii="宋体" w:hAnsi="宋体" w:eastAsia="宋体" w:cs="宋体"/>
      </w:rPr>
    </w:lvl>
    <w:lvl w:ilvl="4" w:tentative="0">
      <w:start w:val="1"/>
      <w:numFmt w:val="none"/>
      <w:lvlText w:val=""/>
      <w:lvlJc w:val="left"/>
      <w:pPr>
        <w:ind w:left="991" w:hanging="991"/>
      </w:pPr>
      <w:rPr>
        <w:rFonts w:hint="eastAsia"/>
      </w:rPr>
    </w:lvl>
    <w:lvl w:ilvl="5" w:tentative="0">
      <w:start w:val="1"/>
      <w:numFmt w:val="none"/>
      <w:lvlText w:val=""/>
      <w:lvlJc w:val="left"/>
      <w:pPr>
        <w:ind w:left="1134" w:hanging="1134"/>
      </w:pPr>
      <w:rPr>
        <w:rFonts w:hint="eastAsia"/>
      </w:rPr>
    </w:lvl>
    <w:lvl w:ilvl="6" w:tentative="0">
      <w:start w:val="1"/>
      <w:numFmt w:val="none"/>
      <w:lvlText w:val=""/>
      <w:lvlJc w:val="left"/>
      <w:pPr>
        <w:ind w:left="1275" w:hanging="1275"/>
      </w:pPr>
      <w:rPr>
        <w:rFonts w:hint="eastAsia"/>
      </w:rPr>
    </w:lvl>
    <w:lvl w:ilvl="7" w:tentative="0">
      <w:start w:val="1"/>
      <w:numFmt w:val="none"/>
      <w:lvlText w:val=""/>
      <w:lvlJc w:val="left"/>
      <w:pPr>
        <w:ind w:left="1418" w:hanging="1418"/>
      </w:pPr>
      <w:rPr>
        <w:rFonts w:hint="eastAsia"/>
      </w:rPr>
    </w:lvl>
    <w:lvl w:ilvl="8" w:tentative="0">
      <w:start w:val="1"/>
      <w:numFmt w:val="none"/>
      <w:lvlText w:val=""/>
      <w:lvlJc w:val="left"/>
      <w:pPr>
        <w:ind w:left="1558" w:hanging="1558"/>
      </w:pPr>
      <w:rPr>
        <w:rFonts w:hint="eastAsia"/>
      </w:rPr>
    </w:lvl>
  </w:abstractNum>
  <w:abstractNum w:abstractNumId="10">
    <w:nsid w:val="DB80C747"/>
    <w:multiLevelType w:val="multilevel"/>
    <w:tmpl w:val="DB80C747"/>
    <w:lvl w:ilvl="0" w:tentative="0">
      <w:start w:val="1"/>
      <w:numFmt w:val="decimal"/>
      <w:suff w:val="space"/>
      <w:lvlText w:val="%1、"/>
      <w:lvlJc w:val="left"/>
      <w:pPr>
        <w:ind w:left="425" w:hanging="425"/>
      </w:pPr>
      <w:rPr>
        <w:rFonts w:hint="default"/>
      </w:rPr>
    </w:lvl>
    <w:lvl w:ilvl="1" w:tentative="0">
      <w:start w:val="1"/>
      <w:numFmt w:val="decimal"/>
      <w:lvlText w:val="%1.%2."/>
      <w:lvlJc w:val="left"/>
      <w:pPr>
        <w:ind w:left="567" w:hanging="567"/>
      </w:pPr>
      <w:rPr>
        <w:rFonts w:hint="default" w:ascii="Times New Roman" w:hAnsi="Times New Roman"/>
        <w:color w:val="000000" w:themeColor="text1"/>
        <w14:textFill>
          <w14:solidFill>
            <w14:schemeClr w14:val="tx1"/>
          </w14:solidFill>
        </w14:textFill>
      </w:rPr>
    </w:lvl>
    <w:lvl w:ilvl="2" w:tentative="0">
      <w:start w:val="1"/>
      <w:numFmt w:val="decimal"/>
      <w:lvlText w:val="%1.%2.%3."/>
      <w:lvlJc w:val="left"/>
      <w:pPr>
        <w:ind w:left="709" w:hanging="709"/>
      </w:pPr>
      <w:rPr>
        <w:rFonts w:hint="default"/>
        <w:b/>
        <w:bCs/>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1">
    <w:nsid w:val="FFFFFFFB"/>
    <w:multiLevelType w:val="multilevel"/>
    <w:tmpl w:val="FFFFFFFB"/>
    <w:lvl w:ilvl="0" w:tentative="0">
      <w:start w:val="1"/>
      <w:numFmt w:val="decimal"/>
      <w:lvlText w:val="%1."/>
      <w:legacy w:legacy="1" w:legacySpace="144" w:legacyIndent="0"/>
      <w:lvlJc w:val="left"/>
    </w:lvl>
    <w:lvl w:ilvl="1" w:tentative="0">
      <w:start w:val="1"/>
      <w:numFmt w:val="decimal"/>
      <w:lvlText w:val="%1.%2"/>
      <w:legacy w:legacy="1" w:legacySpace="144" w:legacyIndent="0"/>
      <w:lvlJc w:val="left"/>
    </w:lvl>
    <w:lvl w:ilvl="2" w:tentative="0">
      <w:start w:val="1"/>
      <w:numFmt w:val="decimal"/>
      <w:lvlText w:val="%1.%2.%3"/>
      <w:legacy w:legacy="1" w:legacySpace="144" w:legacyIndent="0"/>
      <w:lvlJc w:val="left"/>
    </w:lvl>
    <w:lvl w:ilvl="3" w:tentative="0">
      <w:start w:val="1"/>
      <w:numFmt w:val="decimal"/>
      <w:lvlText w:val="%1.%2.%3.%4"/>
      <w:legacy w:legacy="1" w:legacySpace="144" w:legacyIndent="0"/>
      <w:lvlJc w:val="left"/>
    </w:lvl>
    <w:lvl w:ilvl="4" w:tentative="0">
      <w:start w:val="1"/>
      <w:numFmt w:val="decimal"/>
      <w:lvlText w:val="%1.%2.%3.%4.%5"/>
      <w:legacy w:legacy="1" w:legacySpace="144" w:legacyIndent="0"/>
      <w:lvlJc w:val="left"/>
    </w:lvl>
    <w:lvl w:ilvl="5" w:tentative="0">
      <w:start w:val="1"/>
      <w:numFmt w:val="decimal"/>
      <w:pStyle w:val="8"/>
      <w:lvlText w:val="%1.%2.%3.%4.%5.%6"/>
      <w:legacy w:legacy="1" w:legacySpace="144" w:legacyIndent="0"/>
      <w:lvlJc w:val="left"/>
    </w:lvl>
    <w:lvl w:ilvl="6" w:tentative="0">
      <w:start w:val="1"/>
      <w:numFmt w:val="decimal"/>
      <w:lvlText w:val="%1.%2.%3.%4.%5.%6.%7"/>
      <w:legacy w:legacy="1" w:legacySpace="144" w:legacyIndent="0"/>
      <w:lvlJc w:val="left"/>
    </w:lvl>
    <w:lvl w:ilvl="7" w:tentative="0">
      <w:start w:val="1"/>
      <w:numFmt w:val="decimal"/>
      <w:lvlText w:val="%1.%2.%3.%4.%5.%6.%7.%8"/>
      <w:legacy w:legacy="1" w:legacySpace="144" w:legacyIndent="0"/>
      <w:lvlJc w:val="left"/>
    </w:lvl>
    <w:lvl w:ilvl="8" w:tentative="0">
      <w:start w:val="1"/>
      <w:numFmt w:val="decimal"/>
      <w:lvlText w:val="%1.%2.%3.%4.%5.%6.%7.%8.%9"/>
      <w:legacy w:legacy="1" w:legacySpace="144" w:legacyIndent="0"/>
      <w:lvlJc w:val="left"/>
    </w:lvl>
  </w:abstractNum>
  <w:abstractNum w:abstractNumId="12">
    <w:nsid w:val="06B59B89"/>
    <w:multiLevelType w:val="multilevel"/>
    <w:tmpl w:val="06B59B89"/>
    <w:lvl w:ilvl="0" w:tentative="0">
      <w:start w:val="1"/>
      <w:numFmt w:val="decimal"/>
      <w:lvlText w:val="表2-%1"/>
      <w:lvlJc w:val="left"/>
      <w:pPr>
        <w:tabs>
          <w:tab w:val="left" w:pos="420"/>
        </w:tabs>
        <w:ind w:left="425" w:hanging="425"/>
      </w:pPr>
      <w:rPr>
        <w:rFonts w:hint="default" w:ascii="宋体" w:hAnsi="宋体" w:eastAsia="宋体" w:cs="宋体"/>
      </w:rPr>
    </w:lvl>
    <w:lvl w:ilvl="1" w:tentative="0">
      <w:start w:val="1"/>
      <w:numFmt w:val="decimal"/>
      <w:lvlRestart w:val="0"/>
      <w:pStyle w:val="44"/>
      <w:suff w:val="space"/>
      <w:lvlText w:val="图2-%2"/>
      <w:lvlJc w:val="left"/>
      <w:pPr>
        <w:tabs>
          <w:tab w:val="left" w:pos="420"/>
        </w:tabs>
        <w:ind w:left="567" w:hanging="567"/>
      </w:pPr>
      <w:rPr>
        <w:rFonts w:hint="default" w:ascii="宋体" w:hAnsi="宋体" w:eastAsia="宋体" w:cs="宋体"/>
        <w:b/>
        <w:bCs/>
        <w:color w:val="000000" w:themeColor="text1"/>
        <w14:textFill>
          <w14:solidFill>
            <w14:schemeClr w14:val="tx1"/>
          </w14:solidFill>
        </w14:textFill>
      </w:rPr>
    </w:lvl>
    <w:lvl w:ilvl="2" w:tentative="0">
      <w:start w:val="1"/>
      <w:numFmt w:val="none"/>
      <w:lvlRestart w:val="1"/>
      <w:lvlText w:val=""/>
      <w:lvlJc w:val="left"/>
      <w:pPr>
        <w:tabs>
          <w:tab w:val="left" w:pos="420"/>
        </w:tabs>
        <w:ind w:left="709" w:hanging="709"/>
      </w:pPr>
      <w:rPr>
        <w:rFonts w:hint="default" w:ascii="宋体" w:hAnsi="宋体" w:eastAsia="宋体" w:cs="宋体"/>
        <w:b/>
        <w:bCs/>
      </w:rPr>
    </w:lvl>
    <w:lvl w:ilvl="3" w:tentative="0">
      <w:start w:val="1"/>
      <w:numFmt w:val="none"/>
      <w:lvlText w:val=""/>
      <w:lvlJc w:val="left"/>
      <w:pPr>
        <w:ind w:left="850" w:hanging="850"/>
      </w:pPr>
      <w:rPr>
        <w:rFonts w:hint="default" w:ascii="宋体" w:hAnsi="宋体" w:eastAsia="宋体" w:cs="宋体"/>
      </w:rPr>
    </w:lvl>
    <w:lvl w:ilvl="4" w:tentative="0">
      <w:start w:val="1"/>
      <w:numFmt w:val="none"/>
      <w:lvlText w:val=""/>
      <w:lvlJc w:val="left"/>
      <w:pPr>
        <w:ind w:left="991" w:hanging="991"/>
      </w:pPr>
      <w:rPr>
        <w:rFonts w:hint="eastAsia"/>
      </w:rPr>
    </w:lvl>
    <w:lvl w:ilvl="5" w:tentative="0">
      <w:start w:val="1"/>
      <w:numFmt w:val="none"/>
      <w:lvlText w:val=""/>
      <w:lvlJc w:val="left"/>
      <w:pPr>
        <w:ind w:left="1134" w:hanging="1134"/>
      </w:pPr>
      <w:rPr>
        <w:rFonts w:hint="eastAsia"/>
      </w:rPr>
    </w:lvl>
    <w:lvl w:ilvl="6" w:tentative="0">
      <w:start w:val="1"/>
      <w:numFmt w:val="none"/>
      <w:lvlText w:val=""/>
      <w:lvlJc w:val="left"/>
      <w:pPr>
        <w:ind w:left="1275" w:hanging="1275"/>
      </w:pPr>
      <w:rPr>
        <w:rFonts w:hint="eastAsia"/>
      </w:rPr>
    </w:lvl>
    <w:lvl w:ilvl="7" w:tentative="0">
      <w:start w:val="1"/>
      <w:numFmt w:val="none"/>
      <w:lvlText w:val=""/>
      <w:lvlJc w:val="left"/>
      <w:pPr>
        <w:ind w:left="1418" w:hanging="1418"/>
      </w:pPr>
      <w:rPr>
        <w:rFonts w:hint="eastAsia"/>
      </w:rPr>
    </w:lvl>
    <w:lvl w:ilvl="8" w:tentative="0">
      <w:start w:val="1"/>
      <w:numFmt w:val="none"/>
      <w:lvlText w:val=""/>
      <w:lvlJc w:val="left"/>
      <w:pPr>
        <w:ind w:left="1558" w:hanging="1558"/>
      </w:pPr>
      <w:rPr>
        <w:rFonts w:hint="eastAsia"/>
      </w:rPr>
    </w:lvl>
  </w:abstractNum>
  <w:abstractNum w:abstractNumId="13">
    <w:nsid w:val="077A1449"/>
    <w:multiLevelType w:val="singleLevel"/>
    <w:tmpl w:val="077A1449"/>
    <w:lvl w:ilvl="0" w:tentative="0">
      <w:start w:val="1"/>
      <w:numFmt w:val="decimal"/>
      <w:suff w:val="nothing"/>
      <w:lvlText w:val="%1、"/>
      <w:lvlJc w:val="left"/>
    </w:lvl>
  </w:abstractNum>
  <w:abstractNum w:abstractNumId="14">
    <w:nsid w:val="1B14A3B3"/>
    <w:multiLevelType w:val="singleLevel"/>
    <w:tmpl w:val="1B14A3B3"/>
    <w:lvl w:ilvl="0" w:tentative="0">
      <w:start w:val="1"/>
      <w:numFmt w:val="decimal"/>
      <w:suff w:val="nothing"/>
      <w:lvlText w:val="（%1）"/>
      <w:lvlJc w:val="left"/>
    </w:lvl>
  </w:abstractNum>
  <w:abstractNum w:abstractNumId="15">
    <w:nsid w:val="1E2FE8A9"/>
    <w:multiLevelType w:val="singleLevel"/>
    <w:tmpl w:val="1E2FE8A9"/>
    <w:lvl w:ilvl="0" w:tentative="0">
      <w:start w:val="2"/>
      <w:numFmt w:val="decimal"/>
      <w:suff w:val="nothing"/>
      <w:lvlText w:val="（%1）"/>
      <w:lvlJc w:val="left"/>
    </w:lvl>
  </w:abstractNum>
  <w:abstractNum w:abstractNumId="16">
    <w:nsid w:val="2B2886BA"/>
    <w:multiLevelType w:val="singleLevel"/>
    <w:tmpl w:val="2B2886BA"/>
    <w:lvl w:ilvl="0" w:tentative="0">
      <w:start w:val="1"/>
      <w:numFmt w:val="decimal"/>
      <w:suff w:val="nothing"/>
      <w:lvlText w:val="%1）"/>
      <w:lvlJc w:val="left"/>
    </w:lvl>
  </w:abstractNum>
  <w:abstractNum w:abstractNumId="17">
    <w:nsid w:val="2BC0398B"/>
    <w:multiLevelType w:val="multilevel"/>
    <w:tmpl w:val="2BC0398B"/>
    <w:lvl w:ilvl="0" w:tentative="0">
      <w:start w:val="1"/>
      <w:numFmt w:val="decimal"/>
      <w:suff w:val="space"/>
      <w:lvlText w:val="%1、"/>
      <w:lvlJc w:val="left"/>
      <w:pPr>
        <w:ind w:left="425" w:hanging="425"/>
      </w:pPr>
      <w:rPr>
        <w:rFonts w:hint="default"/>
      </w:rPr>
    </w:lvl>
    <w:lvl w:ilvl="1" w:tentative="0">
      <w:start w:val="1"/>
      <w:numFmt w:val="decimal"/>
      <w:lvlText w:val="%1.%2."/>
      <w:lvlJc w:val="left"/>
      <w:pPr>
        <w:ind w:left="567" w:hanging="567"/>
      </w:pPr>
      <w:rPr>
        <w:rFonts w:hint="default" w:ascii="Times New Roman" w:hAnsi="Times New Roman"/>
        <w:color w:val="000000" w:themeColor="text1"/>
        <w14:textFill>
          <w14:solidFill>
            <w14:schemeClr w14:val="tx1"/>
          </w14:solidFill>
        </w14:textFill>
      </w:rPr>
    </w:lvl>
    <w:lvl w:ilvl="2" w:tentative="0">
      <w:start w:val="1"/>
      <w:numFmt w:val="decimal"/>
      <w:lvlText w:val="%1.%2.%3."/>
      <w:lvlJc w:val="left"/>
      <w:pPr>
        <w:ind w:left="709" w:hanging="709"/>
      </w:pPr>
      <w:rPr>
        <w:rFonts w:hint="default"/>
        <w:b/>
        <w:bCs/>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8">
    <w:nsid w:val="2EF26409"/>
    <w:multiLevelType w:val="multilevel"/>
    <w:tmpl w:val="2EF26409"/>
    <w:lvl w:ilvl="0" w:tentative="0">
      <w:start w:val="1"/>
      <w:numFmt w:val="decimal"/>
      <w:pStyle w:val="54"/>
      <w:suff w:val="space"/>
      <w:lvlText w:val="表5-%1"/>
      <w:lvlJc w:val="left"/>
      <w:pPr>
        <w:tabs>
          <w:tab w:val="left" w:pos="0"/>
        </w:tabs>
        <w:ind w:left="420" w:hanging="420"/>
      </w:pPr>
      <w:rPr>
        <w:rFonts w:hint="default" w:ascii="Times New Roman" w:hAnsi="Times New Roman" w:eastAsia="宋体" w:cs="Times New Roman"/>
        <w:b/>
        <w:bCs/>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3143163D"/>
    <w:multiLevelType w:val="multilevel"/>
    <w:tmpl w:val="3143163D"/>
    <w:lvl w:ilvl="0" w:tentative="0">
      <w:start w:val="1"/>
      <w:numFmt w:val="decimal"/>
      <w:suff w:val="space"/>
      <w:lvlText w:val="%1、"/>
      <w:lvlJc w:val="left"/>
      <w:pPr>
        <w:ind w:left="425" w:hanging="425"/>
      </w:pPr>
      <w:rPr>
        <w:rFonts w:hint="default"/>
      </w:rPr>
    </w:lvl>
    <w:lvl w:ilvl="1" w:tentative="0">
      <w:start w:val="1"/>
      <w:numFmt w:val="decimal"/>
      <w:lvlText w:val="%1.%2."/>
      <w:lvlJc w:val="left"/>
      <w:pPr>
        <w:ind w:left="567" w:hanging="567"/>
      </w:pPr>
      <w:rPr>
        <w:rFonts w:hint="default" w:ascii="Times New Roman" w:hAnsi="Times New Roman"/>
        <w:color w:val="000000" w:themeColor="text1"/>
        <w14:textFill>
          <w14:solidFill>
            <w14:schemeClr w14:val="tx1"/>
          </w14:solidFill>
        </w14:textFill>
      </w:rPr>
    </w:lvl>
    <w:lvl w:ilvl="2" w:tentative="0">
      <w:start w:val="1"/>
      <w:numFmt w:val="decimal"/>
      <w:lvlText w:val="%1.%2.%3."/>
      <w:lvlJc w:val="left"/>
      <w:pPr>
        <w:ind w:left="709" w:hanging="709"/>
      </w:pPr>
      <w:rPr>
        <w:rFonts w:hint="default"/>
        <w:b/>
        <w:bCs/>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0">
    <w:nsid w:val="3B6556AF"/>
    <w:multiLevelType w:val="multilevel"/>
    <w:tmpl w:val="3B6556AF"/>
    <w:lvl w:ilvl="0" w:tentative="0">
      <w:start w:val="1"/>
      <w:numFmt w:val="decimal"/>
      <w:suff w:val="nothing"/>
      <w:lvlText w:val="表%1  "/>
      <w:lvlJc w:val="left"/>
      <w:pPr>
        <w:ind w:left="0" w:firstLine="0"/>
      </w:pPr>
      <w:rPr>
        <w:rFonts w:hint="default" w:ascii="Times New Roman" w:hAnsi="Times New Roman"/>
      </w:rPr>
    </w:lvl>
    <w:lvl w:ilvl="1" w:tentative="0">
      <w:start w:val="1"/>
      <w:numFmt w:val="decimal"/>
      <w:suff w:val="space"/>
      <w:lvlText w:val="%2."/>
      <w:lvlJc w:val="left"/>
      <w:pPr>
        <w:ind w:left="0" w:firstLine="0"/>
      </w:pPr>
      <w:rPr>
        <w:rFonts w:hint="default" w:ascii="Times New Roman" w:hAnsi="Times New Roman"/>
      </w:rPr>
    </w:lvl>
    <w:lvl w:ilvl="2" w:tentative="0">
      <w:start w:val="1"/>
      <w:numFmt w:val="decimal"/>
      <w:suff w:val="space"/>
      <w:lvlText w:val="%2.%3"/>
      <w:lvlJc w:val="left"/>
      <w:pPr>
        <w:ind w:left="0" w:firstLine="0"/>
      </w:pPr>
      <w:rPr>
        <w:rFonts w:hint="default" w:ascii="Times New Roman" w:hAnsi="Times New Roman" w:eastAsia="宋体"/>
      </w:rPr>
    </w:lvl>
    <w:lvl w:ilvl="3" w:tentative="0">
      <w:start w:val="1"/>
      <w:numFmt w:val="decimal"/>
      <w:suff w:val="space"/>
      <w:lvlText w:val="%2.%3.%4"/>
      <w:lvlJc w:val="left"/>
      <w:pPr>
        <w:ind w:left="0" w:firstLine="0"/>
      </w:pPr>
      <w:rPr>
        <w:rFonts w:hint="default" w:ascii="Times New Roman" w:hAnsi="Times New Roman"/>
      </w:rPr>
    </w:lvl>
    <w:lvl w:ilvl="4" w:tentative="0">
      <w:start w:val="1"/>
      <w:numFmt w:val="decimal"/>
      <w:lvlText w:val="%1.%2.%3.%4.%5"/>
      <w:lvlJc w:val="left"/>
      <w:pPr>
        <w:tabs>
          <w:tab w:val="left" w:pos="1644"/>
        </w:tabs>
        <w:ind w:left="0" w:firstLine="0"/>
      </w:pPr>
      <w:rPr>
        <w:rFonts w:hint="eastAsia"/>
      </w:rPr>
    </w:lvl>
    <w:lvl w:ilvl="5" w:tentative="0">
      <w:start w:val="1"/>
      <w:numFmt w:val="decimal"/>
      <w:lvlRestart w:val="2"/>
      <w:pStyle w:val="66"/>
      <w:suff w:val="space"/>
      <w:lvlText w:val="表 %1.%2-%6"/>
      <w:lvlJc w:val="left"/>
      <w:pPr>
        <w:ind w:left="5040" w:firstLine="0"/>
      </w:pPr>
      <w:rPr>
        <w:rFonts w:hint="default" w:ascii="Times New Roman" w:hAnsi="Times New Roman"/>
      </w:rPr>
    </w:lvl>
    <w:lvl w:ilvl="6" w:tentative="0">
      <w:start w:val="1"/>
      <w:numFmt w:val="decimal"/>
      <w:lvlRestart w:val="2"/>
      <w:pStyle w:val="85"/>
      <w:suff w:val="space"/>
      <w:lvlText w:val="图 %1.%2-%7"/>
      <w:lvlJc w:val="left"/>
      <w:pPr>
        <w:ind w:left="0" w:firstLine="0"/>
      </w:pPr>
      <w:rPr>
        <w:rFonts w:hint="default" w:ascii="Times New Roman" w:hAnsi="Times New Roman" w:eastAsia="宋体"/>
        <w:b/>
        <w:i w:val="0"/>
        <w:sz w:val="21"/>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1">
    <w:nsid w:val="4071D4F8"/>
    <w:multiLevelType w:val="multilevel"/>
    <w:tmpl w:val="4071D4F8"/>
    <w:lvl w:ilvl="0" w:tentative="0">
      <w:start w:val="1"/>
      <w:numFmt w:val="chineseCounting"/>
      <w:suff w:val="space"/>
      <w:lvlText w:val="%1、"/>
      <w:lvlJc w:val="left"/>
      <w:pPr>
        <w:tabs>
          <w:tab w:val="left" w:pos="420"/>
        </w:tabs>
        <w:ind w:left="0" w:firstLine="0"/>
      </w:pPr>
      <w:rPr>
        <w:rFonts w:hint="eastAsia" w:ascii="宋体" w:hAnsi="宋体" w:eastAsia="宋体" w:cs="宋体"/>
        <w:sz w:val="32"/>
        <w:szCs w:val="32"/>
      </w:rPr>
    </w:lvl>
    <w:lvl w:ilvl="1" w:tentative="0">
      <w:start w:val="1"/>
      <w:numFmt w:val="decimal"/>
      <w:isLgl/>
      <w:suff w:val="space"/>
      <w:lvlText w:val="%1.%2"/>
      <w:lvlJc w:val="left"/>
      <w:pPr>
        <w:tabs>
          <w:tab w:val="left" w:pos="0"/>
        </w:tabs>
        <w:ind w:left="0" w:firstLine="0"/>
      </w:pPr>
      <w:rPr>
        <w:rFonts w:hint="eastAsia" w:ascii="Times New Roman" w:hAnsi="Times New Roman" w:eastAsia="宋体" w:cs="宋体"/>
        <w:sz w:val="28"/>
        <w:szCs w:val="28"/>
      </w:rPr>
    </w:lvl>
    <w:lvl w:ilvl="2" w:tentative="0">
      <w:start w:val="1"/>
      <w:numFmt w:val="decimal"/>
      <w:isLgl/>
      <w:suff w:val="space"/>
      <w:lvlText w:val="%1.%2.%3"/>
      <w:lvlJc w:val="left"/>
      <w:pPr>
        <w:tabs>
          <w:tab w:val="left" w:pos="0"/>
        </w:tabs>
        <w:ind w:left="0" w:firstLine="0"/>
      </w:pPr>
      <w:rPr>
        <w:rFonts w:hint="eastAsia" w:ascii="Times New Roman" w:hAnsi="Times New Roman" w:eastAsia="宋体" w:cs="宋体"/>
        <w:sz w:val="24"/>
        <w:szCs w:val="24"/>
      </w:rPr>
    </w:lvl>
    <w:lvl w:ilvl="3" w:tentative="0">
      <w:start w:val="1"/>
      <w:numFmt w:val="decimal"/>
      <w:isLgl/>
      <w:suff w:val="space"/>
      <w:lvlText w:val="%1.%2.%3.%4"/>
      <w:lvlJc w:val="left"/>
      <w:pPr>
        <w:tabs>
          <w:tab w:val="left" w:pos="0"/>
        </w:tabs>
        <w:ind w:left="0" w:firstLine="0"/>
      </w:pPr>
      <w:rPr>
        <w:rFonts w:hint="eastAsia" w:ascii="Times New Roman" w:hAnsi="Times New Roman" w:eastAsia="宋体" w:cs="宋体"/>
        <w:sz w:val="24"/>
        <w:szCs w:val="24"/>
      </w:rPr>
    </w:lvl>
    <w:lvl w:ilvl="4" w:tentative="0">
      <w:start w:val="1"/>
      <w:numFmt w:val="decimal"/>
      <w:lvlRestart w:val="2"/>
      <w:pStyle w:val="88"/>
      <w:isLgl/>
      <w:suff w:val="space"/>
      <w:lvlText w:val="表%1.%2-%5"/>
      <w:lvlJc w:val="left"/>
      <w:pPr>
        <w:tabs>
          <w:tab w:val="left" w:pos="0"/>
        </w:tabs>
        <w:ind w:left="0" w:firstLine="0"/>
      </w:pPr>
      <w:rPr>
        <w:rFonts w:hint="eastAsia" w:ascii="Times New Roman" w:hAnsi="Times New Roman" w:eastAsia="宋体" w:cs="宋体"/>
        <w:sz w:val="21"/>
        <w:szCs w:val="21"/>
      </w:rPr>
    </w:lvl>
    <w:lvl w:ilvl="5" w:tentative="0">
      <w:start w:val="1"/>
      <w:numFmt w:val="decimal"/>
      <w:lvlRestart w:val="2"/>
      <w:isLgl/>
      <w:suff w:val="space"/>
      <w:lvlText w:val="图%1.%2-%6"/>
      <w:lvlJc w:val="left"/>
      <w:pPr>
        <w:tabs>
          <w:tab w:val="left" w:pos="0"/>
        </w:tabs>
        <w:ind w:left="0" w:firstLine="0"/>
      </w:pPr>
      <w:rPr>
        <w:rFonts w:hint="eastAsia" w:ascii="Times New Roman" w:hAnsi="Times New Roman" w:eastAsia="宋体" w:cs="宋体"/>
        <w:color w:val="auto"/>
        <w:sz w:val="21"/>
        <w:szCs w:val="21"/>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22">
    <w:nsid w:val="432F139A"/>
    <w:multiLevelType w:val="singleLevel"/>
    <w:tmpl w:val="432F139A"/>
    <w:lvl w:ilvl="0" w:tentative="0">
      <w:start w:val="1"/>
      <w:numFmt w:val="decimal"/>
      <w:suff w:val="nothing"/>
      <w:lvlText w:val="%1、"/>
      <w:lvlJc w:val="left"/>
    </w:lvl>
  </w:abstractNum>
  <w:abstractNum w:abstractNumId="23">
    <w:nsid w:val="4345CF8B"/>
    <w:multiLevelType w:val="multilevel"/>
    <w:tmpl w:val="4345CF8B"/>
    <w:lvl w:ilvl="0" w:tentative="0">
      <w:start w:val="1"/>
      <w:numFmt w:val="decimal"/>
      <w:pStyle w:val="37"/>
      <w:lvlText w:val="表1-%1"/>
      <w:lvlJc w:val="left"/>
      <w:pPr>
        <w:tabs>
          <w:tab w:val="left" w:pos="420"/>
        </w:tabs>
        <w:ind w:left="425" w:hanging="425"/>
      </w:pPr>
      <w:rPr>
        <w:rFonts w:hint="default" w:ascii="Times New Roman" w:hAnsi="Times New Roman" w:eastAsia="宋体" w:cs="宋体"/>
        <w:sz w:val="21"/>
      </w:rPr>
    </w:lvl>
    <w:lvl w:ilvl="1" w:tentative="0">
      <w:start w:val="1"/>
      <w:numFmt w:val="decimal"/>
      <w:lvlRestart w:val="0"/>
      <w:pStyle w:val="39"/>
      <w:suff w:val="space"/>
      <w:lvlText w:val="图1-%2"/>
      <w:lvlJc w:val="left"/>
      <w:pPr>
        <w:tabs>
          <w:tab w:val="left" w:pos="420"/>
        </w:tabs>
        <w:ind w:left="567" w:hanging="567"/>
      </w:pPr>
      <w:rPr>
        <w:rFonts w:hint="default" w:ascii="宋体" w:hAnsi="宋体" w:eastAsia="宋体" w:cs="宋体"/>
        <w:color w:val="000000" w:themeColor="text1"/>
        <w14:textFill>
          <w14:solidFill>
            <w14:schemeClr w14:val="tx1"/>
          </w14:solidFill>
        </w14:textFill>
      </w:rPr>
    </w:lvl>
    <w:lvl w:ilvl="2" w:tentative="0">
      <w:start w:val="1"/>
      <w:numFmt w:val="none"/>
      <w:lvlRestart w:val="1"/>
      <w:lvlText w:val=""/>
      <w:lvlJc w:val="left"/>
      <w:pPr>
        <w:tabs>
          <w:tab w:val="left" w:pos="420"/>
        </w:tabs>
        <w:ind w:left="709" w:hanging="709"/>
      </w:pPr>
      <w:rPr>
        <w:rFonts w:hint="default" w:ascii="宋体" w:hAnsi="宋体" w:eastAsia="宋体" w:cs="宋体"/>
        <w:b/>
        <w:bCs/>
      </w:rPr>
    </w:lvl>
    <w:lvl w:ilvl="3" w:tentative="0">
      <w:start w:val="1"/>
      <w:numFmt w:val="none"/>
      <w:lvlText w:val=""/>
      <w:lvlJc w:val="left"/>
      <w:pPr>
        <w:ind w:left="850" w:hanging="850"/>
      </w:pPr>
      <w:rPr>
        <w:rFonts w:hint="default" w:ascii="宋体" w:hAnsi="宋体" w:eastAsia="宋体" w:cs="宋体"/>
      </w:rPr>
    </w:lvl>
    <w:lvl w:ilvl="4" w:tentative="0">
      <w:start w:val="1"/>
      <w:numFmt w:val="none"/>
      <w:lvlText w:val=""/>
      <w:lvlJc w:val="left"/>
      <w:pPr>
        <w:ind w:left="991" w:hanging="991"/>
      </w:pPr>
      <w:rPr>
        <w:rFonts w:hint="eastAsia"/>
      </w:rPr>
    </w:lvl>
    <w:lvl w:ilvl="5" w:tentative="0">
      <w:start w:val="1"/>
      <w:numFmt w:val="none"/>
      <w:lvlText w:val=""/>
      <w:lvlJc w:val="left"/>
      <w:pPr>
        <w:ind w:left="1134" w:hanging="1134"/>
      </w:pPr>
      <w:rPr>
        <w:rFonts w:hint="eastAsia"/>
      </w:rPr>
    </w:lvl>
    <w:lvl w:ilvl="6" w:tentative="0">
      <w:start w:val="1"/>
      <w:numFmt w:val="none"/>
      <w:lvlText w:val=""/>
      <w:lvlJc w:val="left"/>
      <w:pPr>
        <w:ind w:left="1275" w:hanging="1275"/>
      </w:pPr>
      <w:rPr>
        <w:rFonts w:hint="eastAsia"/>
      </w:rPr>
    </w:lvl>
    <w:lvl w:ilvl="7" w:tentative="0">
      <w:start w:val="1"/>
      <w:numFmt w:val="none"/>
      <w:lvlText w:val=""/>
      <w:lvlJc w:val="left"/>
      <w:pPr>
        <w:ind w:left="1418" w:hanging="1418"/>
      </w:pPr>
      <w:rPr>
        <w:rFonts w:hint="eastAsia"/>
      </w:rPr>
    </w:lvl>
    <w:lvl w:ilvl="8" w:tentative="0">
      <w:start w:val="1"/>
      <w:numFmt w:val="none"/>
      <w:lvlText w:val=""/>
      <w:lvlJc w:val="left"/>
      <w:pPr>
        <w:ind w:left="1558" w:hanging="1558"/>
      </w:pPr>
      <w:rPr>
        <w:rFonts w:hint="eastAsia"/>
      </w:rPr>
    </w:lvl>
  </w:abstractNum>
  <w:abstractNum w:abstractNumId="24">
    <w:nsid w:val="48AED1D6"/>
    <w:multiLevelType w:val="multilevel"/>
    <w:tmpl w:val="48AED1D6"/>
    <w:lvl w:ilvl="0" w:tentative="0">
      <w:start w:val="1"/>
      <w:numFmt w:val="decimal"/>
      <w:suff w:val="space"/>
      <w:lvlText w:val="%1、"/>
      <w:lvlJc w:val="left"/>
      <w:pPr>
        <w:ind w:left="425" w:hanging="425"/>
      </w:pPr>
      <w:rPr>
        <w:rFonts w:hint="default"/>
      </w:rPr>
    </w:lvl>
    <w:lvl w:ilvl="1" w:tentative="0">
      <w:start w:val="1"/>
      <w:numFmt w:val="decimal"/>
      <w:lvlText w:val="%1.%2."/>
      <w:lvlJc w:val="left"/>
      <w:pPr>
        <w:ind w:left="567" w:hanging="567"/>
      </w:pPr>
      <w:rPr>
        <w:rFonts w:hint="default" w:ascii="Times New Roman" w:hAnsi="Times New Roman"/>
        <w:color w:val="000000" w:themeColor="text1"/>
        <w14:textFill>
          <w14:solidFill>
            <w14:schemeClr w14:val="tx1"/>
          </w14:solidFill>
        </w14:textFill>
      </w:rPr>
    </w:lvl>
    <w:lvl w:ilvl="2" w:tentative="0">
      <w:start w:val="1"/>
      <w:numFmt w:val="decimal"/>
      <w:lvlText w:val="%1.%2.%3."/>
      <w:lvlJc w:val="left"/>
      <w:pPr>
        <w:ind w:left="709" w:hanging="709"/>
      </w:pPr>
      <w:rPr>
        <w:rFonts w:hint="default"/>
        <w:b/>
        <w:bCs/>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5">
    <w:nsid w:val="4B68F37E"/>
    <w:multiLevelType w:val="multilevel"/>
    <w:tmpl w:val="4B68F37E"/>
    <w:lvl w:ilvl="0" w:tentative="0">
      <w:start w:val="1"/>
      <w:numFmt w:val="chineseCounting"/>
      <w:pStyle w:val="3"/>
      <w:lvlText w:val="%1、"/>
      <w:lvlJc w:val="left"/>
      <w:pPr>
        <w:ind w:left="425" w:hanging="425"/>
      </w:pPr>
      <w:rPr>
        <w:rFonts w:hint="eastAsia"/>
      </w:rPr>
    </w:lvl>
    <w:lvl w:ilvl="1" w:tentative="0">
      <w:start w:val="1"/>
      <w:numFmt w:val="decimal"/>
      <w:lvlText w:val="%1.%2."/>
      <w:lvlJc w:val="left"/>
      <w:pPr>
        <w:ind w:left="567" w:hanging="567"/>
      </w:pPr>
      <w:rPr>
        <w:rFonts w:hint="eastAsia" w:ascii="Times New Roman" w:hAnsi="Times New Roman"/>
        <w:color w:val="000000" w:themeColor="text1"/>
        <w14:textFill>
          <w14:solidFill>
            <w14:schemeClr w14:val="tx1"/>
          </w14:solidFill>
        </w14:textFill>
      </w:rPr>
    </w:lvl>
    <w:lvl w:ilvl="2" w:tentative="0">
      <w:start w:val="1"/>
      <w:numFmt w:val="decimal"/>
      <w:lvlText w:val="%1.%2.%3."/>
      <w:lvlJc w:val="left"/>
      <w:pPr>
        <w:ind w:left="709" w:hanging="709"/>
      </w:pPr>
      <w:rPr>
        <w:rFonts w:hint="eastAsia"/>
        <w:b/>
        <w:bCs/>
      </w:rPr>
    </w:lvl>
    <w:lvl w:ilvl="3" w:tentative="0">
      <w:start w:val="1"/>
      <w:numFmt w:val="decimal"/>
      <w:lvlText w:val="%1.%2.%3.%4."/>
      <w:lvlJc w:val="left"/>
      <w:pPr>
        <w:ind w:left="850" w:hanging="850"/>
      </w:pPr>
      <w:rPr>
        <w:rFonts w:hint="eastAsia"/>
      </w:rPr>
    </w:lvl>
    <w:lvl w:ilvl="4" w:tentative="0">
      <w:start w:val="1"/>
      <w:numFmt w:val="decimal"/>
      <w:lvlText w:val="%1.%2.%3.%4.%5."/>
      <w:lvlJc w:val="left"/>
      <w:pPr>
        <w:ind w:left="991" w:hanging="991"/>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5" w:hanging="1275"/>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8" w:hanging="1558"/>
      </w:pPr>
      <w:rPr>
        <w:rFonts w:hint="eastAsia"/>
      </w:rPr>
    </w:lvl>
  </w:abstractNum>
  <w:abstractNum w:abstractNumId="26">
    <w:nsid w:val="4FB9B4B0"/>
    <w:multiLevelType w:val="singleLevel"/>
    <w:tmpl w:val="4FB9B4B0"/>
    <w:lvl w:ilvl="0" w:tentative="0">
      <w:start w:val="1"/>
      <w:numFmt w:val="decimal"/>
      <w:suff w:val="nothing"/>
      <w:lvlText w:val="%1、"/>
      <w:lvlJc w:val="left"/>
    </w:lvl>
  </w:abstractNum>
  <w:abstractNum w:abstractNumId="27">
    <w:nsid w:val="52346AA4"/>
    <w:multiLevelType w:val="multilevel"/>
    <w:tmpl w:val="52346AA4"/>
    <w:lvl w:ilvl="0" w:tentative="0">
      <w:start w:val="1"/>
      <w:numFmt w:val="decimal"/>
      <w:suff w:val="space"/>
      <w:lvlText w:val="表5-%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8">
    <w:nsid w:val="56E2B6BD"/>
    <w:multiLevelType w:val="multilevel"/>
    <w:tmpl w:val="56E2B6BD"/>
    <w:lvl w:ilvl="0" w:tentative="0">
      <w:start w:val="1"/>
      <w:numFmt w:val="decimal"/>
      <w:pStyle w:val="47"/>
      <w:lvlText w:val="表3-%1"/>
      <w:lvlJc w:val="left"/>
      <w:pPr>
        <w:tabs>
          <w:tab w:val="left" w:pos="420"/>
        </w:tabs>
        <w:ind w:left="425" w:hanging="425"/>
      </w:pPr>
      <w:rPr>
        <w:rFonts w:hint="default" w:ascii="宋体" w:hAnsi="宋体" w:eastAsia="宋体" w:cs="宋体"/>
      </w:rPr>
    </w:lvl>
    <w:lvl w:ilvl="1" w:tentative="0">
      <w:start w:val="1"/>
      <w:numFmt w:val="decimal"/>
      <w:lvlRestart w:val="0"/>
      <w:pStyle w:val="46"/>
      <w:suff w:val="space"/>
      <w:lvlText w:val="图3-%2"/>
      <w:lvlJc w:val="left"/>
      <w:pPr>
        <w:tabs>
          <w:tab w:val="left" w:pos="420"/>
        </w:tabs>
        <w:ind w:left="567" w:hanging="567"/>
      </w:pPr>
      <w:rPr>
        <w:rFonts w:hint="default" w:ascii="宋体" w:hAnsi="宋体" w:eastAsia="宋体" w:cs="宋体"/>
        <w:color w:val="000000" w:themeColor="text1"/>
        <w14:textFill>
          <w14:solidFill>
            <w14:schemeClr w14:val="tx1"/>
          </w14:solidFill>
        </w14:textFill>
      </w:rPr>
    </w:lvl>
    <w:lvl w:ilvl="2" w:tentative="0">
      <w:start w:val="1"/>
      <w:numFmt w:val="none"/>
      <w:lvlRestart w:val="1"/>
      <w:lvlText w:val=""/>
      <w:lvlJc w:val="left"/>
      <w:pPr>
        <w:tabs>
          <w:tab w:val="left" w:pos="420"/>
        </w:tabs>
        <w:ind w:left="709" w:hanging="709"/>
      </w:pPr>
      <w:rPr>
        <w:rFonts w:hint="default" w:ascii="宋体" w:hAnsi="宋体" w:eastAsia="宋体" w:cs="宋体"/>
        <w:b/>
        <w:bCs/>
      </w:rPr>
    </w:lvl>
    <w:lvl w:ilvl="3" w:tentative="0">
      <w:start w:val="1"/>
      <w:numFmt w:val="none"/>
      <w:lvlText w:val=""/>
      <w:lvlJc w:val="left"/>
      <w:pPr>
        <w:ind w:left="850" w:hanging="850"/>
      </w:pPr>
      <w:rPr>
        <w:rFonts w:hint="default" w:ascii="宋体" w:hAnsi="宋体" w:eastAsia="宋体" w:cs="宋体"/>
      </w:rPr>
    </w:lvl>
    <w:lvl w:ilvl="4" w:tentative="0">
      <w:start w:val="1"/>
      <w:numFmt w:val="none"/>
      <w:lvlText w:val=""/>
      <w:lvlJc w:val="left"/>
      <w:pPr>
        <w:ind w:left="991" w:hanging="991"/>
      </w:pPr>
      <w:rPr>
        <w:rFonts w:hint="eastAsia"/>
      </w:rPr>
    </w:lvl>
    <w:lvl w:ilvl="5" w:tentative="0">
      <w:start w:val="1"/>
      <w:numFmt w:val="none"/>
      <w:lvlText w:val=""/>
      <w:lvlJc w:val="left"/>
      <w:pPr>
        <w:ind w:left="1134" w:hanging="1134"/>
      </w:pPr>
      <w:rPr>
        <w:rFonts w:hint="eastAsia"/>
      </w:rPr>
    </w:lvl>
    <w:lvl w:ilvl="6" w:tentative="0">
      <w:start w:val="1"/>
      <w:numFmt w:val="none"/>
      <w:lvlText w:val=""/>
      <w:lvlJc w:val="left"/>
      <w:pPr>
        <w:ind w:left="1275" w:hanging="1275"/>
      </w:pPr>
      <w:rPr>
        <w:rFonts w:hint="eastAsia"/>
      </w:rPr>
    </w:lvl>
    <w:lvl w:ilvl="7" w:tentative="0">
      <w:start w:val="1"/>
      <w:numFmt w:val="none"/>
      <w:lvlText w:val=""/>
      <w:lvlJc w:val="left"/>
      <w:pPr>
        <w:ind w:left="1418" w:hanging="1418"/>
      </w:pPr>
      <w:rPr>
        <w:rFonts w:hint="eastAsia"/>
      </w:rPr>
    </w:lvl>
    <w:lvl w:ilvl="8" w:tentative="0">
      <w:start w:val="1"/>
      <w:numFmt w:val="none"/>
      <w:lvlText w:val=""/>
      <w:lvlJc w:val="left"/>
      <w:pPr>
        <w:ind w:left="1558" w:hanging="1558"/>
      </w:pPr>
      <w:rPr>
        <w:rFonts w:hint="eastAsia"/>
      </w:rPr>
    </w:lvl>
  </w:abstractNum>
  <w:abstractNum w:abstractNumId="29">
    <w:nsid w:val="58B67934"/>
    <w:multiLevelType w:val="singleLevel"/>
    <w:tmpl w:val="58B67934"/>
    <w:lvl w:ilvl="0" w:tentative="0">
      <w:start w:val="1"/>
      <w:numFmt w:val="bullet"/>
      <w:pStyle w:val="16"/>
      <w:lvlText w:val=""/>
      <w:lvlJc w:val="left"/>
      <w:pPr>
        <w:tabs>
          <w:tab w:val="left" w:pos="2040"/>
        </w:tabs>
        <w:ind w:left="2040" w:hanging="360"/>
      </w:pPr>
      <w:rPr>
        <w:rFonts w:hint="default" w:ascii="Wingdings" w:hAnsi="Wingdings"/>
      </w:rPr>
    </w:lvl>
  </w:abstractNum>
  <w:abstractNum w:abstractNumId="30">
    <w:nsid w:val="66DA739B"/>
    <w:multiLevelType w:val="multilevel"/>
    <w:tmpl w:val="66DA739B"/>
    <w:lvl w:ilvl="0" w:tentative="0">
      <w:start w:val="1"/>
      <w:numFmt w:val="chineseCounting"/>
      <w:suff w:val="nothing"/>
      <w:lvlText w:val="%1、"/>
      <w:lvlJc w:val="left"/>
      <w:pPr>
        <w:tabs>
          <w:tab w:val="left" w:pos="0"/>
        </w:tabs>
        <w:ind w:left="0" w:firstLine="0"/>
      </w:pPr>
      <w:rPr>
        <w:rFonts w:hint="eastAsia" w:ascii="Times New Roman" w:hAnsi="Times New Roman" w:eastAsia="宋体" w:cs="宋体"/>
        <w:snapToGrid w:val="0"/>
        <w:sz w:val="30"/>
        <w:szCs w:val="30"/>
      </w:rPr>
    </w:lvl>
    <w:lvl w:ilvl="1" w:tentative="0">
      <w:start w:val="1"/>
      <w:numFmt w:val="decimal"/>
      <w:lvlRestart w:val="0"/>
      <w:pStyle w:val="108"/>
      <w:suff w:val="nothing"/>
      <w:lvlText w:val="%2、"/>
      <w:lvlJc w:val="left"/>
      <w:pPr>
        <w:ind w:left="0" w:firstLine="0"/>
      </w:pPr>
      <w:rPr>
        <w:rFonts w:hint="eastAsia" w:ascii="Times New Roman" w:hAnsi="Times New Roman" w:eastAsia="宋体" w:cs="宋体"/>
        <w:b/>
        <w:sz w:val="24"/>
        <w:szCs w:val="24"/>
      </w:rPr>
    </w:lvl>
    <w:lvl w:ilvl="2" w:tentative="0">
      <w:start w:val="1"/>
      <w:numFmt w:val="decimal"/>
      <w:lvlRestart w:val="0"/>
      <w:suff w:val="nothing"/>
      <w:lvlText w:val="（%3）"/>
      <w:lvlJc w:val="left"/>
      <w:pPr>
        <w:ind w:left="0" w:firstLine="0"/>
      </w:pPr>
      <w:rPr>
        <w:rFonts w:hint="eastAsia" w:ascii="宋体" w:hAnsi="宋体" w:eastAsia="宋体" w:cs="宋体"/>
        <w:b/>
        <w:sz w:val="24"/>
      </w:rPr>
    </w:lvl>
    <w:lvl w:ilvl="3" w:tentative="0">
      <w:start w:val="1"/>
      <w:numFmt w:val="decimalEnclosedCircleChinese"/>
      <w:lvlRestart w:val="0"/>
      <w:isLgl/>
      <w:suff w:val="nothing"/>
      <w:lvlText w:val="图%1-%4"/>
      <w:lvlJc w:val="left"/>
      <w:pPr>
        <w:ind w:left="0" w:firstLine="0"/>
      </w:pPr>
      <w:rPr>
        <w:rFonts w:hint="eastAsia" w:ascii="宋体" w:hAnsi="宋体" w:eastAsia="宋体" w:cs="宋体"/>
        <w:b/>
        <w:sz w:val="21"/>
      </w:rPr>
    </w:lvl>
    <w:lvl w:ilvl="4" w:tentative="0">
      <w:start w:val="1"/>
      <w:numFmt w:val="decimal"/>
      <w:lvlRestart w:val="0"/>
      <w:isLgl/>
      <w:suff w:val="space"/>
      <w:lvlText w:val="表%1-%5"/>
      <w:lvlJc w:val="left"/>
      <w:pPr>
        <w:tabs>
          <w:tab w:val="left" w:pos="0"/>
        </w:tabs>
        <w:ind w:left="0" w:firstLine="0"/>
      </w:pPr>
      <w:rPr>
        <w:rFonts w:hint="eastAsia" w:ascii="Times New Roman" w:hAnsi="Times New Roman" w:eastAsia="宋体" w:cs="Times New Roman"/>
        <w:sz w:val="21"/>
        <w:szCs w:val="21"/>
      </w:rPr>
    </w:lvl>
    <w:lvl w:ilvl="5" w:tentative="0">
      <w:start w:val="1"/>
      <w:numFmt w:val="low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31">
    <w:nsid w:val="6B7DCB8B"/>
    <w:multiLevelType w:val="multilevel"/>
    <w:tmpl w:val="6B7DCB8B"/>
    <w:lvl w:ilvl="0" w:tentative="0">
      <w:start w:val="1"/>
      <w:numFmt w:val="decimal"/>
      <w:suff w:val="space"/>
      <w:lvlText w:val="%1、"/>
      <w:lvlJc w:val="left"/>
      <w:pPr>
        <w:ind w:left="425" w:hanging="425"/>
      </w:pPr>
      <w:rPr>
        <w:rFonts w:hint="default"/>
      </w:rPr>
    </w:lvl>
    <w:lvl w:ilvl="1" w:tentative="0">
      <w:start w:val="1"/>
      <w:numFmt w:val="decimal"/>
      <w:lvlText w:val="%1.%2."/>
      <w:lvlJc w:val="left"/>
      <w:pPr>
        <w:ind w:left="567" w:hanging="567"/>
      </w:pPr>
      <w:rPr>
        <w:rFonts w:hint="default" w:ascii="Times New Roman" w:hAnsi="Times New Roman"/>
        <w:color w:val="000000" w:themeColor="text1"/>
        <w14:textFill>
          <w14:solidFill>
            <w14:schemeClr w14:val="tx1"/>
          </w14:solidFill>
        </w14:textFill>
      </w:rPr>
    </w:lvl>
    <w:lvl w:ilvl="2" w:tentative="0">
      <w:start w:val="1"/>
      <w:numFmt w:val="decimal"/>
      <w:lvlText w:val="%1.%2.%3."/>
      <w:lvlJc w:val="left"/>
      <w:pPr>
        <w:ind w:left="709" w:hanging="709"/>
      </w:pPr>
      <w:rPr>
        <w:rFonts w:hint="default"/>
        <w:b/>
        <w:bCs/>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2">
    <w:nsid w:val="757BC6EA"/>
    <w:multiLevelType w:val="singleLevel"/>
    <w:tmpl w:val="757BC6EA"/>
    <w:lvl w:ilvl="0" w:tentative="0">
      <w:start w:val="1"/>
      <w:numFmt w:val="decimal"/>
      <w:suff w:val="nothing"/>
      <w:lvlText w:val="%1、"/>
      <w:lvlJc w:val="left"/>
    </w:lvl>
  </w:abstractNum>
  <w:abstractNum w:abstractNumId="33">
    <w:nsid w:val="76B66488"/>
    <w:multiLevelType w:val="multilevel"/>
    <w:tmpl w:val="76B66488"/>
    <w:lvl w:ilvl="0" w:tentative="0">
      <w:start w:val="1"/>
      <w:numFmt w:val="decimal"/>
      <w:suff w:val="space"/>
      <w:lvlText w:val="%1."/>
      <w:lvlJc w:val="left"/>
      <w:pPr>
        <w:tabs>
          <w:tab w:val="left" w:pos="0"/>
        </w:tabs>
        <w:ind w:left="0" w:firstLine="0"/>
      </w:pPr>
      <w:rPr>
        <w:rFonts w:hint="default" w:ascii="宋体" w:hAnsi="宋体" w:eastAsia="宋体" w:cs="宋体"/>
        <w:b/>
        <w:bCs/>
        <w:sz w:val="28"/>
        <w:szCs w:val="28"/>
      </w:rPr>
    </w:lvl>
    <w:lvl w:ilvl="1" w:tentative="0">
      <w:start w:val="1"/>
      <w:numFmt w:val="decimal"/>
      <w:suff w:val="space"/>
      <w:lvlText w:val="图3-%2"/>
      <w:lvlJc w:val="left"/>
      <w:pPr>
        <w:tabs>
          <w:tab w:val="left" w:pos="0"/>
        </w:tabs>
        <w:ind w:left="0" w:firstLine="0"/>
      </w:pPr>
      <w:rPr>
        <w:rFonts w:hint="default" w:ascii="宋体" w:hAnsi="宋体" w:eastAsia="宋体" w:cs="宋体"/>
        <w:b/>
        <w:bCs/>
        <w:sz w:val="21"/>
        <w:szCs w:val="21"/>
      </w:rPr>
    </w:lvl>
    <w:lvl w:ilvl="2" w:tentative="0">
      <w:start w:val="1"/>
      <w:numFmt w:val="decimal"/>
      <w:suff w:val="space"/>
      <w:lvlText w:val="表3-%3"/>
      <w:lvlJc w:val="center"/>
      <w:pPr>
        <w:tabs>
          <w:tab w:val="left" w:pos="0"/>
        </w:tabs>
        <w:ind w:left="210" w:firstLine="0"/>
      </w:pPr>
      <w:rPr>
        <w:rFonts w:hint="default" w:ascii="Times New Roman" w:hAnsi="Times New Roman" w:eastAsia="宋体" w:cs="Times New Roman"/>
        <w:b/>
        <w:bCs/>
        <w:sz w:val="21"/>
        <w:szCs w:val="21"/>
      </w:rPr>
    </w:lvl>
    <w:lvl w:ilvl="3" w:tentative="0">
      <w:start w:val="1"/>
      <w:numFmt w:val="decimal"/>
      <w:lvlRestart w:val="2"/>
      <w:suff w:val="space"/>
      <w:lvlText w:val="图%1-%4"/>
      <w:lvlJc w:val="center"/>
      <w:pPr>
        <w:tabs>
          <w:tab w:val="left" w:pos="420"/>
        </w:tabs>
        <w:ind w:left="0" w:firstLine="0"/>
      </w:pPr>
      <w:rPr>
        <w:rFonts w:hint="default" w:ascii="宋体" w:hAnsi="宋体" w:eastAsia="宋体" w:cs="宋体"/>
        <w:bCs/>
        <w:sz w:val="21"/>
        <w:szCs w:val="21"/>
      </w:rPr>
    </w:lvl>
    <w:lvl w:ilvl="4" w:tentative="0">
      <w:start w:val="1"/>
      <w:numFmt w:val="decimal"/>
      <w:lvlRestart w:val="2"/>
      <w:suff w:val="space"/>
      <w:lvlText w:val="表%1-%5"/>
      <w:lvlJc w:val="center"/>
      <w:pPr>
        <w:tabs>
          <w:tab w:val="left" w:pos="0"/>
        </w:tabs>
        <w:ind w:left="420" w:firstLine="0"/>
      </w:pPr>
      <w:rPr>
        <w:rFonts w:hint="default" w:ascii="Times New Roman" w:hAnsi="Times New Roman" w:eastAsia="宋体" w:cs="Times New Roman"/>
        <w:b/>
        <w:bCs/>
        <w:sz w:val="21"/>
        <w:szCs w:val="21"/>
      </w:rPr>
    </w:lvl>
    <w:lvl w:ilvl="5" w:tentative="0">
      <w:start w:val="1"/>
      <w:numFmt w:val="decimal"/>
      <w:lvlText w:val="图2-%6"/>
      <w:lvlJc w:val="center"/>
      <w:pPr>
        <w:tabs>
          <w:tab w:val="left" w:pos="420"/>
        </w:tabs>
        <w:ind w:left="0" w:firstLine="0"/>
      </w:pPr>
      <w:rPr>
        <w:rFonts w:hint="default" w:ascii="Times New Roman" w:hAnsi="Times New Roman" w:eastAsia="宋体" w:cs="Times New Roman"/>
        <w:b/>
        <w:bCs/>
        <w:sz w:val="21"/>
        <w:szCs w:val="21"/>
      </w:rPr>
    </w:lvl>
    <w:lvl w:ilvl="6" w:tentative="0">
      <w:start w:val="1"/>
      <w:numFmt w:val="decimal"/>
      <w:pStyle w:val="92"/>
      <w:lvlText w:val="表2-%7"/>
      <w:lvlJc w:val="center"/>
      <w:pPr>
        <w:tabs>
          <w:tab w:val="left" w:pos="0"/>
        </w:tabs>
        <w:ind w:left="0" w:firstLine="0"/>
      </w:pPr>
      <w:rPr>
        <w:rFonts w:hint="default" w:ascii="Times New Roman" w:hAnsi="Times New Roman" w:eastAsia="宋体" w:cs="Times New Roman"/>
        <w:b/>
        <w:bCs/>
        <w:sz w:val="21"/>
        <w:szCs w:val="21"/>
      </w:rPr>
    </w:lvl>
    <w:lvl w:ilvl="7" w:tentative="0">
      <w:start w:val="1"/>
      <w:numFmt w:val="decimal"/>
      <w:lvlText w:val="图4-%8"/>
      <w:lvlJc w:val="center"/>
      <w:pPr>
        <w:tabs>
          <w:tab w:val="left" w:pos="0"/>
        </w:tabs>
        <w:ind w:left="0" w:firstLine="0"/>
      </w:pPr>
      <w:rPr>
        <w:rFonts w:hint="default" w:ascii="Times New Roman" w:hAnsi="Times New Roman" w:eastAsia="宋体" w:cs="Times New Roman"/>
        <w:b/>
        <w:bCs/>
        <w:sz w:val="21"/>
        <w:szCs w:val="21"/>
      </w:rPr>
    </w:lvl>
    <w:lvl w:ilvl="8" w:tentative="0">
      <w:start w:val="1"/>
      <w:numFmt w:val="decimal"/>
      <w:pStyle w:val="72"/>
      <w:lvlText w:val="表4-%9"/>
      <w:lvlJc w:val="center"/>
      <w:pPr>
        <w:tabs>
          <w:tab w:val="left" w:pos="0"/>
        </w:tabs>
        <w:ind w:left="420" w:firstLine="0"/>
      </w:pPr>
      <w:rPr>
        <w:rFonts w:hint="default" w:ascii="Times New Roman" w:hAnsi="Times New Roman" w:eastAsia="宋体" w:cs="Times New Roman"/>
        <w:b/>
        <w:bCs/>
        <w:color w:val="auto"/>
        <w:sz w:val="21"/>
        <w:szCs w:val="21"/>
      </w:rPr>
    </w:lvl>
  </w:abstractNum>
  <w:num w:numId="1">
    <w:abstractNumId w:val="25"/>
  </w:num>
  <w:num w:numId="2">
    <w:abstractNumId w:val="4"/>
  </w:num>
  <w:num w:numId="3">
    <w:abstractNumId w:val="8"/>
  </w:num>
  <w:num w:numId="4">
    <w:abstractNumId w:val="11"/>
  </w:num>
  <w:num w:numId="5">
    <w:abstractNumId w:val="29"/>
  </w:num>
  <w:num w:numId="6">
    <w:abstractNumId w:val="23"/>
  </w:num>
  <w:num w:numId="7">
    <w:abstractNumId w:val="9"/>
  </w:num>
  <w:num w:numId="8">
    <w:abstractNumId w:val="12"/>
  </w:num>
  <w:num w:numId="9">
    <w:abstractNumId w:val="28"/>
  </w:num>
  <w:num w:numId="10">
    <w:abstractNumId w:val="1"/>
  </w:num>
  <w:num w:numId="11">
    <w:abstractNumId w:val="18"/>
  </w:num>
  <w:num w:numId="12">
    <w:abstractNumId w:val="20"/>
  </w:num>
  <w:num w:numId="13">
    <w:abstractNumId w:val="33"/>
  </w:num>
  <w:num w:numId="14">
    <w:abstractNumId w:val="21"/>
  </w:num>
  <w:num w:numId="15">
    <w:abstractNumId w:val="3"/>
  </w:num>
  <w:num w:numId="16">
    <w:abstractNumId w:val="30"/>
  </w:num>
  <w:num w:numId="17">
    <w:abstractNumId w:val="10"/>
  </w:num>
  <w:num w:numId="18">
    <w:abstractNumId w:val="26"/>
  </w:num>
  <w:num w:numId="19">
    <w:abstractNumId w:val="22"/>
  </w:num>
  <w:num w:numId="20">
    <w:abstractNumId w:val="32"/>
  </w:num>
  <w:num w:numId="21">
    <w:abstractNumId w:val="13"/>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0"/>
  </w:num>
  <w:num w:numId="25">
    <w:abstractNumId w:val="17"/>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5"/>
  </w:num>
  <w:num w:numId="29">
    <w:abstractNumId w:val="15"/>
  </w:num>
  <w:num w:numId="30">
    <w:abstractNumId w:val="14"/>
  </w:num>
  <w:num w:numId="31">
    <w:abstractNumId w:val="31"/>
  </w:num>
  <w:num w:numId="32">
    <w:abstractNumId w:val="19"/>
  </w:num>
  <w:num w:numId="33">
    <w:abstractNumId w:val="6"/>
  </w:num>
  <w:num w:numId="34">
    <w:abstractNumId w:val="27"/>
  </w:num>
  <w:num w:numId="35">
    <w:abstractNumId w:val="24"/>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dit="readOnly"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c5NjM5NDMxMTc4MDIwODNmNGNiZDA0YWRiZjA0ZmUifQ=="/>
    <w:docVar w:name="KSO_WPS_MARK_KEY" w:val="6c7cbc6d-98ec-406a-978f-bdf3ecc75bd6"/>
  </w:docVars>
  <w:rsids>
    <w:rsidRoot w:val="00172A27"/>
    <w:rsid w:val="0006580C"/>
    <w:rsid w:val="00172A27"/>
    <w:rsid w:val="00362A4D"/>
    <w:rsid w:val="003C750D"/>
    <w:rsid w:val="00497461"/>
    <w:rsid w:val="00577304"/>
    <w:rsid w:val="005E010B"/>
    <w:rsid w:val="00880C8E"/>
    <w:rsid w:val="00B221A3"/>
    <w:rsid w:val="00BB3D69"/>
    <w:rsid w:val="00BE5B76"/>
    <w:rsid w:val="00D41E0F"/>
    <w:rsid w:val="00D729AC"/>
    <w:rsid w:val="00EC58AB"/>
    <w:rsid w:val="00F0275D"/>
    <w:rsid w:val="010333FC"/>
    <w:rsid w:val="013714F7"/>
    <w:rsid w:val="01521C8D"/>
    <w:rsid w:val="0177145F"/>
    <w:rsid w:val="018A1427"/>
    <w:rsid w:val="01A050EF"/>
    <w:rsid w:val="01CE2930"/>
    <w:rsid w:val="01EE19B6"/>
    <w:rsid w:val="02A70084"/>
    <w:rsid w:val="03357715"/>
    <w:rsid w:val="03435D32"/>
    <w:rsid w:val="03B24C65"/>
    <w:rsid w:val="0408709E"/>
    <w:rsid w:val="049F5431"/>
    <w:rsid w:val="04B959DD"/>
    <w:rsid w:val="04BA0275"/>
    <w:rsid w:val="04BD7D66"/>
    <w:rsid w:val="04D37589"/>
    <w:rsid w:val="04F902A7"/>
    <w:rsid w:val="04FD623C"/>
    <w:rsid w:val="05455794"/>
    <w:rsid w:val="05634469"/>
    <w:rsid w:val="057A1225"/>
    <w:rsid w:val="059211F2"/>
    <w:rsid w:val="05BE5B43"/>
    <w:rsid w:val="05F41565"/>
    <w:rsid w:val="05FC7D96"/>
    <w:rsid w:val="06691F53"/>
    <w:rsid w:val="067B02E3"/>
    <w:rsid w:val="06BF3F53"/>
    <w:rsid w:val="0724150E"/>
    <w:rsid w:val="076100A5"/>
    <w:rsid w:val="076269CB"/>
    <w:rsid w:val="079C20D7"/>
    <w:rsid w:val="07DB29DD"/>
    <w:rsid w:val="07FC391C"/>
    <w:rsid w:val="07FD6B65"/>
    <w:rsid w:val="081C7A9F"/>
    <w:rsid w:val="08314CF2"/>
    <w:rsid w:val="089B03BE"/>
    <w:rsid w:val="08BD33F4"/>
    <w:rsid w:val="08D44585"/>
    <w:rsid w:val="090412D1"/>
    <w:rsid w:val="0911062F"/>
    <w:rsid w:val="093323A4"/>
    <w:rsid w:val="094840A2"/>
    <w:rsid w:val="094A1B3A"/>
    <w:rsid w:val="094C42CE"/>
    <w:rsid w:val="0963712E"/>
    <w:rsid w:val="097C1F9D"/>
    <w:rsid w:val="09992B7C"/>
    <w:rsid w:val="09B66248"/>
    <w:rsid w:val="0A7E3AF3"/>
    <w:rsid w:val="0AA3464F"/>
    <w:rsid w:val="0AC37758"/>
    <w:rsid w:val="0AD15CB3"/>
    <w:rsid w:val="0AE47167"/>
    <w:rsid w:val="0AFF422F"/>
    <w:rsid w:val="0B204882"/>
    <w:rsid w:val="0B761510"/>
    <w:rsid w:val="0B837613"/>
    <w:rsid w:val="0BBA6015"/>
    <w:rsid w:val="0BDC066F"/>
    <w:rsid w:val="0C006EB6"/>
    <w:rsid w:val="0C0F6F17"/>
    <w:rsid w:val="0C3703FE"/>
    <w:rsid w:val="0C542E4F"/>
    <w:rsid w:val="0C6E7022"/>
    <w:rsid w:val="0CC8671E"/>
    <w:rsid w:val="0CF7307A"/>
    <w:rsid w:val="0CFF716D"/>
    <w:rsid w:val="0D7F3E0A"/>
    <w:rsid w:val="0D7F7047"/>
    <w:rsid w:val="0D8446B5"/>
    <w:rsid w:val="0DA62173"/>
    <w:rsid w:val="0DA67783"/>
    <w:rsid w:val="0DD35DCE"/>
    <w:rsid w:val="0E1364D5"/>
    <w:rsid w:val="0E16243F"/>
    <w:rsid w:val="0E440BB0"/>
    <w:rsid w:val="0E527771"/>
    <w:rsid w:val="0EAC189D"/>
    <w:rsid w:val="0EC341CA"/>
    <w:rsid w:val="0EE04D7C"/>
    <w:rsid w:val="0F274759"/>
    <w:rsid w:val="0F5D017B"/>
    <w:rsid w:val="0FF7237E"/>
    <w:rsid w:val="1028115D"/>
    <w:rsid w:val="10703346"/>
    <w:rsid w:val="108A2C16"/>
    <w:rsid w:val="11092E87"/>
    <w:rsid w:val="110E560E"/>
    <w:rsid w:val="113413B0"/>
    <w:rsid w:val="11F36B75"/>
    <w:rsid w:val="120366E6"/>
    <w:rsid w:val="12480926"/>
    <w:rsid w:val="126C0647"/>
    <w:rsid w:val="126F08F1"/>
    <w:rsid w:val="12791770"/>
    <w:rsid w:val="127E0B34"/>
    <w:rsid w:val="128736EB"/>
    <w:rsid w:val="129220FD"/>
    <w:rsid w:val="12942106"/>
    <w:rsid w:val="12CD6FF0"/>
    <w:rsid w:val="12F928B1"/>
    <w:rsid w:val="13375189"/>
    <w:rsid w:val="13667C9C"/>
    <w:rsid w:val="136E12C6"/>
    <w:rsid w:val="136E36B7"/>
    <w:rsid w:val="13A87E27"/>
    <w:rsid w:val="13C536B2"/>
    <w:rsid w:val="13CB2F10"/>
    <w:rsid w:val="13D134F1"/>
    <w:rsid w:val="13D33102"/>
    <w:rsid w:val="140426E0"/>
    <w:rsid w:val="14A6373B"/>
    <w:rsid w:val="150C68CB"/>
    <w:rsid w:val="15260E2C"/>
    <w:rsid w:val="157E68C9"/>
    <w:rsid w:val="15A72150"/>
    <w:rsid w:val="15BC7781"/>
    <w:rsid w:val="15EA52E2"/>
    <w:rsid w:val="15FA2BC8"/>
    <w:rsid w:val="15FF54BC"/>
    <w:rsid w:val="167C182F"/>
    <w:rsid w:val="16B8213B"/>
    <w:rsid w:val="16B825B3"/>
    <w:rsid w:val="16D2144F"/>
    <w:rsid w:val="16E3540A"/>
    <w:rsid w:val="172D314D"/>
    <w:rsid w:val="176C7D0C"/>
    <w:rsid w:val="179901BE"/>
    <w:rsid w:val="17B31280"/>
    <w:rsid w:val="183A7702"/>
    <w:rsid w:val="185C36C6"/>
    <w:rsid w:val="1866680F"/>
    <w:rsid w:val="18E3422E"/>
    <w:rsid w:val="19126B92"/>
    <w:rsid w:val="191F5A0F"/>
    <w:rsid w:val="194303E2"/>
    <w:rsid w:val="195D5A9F"/>
    <w:rsid w:val="198F6A48"/>
    <w:rsid w:val="19903B3C"/>
    <w:rsid w:val="199944A6"/>
    <w:rsid w:val="19AD429F"/>
    <w:rsid w:val="19E219A9"/>
    <w:rsid w:val="19E25E4D"/>
    <w:rsid w:val="19E55F62"/>
    <w:rsid w:val="1A18201E"/>
    <w:rsid w:val="1A402B73"/>
    <w:rsid w:val="1A463CF8"/>
    <w:rsid w:val="1A4A39F2"/>
    <w:rsid w:val="1A5B5BFF"/>
    <w:rsid w:val="1A75195A"/>
    <w:rsid w:val="1B120507"/>
    <w:rsid w:val="1B53789D"/>
    <w:rsid w:val="1B7619A8"/>
    <w:rsid w:val="1B8C2514"/>
    <w:rsid w:val="1C1F0A87"/>
    <w:rsid w:val="1CA034BD"/>
    <w:rsid w:val="1CB31918"/>
    <w:rsid w:val="1CBB00C5"/>
    <w:rsid w:val="1CC03C15"/>
    <w:rsid w:val="1D2E1577"/>
    <w:rsid w:val="1D351575"/>
    <w:rsid w:val="1D361749"/>
    <w:rsid w:val="1D365B86"/>
    <w:rsid w:val="1D9B4C90"/>
    <w:rsid w:val="1E02154E"/>
    <w:rsid w:val="1E311151"/>
    <w:rsid w:val="1E401394"/>
    <w:rsid w:val="1E7B24AE"/>
    <w:rsid w:val="1ECF707B"/>
    <w:rsid w:val="1FF40688"/>
    <w:rsid w:val="20036B1D"/>
    <w:rsid w:val="2020147D"/>
    <w:rsid w:val="202E6D95"/>
    <w:rsid w:val="204038CD"/>
    <w:rsid w:val="20A543C9"/>
    <w:rsid w:val="20B120D5"/>
    <w:rsid w:val="20F21375"/>
    <w:rsid w:val="211C7E96"/>
    <w:rsid w:val="21386AF4"/>
    <w:rsid w:val="215C4736"/>
    <w:rsid w:val="219330DD"/>
    <w:rsid w:val="21D2679D"/>
    <w:rsid w:val="21DF1970"/>
    <w:rsid w:val="21FA5CFD"/>
    <w:rsid w:val="22673F6E"/>
    <w:rsid w:val="22786436"/>
    <w:rsid w:val="22C179E6"/>
    <w:rsid w:val="22E26EBD"/>
    <w:rsid w:val="237E63A5"/>
    <w:rsid w:val="23A07A0E"/>
    <w:rsid w:val="23A21FE5"/>
    <w:rsid w:val="23C363C4"/>
    <w:rsid w:val="23DE7685"/>
    <w:rsid w:val="23F477B1"/>
    <w:rsid w:val="24693B75"/>
    <w:rsid w:val="24967F7D"/>
    <w:rsid w:val="24C51C44"/>
    <w:rsid w:val="24F57496"/>
    <w:rsid w:val="251F324E"/>
    <w:rsid w:val="25973F8F"/>
    <w:rsid w:val="25B36D1F"/>
    <w:rsid w:val="25B9013B"/>
    <w:rsid w:val="264F1999"/>
    <w:rsid w:val="268F4C66"/>
    <w:rsid w:val="269A302A"/>
    <w:rsid w:val="26C757BD"/>
    <w:rsid w:val="26E54417"/>
    <w:rsid w:val="26EB31A9"/>
    <w:rsid w:val="271551CA"/>
    <w:rsid w:val="2729330D"/>
    <w:rsid w:val="276738A2"/>
    <w:rsid w:val="27A91B9E"/>
    <w:rsid w:val="27D030DF"/>
    <w:rsid w:val="28013942"/>
    <w:rsid w:val="283E1EB5"/>
    <w:rsid w:val="286C3A08"/>
    <w:rsid w:val="289E73E3"/>
    <w:rsid w:val="29320DA3"/>
    <w:rsid w:val="29341AF5"/>
    <w:rsid w:val="293E4722"/>
    <w:rsid w:val="293E5DCA"/>
    <w:rsid w:val="29550782"/>
    <w:rsid w:val="2A7D6653"/>
    <w:rsid w:val="2AB0769D"/>
    <w:rsid w:val="2ABA328F"/>
    <w:rsid w:val="2ACA31E0"/>
    <w:rsid w:val="2AEA05DB"/>
    <w:rsid w:val="2AFB5C85"/>
    <w:rsid w:val="2B0C0F7B"/>
    <w:rsid w:val="2B435C33"/>
    <w:rsid w:val="2C7645CC"/>
    <w:rsid w:val="2C8965FC"/>
    <w:rsid w:val="2D177764"/>
    <w:rsid w:val="2D2B2600"/>
    <w:rsid w:val="2DD65871"/>
    <w:rsid w:val="2DD92C6B"/>
    <w:rsid w:val="2DE9541B"/>
    <w:rsid w:val="2E0242FF"/>
    <w:rsid w:val="2E36630F"/>
    <w:rsid w:val="2E3F3416"/>
    <w:rsid w:val="2E5D389C"/>
    <w:rsid w:val="2EB417F6"/>
    <w:rsid w:val="2F0E4B96"/>
    <w:rsid w:val="2F1D4612"/>
    <w:rsid w:val="2F6C4967"/>
    <w:rsid w:val="2F6C5DDD"/>
    <w:rsid w:val="2F860F0D"/>
    <w:rsid w:val="2F9B4D95"/>
    <w:rsid w:val="2FAD5D8C"/>
    <w:rsid w:val="2FD839F4"/>
    <w:rsid w:val="2FFD4E80"/>
    <w:rsid w:val="30073777"/>
    <w:rsid w:val="30527F84"/>
    <w:rsid w:val="30665DB3"/>
    <w:rsid w:val="3095556F"/>
    <w:rsid w:val="31813D45"/>
    <w:rsid w:val="31886E82"/>
    <w:rsid w:val="31942ABC"/>
    <w:rsid w:val="321C6414"/>
    <w:rsid w:val="32495490"/>
    <w:rsid w:val="326351F9"/>
    <w:rsid w:val="32712CB9"/>
    <w:rsid w:val="32933D30"/>
    <w:rsid w:val="32942DAF"/>
    <w:rsid w:val="33027F46"/>
    <w:rsid w:val="330B7B68"/>
    <w:rsid w:val="33446DD8"/>
    <w:rsid w:val="334A2505"/>
    <w:rsid w:val="33522D27"/>
    <w:rsid w:val="33613D3A"/>
    <w:rsid w:val="33742696"/>
    <w:rsid w:val="339D7EF6"/>
    <w:rsid w:val="33A87367"/>
    <w:rsid w:val="33B91574"/>
    <w:rsid w:val="341B6A48"/>
    <w:rsid w:val="34262CC7"/>
    <w:rsid w:val="343E7CCC"/>
    <w:rsid w:val="345C560C"/>
    <w:rsid w:val="348109C7"/>
    <w:rsid w:val="34833930"/>
    <w:rsid w:val="349B2BDB"/>
    <w:rsid w:val="349F56CD"/>
    <w:rsid w:val="352C5D76"/>
    <w:rsid w:val="35521C81"/>
    <w:rsid w:val="3567228E"/>
    <w:rsid w:val="361B6516"/>
    <w:rsid w:val="36213401"/>
    <w:rsid w:val="362F3BFA"/>
    <w:rsid w:val="36581D34"/>
    <w:rsid w:val="369E0A68"/>
    <w:rsid w:val="36A209E6"/>
    <w:rsid w:val="36AA1648"/>
    <w:rsid w:val="36BE50F4"/>
    <w:rsid w:val="36DE1B19"/>
    <w:rsid w:val="37003C4A"/>
    <w:rsid w:val="37072B26"/>
    <w:rsid w:val="37363898"/>
    <w:rsid w:val="377F2AD5"/>
    <w:rsid w:val="37C51D6B"/>
    <w:rsid w:val="37EB1F18"/>
    <w:rsid w:val="380017DA"/>
    <w:rsid w:val="380C3C8E"/>
    <w:rsid w:val="380E5F23"/>
    <w:rsid w:val="3837515E"/>
    <w:rsid w:val="38387B0C"/>
    <w:rsid w:val="385A5670"/>
    <w:rsid w:val="386C12AB"/>
    <w:rsid w:val="38BB4D8E"/>
    <w:rsid w:val="390C65EA"/>
    <w:rsid w:val="393F42CA"/>
    <w:rsid w:val="3954775A"/>
    <w:rsid w:val="398E0DAD"/>
    <w:rsid w:val="39AE7B43"/>
    <w:rsid w:val="39BD1CD9"/>
    <w:rsid w:val="3A5730C6"/>
    <w:rsid w:val="3A8E110F"/>
    <w:rsid w:val="3A9643BE"/>
    <w:rsid w:val="3AD0140D"/>
    <w:rsid w:val="3AE72E6B"/>
    <w:rsid w:val="3AE74C19"/>
    <w:rsid w:val="3AF37A62"/>
    <w:rsid w:val="3B247C1B"/>
    <w:rsid w:val="3B365C77"/>
    <w:rsid w:val="3B4C0F20"/>
    <w:rsid w:val="3B952CE7"/>
    <w:rsid w:val="3B994239"/>
    <w:rsid w:val="3BA266D7"/>
    <w:rsid w:val="3BB57E05"/>
    <w:rsid w:val="3BBE7B2F"/>
    <w:rsid w:val="3BE10928"/>
    <w:rsid w:val="3C636521"/>
    <w:rsid w:val="3C7A386B"/>
    <w:rsid w:val="3D1171D0"/>
    <w:rsid w:val="3D193AF9"/>
    <w:rsid w:val="3D2C2DB7"/>
    <w:rsid w:val="3D7E738B"/>
    <w:rsid w:val="3D8A3387"/>
    <w:rsid w:val="3DE60FB3"/>
    <w:rsid w:val="3E1A70B4"/>
    <w:rsid w:val="3E3E5E22"/>
    <w:rsid w:val="3E5F7AA1"/>
    <w:rsid w:val="3E6644F2"/>
    <w:rsid w:val="3E894A23"/>
    <w:rsid w:val="3EA5173C"/>
    <w:rsid w:val="3ED7332C"/>
    <w:rsid w:val="3F2A5A1C"/>
    <w:rsid w:val="3F2C57D3"/>
    <w:rsid w:val="3F4A1C1A"/>
    <w:rsid w:val="3F4F5483"/>
    <w:rsid w:val="3F983C43"/>
    <w:rsid w:val="3FE86650"/>
    <w:rsid w:val="405D772B"/>
    <w:rsid w:val="40F315A4"/>
    <w:rsid w:val="4110479E"/>
    <w:rsid w:val="417356B8"/>
    <w:rsid w:val="41A567F0"/>
    <w:rsid w:val="41E21E97"/>
    <w:rsid w:val="42062C63"/>
    <w:rsid w:val="421B789E"/>
    <w:rsid w:val="422C1AAB"/>
    <w:rsid w:val="424741EF"/>
    <w:rsid w:val="42666D6B"/>
    <w:rsid w:val="42A94EAA"/>
    <w:rsid w:val="42DB1AE6"/>
    <w:rsid w:val="43607077"/>
    <w:rsid w:val="43790D20"/>
    <w:rsid w:val="43F108B7"/>
    <w:rsid w:val="43FD54AD"/>
    <w:rsid w:val="447B4624"/>
    <w:rsid w:val="44DA759D"/>
    <w:rsid w:val="44E35F1A"/>
    <w:rsid w:val="4530023C"/>
    <w:rsid w:val="454436AA"/>
    <w:rsid w:val="455E01CE"/>
    <w:rsid w:val="45782000"/>
    <w:rsid w:val="45B7168C"/>
    <w:rsid w:val="46113492"/>
    <w:rsid w:val="461E795D"/>
    <w:rsid w:val="463902F3"/>
    <w:rsid w:val="464A2094"/>
    <w:rsid w:val="468D6EA3"/>
    <w:rsid w:val="46C05B54"/>
    <w:rsid w:val="46F5246C"/>
    <w:rsid w:val="471825FE"/>
    <w:rsid w:val="47305B9A"/>
    <w:rsid w:val="4735425F"/>
    <w:rsid w:val="473712BC"/>
    <w:rsid w:val="473D64AB"/>
    <w:rsid w:val="474D6197"/>
    <w:rsid w:val="474F4272"/>
    <w:rsid w:val="475C6A14"/>
    <w:rsid w:val="47685ADB"/>
    <w:rsid w:val="47BE4F54"/>
    <w:rsid w:val="47F61FE1"/>
    <w:rsid w:val="480D3D8E"/>
    <w:rsid w:val="4860600B"/>
    <w:rsid w:val="487F7017"/>
    <w:rsid w:val="49027FE6"/>
    <w:rsid w:val="4983629D"/>
    <w:rsid w:val="49B02FC2"/>
    <w:rsid w:val="49D62A28"/>
    <w:rsid w:val="49F03F8B"/>
    <w:rsid w:val="49F83C3C"/>
    <w:rsid w:val="4A0330F2"/>
    <w:rsid w:val="4A056E6A"/>
    <w:rsid w:val="4A5A33C8"/>
    <w:rsid w:val="4AA65F69"/>
    <w:rsid w:val="4B286BFC"/>
    <w:rsid w:val="4B3C20A4"/>
    <w:rsid w:val="4B7319F2"/>
    <w:rsid w:val="4B95013D"/>
    <w:rsid w:val="4BDC5859"/>
    <w:rsid w:val="4BF554F1"/>
    <w:rsid w:val="4C177328"/>
    <w:rsid w:val="4C563ECE"/>
    <w:rsid w:val="4C650094"/>
    <w:rsid w:val="4C6D4622"/>
    <w:rsid w:val="4C6F2CC0"/>
    <w:rsid w:val="4C9F0FD2"/>
    <w:rsid w:val="4CA54934"/>
    <w:rsid w:val="4CAE37E9"/>
    <w:rsid w:val="4CCE2936"/>
    <w:rsid w:val="4CF3569F"/>
    <w:rsid w:val="4D37619E"/>
    <w:rsid w:val="4DD74FC1"/>
    <w:rsid w:val="4DE84E8D"/>
    <w:rsid w:val="4E1E04DF"/>
    <w:rsid w:val="4E233D62"/>
    <w:rsid w:val="4E6C5709"/>
    <w:rsid w:val="4EA75B41"/>
    <w:rsid w:val="4EB6353B"/>
    <w:rsid w:val="4EBF6A8F"/>
    <w:rsid w:val="4ED74DD9"/>
    <w:rsid w:val="4F1E08DD"/>
    <w:rsid w:val="4F2433C7"/>
    <w:rsid w:val="4F7D2F2F"/>
    <w:rsid w:val="50776E41"/>
    <w:rsid w:val="50B05655"/>
    <w:rsid w:val="50BB2978"/>
    <w:rsid w:val="50BC143E"/>
    <w:rsid w:val="50D36640"/>
    <w:rsid w:val="51021EB7"/>
    <w:rsid w:val="510D2AA8"/>
    <w:rsid w:val="51295B34"/>
    <w:rsid w:val="513F5EB1"/>
    <w:rsid w:val="51542485"/>
    <w:rsid w:val="517100E7"/>
    <w:rsid w:val="51D27F79"/>
    <w:rsid w:val="51E7154B"/>
    <w:rsid w:val="52092750"/>
    <w:rsid w:val="523111FB"/>
    <w:rsid w:val="5234705D"/>
    <w:rsid w:val="52506C3D"/>
    <w:rsid w:val="52595FA5"/>
    <w:rsid w:val="52791BA2"/>
    <w:rsid w:val="527F3444"/>
    <w:rsid w:val="52EB05A3"/>
    <w:rsid w:val="532D4A8B"/>
    <w:rsid w:val="53603363"/>
    <w:rsid w:val="536B2E30"/>
    <w:rsid w:val="538C05FC"/>
    <w:rsid w:val="539F3E8B"/>
    <w:rsid w:val="53BB4899"/>
    <w:rsid w:val="53DA1367"/>
    <w:rsid w:val="53FD21CC"/>
    <w:rsid w:val="5402441A"/>
    <w:rsid w:val="54C51545"/>
    <w:rsid w:val="54ED7F95"/>
    <w:rsid w:val="553E52D5"/>
    <w:rsid w:val="55767EF4"/>
    <w:rsid w:val="559B4B26"/>
    <w:rsid w:val="55A7069A"/>
    <w:rsid w:val="55E40B20"/>
    <w:rsid w:val="56091C67"/>
    <w:rsid w:val="56283CF4"/>
    <w:rsid w:val="5633767A"/>
    <w:rsid w:val="566B62A7"/>
    <w:rsid w:val="568D1D06"/>
    <w:rsid w:val="569A6210"/>
    <w:rsid w:val="56BA73D7"/>
    <w:rsid w:val="56C1680E"/>
    <w:rsid w:val="56DF14D7"/>
    <w:rsid w:val="57C245EC"/>
    <w:rsid w:val="57CB3A40"/>
    <w:rsid w:val="57DB2B89"/>
    <w:rsid w:val="580E15DF"/>
    <w:rsid w:val="583201DA"/>
    <w:rsid w:val="584B171D"/>
    <w:rsid w:val="58B42443"/>
    <w:rsid w:val="58E70023"/>
    <w:rsid w:val="58ED7447"/>
    <w:rsid w:val="58FC3B2E"/>
    <w:rsid w:val="59064B56"/>
    <w:rsid w:val="591B4C66"/>
    <w:rsid w:val="59202368"/>
    <w:rsid w:val="59280156"/>
    <w:rsid w:val="592D1F39"/>
    <w:rsid w:val="5954396A"/>
    <w:rsid w:val="5969003C"/>
    <w:rsid w:val="59C363FA"/>
    <w:rsid w:val="59CD572C"/>
    <w:rsid w:val="59D50132"/>
    <w:rsid w:val="59E0228F"/>
    <w:rsid w:val="59F60B1C"/>
    <w:rsid w:val="5A040EEC"/>
    <w:rsid w:val="5A3133FC"/>
    <w:rsid w:val="5A4C63EF"/>
    <w:rsid w:val="5A745623"/>
    <w:rsid w:val="5AA20705"/>
    <w:rsid w:val="5ABB14CB"/>
    <w:rsid w:val="5AD92379"/>
    <w:rsid w:val="5B3D3F8A"/>
    <w:rsid w:val="5B5142BC"/>
    <w:rsid w:val="5B977B3E"/>
    <w:rsid w:val="5BD771F3"/>
    <w:rsid w:val="5BF1704E"/>
    <w:rsid w:val="5C0827EA"/>
    <w:rsid w:val="5C0F5165"/>
    <w:rsid w:val="5C124912"/>
    <w:rsid w:val="5CB250E1"/>
    <w:rsid w:val="5D5D5272"/>
    <w:rsid w:val="5D6B59FB"/>
    <w:rsid w:val="5D6E48CE"/>
    <w:rsid w:val="5DDB6408"/>
    <w:rsid w:val="5DDC5A88"/>
    <w:rsid w:val="5DF03535"/>
    <w:rsid w:val="5E082F75"/>
    <w:rsid w:val="5E1224B2"/>
    <w:rsid w:val="5E4107AB"/>
    <w:rsid w:val="5E47584B"/>
    <w:rsid w:val="5E6F4DA2"/>
    <w:rsid w:val="5EB34C8F"/>
    <w:rsid w:val="5EC23124"/>
    <w:rsid w:val="5EE16246"/>
    <w:rsid w:val="5EF52B01"/>
    <w:rsid w:val="5F01714B"/>
    <w:rsid w:val="5F1A4D0E"/>
    <w:rsid w:val="5F374E01"/>
    <w:rsid w:val="5F622C5A"/>
    <w:rsid w:val="5F927999"/>
    <w:rsid w:val="5FBF2D8A"/>
    <w:rsid w:val="5FF057E4"/>
    <w:rsid w:val="60485E7E"/>
    <w:rsid w:val="60B70E18"/>
    <w:rsid w:val="60BC29F1"/>
    <w:rsid w:val="61107DEC"/>
    <w:rsid w:val="61636E3E"/>
    <w:rsid w:val="616B1851"/>
    <w:rsid w:val="619F599E"/>
    <w:rsid w:val="61BB0717"/>
    <w:rsid w:val="623B7FF0"/>
    <w:rsid w:val="626651DC"/>
    <w:rsid w:val="62A32E82"/>
    <w:rsid w:val="63523CB5"/>
    <w:rsid w:val="637015C2"/>
    <w:rsid w:val="63715118"/>
    <w:rsid w:val="638106FA"/>
    <w:rsid w:val="638D1F52"/>
    <w:rsid w:val="63901A42"/>
    <w:rsid w:val="63A22492"/>
    <w:rsid w:val="63D66B0E"/>
    <w:rsid w:val="63E46486"/>
    <w:rsid w:val="63E63410"/>
    <w:rsid w:val="63F026DB"/>
    <w:rsid w:val="642467FB"/>
    <w:rsid w:val="64294DCA"/>
    <w:rsid w:val="64326656"/>
    <w:rsid w:val="64414077"/>
    <w:rsid w:val="64532109"/>
    <w:rsid w:val="647B04BB"/>
    <w:rsid w:val="649D0870"/>
    <w:rsid w:val="64BD4FFA"/>
    <w:rsid w:val="64DC6F84"/>
    <w:rsid w:val="64DE0435"/>
    <w:rsid w:val="655E098A"/>
    <w:rsid w:val="656211BC"/>
    <w:rsid w:val="65D57105"/>
    <w:rsid w:val="65E728E1"/>
    <w:rsid w:val="65F466E9"/>
    <w:rsid w:val="65FF07B9"/>
    <w:rsid w:val="666557B4"/>
    <w:rsid w:val="66F638F6"/>
    <w:rsid w:val="66F81D1F"/>
    <w:rsid w:val="677F716B"/>
    <w:rsid w:val="677F7E04"/>
    <w:rsid w:val="67BD3FB5"/>
    <w:rsid w:val="68064081"/>
    <w:rsid w:val="682B02E1"/>
    <w:rsid w:val="685301A8"/>
    <w:rsid w:val="68613E1C"/>
    <w:rsid w:val="6865349E"/>
    <w:rsid w:val="686659D7"/>
    <w:rsid w:val="68886E3C"/>
    <w:rsid w:val="689E7151"/>
    <w:rsid w:val="68AF0119"/>
    <w:rsid w:val="693A33BA"/>
    <w:rsid w:val="698931BC"/>
    <w:rsid w:val="69A30E1A"/>
    <w:rsid w:val="69E20B1E"/>
    <w:rsid w:val="69E408D1"/>
    <w:rsid w:val="6A033FAA"/>
    <w:rsid w:val="6A5135AE"/>
    <w:rsid w:val="6A685ADD"/>
    <w:rsid w:val="6AD036FF"/>
    <w:rsid w:val="6AE67665"/>
    <w:rsid w:val="6B1B5180"/>
    <w:rsid w:val="6B3C7826"/>
    <w:rsid w:val="6B9C2BD1"/>
    <w:rsid w:val="6BC8789F"/>
    <w:rsid w:val="6BD6722B"/>
    <w:rsid w:val="6BD81C98"/>
    <w:rsid w:val="6BE64567"/>
    <w:rsid w:val="6C123A56"/>
    <w:rsid w:val="6CE873CC"/>
    <w:rsid w:val="6D06056F"/>
    <w:rsid w:val="6D090170"/>
    <w:rsid w:val="6D6326C2"/>
    <w:rsid w:val="6D6F26C8"/>
    <w:rsid w:val="6DC20A4A"/>
    <w:rsid w:val="6E176DA8"/>
    <w:rsid w:val="6E254182"/>
    <w:rsid w:val="6E91666F"/>
    <w:rsid w:val="6E930F02"/>
    <w:rsid w:val="6EB45E97"/>
    <w:rsid w:val="6EEF4515"/>
    <w:rsid w:val="6EFD5C1F"/>
    <w:rsid w:val="6F2B6AC3"/>
    <w:rsid w:val="6F911144"/>
    <w:rsid w:val="6FA06B69"/>
    <w:rsid w:val="6FCB2765"/>
    <w:rsid w:val="7005270A"/>
    <w:rsid w:val="70453D7A"/>
    <w:rsid w:val="70BF3237"/>
    <w:rsid w:val="70C1323B"/>
    <w:rsid w:val="70CB0343"/>
    <w:rsid w:val="70E26BD9"/>
    <w:rsid w:val="70EA772B"/>
    <w:rsid w:val="70F914F2"/>
    <w:rsid w:val="7154077C"/>
    <w:rsid w:val="71641B4F"/>
    <w:rsid w:val="716828AD"/>
    <w:rsid w:val="71C52CA4"/>
    <w:rsid w:val="71E76CD1"/>
    <w:rsid w:val="721F0505"/>
    <w:rsid w:val="7238577F"/>
    <w:rsid w:val="728B0B87"/>
    <w:rsid w:val="72AB32C2"/>
    <w:rsid w:val="72B8241C"/>
    <w:rsid w:val="72E74AAF"/>
    <w:rsid w:val="73215647"/>
    <w:rsid w:val="73237064"/>
    <w:rsid w:val="736670D3"/>
    <w:rsid w:val="73943100"/>
    <w:rsid w:val="73A32391"/>
    <w:rsid w:val="73C5770C"/>
    <w:rsid w:val="746E28A3"/>
    <w:rsid w:val="74832F17"/>
    <w:rsid w:val="74B10F53"/>
    <w:rsid w:val="74BB1693"/>
    <w:rsid w:val="74D72451"/>
    <w:rsid w:val="74DA48CB"/>
    <w:rsid w:val="74EB6864"/>
    <w:rsid w:val="75107D00"/>
    <w:rsid w:val="75294E8C"/>
    <w:rsid w:val="75397E7B"/>
    <w:rsid w:val="753E2D17"/>
    <w:rsid w:val="754604BF"/>
    <w:rsid w:val="75F4396A"/>
    <w:rsid w:val="75F71B38"/>
    <w:rsid w:val="760F2C9B"/>
    <w:rsid w:val="764670E3"/>
    <w:rsid w:val="768E5086"/>
    <w:rsid w:val="769136B0"/>
    <w:rsid w:val="76D82A87"/>
    <w:rsid w:val="76D8308D"/>
    <w:rsid w:val="77846D70"/>
    <w:rsid w:val="77862AE9"/>
    <w:rsid w:val="77F959B0"/>
    <w:rsid w:val="781A1483"/>
    <w:rsid w:val="78574515"/>
    <w:rsid w:val="78AB2C9B"/>
    <w:rsid w:val="78C23FF4"/>
    <w:rsid w:val="79652BD2"/>
    <w:rsid w:val="799C3B90"/>
    <w:rsid w:val="79D97847"/>
    <w:rsid w:val="79E2277E"/>
    <w:rsid w:val="7A6E350B"/>
    <w:rsid w:val="7A865511"/>
    <w:rsid w:val="7A8A28F0"/>
    <w:rsid w:val="7ABC1938"/>
    <w:rsid w:val="7B2E5971"/>
    <w:rsid w:val="7B4A497D"/>
    <w:rsid w:val="7B676CC8"/>
    <w:rsid w:val="7B7D2454"/>
    <w:rsid w:val="7B8B38C8"/>
    <w:rsid w:val="7BB74A01"/>
    <w:rsid w:val="7BF05E46"/>
    <w:rsid w:val="7C176405"/>
    <w:rsid w:val="7C483BDB"/>
    <w:rsid w:val="7C6453C2"/>
    <w:rsid w:val="7CD51E1C"/>
    <w:rsid w:val="7D463234"/>
    <w:rsid w:val="7D715FE9"/>
    <w:rsid w:val="7D760D3B"/>
    <w:rsid w:val="7DB20376"/>
    <w:rsid w:val="7DB22DA3"/>
    <w:rsid w:val="7DCE6E59"/>
    <w:rsid w:val="7DD10836"/>
    <w:rsid w:val="7DEC363C"/>
    <w:rsid w:val="7DED1B13"/>
    <w:rsid w:val="7E521976"/>
    <w:rsid w:val="7E6E42D6"/>
    <w:rsid w:val="7E7921E5"/>
    <w:rsid w:val="7E8104AE"/>
    <w:rsid w:val="7E906943"/>
    <w:rsid w:val="7E925766"/>
    <w:rsid w:val="7E9F28D8"/>
    <w:rsid w:val="7F1A529F"/>
    <w:rsid w:val="7F1C436F"/>
    <w:rsid w:val="7F317EDD"/>
    <w:rsid w:val="7F402117"/>
    <w:rsid w:val="7F507B74"/>
    <w:rsid w:val="7FC76394"/>
    <w:rsid w:val="7FDE16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iPriority="99"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3"/>
    <w:autoRedefine/>
    <w:qFormat/>
    <w:uiPriority w:val="0"/>
    <w:pPr>
      <w:keepNext/>
      <w:keepLines/>
      <w:numPr>
        <w:ilvl w:val="0"/>
        <w:numId w:val="1"/>
      </w:numPr>
      <w:tabs>
        <w:tab w:val="left" w:pos="420"/>
      </w:tabs>
      <w:spacing w:line="312" w:lineRule="auto"/>
      <w:jc w:val="center"/>
      <w:outlineLvl w:val="0"/>
    </w:pPr>
    <w:rPr>
      <w:b/>
      <w:kern w:val="44"/>
      <w:sz w:val="30"/>
      <w:szCs w:val="30"/>
    </w:rPr>
  </w:style>
  <w:style w:type="paragraph" w:styleId="4">
    <w:name w:val="heading 2"/>
    <w:basedOn w:val="1"/>
    <w:next w:val="1"/>
    <w:link w:val="30"/>
    <w:autoRedefine/>
    <w:unhideWhenUsed/>
    <w:qFormat/>
    <w:uiPriority w:val="0"/>
    <w:pPr>
      <w:keepNext/>
      <w:keepLines/>
      <w:numPr>
        <w:ilvl w:val="0"/>
        <w:numId w:val="2"/>
      </w:numPr>
      <w:spacing w:line="500" w:lineRule="exact"/>
      <w:outlineLvl w:val="1"/>
    </w:pPr>
    <w:rPr>
      <w:b/>
      <w:sz w:val="24"/>
    </w:rPr>
  </w:style>
  <w:style w:type="paragraph" w:styleId="5">
    <w:name w:val="heading 3"/>
    <w:basedOn w:val="4"/>
    <w:next w:val="1"/>
    <w:autoRedefine/>
    <w:qFormat/>
    <w:uiPriority w:val="0"/>
    <w:pPr>
      <w:numPr>
        <w:numId w:val="3"/>
      </w:numPr>
      <w:tabs>
        <w:tab w:val="left" w:pos="0"/>
        <w:tab w:val="left" w:pos="1678"/>
        <w:tab w:val="left" w:pos="1680"/>
      </w:tabs>
      <w:autoSpaceDE w:val="0"/>
      <w:autoSpaceDN w:val="0"/>
      <w:adjustRightInd w:val="0"/>
      <w:snapToGrid w:val="0"/>
      <w:spacing w:line="440" w:lineRule="exact"/>
      <w:ind w:left="0" w:firstLine="720" w:firstLineChars="200"/>
      <w:jc w:val="left"/>
      <w:outlineLvl w:val="2"/>
    </w:pPr>
    <w:rPr>
      <w:rFonts w:hint="eastAsia"/>
    </w:rPr>
  </w:style>
  <w:style w:type="paragraph" w:styleId="6">
    <w:name w:val="heading 4"/>
    <w:basedOn w:val="1"/>
    <w:next w:val="1"/>
    <w:autoRedefine/>
    <w:unhideWhenUsed/>
    <w:qFormat/>
    <w:uiPriority w:val="0"/>
    <w:pPr>
      <w:keepNext/>
      <w:keepLines/>
      <w:numPr>
        <w:ilvl w:val="1"/>
        <w:numId w:val="3"/>
      </w:numPr>
      <w:spacing w:line="440" w:lineRule="exact"/>
      <w:ind w:left="0" w:firstLine="720" w:firstLineChars="200"/>
      <w:outlineLvl w:val="3"/>
    </w:pPr>
    <w:rPr>
      <w:b/>
      <w:sz w:val="24"/>
    </w:rPr>
  </w:style>
  <w:style w:type="paragraph" w:styleId="7">
    <w:name w:val="heading 5"/>
    <w:basedOn w:val="1"/>
    <w:next w:val="1"/>
    <w:autoRedefine/>
    <w:unhideWhenUsed/>
    <w:qFormat/>
    <w:uiPriority w:val="0"/>
    <w:pPr>
      <w:keepNext/>
      <w:keepLines/>
      <w:spacing w:before="280" w:after="290" w:line="372" w:lineRule="auto"/>
      <w:outlineLvl w:val="4"/>
    </w:pPr>
    <w:rPr>
      <w:b/>
      <w:sz w:val="28"/>
    </w:rPr>
  </w:style>
  <w:style w:type="paragraph" w:styleId="8">
    <w:name w:val="heading 6"/>
    <w:basedOn w:val="1"/>
    <w:next w:val="1"/>
    <w:autoRedefine/>
    <w:qFormat/>
    <w:uiPriority w:val="0"/>
    <w:pPr>
      <w:keepNext/>
      <w:keepLines/>
      <w:numPr>
        <w:ilvl w:val="5"/>
        <w:numId w:val="4"/>
      </w:numPr>
      <w:adjustRightInd w:val="0"/>
      <w:spacing w:before="240" w:after="64" w:line="320" w:lineRule="atLeast"/>
      <w:jc w:val="left"/>
      <w:textAlignment w:val="baseline"/>
      <w:outlineLvl w:val="5"/>
    </w:pPr>
    <w:rPr>
      <w:rFonts w:ascii="Arial" w:hAnsi="Arial" w:eastAsia="黑体"/>
      <w:b/>
      <w:kern w:val="0"/>
      <w:sz w:val="24"/>
      <w:szCs w:val="20"/>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link w:val="52"/>
    <w:autoRedefine/>
    <w:qFormat/>
    <w:uiPriority w:val="0"/>
    <w:pPr>
      <w:spacing w:after="120" w:line="480" w:lineRule="auto"/>
      <w:ind w:left="420" w:leftChars="200"/>
    </w:pPr>
  </w:style>
  <w:style w:type="paragraph" w:styleId="9">
    <w:name w:val="Normal Indent"/>
    <w:basedOn w:val="1"/>
    <w:next w:val="1"/>
    <w:autoRedefine/>
    <w:qFormat/>
    <w:uiPriority w:val="0"/>
    <w:pPr>
      <w:ind w:firstLine="420"/>
    </w:pPr>
    <w:rPr>
      <w:rFonts w:hint="eastAsia" w:ascii="仿宋_GB2312" w:eastAsia="仿宋_GB2312"/>
      <w:snapToGrid w:val="0"/>
      <w:kern w:val="0"/>
      <w:sz w:val="28"/>
      <w:szCs w:val="20"/>
    </w:rPr>
  </w:style>
  <w:style w:type="paragraph" w:styleId="10">
    <w:name w:val="annotation text"/>
    <w:basedOn w:val="1"/>
    <w:autoRedefine/>
    <w:qFormat/>
    <w:uiPriority w:val="0"/>
    <w:pPr>
      <w:jc w:val="left"/>
    </w:pPr>
  </w:style>
  <w:style w:type="paragraph" w:styleId="11">
    <w:name w:val="Body Text"/>
    <w:basedOn w:val="1"/>
    <w:next w:val="1"/>
    <w:link w:val="83"/>
    <w:autoRedefine/>
    <w:qFormat/>
    <w:uiPriority w:val="0"/>
    <w:pPr>
      <w:widowControl/>
      <w:snapToGrid w:val="0"/>
    </w:pPr>
    <w:rPr>
      <w:kern w:val="0"/>
      <w:sz w:val="18"/>
      <w:szCs w:val="20"/>
    </w:rPr>
  </w:style>
  <w:style w:type="paragraph" w:styleId="12">
    <w:name w:val="Body Text Indent"/>
    <w:basedOn w:val="1"/>
    <w:next w:val="13"/>
    <w:autoRedefine/>
    <w:qFormat/>
    <w:uiPriority w:val="0"/>
    <w:pPr>
      <w:spacing w:after="120"/>
      <w:ind w:left="420" w:leftChars="200"/>
    </w:pPr>
  </w:style>
  <w:style w:type="paragraph" w:styleId="13">
    <w:name w:val="footer"/>
    <w:basedOn w:val="1"/>
    <w:next w:val="14"/>
    <w:autoRedefine/>
    <w:qFormat/>
    <w:uiPriority w:val="0"/>
    <w:pPr>
      <w:tabs>
        <w:tab w:val="center" w:pos="4153"/>
        <w:tab w:val="right" w:pos="8306"/>
      </w:tabs>
      <w:snapToGrid w:val="0"/>
      <w:jc w:val="left"/>
    </w:pPr>
    <w:rPr>
      <w:sz w:val="18"/>
    </w:rPr>
  </w:style>
  <w:style w:type="paragraph" w:styleId="14">
    <w:name w:val="Plain Text"/>
    <w:basedOn w:val="1"/>
    <w:autoRedefine/>
    <w:unhideWhenUsed/>
    <w:qFormat/>
    <w:uiPriority w:val="99"/>
    <w:rPr>
      <w:rFonts w:ascii="宋体" w:hAnsi="Courier New"/>
      <w:sz w:val="24"/>
      <w:szCs w:val="20"/>
    </w:rPr>
  </w:style>
  <w:style w:type="paragraph" w:styleId="15">
    <w:name w:val="Block Text"/>
    <w:basedOn w:val="1"/>
    <w:autoRedefine/>
    <w:unhideWhenUsed/>
    <w:qFormat/>
    <w:uiPriority w:val="99"/>
    <w:pPr>
      <w:spacing w:before="100" w:beforeAutospacing="1" w:after="100" w:afterAutospacing="1" w:line="320" w:lineRule="exact"/>
      <w:ind w:left="113" w:right="113"/>
      <w:jc w:val="center"/>
    </w:pPr>
    <w:rPr>
      <w:rFonts w:cs="Calibri"/>
      <w:b/>
      <w:bCs/>
      <w:sz w:val="13"/>
      <w:szCs w:val="13"/>
    </w:rPr>
  </w:style>
  <w:style w:type="paragraph" w:styleId="16">
    <w:name w:val="List Bullet 5"/>
    <w:basedOn w:val="1"/>
    <w:autoRedefine/>
    <w:qFormat/>
    <w:uiPriority w:val="0"/>
    <w:pPr>
      <w:numPr>
        <w:ilvl w:val="0"/>
        <w:numId w:val="5"/>
      </w:numPr>
    </w:pPr>
  </w:style>
  <w:style w:type="paragraph" w:styleId="1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8">
    <w:name w:val="toc 1"/>
    <w:basedOn w:val="1"/>
    <w:next w:val="1"/>
    <w:autoRedefine/>
    <w:qFormat/>
    <w:uiPriority w:val="0"/>
    <w:pPr>
      <w:spacing w:line="480" w:lineRule="exact"/>
    </w:pPr>
    <w:rPr>
      <w:sz w:val="24"/>
    </w:rPr>
  </w:style>
  <w:style w:type="paragraph" w:styleId="19">
    <w:name w:val="List"/>
    <w:basedOn w:val="1"/>
    <w:autoRedefine/>
    <w:qFormat/>
    <w:uiPriority w:val="0"/>
    <w:pPr>
      <w:ind w:left="200" w:hanging="200" w:hangingChars="200"/>
    </w:pPr>
  </w:style>
  <w:style w:type="paragraph" w:styleId="20">
    <w:name w:val="table of figures"/>
    <w:basedOn w:val="1"/>
    <w:next w:val="1"/>
    <w:qFormat/>
    <w:uiPriority w:val="0"/>
    <w:pPr>
      <w:ind w:left="200" w:leftChars="200" w:hanging="200" w:hangingChars="200"/>
    </w:pPr>
  </w:style>
  <w:style w:type="paragraph" w:styleId="21">
    <w:name w:val="Normal (Web)"/>
    <w:basedOn w:val="1"/>
    <w:autoRedefine/>
    <w:qFormat/>
    <w:uiPriority w:val="0"/>
    <w:pPr>
      <w:widowControl/>
      <w:spacing w:beforeAutospacing="1" w:afterAutospacing="1"/>
      <w:jc w:val="left"/>
    </w:pPr>
    <w:rPr>
      <w:rFonts w:ascii="宋体" w:hAnsi="宋体"/>
      <w:kern w:val="0"/>
      <w:sz w:val="24"/>
    </w:rPr>
  </w:style>
  <w:style w:type="paragraph" w:styleId="22">
    <w:name w:val="Title"/>
    <w:basedOn w:val="1"/>
    <w:next w:val="1"/>
    <w:autoRedefine/>
    <w:qFormat/>
    <w:uiPriority w:val="0"/>
    <w:pPr>
      <w:adjustRightInd w:val="0"/>
      <w:snapToGrid w:val="0"/>
      <w:spacing w:before="120" w:after="60"/>
      <w:jc w:val="center"/>
      <w:outlineLvl w:val="0"/>
    </w:pPr>
    <w:rPr>
      <w:b/>
      <w:bCs/>
      <w:sz w:val="30"/>
      <w:szCs w:val="32"/>
    </w:rPr>
  </w:style>
  <w:style w:type="paragraph" w:styleId="23">
    <w:name w:val="annotation subject"/>
    <w:basedOn w:val="10"/>
    <w:next w:val="10"/>
    <w:autoRedefine/>
    <w:qFormat/>
    <w:uiPriority w:val="0"/>
    <w:rPr>
      <w:b/>
      <w:bCs/>
    </w:rPr>
  </w:style>
  <w:style w:type="paragraph" w:styleId="24">
    <w:name w:val="Body Text First Indent"/>
    <w:basedOn w:val="11"/>
    <w:next w:val="1"/>
    <w:autoRedefine/>
    <w:qFormat/>
    <w:uiPriority w:val="0"/>
    <w:pPr>
      <w:widowControl w:val="0"/>
      <w:snapToGrid/>
      <w:spacing w:after="120"/>
      <w:ind w:firstLine="420" w:firstLineChars="100"/>
    </w:pPr>
    <w:rPr>
      <w:kern w:val="2"/>
      <w:sz w:val="21"/>
      <w:szCs w:val="24"/>
    </w:rPr>
  </w:style>
  <w:style w:type="paragraph" w:styleId="25">
    <w:name w:val="Body Text First Indent 2"/>
    <w:basedOn w:val="12"/>
    <w:autoRedefine/>
    <w:unhideWhenUsed/>
    <w:qFormat/>
    <w:uiPriority w:val="0"/>
    <w:pPr>
      <w:ind w:firstLine="420" w:firstLineChars="200"/>
    </w:pPr>
    <w:rPr>
      <w:szCs w:val="21"/>
    </w:rPr>
  </w:style>
  <w:style w:type="table" w:styleId="27">
    <w:name w:val="Table Grid"/>
    <w:basedOn w:val="26"/>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29">
    <w:name w:val="annotation reference"/>
    <w:basedOn w:val="28"/>
    <w:autoRedefine/>
    <w:qFormat/>
    <w:uiPriority w:val="0"/>
    <w:rPr>
      <w:sz w:val="21"/>
      <w:szCs w:val="21"/>
    </w:rPr>
  </w:style>
  <w:style w:type="character" w:customStyle="1" w:styleId="30">
    <w:name w:val="标题 2 字符"/>
    <w:link w:val="4"/>
    <w:autoRedefine/>
    <w:qFormat/>
    <w:uiPriority w:val="0"/>
    <w:rPr>
      <w:rFonts w:ascii="Times New Roman" w:hAnsi="Times New Roman" w:eastAsia="宋体"/>
      <w:b/>
      <w:sz w:val="24"/>
    </w:rPr>
  </w:style>
  <w:style w:type="paragraph" w:customStyle="1" w:styleId="31">
    <w:name w:val="报告正文"/>
    <w:basedOn w:val="9"/>
    <w:qFormat/>
    <w:uiPriority w:val="0"/>
    <w:pPr>
      <w:spacing w:line="360" w:lineRule="auto"/>
      <w:ind w:firstLine="480" w:firstLineChars="200"/>
    </w:pPr>
    <w:rPr>
      <w:rFonts w:hAnsi="宋体"/>
      <w:kern w:val="2"/>
      <w:szCs w:val="24"/>
    </w:rPr>
  </w:style>
  <w:style w:type="paragraph" w:customStyle="1" w:styleId="32">
    <w:name w:val="Default"/>
    <w:basedOn w:val="33"/>
    <w:next w:val="1"/>
    <w:autoRedefine/>
    <w:qFormat/>
    <w:uiPriority w:val="0"/>
    <w:pPr>
      <w:autoSpaceDE w:val="0"/>
      <w:autoSpaceDN w:val="0"/>
    </w:pPr>
    <w:rPr>
      <w:rFonts w:hAnsi="Times New Roman" w:cs="宋体"/>
      <w:color w:val="000000"/>
      <w:sz w:val="24"/>
      <w:szCs w:val="24"/>
    </w:rPr>
  </w:style>
  <w:style w:type="paragraph" w:customStyle="1" w:styleId="33">
    <w:name w:val="纯文本1"/>
    <w:basedOn w:val="1"/>
    <w:qFormat/>
    <w:uiPriority w:val="0"/>
    <w:pPr>
      <w:adjustRightInd w:val="0"/>
    </w:pPr>
    <w:rPr>
      <w:rFonts w:ascii="宋体" w:hAnsi="Courier New"/>
      <w:szCs w:val="20"/>
    </w:rPr>
  </w:style>
  <w:style w:type="paragraph" w:customStyle="1" w:styleId="34">
    <w:name w:val="表格内"/>
    <w:basedOn w:val="1"/>
    <w:autoRedefine/>
    <w:qFormat/>
    <w:uiPriority w:val="0"/>
    <w:pPr>
      <w:widowControl/>
      <w:adjustRightInd w:val="0"/>
      <w:snapToGrid w:val="0"/>
      <w:spacing w:after="200" w:line="360" w:lineRule="exact"/>
      <w:jc w:val="center"/>
    </w:pPr>
    <w:rPr>
      <w:rFonts w:eastAsia="微软雅黑"/>
      <w:snapToGrid w:val="0"/>
      <w:kern w:val="0"/>
      <w:sz w:val="22"/>
      <w:szCs w:val="21"/>
    </w:rPr>
  </w:style>
  <w:style w:type="paragraph" w:customStyle="1" w:styleId="35">
    <w:name w:val="页眉zou"/>
    <w:basedOn w:val="1"/>
    <w:autoRedefine/>
    <w:qFormat/>
    <w:uiPriority w:val="0"/>
    <w:pPr>
      <w:spacing w:line="440" w:lineRule="exact"/>
      <w:jc w:val="center"/>
    </w:pPr>
    <w:rPr>
      <w:sz w:val="18"/>
      <w:szCs w:val="18"/>
    </w:rPr>
  </w:style>
  <w:style w:type="paragraph" w:customStyle="1" w:styleId="36">
    <w:name w:val="正文zou"/>
    <w:basedOn w:val="1"/>
    <w:link w:val="50"/>
    <w:autoRedefine/>
    <w:qFormat/>
    <w:uiPriority w:val="0"/>
    <w:pPr>
      <w:autoSpaceDE w:val="0"/>
      <w:autoSpaceDN w:val="0"/>
      <w:adjustRightInd w:val="0"/>
      <w:snapToGrid w:val="0"/>
      <w:spacing w:line="440" w:lineRule="exact"/>
      <w:ind w:firstLine="720" w:firstLineChars="200"/>
    </w:pPr>
    <w:rPr>
      <w:rFonts w:hint="eastAsia"/>
      <w:kern w:val="0"/>
      <w:sz w:val="24"/>
    </w:rPr>
  </w:style>
  <w:style w:type="paragraph" w:customStyle="1" w:styleId="37">
    <w:name w:val="表1-表头zou"/>
    <w:basedOn w:val="1"/>
    <w:link w:val="59"/>
    <w:autoRedefine/>
    <w:qFormat/>
    <w:uiPriority w:val="0"/>
    <w:pPr>
      <w:numPr>
        <w:ilvl w:val="0"/>
        <w:numId w:val="6"/>
      </w:numPr>
      <w:autoSpaceDE w:val="0"/>
      <w:autoSpaceDN w:val="0"/>
      <w:adjustRightInd w:val="0"/>
      <w:snapToGrid w:val="0"/>
      <w:spacing w:before="50" w:beforeLines="50"/>
      <w:ind w:left="0" w:firstLine="0"/>
      <w:jc w:val="center"/>
      <w:outlineLvl w:val="1"/>
    </w:pPr>
    <w:rPr>
      <w:rFonts w:hint="eastAsia"/>
      <w:b/>
      <w:kern w:val="0"/>
      <w:szCs w:val="21"/>
    </w:rPr>
  </w:style>
  <w:style w:type="paragraph" w:customStyle="1" w:styleId="38">
    <w:name w:val="表格正文zou"/>
    <w:basedOn w:val="1"/>
    <w:autoRedefine/>
    <w:qFormat/>
    <w:uiPriority w:val="0"/>
    <w:pPr>
      <w:autoSpaceDE w:val="0"/>
      <w:autoSpaceDN w:val="0"/>
      <w:adjustRightInd w:val="0"/>
      <w:snapToGrid w:val="0"/>
      <w:spacing w:line="320" w:lineRule="exact"/>
      <w:jc w:val="center"/>
    </w:pPr>
    <w:rPr>
      <w:rFonts w:hint="eastAsia"/>
      <w:kern w:val="0"/>
      <w:szCs w:val="21"/>
    </w:rPr>
  </w:style>
  <w:style w:type="paragraph" w:customStyle="1" w:styleId="39">
    <w:name w:val="表1-图标zou"/>
    <w:basedOn w:val="1"/>
    <w:autoRedefine/>
    <w:qFormat/>
    <w:uiPriority w:val="0"/>
    <w:pPr>
      <w:numPr>
        <w:ilvl w:val="1"/>
        <w:numId w:val="6"/>
      </w:numPr>
      <w:adjustRightInd w:val="0"/>
      <w:snapToGrid w:val="0"/>
      <w:spacing w:after="50" w:afterLines="50"/>
      <w:ind w:left="0" w:firstLine="0"/>
      <w:jc w:val="center"/>
    </w:pPr>
    <w:rPr>
      <w:rFonts w:hint="eastAsia"/>
      <w:b/>
      <w:kern w:val="0"/>
      <w:szCs w:val="21"/>
    </w:rPr>
  </w:style>
  <w:style w:type="paragraph" w:customStyle="1" w:styleId="40">
    <w:name w:val="图片正文zou"/>
    <w:basedOn w:val="1"/>
    <w:autoRedefine/>
    <w:qFormat/>
    <w:uiPriority w:val="0"/>
    <w:pPr>
      <w:autoSpaceDE w:val="0"/>
      <w:autoSpaceDN w:val="0"/>
      <w:adjustRightInd w:val="0"/>
      <w:snapToGrid w:val="0"/>
      <w:spacing w:before="50" w:beforeLines="50"/>
      <w:jc w:val="center"/>
    </w:pPr>
    <w:rPr>
      <w:rFonts w:hint="eastAsia"/>
      <w:kern w:val="0"/>
      <w:sz w:val="24"/>
    </w:rPr>
  </w:style>
  <w:style w:type="table" w:customStyle="1" w:styleId="41">
    <w:name w:val="样式11"/>
    <w:basedOn w:val="26"/>
    <w:autoRedefine/>
    <w:qFormat/>
    <w:uiPriority w:val="0"/>
    <w:pPr>
      <w:jc w:val="center"/>
    </w:p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42">
    <w:name w:val="Table Grid_0"/>
    <w:basedOn w:val="26"/>
    <w:autoRedefine/>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paragraph" w:customStyle="1" w:styleId="43">
    <w:name w:val="表2-表头zou"/>
    <w:basedOn w:val="1"/>
    <w:autoRedefine/>
    <w:qFormat/>
    <w:uiPriority w:val="0"/>
    <w:pPr>
      <w:numPr>
        <w:ilvl w:val="0"/>
        <w:numId w:val="7"/>
      </w:numPr>
      <w:spacing w:before="50" w:beforeLines="50"/>
      <w:ind w:left="0" w:firstLine="0"/>
      <w:jc w:val="center"/>
    </w:pPr>
    <w:rPr>
      <w:b/>
      <w:szCs w:val="21"/>
    </w:rPr>
  </w:style>
  <w:style w:type="paragraph" w:customStyle="1" w:styleId="44">
    <w:name w:val="表2-图标zou"/>
    <w:basedOn w:val="1"/>
    <w:autoRedefine/>
    <w:qFormat/>
    <w:uiPriority w:val="0"/>
    <w:pPr>
      <w:numPr>
        <w:ilvl w:val="1"/>
        <w:numId w:val="8"/>
      </w:numPr>
      <w:spacing w:after="50" w:afterLines="50"/>
      <w:jc w:val="center"/>
    </w:pPr>
    <w:rPr>
      <w:b/>
      <w:szCs w:val="21"/>
    </w:rPr>
  </w:style>
  <w:style w:type="table" w:customStyle="1" w:styleId="45">
    <w:name w:val="样式1"/>
    <w:basedOn w:val="26"/>
    <w:autoRedefine/>
    <w:qFormat/>
    <w:uiPriority w:val="99"/>
    <w:pPr>
      <w:jc w:val="center"/>
    </w:pPr>
    <w:tblPr>
      <w:tblBorders>
        <w:top w:val="single" w:color="auto" w:sz="12" w:space="0"/>
        <w:bottom w:val="single" w:color="auto" w:sz="12" w:space="0"/>
        <w:insideH w:val="single" w:color="auto" w:sz="4" w:space="0"/>
        <w:insideV w:val="single" w:color="auto" w:sz="4" w:space="0"/>
      </w:tblBorders>
    </w:tblPr>
    <w:tcPr>
      <w:vAlign w:val="center"/>
    </w:tcPr>
    <w:tblStylePr w:type="firstRow">
      <w:rPr>
        <w:rFonts w:eastAsia="黑体"/>
        <w:b w:val="0"/>
        <w:sz w:val="21"/>
      </w:rPr>
    </w:tblStylePr>
  </w:style>
  <w:style w:type="paragraph" w:customStyle="1" w:styleId="46">
    <w:name w:val="表3-图标zou"/>
    <w:basedOn w:val="1"/>
    <w:autoRedefine/>
    <w:qFormat/>
    <w:uiPriority w:val="0"/>
    <w:pPr>
      <w:numPr>
        <w:ilvl w:val="1"/>
        <w:numId w:val="9"/>
      </w:numPr>
      <w:spacing w:after="50" w:afterLines="50"/>
      <w:jc w:val="center"/>
    </w:pPr>
    <w:rPr>
      <w:rFonts w:hint="eastAsia"/>
      <w:b/>
      <w:szCs w:val="21"/>
    </w:rPr>
  </w:style>
  <w:style w:type="paragraph" w:customStyle="1" w:styleId="47">
    <w:name w:val="表3-表头zou"/>
    <w:basedOn w:val="1"/>
    <w:autoRedefine/>
    <w:qFormat/>
    <w:uiPriority w:val="0"/>
    <w:pPr>
      <w:numPr>
        <w:ilvl w:val="0"/>
        <w:numId w:val="9"/>
      </w:numPr>
      <w:spacing w:before="50" w:beforeLines="50"/>
      <w:ind w:left="0" w:firstLine="0"/>
      <w:jc w:val="center"/>
    </w:pPr>
    <w:rPr>
      <w:b/>
      <w:szCs w:val="21"/>
    </w:rPr>
  </w:style>
  <w:style w:type="paragraph" w:customStyle="1" w:styleId="48">
    <w:name w:val="表4-表头zou"/>
    <w:basedOn w:val="1"/>
    <w:autoRedefine/>
    <w:qFormat/>
    <w:uiPriority w:val="0"/>
    <w:pPr>
      <w:numPr>
        <w:ilvl w:val="0"/>
        <w:numId w:val="10"/>
      </w:numPr>
      <w:spacing w:before="50" w:beforeLines="50"/>
      <w:jc w:val="center"/>
    </w:pPr>
    <w:rPr>
      <w:b/>
      <w:szCs w:val="21"/>
    </w:rPr>
  </w:style>
  <w:style w:type="paragraph" w:customStyle="1" w:styleId="49">
    <w:name w:val="表4-图标zou"/>
    <w:basedOn w:val="1"/>
    <w:autoRedefine/>
    <w:qFormat/>
    <w:uiPriority w:val="0"/>
    <w:pPr>
      <w:numPr>
        <w:ilvl w:val="1"/>
        <w:numId w:val="10"/>
      </w:numPr>
      <w:spacing w:after="50" w:afterLines="50"/>
      <w:jc w:val="center"/>
    </w:pPr>
    <w:rPr>
      <w:rFonts w:hint="eastAsia"/>
      <w:b/>
      <w:szCs w:val="21"/>
    </w:rPr>
  </w:style>
  <w:style w:type="character" w:customStyle="1" w:styleId="50">
    <w:name w:val="正文zou Char"/>
    <w:link w:val="36"/>
    <w:autoRedefine/>
    <w:qFormat/>
    <w:uiPriority w:val="0"/>
    <w:rPr>
      <w:rFonts w:hint="eastAsia" w:ascii="Times New Roman" w:hAnsi="Times New Roman" w:eastAsia="宋体"/>
      <w:color w:val="auto"/>
      <w:kern w:val="0"/>
      <w:sz w:val="24"/>
    </w:rPr>
  </w:style>
  <w:style w:type="table" w:customStyle="1" w:styleId="51">
    <w:name w:val="Table Normal"/>
    <w:autoRedefine/>
    <w:semiHidden/>
    <w:unhideWhenUsed/>
    <w:qFormat/>
    <w:uiPriority w:val="0"/>
    <w:tblPr>
      <w:tblCellMar>
        <w:top w:w="0" w:type="dxa"/>
        <w:left w:w="0" w:type="dxa"/>
        <w:bottom w:w="0" w:type="dxa"/>
        <w:right w:w="0" w:type="dxa"/>
      </w:tblCellMar>
    </w:tblPr>
  </w:style>
  <w:style w:type="character" w:customStyle="1" w:styleId="52">
    <w:name w:val="正文文本缩进 2 字符"/>
    <w:basedOn w:val="28"/>
    <w:link w:val="2"/>
    <w:autoRedefine/>
    <w:qFormat/>
    <w:uiPriority w:val="0"/>
    <w:rPr>
      <w:kern w:val="2"/>
      <w:sz w:val="21"/>
      <w:szCs w:val="24"/>
    </w:rPr>
  </w:style>
  <w:style w:type="character" w:customStyle="1" w:styleId="53">
    <w:name w:val="标题 1 字符"/>
    <w:basedOn w:val="28"/>
    <w:link w:val="3"/>
    <w:autoRedefine/>
    <w:qFormat/>
    <w:uiPriority w:val="0"/>
    <w:rPr>
      <w:rFonts w:hint="eastAsia" w:ascii="黑体" w:hAnsi="宋体" w:eastAsia="黑体" w:cs="黑体"/>
      <w:b/>
      <w:bCs/>
      <w:color w:val="000000"/>
      <w:kern w:val="44"/>
      <w:sz w:val="30"/>
      <w:szCs w:val="30"/>
    </w:rPr>
  </w:style>
  <w:style w:type="paragraph" w:customStyle="1" w:styleId="54">
    <w:name w:val="表头"/>
    <w:basedOn w:val="1"/>
    <w:autoRedefine/>
    <w:qFormat/>
    <w:uiPriority w:val="0"/>
    <w:pPr>
      <w:numPr>
        <w:ilvl w:val="0"/>
        <w:numId w:val="11"/>
      </w:numPr>
      <w:spacing w:before="50" w:beforeLines="50"/>
      <w:jc w:val="center"/>
    </w:pPr>
    <w:rPr>
      <w:b/>
      <w:color w:val="000000" w:themeColor="text1"/>
      <w:szCs w:val="21"/>
      <w14:textFill>
        <w14:solidFill>
          <w14:schemeClr w14:val="tx1"/>
        </w14:solidFill>
      </w14:textFill>
    </w:rPr>
  </w:style>
  <w:style w:type="paragraph" w:customStyle="1" w:styleId="55">
    <w:name w:val="表格正文-报告表zou"/>
    <w:basedOn w:val="1"/>
    <w:next w:val="1"/>
    <w:autoRedefine/>
    <w:qFormat/>
    <w:uiPriority w:val="0"/>
    <w:pPr>
      <w:autoSpaceDE w:val="0"/>
      <w:adjustRightInd w:val="0"/>
      <w:snapToGrid w:val="0"/>
      <w:spacing w:line="320" w:lineRule="exact"/>
      <w:jc w:val="center"/>
    </w:pPr>
    <w:rPr>
      <w:rFonts w:hint="eastAsia"/>
      <w:kern w:val="0"/>
      <w:szCs w:val="21"/>
    </w:rPr>
  </w:style>
  <w:style w:type="paragraph" w:customStyle="1" w:styleId="56">
    <w:name w:val="正文-报告表zou"/>
    <w:basedOn w:val="1"/>
    <w:autoRedefine/>
    <w:qFormat/>
    <w:uiPriority w:val="0"/>
    <w:pPr>
      <w:spacing w:line="440" w:lineRule="exact"/>
      <w:ind w:firstLine="480" w:firstLineChars="200"/>
    </w:pPr>
    <w:rPr>
      <w:rFonts w:hint="eastAsia"/>
    </w:rPr>
  </w:style>
  <w:style w:type="paragraph" w:customStyle="1" w:styleId="57">
    <w:name w:val="Normal_0"/>
    <w:autoRedefine/>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58">
    <w:name w:val="A表格"/>
    <w:basedOn w:val="1"/>
    <w:autoRedefine/>
    <w:qFormat/>
    <w:uiPriority w:val="0"/>
    <w:pPr>
      <w:jc w:val="center"/>
    </w:pPr>
    <w:rPr>
      <w:color w:val="000000"/>
      <w:szCs w:val="21"/>
      <w:lang w:val="zh-CN"/>
    </w:rPr>
  </w:style>
  <w:style w:type="character" w:customStyle="1" w:styleId="59">
    <w:name w:val="表1-表头zou Char"/>
    <w:link w:val="37"/>
    <w:autoRedefine/>
    <w:qFormat/>
    <w:uiPriority w:val="0"/>
    <w:rPr>
      <w:rFonts w:hint="eastAsia" w:ascii="Times New Roman" w:hAnsi="Times New Roman" w:eastAsia="宋体"/>
      <w:b/>
      <w:color w:val="auto"/>
      <w:kern w:val="0"/>
      <w:szCs w:val="21"/>
    </w:rPr>
  </w:style>
  <w:style w:type="paragraph" w:styleId="60">
    <w:name w:val="List Paragraph"/>
    <w:basedOn w:val="1"/>
    <w:autoRedefine/>
    <w:qFormat/>
    <w:uiPriority w:val="34"/>
    <w:pPr>
      <w:spacing w:line="360" w:lineRule="auto"/>
      <w:ind w:firstLine="420" w:firstLineChars="200"/>
    </w:pPr>
    <w:rPr>
      <w:rFonts w:ascii="Calibri" w:hAnsi="Calibri"/>
      <w:sz w:val="24"/>
      <w:szCs w:val="22"/>
    </w:rPr>
  </w:style>
  <w:style w:type="paragraph" w:customStyle="1" w:styleId="61">
    <w:name w:val="图表标题"/>
    <w:basedOn w:val="62"/>
    <w:next w:val="1"/>
    <w:autoRedefine/>
    <w:qFormat/>
    <w:uiPriority w:val="0"/>
    <w:pPr>
      <w:spacing w:beforeLines="0" w:afterLines="0" w:line="240" w:lineRule="auto"/>
    </w:pPr>
    <w:rPr>
      <w:rFonts w:ascii="Times New Roman"/>
      <w:b/>
    </w:rPr>
  </w:style>
  <w:style w:type="paragraph" w:customStyle="1" w:styleId="62">
    <w:name w:val="表格"/>
    <w:basedOn w:val="63"/>
    <w:autoRedefine/>
    <w:qFormat/>
    <w:uiPriority w:val="0"/>
    <w:pPr>
      <w:snapToGrid w:val="0"/>
      <w:spacing w:beforeLines="10" w:afterLines="10" w:line="259" w:lineRule="auto"/>
    </w:pPr>
    <w:rPr>
      <w:rFonts w:ascii="宋体"/>
      <w:szCs w:val="22"/>
    </w:rPr>
  </w:style>
  <w:style w:type="paragraph" w:customStyle="1" w:styleId="63">
    <w:name w:val="表格内容数据报告"/>
    <w:basedOn w:val="1"/>
    <w:autoRedefine/>
    <w:qFormat/>
    <w:uiPriority w:val="0"/>
    <w:pPr>
      <w:jc w:val="center"/>
      <w:textAlignment w:val="baseline"/>
    </w:pPr>
    <w:rPr>
      <w:rFonts w:ascii="Calibri" w:hAnsi="Calibri" w:cs="黑体"/>
      <w:kern w:val="0"/>
      <w:sz w:val="18"/>
      <w:szCs w:val="20"/>
    </w:rPr>
  </w:style>
  <w:style w:type="paragraph" w:customStyle="1" w:styleId="64">
    <w:name w:val="A正文"/>
    <w:basedOn w:val="1"/>
    <w:autoRedefine/>
    <w:qFormat/>
    <w:uiPriority w:val="0"/>
    <w:pPr>
      <w:adjustRightInd w:val="0"/>
      <w:snapToGrid w:val="0"/>
      <w:spacing w:line="360" w:lineRule="auto"/>
      <w:ind w:firstLine="480" w:firstLineChars="200"/>
    </w:pPr>
    <w:rPr>
      <w:sz w:val="24"/>
    </w:rPr>
  </w:style>
  <w:style w:type="paragraph" w:customStyle="1" w:styleId="65">
    <w:name w:val="W正文"/>
    <w:basedOn w:val="1"/>
    <w:autoRedefine/>
    <w:qFormat/>
    <w:uiPriority w:val="0"/>
    <w:pPr>
      <w:adjustRightInd w:val="0"/>
      <w:snapToGrid w:val="0"/>
      <w:spacing w:line="360" w:lineRule="auto"/>
      <w:ind w:firstLine="200" w:firstLineChars="200"/>
    </w:pPr>
    <w:rPr>
      <w:kern w:val="0"/>
      <w:sz w:val="24"/>
      <w:szCs w:val="20"/>
    </w:rPr>
  </w:style>
  <w:style w:type="paragraph" w:customStyle="1" w:styleId="66">
    <w:name w:val="表标题名"/>
    <w:basedOn w:val="67"/>
    <w:autoRedefine/>
    <w:qFormat/>
    <w:uiPriority w:val="0"/>
    <w:pPr>
      <w:numPr>
        <w:ilvl w:val="5"/>
        <w:numId w:val="12"/>
      </w:numPr>
      <w:tabs>
        <w:tab w:val="left" w:pos="1350"/>
      </w:tabs>
    </w:pPr>
  </w:style>
  <w:style w:type="paragraph" w:customStyle="1" w:styleId="67">
    <w:name w:val="表名"/>
    <w:basedOn w:val="68"/>
    <w:autoRedefine/>
    <w:qFormat/>
    <w:uiPriority w:val="0"/>
    <w:pPr>
      <w:tabs>
        <w:tab w:val="left" w:pos="1350"/>
      </w:tabs>
      <w:autoSpaceDE w:val="0"/>
      <w:autoSpaceDN w:val="0"/>
      <w:spacing w:line="320" w:lineRule="exact"/>
    </w:pPr>
    <w:rPr>
      <w:b/>
      <w:shd w:val="clear" w:color="auto" w:fill="FFFFFF"/>
    </w:rPr>
  </w:style>
  <w:style w:type="paragraph" w:customStyle="1" w:styleId="68">
    <w:name w:val="表、图名"/>
    <w:basedOn w:val="1"/>
    <w:autoRedefine/>
    <w:qFormat/>
    <w:uiPriority w:val="0"/>
    <w:pPr>
      <w:adjustRightInd w:val="0"/>
      <w:snapToGrid w:val="0"/>
      <w:ind w:left="-6"/>
      <w:jc w:val="center"/>
    </w:pPr>
    <w:rPr>
      <w:rFonts w:ascii="黑体" w:hAnsi="宋体" w:eastAsia="黑体"/>
      <w:color w:val="000000"/>
      <w:szCs w:val="28"/>
    </w:rPr>
  </w:style>
  <w:style w:type="paragraph" w:customStyle="1" w:styleId="69">
    <w:name w:val="妇幼正文"/>
    <w:basedOn w:val="1"/>
    <w:autoRedefine/>
    <w:qFormat/>
    <w:uiPriority w:val="0"/>
    <w:pPr>
      <w:adjustRightInd w:val="0"/>
      <w:spacing w:line="360" w:lineRule="auto"/>
      <w:ind w:firstLine="480" w:firstLineChars="200"/>
    </w:pPr>
    <w:rPr>
      <w:color w:val="000000"/>
      <w:sz w:val="24"/>
    </w:rPr>
  </w:style>
  <w:style w:type="paragraph" w:customStyle="1" w:styleId="70">
    <w:name w:val="表内字"/>
    <w:basedOn w:val="1"/>
    <w:next w:val="1"/>
    <w:autoRedefine/>
    <w:qFormat/>
    <w:uiPriority w:val="0"/>
    <w:pPr>
      <w:widowControl/>
      <w:jc w:val="center"/>
      <w:textAlignment w:val="center"/>
    </w:pPr>
    <w:rPr>
      <w:b/>
      <w:color w:val="000000"/>
      <w:kern w:val="0"/>
      <w:szCs w:val="20"/>
    </w:rPr>
  </w:style>
  <w:style w:type="paragraph" w:customStyle="1" w:styleId="71">
    <w:name w:val="图段落"/>
    <w:basedOn w:val="65"/>
    <w:autoRedefine/>
    <w:qFormat/>
    <w:uiPriority w:val="0"/>
    <w:pPr>
      <w:spacing w:beforeLines="50" w:afterLines="30" w:line="240" w:lineRule="auto"/>
      <w:ind w:firstLine="0" w:firstLineChars="0"/>
      <w:jc w:val="center"/>
    </w:pPr>
  </w:style>
  <w:style w:type="paragraph" w:customStyle="1" w:styleId="72">
    <w:name w:val="表4"/>
    <w:basedOn w:val="1"/>
    <w:autoRedefine/>
    <w:qFormat/>
    <w:uiPriority w:val="0"/>
    <w:pPr>
      <w:numPr>
        <w:ilvl w:val="8"/>
        <w:numId w:val="13"/>
      </w:numPr>
      <w:spacing w:before="50" w:beforeLines="50"/>
      <w:jc w:val="center"/>
    </w:pPr>
    <w:rPr>
      <w:b/>
    </w:rPr>
  </w:style>
  <w:style w:type="paragraph" w:customStyle="1" w:styleId="73">
    <w:name w:val="正文 首行缩进:  2 字符"/>
    <w:basedOn w:val="1"/>
    <w:autoRedefine/>
    <w:qFormat/>
    <w:uiPriority w:val="0"/>
    <w:pPr>
      <w:spacing w:line="480" w:lineRule="exact"/>
      <w:ind w:firstLine="579" w:firstLineChars="200"/>
    </w:pPr>
    <w:rPr>
      <w:rFonts w:cs="宋体"/>
      <w:sz w:val="24"/>
      <w:szCs w:val="20"/>
    </w:rPr>
  </w:style>
  <w:style w:type="paragraph" w:styleId="74">
    <w:name w:val="No Spacing"/>
    <w:next w:val="1"/>
    <w:autoRedefine/>
    <w:qFormat/>
    <w:uiPriority w:val="1"/>
    <w:rPr>
      <w:rFonts w:ascii="Calibri" w:hAnsi="Calibri" w:eastAsia="宋体" w:cs="Times New Roman"/>
      <w:sz w:val="22"/>
      <w:szCs w:val="22"/>
      <w:lang w:val="en-US" w:eastAsia="zh-CN" w:bidi="ar-SA"/>
    </w:rPr>
  </w:style>
  <w:style w:type="paragraph" w:customStyle="1" w:styleId="75">
    <w:name w:val="报告表正文"/>
    <w:basedOn w:val="1"/>
    <w:autoRedefine/>
    <w:qFormat/>
    <w:uiPriority w:val="0"/>
    <w:pPr>
      <w:adjustRightInd w:val="0"/>
      <w:spacing w:line="312" w:lineRule="auto"/>
      <w:ind w:left="113" w:right="113" w:firstLine="482"/>
      <w:jc w:val="left"/>
      <w:textAlignment w:val="baseline"/>
    </w:pPr>
    <w:rPr>
      <w:kern w:val="0"/>
      <w:sz w:val="24"/>
      <w:szCs w:val="20"/>
    </w:rPr>
  </w:style>
  <w:style w:type="paragraph" w:customStyle="1" w:styleId="76">
    <w:name w:val="正文内容"/>
    <w:basedOn w:val="1"/>
    <w:autoRedefine/>
    <w:qFormat/>
    <w:uiPriority w:val="0"/>
    <w:pPr>
      <w:autoSpaceDE w:val="0"/>
      <w:autoSpaceDN w:val="0"/>
      <w:ind w:firstLine="200"/>
      <w:textAlignment w:val="baseline"/>
    </w:pPr>
    <w:rPr>
      <w:rFonts w:ascii="宋体" w:hAnsi="宋体"/>
      <w:color w:val="000000"/>
      <w:sz w:val="28"/>
      <w:lang w:val="zh-CN"/>
    </w:rPr>
  </w:style>
  <w:style w:type="paragraph" w:customStyle="1" w:styleId="77">
    <w:name w:val="Table Paragraph"/>
    <w:basedOn w:val="1"/>
    <w:autoRedefine/>
    <w:qFormat/>
    <w:uiPriority w:val="1"/>
    <w:rPr>
      <w:rFonts w:ascii="宋体" w:hAnsi="宋体" w:cs="宋体"/>
      <w:lang w:val="zh-CN" w:bidi="zh-CN"/>
    </w:rPr>
  </w:style>
  <w:style w:type="paragraph" w:customStyle="1" w:styleId="78">
    <w:name w:val="正文-龙池"/>
    <w:basedOn w:val="1"/>
    <w:autoRedefine/>
    <w:qFormat/>
    <w:uiPriority w:val="0"/>
    <w:pPr>
      <w:autoSpaceDE w:val="0"/>
      <w:autoSpaceDN w:val="0"/>
      <w:adjustRightInd w:val="0"/>
      <w:spacing w:line="360" w:lineRule="auto"/>
      <w:ind w:firstLine="480" w:firstLineChars="200"/>
      <w:contextualSpacing/>
    </w:pPr>
    <w:rPr>
      <w:kern w:val="0"/>
      <w:sz w:val="24"/>
    </w:rPr>
  </w:style>
  <w:style w:type="paragraph" w:customStyle="1" w:styleId="79">
    <w:name w:val="二级无标题条"/>
    <w:basedOn w:val="1"/>
    <w:autoRedefine/>
    <w:qFormat/>
    <w:uiPriority w:val="0"/>
    <w:rPr>
      <w:rFonts w:ascii="Calibri" w:hAnsi="Calibri"/>
    </w:rPr>
  </w:style>
  <w:style w:type="paragraph" w:customStyle="1" w:styleId="80">
    <w:name w:val="表格填充1"/>
    <w:basedOn w:val="1"/>
    <w:autoRedefine/>
    <w:qFormat/>
    <w:uiPriority w:val="0"/>
    <w:pPr>
      <w:jc w:val="center"/>
    </w:pPr>
    <w:rPr>
      <w:snapToGrid w:val="0"/>
      <w:sz w:val="30"/>
      <w:szCs w:val="18"/>
    </w:rPr>
  </w:style>
  <w:style w:type="paragraph" w:customStyle="1" w:styleId="81">
    <w:name w:val="【正文】"/>
    <w:basedOn w:val="1"/>
    <w:autoRedefine/>
    <w:qFormat/>
    <w:uiPriority w:val="0"/>
    <w:pPr>
      <w:adjustRightInd w:val="0"/>
      <w:snapToGrid w:val="0"/>
      <w:spacing w:line="360" w:lineRule="auto"/>
      <w:ind w:firstLine="200" w:firstLineChars="200"/>
    </w:pPr>
    <w:rPr>
      <w:sz w:val="24"/>
      <w:szCs w:val="20"/>
    </w:rPr>
  </w:style>
  <w:style w:type="paragraph" w:customStyle="1" w:styleId="82">
    <w:name w:val="文本文字"/>
    <w:basedOn w:val="1"/>
    <w:autoRedefine/>
    <w:qFormat/>
    <w:uiPriority w:val="0"/>
    <w:pPr>
      <w:ind w:firstLine="200" w:firstLineChars="200"/>
    </w:pPr>
    <w:rPr>
      <w:color w:val="000000"/>
      <w:sz w:val="24"/>
      <w:szCs w:val="22"/>
    </w:rPr>
  </w:style>
  <w:style w:type="character" w:customStyle="1" w:styleId="83">
    <w:name w:val="正文文本 字符"/>
    <w:basedOn w:val="28"/>
    <w:link w:val="11"/>
    <w:autoRedefine/>
    <w:qFormat/>
    <w:uiPriority w:val="0"/>
    <w:rPr>
      <w:kern w:val="2"/>
      <w:sz w:val="21"/>
      <w:szCs w:val="24"/>
    </w:rPr>
  </w:style>
  <w:style w:type="paragraph" w:customStyle="1" w:styleId="84">
    <w:name w:val="样式 小四 首行缩进:  0.85 厘米 行距: 固定值 22 磅"/>
    <w:basedOn w:val="1"/>
    <w:autoRedefine/>
    <w:qFormat/>
    <w:uiPriority w:val="0"/>
    <w:pPr>
      <w:spacing w:line="440" w:lineRule="exact"/>
      <w:ind w:firstLine="480"/>
    </w:pPr>
    <w:rPr>
      <w:sz w:val="24"/>
    </w:rPr>
  </w:style>
  <w:style w:type="paragraph" w:customStyle="1" w:styleId="85">
    <w:name w:val="图名"/>
    <w:basedOn w:val="1"/>
    <w:autoRedefine/>
    <w:qFormat/>
    <w:uiPriority w:val="0"/>
    <w:pPr>
      <w:numPr>
        <w:ilvl w:val="6"/>
        <w:numId w:val="12"/>
      </w:numPr>
      <w:spacing w:after="50" w:afterLines="50" w:line="320" w:lineRule="atLeast"/>
      <w:jc w:val="center"/>
    </w:pPr>
    <w:rPr>
      <w:b/>
      <w:szCs w:val="20"/>
    </w:rPr>
  </w:style>
  <w:style w:type="character" w:customStyle="1" w:styleId="86">
    <w:name w:val="A正文 字符"/>
    <w:basedOn w:val="28"/>
    <w:autoRedefine/>
    <w:qFormat/>
    <w:uiPriority w:val="0"/>
    <w:rPr>
      <w:kern w:val="2"/>
      <w:sz w:val="24"/>
      <w:szCs w:val="24"/>
    </w:rPr>
  </w:style>
  <w:style w:type="paragraph" w:customStyle="1" w:styleId="87">
    <w:name w:val="a二合一表格"/>
    <w:basedOn w:val="1"/>
    <w:qFormat/>
    <w:uiPriority w:val="0"/>
    <w:pPr>
      <w:adjustRightInd w:val="0"/>
      <w:snapToGrid w:val="0"/>
      <w:jc w:val="center"/>
    </w:pPr>
    <w:rPr>
      <w:rFonts w:eastAsia="仿宋" w:hAnsiTheme="minorHAnsi" w:cstheme="minorBidi"/>
      <w:kern w:val="0"/>
    </w:rPr>
  </w:style>
  <w:style w:type="paragraph" w:customStyle="1" w:styleId="88">
    <w:name w:val="A表标题"/>
    <w:basedOn w:val="1"/>
    <w:qFormat/>
    <w:uiPriority w:val="0"/>
    <w:pPr>
      <w:keepNext/>
      <w:keepLines/>
      <w:widowControl/>
      <w:numPr>
        <w:ilvl w:val="4"/>
        <w:numId w:val="14"/>
      </w:numPr>
      <w:tabs>
        <w:tab w:val="left" w:pos="420"/>
        <w:tab w:val="clear" w:pos="0"/>
      </w:tabs>
      <w:adjustRightInd w:val="0"/>
      <w:snapToGrid w:val="0"/>
      <w:spacing w:before="50" w:beforeLines="50" w:line="320" w:lineRule="exact"/>
      <w:jc w:val="center"/>
      <w:textAlignment w:val="center"/>
      <w:outlineLvl w:val="3"/>
    </w:pPr>
    <w:rPr>
      <w:b/>
      <w:bCs/>
      <w:szCs w:val="18"/>
    </w:rPr>
  </w:style>
  <w:style w:type="paragraph" w:customStyle="1" w:styleId="89">
    <w:name w:val="表格文本"/>
    <w:autoRedefine/>
    <w:qFormat/>
    <w:uiPriority w:val="0"/>
    <w:pPr>
      <w:spacing w:line="320" w:lineRule="exact"/>
      <w:jc w:val="center"/>
    </w:pPr>
    <w:rPr>
      <w:rFonts w:ascii="Times New Roman" w:hAnsi="Times New Roman" w:eastAsia="宋体" w:cs="Times New Roman"/>
      <w:sz w:val="21"/>
      <w:szCs w:val="21"/>
      <w:lang w:val="en-US" w:eastAsia="zh-CN" w:bidi="ar-SA"/>
    </w:rPr>
  </w:style>
  <w:style w:type="paragraph" w:customStyle="1" w:styleId="90">
    <w:name w:val="0正文"/>
    <w:basedOn w:val="1"/>
    <w:qFormat/>
    <w:uiPriority w:val="0"/>
    <w:pPr>
      <w:spacing w:line="360" w:lineRule="auto"/>
      <w:ind w:firstLine="480" w:firstLineChars="200"/>
    </w:pPr>
    <w:rPr>
      <w:sz w:val="24"/>
    </w:rPr>
  </w:style>
  <w:style w:type="paragraph" w:customStyle="1" w:styleId="91">
    <w:name w:val="表格标题"/>
    <w:basedOn w:val="1"/>
    <w:qFormat/>
    <w:uiPriority w:val="0"/>
    <w:pPr>
      <w:tabs>
        <w:tab w:val="left" w:pos="3960"/>
      </w:tabs>
      <w:wordWrap w:val="0"/>
      <w:adjustRightInd w:val="0"/>
      <w:snapToGrid w:val="0"/>
      <w:spacing w:line="360" w:lineRule="auto"/>
      <w:jc w:val="center"/>
    </w:pPr>
    <w:rPr>
      <w:rFonts w:ascii="宋体" w:hAnsi="宋体" w:cs="Courier New"/>
      <w:color w:val="000000"/>
      <w:sz w:val="28"/>
      <w:szCs w:val="28"/>
    </w:rPr>
  </w:style>
  <w:style w:type="paragraph" w:customStyle="1" w:styleId="92">
    <w:name w:val="表2"/>
    <w:basedOn w:val="1"/>
    <w:autoRedefine/>
    <w:qFormat/>
    <w:uiPriority w:val="0"/>
    <w:pPr>
      <w:numPr>
        <w:ilvl w:val="6"/>
        <w:numId w:val="13"/>
      </w:numPr>
      <w:spacing w:before="50" w:beforeLines="50"/>
      <w:jc w:val="center"/>
    </w:pPr>
    <w:rPr>
      <w:b/>
    </w:rPr>
  </w:style>
  <w:style w:type="paragraph" w:customStyle="1" w:styleId="93">
    <w:name w:val="表格内容"/>
    <w:qFormat/>
    <w:uiPriority w:val="0"/>
    <w:pPr>
      <w:widowControl w:val="0"/>
      <w:spacing w:beforeLines="25" w:afterLines="25"/>
      <w:jc w:val="center"/>
    </w:pPr>
    <w:rPr>
      <w:rFonts w:ascii="Times New Roman" w:hAnsi="宋体" w:eastAsia="宋体" w:cs="Times New Roman"/>
      <w:color w:val="000000"/>
      <w:sz w:val="21"/>
      <w:szCs w:val="21"/>
      <w:lang w:val="en-US" w:eastAsia="zh-CN" w:bidi="ar-SA"/>
    </w:rPr>
  </w:style>
  <w:style w:type="paragraph" w:customStyle="1" w:styleId="94">
    <w:name w:val="样式 正文缩进 + Times New Roman"/>
    <w:basedOn w:val="9"/>
    <w:qFormat/>
    <w:uiPriority w:val="0"/>
    <w:pPr>
      <w:adjustRightInd w:val="0"/>
      <w:snapToGrid w:val="0"/>
      <w:ind w:firstLine="560"/>
    </w:pPr>
    <w:rPr>
      <w:rFonts w:ascii="宋体" w:hAnsi="宋体" w:cs="Arial"/>
      <w:szCs w:val="28"/>
    </w:rPr>
  </w:style>
  <w:style w:type="paragraph" w:customStyle="1" w:styleId="95">
    <w:name w:val="A表格内容"/>
    <w:basedOn w:val="1"/>
    <w:next w:val="1"/>
    <w:qFormat/>
    <w:uiPriority w:val="0"/>
    <w:pPr>
      <w:widowControl/>
      <w:adjustRightInd w:val="0"/>
      <w:snapToGrid w:val="0"/>
      <w:spacing w:line="320" w:lineRule="exact"/>
      <w:jc w:val="center"/>
      <w:textAlignment w:val="center"/>
      <w:outlineLvl w:val="3"/>
    </w:pPr>
    <w:rPr>
      <w:bCs/>
      <w:szCs w:val="21"/>
    </w:rPr>
  </w:style>
  <w:style w:type="paragraph" w:customStyle="1" w:styleId="96">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character" w:customStyle="1" w:styleId="97">
    <w:name w:val="font11"/>
    <w:basedOn w:val="28"/>
    <w:qFormat/>
    <w:uiPriority w:val="0"/>
    <w:rPr>
      <w:rFonts w:hint="default" w:ascii="Times New Roman" w:hAnsi="Times New Roman" w:cs="Times New Roman"/>
      <w:color w:val="000000"/>
      <w:sz w:val="21"/>
      <w:szCs w:val="21"/>
      <w:u w:val="none"/>
    </w:rPr>
  </w:style>
  <w:style w:type="character" w:customStyle="1" w:styleId="98">
    <w:name w:val="font31"/>
    <w:basedOn w:val="28"/>
    <w:qFormat/>
    <w:uiPriority w:val="0"/>
    <w:rPr>
      <w:rFonts w:hint="default" w:ascii="Times New Roman" w:hAnsi="Times New Roman" w:cs="Times New Roman"/>
      <w:color w:val="000000"/>
      <w:sz w:val="22"/>
      <w:szCs w:val="22"/>
      <w:u w:val="none"/>
    </w:rPr>
  </w:style>
  <w:style w:type="character" w:customStyle="1" w:styleId="99">
    <w:name w:val="font21"/>
    <w:basedOn w:val="28"/>
    <w:qFormat/>
    <w:uiPriority w:val="0"/>
    <w:rPr>
      <w:rFonts w:hint="eastAsia" w:ascii="宋体" w:hAnsi="宋体" w:eastAsia="宋体" w:cs="宋体"/>
      <w:color w:val="000000"/>
      <w:sz w:val="21"/>
      <w:szCs w:val="21"/>
      <w:u w:val="none"/>
    </w:rPr>
  </w:style>
  <w:style w:type="character" w:customStyle="1" w:styleId="100">
    <w:name w:val="font61"/>
    <w:basedOn w:val="28"/>
    <w:qFormat/>
    <w:uiPriority w:val="0"/>
    <w:rPr>
      <w:rFonts w:hint="default" w:ascii="Times New Roman" w:hAnsi="Times New Roman" w:cs="Times New Roman"/>
      <w:color w:val="000000"/>
      <w:sz w:val="22"/>
      <w:szCs w:val="22"/>
      <w:u w:val="none"/>
    </w:rPr>
  </w:style>
  <w:style w:type="paragraph" w:customStyle="1" w:styleId="101">
    <w:name w:val="生态专章"/>
    <w:basedOn w:val="1"/>
    <w:qFormat/>
    <w:uiPriority w:val="0"/>
    <w:pPr>
      <w:spacing w:line="360" w:lineRule="auto"/>
      <w:ind w:firstLine="1044" w:firstLineChars="200"/>
    </w:pPr>
    <w:rPr>
      <w:color w:val="FF0000"/>
      <w:sz w:val="24"/>
    </w:rPr>
  </w:style>
  <w:style w:type="paragraph" w:customStyle="1" w:styleId="102">
    <w:name w:val="表格文字"/>
    <w:basedOn w:val="1"/>
    <w:qFormat/>
    <w:uiPriority w:val="0"/>
    <w:pPr>
      <w:jc w:val="center"/>
    </w:pPr>
    <w:rPr>
      <w:rFonts w:hint="eastAsia"/>
      <w:szCs w:val="21"/>
    </w:rPr>
  </w:style>
  <w:style w:type="paragraph" w:customStyle="1" w:styleId="103">
    <w:name w:val="表文_E"/>
    <w:basedOn w:val="104"/>
    <w:qFormat/>
    <w:uiPriority w:val="0"/>
    <w:pPr>
      <w:spacing w:line="276" w:lineRule="auto"/>
    </w:pPr>
    <w:rPr>
      <w:sz w:val="18"/>
    </w:rPr>
  </w:style>
  <w:style w:type="paragraph" w:customStyle="1" w:styleId="104">
    <w:name w:val="表格e"/>
    <w:basedOn w:val="1"/>
    <w:qFormat/>
    <w:uiPriority w:val="0"/>
    <w:pPr>
      <w:suppressAutoHyphens/>
      <w:jc w:val="center"/>
      <w:textAlignment w:val="baseline"/>
    </w:pPr>
    <w:rPr>
      <w:kern w:val="0"/>
      <w:szCs w:val="20"/>
    </w:rPr>
  </w:style>
  <w:style w:type="table" w:customStyle="1" w:styleId="105">
    <w:name w:val="*青龙标准样式9"/>
    <w:basedOn w:val="26"/>
    <w:qFormat/>
    <w:uiPriority w:val="0"/>
    <w:pPr>
      <w:spacing w:line="0" w:lineRule="atLeast"/>
    </w:pPr>
    <w:tblPr>
      <w:tblBorders>
        <w:top w:val="single" w:color="auto" w:sz="12" w:space="0"/>
        <w:bottom w:val="single" w:color="auto" w:sz="12" w:space="0"/>
        <w:insideH w:val="single" w:color="auto" w:sz="4" w:space="0"/>
        <w:insideV w:val="single" w:color="auto" w:sz="4" w:space="0"/>
      </w:tblBorders>
      <w:tblCellMar>
        <w:left w:w="0" w:type="dxa"/>
        <w:right w:w="0" w:type="dxa"/>
      </w:tblCellMar>
    </w:tblPr>
    <w:tcPr>
      <w:vAlign w:val="center"/>
    </w:tcPr>
  </w:style>
  <w:style w:type="table" w:customStyle="1" w:styleId="106">
    <w:name w:val="9E_tab"/>
    <w:basedOn w:val="26"/>
    <w:qFormat/>
    <w:uiPriority w:val="0"/>
    <w:pPr>
      <w:spacing w:line="0" w:lineRule="atLeast"/>
    </w:pPr>
    <w:tblPr>
      <w:jc w:val="center"/>
      <w:tblBorders>
        <w:top w:val="single" w:color="auto" w:sz="12" w:space="0"/>
        <w:bottom w:val="single" w:color="auto" w:sz="12" w:space="0"/>
        <w:insideH w:val="single" w:color="auto" w:sz="4" w:space="0"/>
        <w:insideV w:val="single" w:color="auto" w:sz="4" w:space="0"/>
      </w:tblBorders>
      <w:tblCellMar>
        <w:left w:w="0" w:type="dxa"/>
        <w:right w:w="0" w:type="dxa"/>
      </w:tblCellMar>
    </w:tblPr>
    <w:trPr>
      <w:cantSplit/>
      <w:tblHeader/>
      <w:jc w:val="center"/>
    </w:trPr>
    <w:tcPr>
      <w:vAlign w:val="center"/>
    </w:tcPr>
  </w:style>
  <w:style w:type="paragraph" w:customStyle="1" w:styleId="107">
    <w:name w:val="表文2级标题"/>
    <w:basedOn w:val="108"/>
    <w:next w:val="75"/>
    <w:autoRedefine/>
    <w:qFormat/>
    <w:uiPriority w:val="0"/>
    <w:pPr>
      <w:numPr>
        <w:ilvl w:val="2"/>
        <w:numId w:val="15"/>
      </w:numPr>
      <w:tabs>
        <w:tab w:val="left" w:pos="0"/>
        <w:tab w:val="clear" w:pos="420"/>
      </w:tabs>
    </w:pPr>
  </w:style>
  <w:style w:type="paragraph" w:customStyle="1" w:styleId="108">
    <w:name w:val="表文1级标题"/>
    <w:next w:val="75"/>
    <w:autoRedefine/>
    <w:qFormat/>
    <w:uiPriority w:val="0"/>
    <w:pPr>
      <w:numPr>
        <w:ilvl w:val="1"/>
        <w:numId w:val="16"/>
      </w:numPr>
      <w:tabs>
        <w:tab w:val="left" w:pos="0"/>
      </w:tabs>
      <w:autoSpaceDE w:val="0"/>
      <w:autoSpaceDN w:val="0"/>
      <w:adjustRightInd w:val="0"/>
      <w:snapToGrid w:val="0"/>
      <w:spacing w:line="500" w:lineRule="exact"/>
      <w:jc w:val="both"/>
    </w:pPr>
    <w:rPr>
      <w:rFonts w:ascii="Times New Roman" w:hAnsi="Times New Roman" w:eastAsia="宋体" w:cs="Times New Roman"/>
      <w:b/>
      <w:sz w:val="24"/>
      <w:lang w:val="en-US" w:eastAsia="zh-CN" w:bidi="ar-SA"/>
    </w:rPr>
  </w:style>
  <w:style w:type="paragraph" w:customStyle="1" w:styleId="109">
    <w:name w:val="HC表格内文字"/>
    <w:autoRedefine/>
    <w:qFormat/>
    <w:uiPriority w:val="0"/>
    <w:pPr>
      <w:widowControl w:val="0"/>
      <w:adjustRightInd w:val="0"/>
      <w:jc w:val="center"/>
    </w:pPr>
    <w:rPr>
      <w:rFonts w:ascii="Yu Mincho Light" w:hAnsi="Yu Mincho Light" w:eastAsia="Times New Roman" w:cs="Yu Mincho Light"/>
      <w:kern w:val="2"/>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footer" Target="footer2.xml"/><Relationship Id="rId39" Type="http://schemas.openxmlformats.org/officeDocument/2006/relationships/image" Target="media/image31.pn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jpe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er" Target="foot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Q4MDYxMjIyOTA2IiwKCSJHcm91cElkIiA6ICIxMTE2MTEyNjY5IiwKCSJJbWFnZSIgOiAiaVZCT1J3MEtHZ29BQUFBTlNVaEVVZ0FBQTEwQUFBTDdDQVlBQUFBR1NlOFlBQUFBQVhOU1IwSUFyczRjNlFBQUlBQkpSRUZVZUp6czNYbWNqWFgveC9IM2RXWTdNMlpzMmJKa1pCZVp3V1NKaEtnYkxjcE5LWEc3cFVTeUo0V0c3SGRpSkNaTHRrcHVVU3FobXhaVTB0am10a3pDV0NKbU1NWXc2NW5yOThkdHpzOXh6aGxqekRFenZKNlB4LzI0bmU5MmZhNTVQSTY4NTdxdTd5VUJ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MZnMvd0dydHRUcjBzUU1Dd0FBQUFCSlJVNUVya0pnZ2c9PSIsCgkiVGhlbWUiIDogIiIsCgkiVHlwZSIgOiAiZmxvdyIsCgkiVXNlcklkIiA6ICI3NDUxNzI4ODAiLAoJIlZlcnNpb24iIDogIjU3Igp9Cg=="/>
    </extobj>
    <extobj name="ECB019B1-382A-4266-B25C-5B523AA43C14-2">
      <extobjdata type="ECB019B1-382A-4266-B25C-5B523AA43C14" data="ewoJIkZpbGVJZCIgOiAiNDQ0ODkwMTI0OTk2IiwKCSJHcm91cElkIiA6ICIxMTE2MTEyNjY5IiwKCSJJbWFnZSIgOiAiaVZCT1J3MEtHZ29BQUFBTlNVaEVVZ0FBQlhRQUFBTTJDQVlBQUFCV3RRdWZBQUFBQVhOU1IwSUFyczRjNlFBQUlBQkpSRUZVZUp6czNYbDhUTmYvUC9EWG1abXNJbElTSXBSVUtVS1NtUWxGNlVKM1dyK2lwZFhGV3JSOFVNcUhicW1pUldsUmUyMUJxZkNsTkZTcnFTVXFsbVl5U1lnbG9aWllnNUJFMXBrNXZ6OHlNNTlNWnJJZ0VlVDFmRHc4a2puM25IUFBUWnViZTkvMzNQY0J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L0VINC80bStVUmR2UTFVcUFBQUFBRWxGVGtTdVFtQ0MiLAoJIlRoZW1lIiA6ICIiLAoJIlR5cGUiIDogImZsb3ciLAoJIlVzZXJJZCIgOiAiNzQ1MTcyODgwIiwKCSJWZXJzaW9uIiA6ICI1NSIKfQo="/>
    </extobj>
    <extobj name="ECB019B1-382A-4266-B25C-5B523AA43C14-3">
      <extobjdata type="ECB019B1-382A-4266-B25C-5B523AA43C14" data="ewoJIkZpbGVJZCIgOiAiNDQ1MTU2NzEzODU0IiwKCSJHcm91cElkIiA6ICIxMTE2MTEyNjY5IiwKCSJJbWFnZSIgOiAiaVZCT1J3MEtHZ29BQUFBTlNVaEVVZ0FBQkVjQUFBR0RDQVlBQUFESlozNkxBQUFBQVhOU1IwSUFyczRjNlFBQUlBQkpSRUZVZUp6czNYZFlGR2Y3TnVCcnR0QlZqR0RGRnJGaHd4cVZpRFg0aW9yR1F0UllZaThoR2p1YWFJd0dlME5qVjZ3eEFwYjRhb3hFSTNiTkd3czJGTkdJaW9vUkNVaGJZSGZuKytQSHpzZTZDeXlvRlBjNmp5TkhtTmtwejRQY096UDNQQVVn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CQXJmWC9BV1JnSHdFQmFCK0pBQUFBQUVsRlRrU3VRbUNDIiwKCSJUaGVtZSIgOiAiIiwKCSJUeXBlIiA6ICJmbG93IiwKCSJVc2VySWQiIDogIjc0NTE3Mjg4MCIsCgkiVmVyc2lvbiIgOiAiMTU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115</Pages>
  <Words>14691</Words>
  <Characters>15341</Characters>
  <Lines>1882</Lines>
  <Paragraphs>1091</Paragraphs>
  <TotalTime>4</TotalTime>
  <ScaleCrop>false</ScaleCrop>
  <LinksUpToDate>false</LinksUpToDate>
  <CharactersWithSpaces>15437</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2024-01-03T01:27:00Z</dcterms:created>
  <dc:creator>邹</dc:creator>
  <cp:lastModifiedBy>Liuliu</cp:lastModifiedBy>
  <dcterms:modified xsi:type="dcterms:W3CDTF">2025-10-20T07:43:45Z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F74FA88DA74241E0A130EFECC6D6BDCE_13</vt:lpwstr>
  </property>
  <property fmtid="{D5CDD505-2E9C-101B-9397-08002B2CF9AE}" pid="4" name="KSOTemplateDocerSaveRecord">
    <vt:lpwstr>eyJoZGlkIjoiYmYyMTkwMTk1NWMzMGJlOGQ0Y2ZiMTBlMzQ2ZTZiOGUiLCJ1c2VySWQiOiI0Nzc2Mzg2NDEifQ==</vt:lpwstr>
  </property>
</Properties>
</file>