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5FE375">
      <w:pPr>
        <w:spacing w:before="312" w:beforeLines="100" w:after="312" w:afterLines="100"/>
        <w:jc w:val="center"/>
        <w:rPr>
          <w:rFonts w:ascii="Times New Roman" w:hAnsi="Times New Roman" w:eastAsia="宋体" w:cs="Times New Roman"/>
          <w:color w:val="auto"/>
          <w:sz w:val="48"/>
          <w:szCs w:val="48"/>
          <w:highlight w:val="none"/>
        </w:rPr>
      </w:pPr>
    </w:p>
    <w:p w14:paraId="549C3178">
      <w:pPr>
        <w:keepNext w:val="0"/>
        <w:keepLines w:val="0"/>
        <w:pageBreakBefore w:val="0"/>
        <w:widowControl w:val="0"/>
        <w:tabs>
          <w:tab w:val="left" w:pos="567"/>
        </w:tabs>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b/>
          <w:color w:val="auto"/>
          <w:sz w:val="48"/>
          <w:szCs w:val="48"/>
          <w:lang w:val="en-US"/>
        </w:rPr>
      </w:pPr>
      <w:r>
        <w:rPr>
          <w:rFonts w:hint="eastAsia" w:ascii="宋体" w:hAnsi="宋体"/>
          <w:b/>
          <w:color w:val="auto"/>
          <w:sz w:val="48"/>
          <w:szCs w:val="48"/>
          <w:lang w:val="en-US" w:eastAsia="zh-CN"/>
        </w:rPr>
        <w:t>四川省</w:t>
      </w:r>
      <w:r>
        <w:rPr>
          <w:rFonts w:hint="eastAsia" w:ascii="宋体" w:hAnsi="宋体"/>
          <w:b/>
          <w:color w:val="auto"/>
          <w:sz w:val="48"/>
          <w:szCs w:val="48"/>
        </w:rPr>
        <w:t>大英县</w:t>
      </w:r>
      <w:r>
        <w:rPr>
          <w:rFonts w:hint="eastAsia" w:ascii="宋体" w:hAnsi="宋体"/>
          <w:b/>
          <w:color w:val="auto"/>
          <w:sz w:val="48"/>
          <w:szCs w:val="48"/>
          <w:lang w:val="en-US" w:eastAsia="zh-CN"/>
        </w:rPr>
        <w:t>紫云村饰面用砂岩矿</w:t>
      </w:r>
    </w:p>
    <w:p w14:paraId="7341F107">
      <w:pPr>
        <w:keepNext w:val="0"/>
        <w:keepLines w:val="0"/>
        <w:pageBreakBefore w:val="0"/>
        <w:widowControl w:val="0"/>
        <w:kinsoku/>
        <w:wordWrap/>
        <w:overflowPunct/>
        <w:topLinePunct w:val="0"/>
        <w:autoSpaceDE/>
        <w:autoSpaceDN/>
        <w:bidi w:val="0"/>
        <w:spacing w:before="312" w:beforeLines="100" w:after="312" w:afterLines="100"/>
        <w:ind w:firstLine="0" w:firstLineChars="0"/>
        <w:jc w:val="center"/>
        <w:textAlignment w:val="auto"/>
        <w:rPr>
          <w:rFonts w:ascii="Times New Roman" w:hAnsi="Times New Roman" w:eastAsia="黑体" w:cs="Times New Roman"/>
          <w:color w:val="auto"/>
          <w:sz w:val="48"/>
          <w:szCs w:val="48"/>
          <w:highlight w:val="none"/>
        </w:rPr>
      </w:pPr>
      <w:r>
        <w:rPr>
          <w:rFonts w:hint="eastAsia" w:ascii="宋体" w:hAnsi="宋体"/>
          <w:b/>
          <w:color w:val="auto"/>
          <w:sz w:val="48"/>
          <w:szCs w:val="48"/>
        </w:rPr>
        <w:t>矿山地质环境保护与土地复垦方案</w:t>
      </w:r>
    </w:p>
    <w:p w14:paraId="0CACC734">
      <w:pPr>
        <w:keepNext w:val="0"/>
        <w:keepLines w:val="0"/>
        <w:pageBreakBefore w:val="0"/>
        <w:widowControl w:val="0"/>
        <w:kinsoku/>
        <w:wordWrap/>
        <w:overflowPunct/>
        <w:topLinePunct w:val="0"/>
        <w:autoSpaceDE/>
        <w:autoSpaceDN/>
        <w:bidi w:val="0"/>
        <w:spacing w:before="312" w:beforeLines="100" w:after="312" w:afterLines="100"/>
        <w:ind w:firstLine="0" w:firstLineChars="0"/>
        <w:jc w:val="center"/>
        <w:textAlignment w:val="auto"/>
        <w:rPr>
          <w:rFonts w:ascii="Times New Roman" w:hAnsi="Times New Roman" w:eastAsia="宋体" w:cs="Times New Roman"/>
          <w:color w:val="auto"/>
          <w:sz w:val="52"/>
          <w:szCs w:val="52"/>
          <w:highlight w:val="none"/>
        </w:rPr>
      </w:pPr>
    </w:p>
    <w:p w14:paraId="198B109A">
      <w:pPr>
        <w:rPr>
          <w:rFonts w:ascii="Times New Roman" w:hAnsi="Times New Roman" w:eastAsia="宋体" w:cs="Times New Roman"/>
          <w:color w:val="auto"/>
          <w:sz w:val="44"/>
          <w:szCs w:val="44"/>
          <w:highlight w:val="none"/>
        </w:rPr>
      </w:pPr>
    </w:p>
    <w:p w14:paraId="608C5E62">
      <w:pPr>
        <w:jc w:val="center"/>
        <w:rPr>
          <w:rFonts w:ascii="Times New Roman" w:hAnsi="Times New Roman" w:eastAsia="宋体" w:cs="Times New Roman"/>
          <w:color w:val="auto"/>
          <w:sz w:val="44"/>
          <w:szCs w:val="44"/>
          <w:highlight w:val="none"/>
        </w:rPr>
      </w:pPr>
    </w:p>
    <w:p w14:paraId="15609EE7">
      <w:pPr>
        <w:jc w:val="center"/>
        <w:rPr>
          <w:rFonts w:ascii="Times New Roman" w:hAnsi="Times New Roman" w:eastAsia="宋体" w:cs="Times New Roman"/>
          <w:color w:val="auto"/>
          <w:sz w:val="44"/>
          <w:szCs w:val="44"/>
          <w:highlight w:val="none"/>
        </w:rPr>
      </w:pPr>
    </w:p>
    <w:p w14:paraId="6F032B1A">
      <w:pPr>
        <w:jc w:val="center"/>
        <w:rPr>
          <w:rFonts w:ascii="Times New Roman" w:hAnsi="Times New Roman" w:eastAsia="宋体" w:cs="Times New Roman"/>
          <w:color w:val="auto"/>
          <w:sz w:val="44"/>
          <w:szCs w:val="44"/>
          <w:highlight w:val="none"/>
        </w:rPr>
      </w:pPr>
    </w:p>
    <w:p w14:paraId="4D8045FF">
      <w:pPr>
        <w:jc w:val="center"/>
        <w:rPr>
          <w:rFonts w:ascii="Times New Roman" w:hAnsi="Times New Roman" w:eastAsia="宋体" w:cs="Times New Roman"/>
          <w:color w:val="auto"/>
          <w:sz w:val="44"/>
          <w:szCs w:val="44"/>
          <w:highlight w:val="none"/>
        </w:rPr>
      </w:pPr>
    </w:p>
    <w:p w14:paraId="68BD7212">
      <w:pPr>
        <w:jc w:val="center"/>
        <w:rPr>
          <w:rFonts w:ascii="Times New Roman" w:hAnsi="Times New Roman" w:eastAsia="宋体" w:cs="Times New Roman"/>
          <w:color w:val="auto"/>
          <w:sz w:val="44"/>
          <w:szCs w:val="44"/>
          <w:highlight w:val="none"/>
        </w:rPr>
      </w:pPr>
    </w:p>
    <w:p w14:paraId="2756C545">
      <w:pPr>
        <w:jc w:val="center"/>
        <w:rPr>
          <w:rFonts w:ascii="Times New Roman" w:hAnsi="Times New Roman" w:eastAsia="宋体" w:cs="Times New Roman"/>
          <w:color w:val="auto"/>
          <w:sz w:val="44"/>
          <w:szCs w:val="44"/>
          <w:highlight w:val="none"/>
        </w:rPr>
      </w:pPr>
    </w:p>
    <w:p w14:paraId="26320694">
      <w:pPr>
        <w:jc w:val="center"/>
        <w:rPr>
          <w:rFonts w:ascii="Times New Roman" w:hAnsi="Times New Roman" w:eastAsia="宋体" w:cs="Times New Roman"/>
          <w:color w:val="auto"/>
          <w:sz w:val="44"/>
          <w:szCs w:val="44"/>
          <w:highlight w:val="none"/>
        </w:rPr>
      </w:pPr>
    </w:p>
    <w:p w14:paraId="198F0F38">
      <w:pPr>
        <w:jc w:val="center"/>
        <w:rPr>
          <w:rFonts w:ascii="Times New Roman" w:hAnsi="Times New Roman" w:eastAsia="宋体" w:cs="Times New Roman"/>
          <w:color w:val="auto"/>
          <w:sz w:val="44"/>
          <w:szCs w:val="44"/>
          <w:highlight w:val="none"/>
        </w:rPr>
      </w:pPr>
    </w:p>
    <w:p w14:paraId="67820940">
      <w:pPr>
        <w:jc w:val="both"/>
        <w:rPr>
          <w:rFonts w:ascii="Times New Roman" w:hAnsi="Times New Roman" w:eastAsia="宋体" w:cs="Times New Roman"/>
          <w:color w:val="auto"/>
          <w:sz w:val="44"/>
          <w:szCs w:val="44"/>
          <w:highlight w:val="none"/>
        </w:rPr>
      </w:pPr>
    </w:p>
    <w:p w14:paraId="76E8BF89">
      <w:pPr>
        <w:jc w:val="center"/>
        <w:rPr>
          <w:rFonts w:ascii="Times New Roman" w:hAnsi="Times New Roman" w:eastAsia="宋体" w:cs="Times New Roman"/>
          <w:color w:val="auto"/>
          <w:sz w:val="44"/>
          <w:szCs w:val="44"/>
          <w:highlight w:val="none"/>
        </w:rPr>
      </w:pPr>
    </w:p>
    <w:p w14:paraId="71644CB6">
      <w:pPr>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rPr>
        <w:t>提交单位：大英县</w:t>
      </w:r>
      <w:r>
        <w:rPr>
          <w:rFonts w:hint="eastAsia" w:ascii="仿宋_GB2312" w:hAnsi="仿宋_GB2312" w:eastAsia="仿宋_GB2312" w:cs="仿宋_GB2312"/>
          <w:b/>
          <w:bCs/>
          <w:color w:val="auto"/>
          <w:sz w:val="32"/>
          <w:szCs w:val="32"/>
          <w:lang w:eastAsia="zh-CN"/>
        </w:rPr>
        <w:t>顺源</w:t>
      </w:r>
      <w:r>
        <w:rPr>
          <w:rFonts w:hint="eastAsia" w:ascii="仿宋_GB2312" w:hAnsi="仿宋_GB2312" w:eastAsia="仿宋_GB2312" w:cs="仿宋_GB2312"/>
          <w:b/>
          <w:bCs/>
          <w:color w:val="auto"/>
          <w:sz w:val="32"/>
          <w:szCs w:val="32"/>
        </w:rPr>
        <w:t>矿业有限责任公司</w:t>
      </w:r>
    </w:p>
    <w:p w14:paraId="3E64316D">
      <w:pPr>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rPr>
        <w:t>编制单位：成都市巨匠工程环境技术服务有限公司</w:t>
      </w:r>
    </w:p>
    <w:p w14:paraId="2E83AFC4">
      <w:pPr>
        <w:spacing w:after="240"/>
        <w:jc w:val="center"/>
        <w:rPr>
          <w:rFonts w:ascii="Times New Roman" w:hAnsi="Times New Roman" w:eastAsia="宋体" w:cs="Times New Roman"/>
          <w:b/>
          <w:bCs/>
          <w:color w:val="auto"/>
          <w:sz w:val="32"/>
          <w:szCs w:val="32"/>
          <w:highlight w:val="none"/>
        </w:rPr>
        <w:sectPr>
          <w:pgSz w:w="11906" w:h="16838"/>
          <w:pgMar w:top="1440" w:right="1800" w:bottom="1440" w:left="1800" w:header="851" w:footer="992" w:gutter="0"/>
          <w:cols w:space="425" w:num="1"/>
          <w:docGrid w:type="lines" w:linePitch="312" w:charSpace="0"/>
        </w:sectPr>
      </w:pPr>
      <w:bookmarkStart w:id="0" w:name="_Hlk39584521"/>
      <w:r>
        <w:rPr>
          <w:rFonts w:hint="eastAsia" w:ascii="仿宋_GB2312" w:hAnsi="仿宋_GB2312" w:eastAsia="仿宋_GB2312" w:cs="仿宋_GB2312"/>
          <w:b/>
          <w:bCs/>
          <w:color w:val="auto"/>
          <w:sz w:val="32"/>
          <w:szCs w:val="32"/>
        </w:rPr>
        <w:t>二〇二</w:t>
      </w:r>
      <w:r>
        <w:rPr>
          <w:rFonts w:hint="eastAsia" w:ascii="仿宋_GB2312" w:hAnsi="仿宋_GB2312" w:eastAsia="仿宋_GB2312" w:cs="仿宋_GB2312"/>
          <w:b/>
          <w:bCs/>
          <w:color w:val="auto"/>
          <w:sz w:val="32"/>
          <w:szCs w:val="32"/>
          <w:lang w:val="en-US" w:eastAsia="zh-CN"/>
        </w:rPr>
        <w:t>五</w:t>
      </w:r>
      <w:r>
        <w:rPr>
          <w:rFonts w:hint="eastAsia" w:ascii="仿宋_GB2312" w:hAnsi="仿宋_GB2312" w:eastAsia="仿宋_GB2312" w:cs="仿宋_GB2312"/>
          <w:b/>
          <w:bCs/>
          <w:color w:val="auto"/>
          <w:sz w:val="32"/>
          <w:szCs w:val="32"/>
        </w:rPr>
        <w:t>年</w:t>
      </w: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rPr>
        <w:t>月</w:t>
      </w:r>
      <w:bookmarkEnd w:id="0"/>
    </w:p>
    <w:p w14:paraId="0AE2553B">
      <w:pPr>
        <w:tabs>
          <w:tab w:val="left" w:pos="567"/>
        </w:tabs>
        <w:adjustRightInd w:val="0"/>
        <w:snapToGrid w:val="0"/>
        <w:spacing w:line="360" w:lineRule="auto"/>
        <w:ind w:left="315" w:leftChars="150"/>
        <w:jc w:val="center"/>
        <w:rPr>
          <w:rFonts w:hint="eastAsia" w:ascii="宋体" w:hAnsi="宋体"/>
          <w:b/>
          <w:color w:val="auto"/>
          <w:sz w:val="36"/>
          <w:szCs w:val="44"/>
        </w:rPr>
      </w:pPr>
    </w:p>
    <w:p w14:paraId="6703DC68">
      <w:pPr>
        <w:keepNext w:val="0"/>
        <w:keepLines w:val="0"/>
        <w:pageBreakBefore w:val="0"/>
        <w:widowControl w:val="0"/>
        <w:tabs>
          <w:tab w:val="left" w:pos="567"/>
        </w:tabs>
        <w:kinsoku/>
        <w:wordWrap/>
        <w:overflowPunct/>
        <w:topLinePunct w:val="0"/>
        <w:autoSpaceDE/>
        <w:autoSpaceDN/>
        <w:bidi w:val="0"/>
        <w:adjustRightInd w:val="0"/>
        <w:snapToGrid w:val="0"/>
        <w:spacing w:line="360" w:lineRule="auto"/>
        <w:ind w:left="315" w:leftChars="150" w:firstLine="0" w:firstLineChars="0"/>
        <w:jc w:val="both"/>
        <w:textAlignment w:val="auto"/>
        <w:rPr>
          <w:rFonts w:hint="eastAsia" w:ascii="宋体" w:hAnsi="宋体"/>
          <w:b/>
          <w:color w:val="auto"/>
          <w:sz w:val="36"/>
          <w:szCs w:val="44"/>
        </w:rPr>
      </w:pPr>
    </w:p>
    <w:p w14:paraId="5983CEAE">
      <w:pPr>
        <w:keepNext w:val="0"/>
        <w:keepLines w:val="0"/>
        <w:pageBreakBefore w:val="0"/>
        <w:widowControl w:val="0"/>
        <w:tabs>
          <w:tab w:val="left" w:pos="567"/>
        </w:tabs>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宋体" w:hAnsi="宋体"/>
          <w:b/>
          <w:color w:val="auto"/>
          <w:sz w:val="36"/>
          <w:szCs w:val="44"/>
        </w:rPr>
      </w:pPr>
      <w:r>
        <w:rPr>
          <w:rFonts w:hint="eastAsia" w:ascii="宋体" w:hAnsi="宋体"/>
          <w:b/>
          <w:color w:val="auto"/>
          <w:sz w:val="36"/>
          <w:szCs w:val="44"/>
          <w:lang w:val="en-US" w:eastAsia="zh-CN"/>
        </w:rPr>
        <w:t>四川省</w:t>
      </w:r>
      <w:r>
        <w:rPr>
          <w:rFonts w:hint="eastAsia" w:ascii="宋体" w:hAnsi="宋体"/>
          <w:b/>
          <w:color w:val="auto"/>
          <w:sz w:val="36"/>
          <w:szCs w:val="44"/>
        </w:rPr>
        <w:t>大英县</w:t>
      </w:r>
      <w:r>
        <w:rPr>
          <w:rFonts w:hint="eastAsia" w:ascii="宋体" w:hAnsi="宋体"/>
          <w:b/>
          <w:color w:val="auto"/>
          <w:sz w:val="36"/>
          <w:szCs w:val="44"/>
          <w:lang w:val="en-US" w:eastAsia="zh-CN"/>
        </w:rPr>
        <w:t>蓬莱镇紫云村饰面用砂岩</w:t>
      </w:r>
      <w:r>
        <w:rPr>
          <w:rFonts w:hint="eastAsia" w:ascii="宋体" w:hAnsi="宋体"/>
          <w:b/>
          <w:color w:val="auto"/>
          <w:sz w:val="36"/>
          <w:szCs w:val="44"/>
        </w:rPr>
        <w:t>矿</w:t>
      </w:r>
    </w:p>
    <w:p w14:paraId="1240CE3C">
      <w:pPr>
        <w:keepNext w:val="0"/>
        <w:keepLines w:val="0"/>
        <w:pageBreakBefore w:val="0"/>
        <w:widowControl w:val="0"/>
        <w:kinsoku/>
        <w:wordWrap/>
        <w:overflowPunct/>
        <w:topLinePunct w:val="0"/>
        <w:autoSpaceDE/>
        <w:autoSpaceDN/>
        <w:bidi w:val="0"/>
        <w:spacing w:before="312" w:beforeLines="100" w:after="312" w:afterLines="100"/>
        <w:ind w:firstLine="0" w:firstLineChars="0"/>
        <w:jc w:val="center"/>
        <w:textAlignment w:val="auto"/>
        <w:rPr>
          <w:rFonts w:ascii="Times New Roman" w:hAnsi="Times New Roman" w:eastAsia="黑体" w:cs="Times New Roman"/>
          <w:color w:val="auto"/>
          <w:sz w:val="52"/>
          <w:szCs w:val="52"/>
          <w:highlight w:val="none"/>
        </w:rPr>
      </w:pPr>
      <w:r>
        <w:rPr>
          <w:rFonts w:hint="eastAsia" w:ascii="宋体" w:hAnsi="宋体"/>
          <w:b/>
          <w:color w:val="auto"/>
          <w:sz w:val="44"/>
          <w:szCs w:val="44"/>
        </w:rPr>
        <w:t>矿山地质环境保护与土地复垦方案</w:t>
      </w:r>
    </w:p>
    <w:p w14:paraId="16B86188">
      <w:pPr>
        <w:spacing w:before="312" w:beforeLines="100" w:after="312" w:afterLines="100"/>
        <w:jc w:val="center"/>
        <w:rPr>
          <w:rFonts w:ascii="Times New Roman" w:hAnsi="Times New Roman" w:eastAsia="宋体" w:cs="Times New Roman"/>
          <w:color w:val="auto"/>
          <w:sz w:val="52"/>
          <w:szCs w:val="52"/>
          <w:highlight w:val="none"/>
        </w:rPr>
      </w:pPr>
    </w:p>
    <w:p w14:paraId="2B9C6033">
      <w:pPr>
        <w:pStyle w:val="22"/>
        <w:ind w:firstLine="1040"/>
        <w:rPr>
          <w:rFonts w:ascii="Times New Roman" w:hAnsi="Times New Roman" w:eastAsia="宋体" w:cs="Times New Roman"/>
          <w:color w:val="auto"/>
          <w:sz w:val="52"/>
          <w:szCs w:val="52"/>
          <w:highlight w:val="none"/>
        </w:rPr>
      </w:pPr>
    </w:p>
    <w:p w14:paraId="60882606">
      <w:pPr>
        <w:rPr>
          <w:color w:val="auto"/>
          <w:highlight w:val="none"/>
        </w:rPr>
      </w:pPr>
    </w:p>
    <w:p w14:paraId="09DCE30A">
      <w:pPr>
        <w:rPr>
          <w:color w:val="auto"/>
          <w:highlight w:val="none"/>
        </w:rPr>
      </w:pPr>
    </w:p>
    <w:p w14:paraId="387B6E00">
      <w:pPr>
        <w:rPr>
          <w:color w:val="auto"/>
          <w:highlight w:val="none"/>
        </w:rPr>
      </w:pPr>
    </w:p>
    <w:p w14:paraId="36100FB8">
      <w:pPr>
        <w:rPr>
          <w:color w:val="auto"/>
          <w:highlight w:val="none"/>
        </w:rPr>
      </w:pPr>
    </w:p>
    <w:p w14:paraId="6C0E6CDD">
      <w:pPr>
        <w:jc w:val="center"/>
        <w:rPr>
          <w:rFonts w:ascii="Times New Roman" w:hAnsi="Times New Roman" w:eastAsia="宋体" w:cs="Times New Roman"/>
          <w:color w:val="auto"/>
          <w:sz w:val="52"/>
          <w:szCs w:val="52"/>
          <w:highlight w:val="none"/>
        </w:rPr>
      </w:pPr>
    </w:p>
    <w:tbl>
      <w:tblPr>
        <w:tblStyle w:val="23"/>
        <w:tblW w:w="9081" w:type="dxa"/>
        <w:jc w:val="center"/>
        <w:tblLayout w:type="autofit"/>
        <w:tblCellMar>
          <w:top w:w="0" w:type="dxa"/>
          <w:left w:w="108" w:type="dxa"/>
          <w:bottom w:w="0" w:type="dxa"/>
          <w:right w:w="108" w:type="dxa"/>
        </w:tblCellMar>
      </w:tblPr>
      <w:tblGrid>
        <w:gridCol w:w="2359"/>
        <w:gridCol w:w="6722"/>
      </w:tblGrid>
      <w:tr w14:paraId="2F8CB2C9">
        <w:tblPrEx>
          <w:tblCellMar>
            <w:top w:w="0" w:type="dxa"/>
            <w:left w:w="108" w:type="dxa"/>
            <w:bottom w:w="0" w:type="dxa"/>
            <w:right w:w="108" w:type="dxa"/>
          </w:tblCellMar>
        </w:tblPrEx>
        <w:trPr>
          <w:trHeight w:val="692" w:hRule="atLeast"/>
          <w:jc w:val="center"/>
        </w:trPr>
        <w:tc>
          <w:tcPr>
            <w:tcW w:w="2359" w:type="dxa"/>
            <w:noWrap w:val="0"/>
            <w:vAlign w:val="center"/>
          </w:tcPr>
          <w:p w14:paraId="215B21B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申报单位：</w:t>
            </w:r>
          </w:p>
        </w:tc>
        <w:tc>
          <w:tcPr>
            <w:tcW w:w="6722" w:type="dxa"/>
            <w:noWrap w:val="0"/>
            <w:vAlign w:val="center"/>
          </w:tcPr>
          <w:p w14:paraId="59F29E8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大英县</w:t>
            </w:r>
            <w:r>
              <w:rPr>
                <w:rFonts w:hint="eastAsia" w:ascii="仿宋_GB2312" w:hAnsi="仿宋_GB2312" w:eastAsia="仿宋_GB2312" w:cs="仿宋_GB2312"/>
                <w:b/>
                <w:bCs/>
                <w:color w:val="auto"/>
                <w:sz w:val="32"/>
                <w:szCs w:val="32"/>
                <w:lang w:eastAsia="zh-CN"/>
              </w:rPr>
              <w:t>顺源</w:t>
            </w:r>
            <w:r>
              <w:rPr>
                <w:rFonts w:hint="eastAsia" w:ascii="仿宋_GB2312" w:hAnsi="仿宋_GB2312" w:eastAsia="仿宋_GB2312" w:cs="仿宋_GB2312"/>
                <w:b/>
                <w:bCs/>
                <w:color w:val="auto"/>
                <w:sz w:val="32"/>
                <w:szCs w:val="32"/>
              </w:rPr>
              <w:t>矿业有限责任公司</w:t>
            </w:r>
          </w:p>
        </w:tc>
      </w:tr>
      <w:tr w14:paraId="63D0A675">
        <w:tblPrEx>
          <w:tblCellMar>
            <w:top w:w="0" w:type="dxa"/>
            <w:left w:w="108" w:type="dxa"/>
            <w:bottom w:w="0" w:type="dxa"/>
            <w:right w:w="108" w:type="dxa"/>
          </w:tblCellMar>
        </w:tblPrEx>
        <w:trPr>
          <w:trHeight w:val="692" w:hRule="atLeast"/>
          <w:jc w:val="center"/>
        </w:trPr>
        <w:tc>
          <w:tcPr>
            <w:tcW w:w="2359" w:type="dxa"/>
            <w:noWrap w:val="0"/>
            <w:vAlign w:val="center"/>
          </w:tcPr>
          <w:p w14:paraId="13AC6D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编制单位：</w:t>
            </w:r>
          </w:p>
        </w:tc>
        <w:tc>
          <w:tcPr>
            <w:tcW w:w="6722" w:type="dxa"/>
            <w:noWrap w:val="0"/>
            <w:vAlign w:val="center"/>
          </w:tcPr>
          <w:p w14:paraId="46CA0BC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成都市巨匠工程环境技术服务有限公司</w:t>
            </w:r>
          </w:p>
        </w:tc>
      </w:tr>
      <w:tr w14:paraId="3E07B5FC">
        <w:tblPrEx>
          <w:tblCellMar>
            <w:top w:w="0" w:type="dxa"/>
            <w:left w:w="108" w:type="dxa"/>
            <w:bottom w:w="0" w:type="dxa"/>
            <w:right w:w="108" w:type="dxa"/>
          </w:tblCellMar>
        </w:tblPrEx>
        <w:trPr>
          <w:trHeight w:val="692" w:hRule="atLeast"/>
          <w:jc w:val="center"/>
        </w:trPr>
        <w:tc>
          <w:tcPr>
            <w:tcW w:w="2359" w:type="dxa"/>
            <w:noWrap w:val="0"/>
            <w:vAlign w:val="center"/>
          </w:tcPr>
          <w:p w14:paraId="5901E50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法人代表：</w:t>
            </w:r>
          </w:p>
        </w:tc>
        <w:tc>
          <w:tcPr>
            <w:tcW w:w="6722" w:type="dxa"/>
            <w:noWrap w:val="0"/>
            <w:vAlign w:val="center"/>
          </w:tcPr>
          <w:p w14:paraId="4B75E60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刘  畅</w:t>
            </w:r>
          </w:p>
        </w:tc>
      </w:tr>
      <w:tr w14:paraId="056C42DE">
        <w:tblPrEx>
          <w:tblCellMar>
            <w:top w:w="0" w:type="dxa"/>
            <w:left w:w="108" w:type="dxa"/>
            <w:bottom w:w="0" w:type="dxa"/>
            <w:right w:w="108" w:type="dxa"/>
          </w:tblCellMar>
        </w:tblPrEx>
        <w:trPr>
          <w:trHeight w:val="692" w:hRule="atLeast"/>
          <w:jc w:val="center"/>
        </w:trPr>
        <w:tc>
          <w:tcPr>
            <w:tcW w:w="2359" w:type="dxa"/>
            <w:noWrap w:val="0"/>
            <w:vAlign w:val="center"/>
          </w:tcPr>
          <w:p w14:paraId="7DA3B24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项目负责人：</w:t>
            </w:r>
          </w:p>
        </w:tc>
        <w:tc>
          <w:tcPr>
            <w:tcW w:w="6722" w:type="dxa"/>
            <w:noWrap w:val="0"/>
            <w:vAlign w:val="center"/>
          </w:tcPr>
          <w:p w14:paraId="651B5B7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姬景鑫</w:t>
            </w:r>
          </w:p>
        </w:tc>
      </w:tr>
      <w:tr w14:paraId="5CB363EE">
        <w:tblPrEx>
          <w:tblCellMar>
            <w:top w:w="0" w:type="dxa"/>
            <w:left w:w="108" w:type="dxa"/>
            <w:bottom w:w="0" w:type="dxa"/>
            <w:right w:w="108" w:type="dxa"/>
          </w:tblCellMar>
        </w:tblPrEx>
        <w:trPr>
          <w:trHeight w:val="692" w:hRule="atLeast"/>
          <w:jc w:val="center"/>
        </w:trPr>
        <w:tc>
          <w:tcPr>
            <w:tcW w:w="2359" w:type="dxa"/>
            <w:noWrap w:val="0"/>
            <w:vAlign w:val="center"/>
          </w:tcPr>
          <w:p w14:paraId="78CFD92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编写人员：</w:t>
            </w:r>
          </w:p>
        </w:tc>
        <w:tc>
          <w:tcPr>
            <w:tcW w:w="6722" w:type="dxa"/>
            <w:noWrap w:val="0"/>
            <w:vAlign w:val="center"/>
          </w:tcPr>
          <w:p w14:paraId="6ABA3B2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王 磊</w:t>
            </w:r>
          </w:p>
        </w:tc>
      </w:tr>
      <w:tr w14:paraId="06B332A5">
        <w:tblPrEx>
          <w:tblCellMar>
            <w:top w:w="0" w:type="dxa"/>
            <w:left w:w="108" w:type="dxa"/>
            <w:bottom w:w="0" w:type="dxa"/>
            <w:right w:w="108" w:type="dxa"/>
          </w:tblCellMar>
        </w:tblPrEx>
        <w:trPr>
          <w:trHeight w:val="692" w:hRule="atLeast"/>
          <w:jc w:val="center"/>
        </w:trPr>
        <w:tc>
          <w:tcPr>
            <w:tcW w:w="2359" w:type="dxa"/>
            <w:noWrap w:val="0"/>
            <w:vAlign w:val="center"/>
          </w:tcPr>
          <w:p w14:paraId="74AFFF6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 xml:space="preserve">提交报告时间： </w:t>
            </w:r>
          </w:p>
        </w:tc>
        <w:tc>
          <w:tcPr>
            <w:tcW w:w="6722" w:type="dxa"/>
            <w:noWrap w:val="0"/>
            <w:vAlign w:val="center"/>
          </w:tcPr>
          <w:p w14:paraId="76D7705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二〇二</w:t>
            </w:r>
            <w:r>
              <w:rPr>
                <w:rFonts w:hint="eastAsia" w:ascii="仿宋_GB2312" w:hAnsi="仿宋_GB2312" w:eastAsia="仿宋_GB2312" w:cs="仿宋_GB2312"/>
                <w:b/>
                <w:bCs/>
                <w:color w:val="auto"/>
                <w:sz w:val="32"/>
                <w:szCs w:val="32"/>
                <w:lang w:val="en-US" w:eastAsia="zh-CN"/>
              </w:rPr>
              <w:t>五</w:t>
            </w:r>
            <w:r>
              <w:rPr>
                <w:rFonts w:hint="eastAsia" w:ascii="仿宋_GB2312" w:hAnsi="仿宋_GB2312" w:eastAsia="仿宋_GB2312" w:cs="仿宋_GB2312"/>
                <w:b/>
                <w:bCs/>
                <w:color w:val="auto"/>
                <w:sz w:val="32"/>
                <w:szCs w:val="32"/>
              </w:rPr>
              <w:t>年</w:t>
            </w:r>
            <w:r>
              <w:rPr>
                <w:rFonts w:hint="eastAsia" w:ascii="仿宋_GB2312" w:hAnsi="仿宋_GB2312" w:eastAsia="仿宋_GB2312" w:cs="仿宋_GB2312"/>
                <w:b/>
                <w:bCs/>
                <w:color w:val="auto"/>
                <w:sz w:val="32"/>
                <w:szCs w:val="32"/>
                <w:lang w:val="en-US" w:eastAsia="zh-CN"/>
              </w:rPr>
              <w:t>四</w:t>
            </w:r>
            <w:r>
              <w:rPr>
                <w:rFonts w:hint="eastAsia" w:ascii="仿宋_GB2312" w:hAnsi="仿宋_GB2312" w:eastAsia="仿宋_GB2312" w:cs="仿宋_GB2312"/>
                <w:b/>
                <w:bCs/>
                <w:color w:val="auto"/>
                <w:sz w:val="32"/>
                <w:szCs w:val="32"/>
              </w:rPr>
              <w:t>月</w:t>
            </w:r>
          </w:p>
        </w:tc>
      </w:tr>
    </w:tbl>
    <w:p w14:paraId="77D778BE">
      <w:pPr>
        <w:ind w:firstLine="1280" w:firstLineChars="400"/>
        <w:rPr>
          <w:rFonts w:ascii="Times New Roman" w:hAnsi="Times New Roman" w:eastAsia="宋体" w:cs="Times New Roman"/>
          <w:color w:val="auto"/>
          <w:sz w:val="32"/>
          <w:szCs w:val="32"/>
          <w:highlight w:val="none"/>
        </w:rPr>
        <w:sectPr>
          <w:pgSz w:w="11906" w:h="16838"/>
          <w:pgMar w:top="1440" w:right="1800" w:bottom="1440" w:left="1800" w:header="851" w:footer="992" w:gutter="0"/>
          <w:cols w:space="425" w:num="1"/>
          <w:docGrid w:type="lines" w:linePitch="312" w:charSpace="0"/>
        </w:sectPr>
      </w:pPr>
    </w:p>
    <w:p w14:paraId="5FCE57F1">
      <w:pPr>
        <w:pStyle w:val="18"/>
        <w:tabs>
          <w:tab w:val="right" w:leader="dot" w:pos="8306"/>
        </w:tabs>
        <w:jc w:val="center"/>
        <w:rPr>
          <w:rFonts w:ascii="Times New Roman" w:hAnsi="Times New Roman" w:eastAsia="宋体" w:cs="Times New Roman"/>
          <w:b/>
          <w:bCs/>
          <w:color w:val="auto"/>
          <w:sz w:val="32"/>
          <w:szCs w:val="32"/>
          <w:highlight w:val="none"/>
        </w:rPr>
      </w:pPr>
      <w:r>
        <w:rPr>
          <w:rFonts w:ascii="Times New Roman" w:hAnsi="Times New Roman" w:eastAsia="宋体" w:cs="Times New Roman"/>
          <w:b/>
          <w:bCs/>
          <w:color w:val="auto"/>
          <w:sz w:val="32"/>
          <w:szCs w:val="32"/>
          <w:highlight w:val="none"/>
        </w:rPr>
        <w:t>目  录</w:t>
      </w:r>
    </w:p>
    <w:p w14:paraId="66A3C931">
      <w:pPr>
        <w:pStyle w:val="18"/>
        <w:tabs>
          <w:tab w:val="right" w:leader="dot" w:pos="8306"/>
        </w:tabs>
      </w:pPr>
      <w:r>
        <w:rPr>
          <w:rFonts w:ascii="Times New Roman" w:hAnsi="Times New Roman" w:eastAsia="宋体" w:cs="Times New Roman"/>
          <w:color w:val="auto"/>
          <w:sz w:val="24"/>
          <w:szCs w:val="24"/>
          <w:highlight w:val="none"/>
        </w:rPr>
        <w:fldChar w:fldCharType="begin"/>
      </w:r>
      <w:r>
        <w:rPr>
          <w:rFonts w:ascii="Times New Roman" w:hAnsi="Times New Roman" w:eastAsia="宋体" w:cs="Times New Roman"/>
          <w:color w:val="auto"/>
          <w:sz w:val="24"/>
          <w:szCs w:val="24"/>
          <w:highlight w:val="none"/>
        </w:rPr>
        <w:instrText xml:space="preserve">TOC \o "1-3" \h \u </w:instrText>
      </w:r>
      <w:r>
        <w:rPr>
          <w:rFonts w:ascii="Times New Roman" w:hAnsi="Times New Roman" w:eastAsia="宋体" w:cs="Times New Roman"/>
          <w:color w:val="auto"/>
          <w:sz w:val="24"/>
          <w:szCs w:val="24"/>
          <w:highlight w:val="none"/>
        </w:rPr>
        <w:fldChar w:fldCharType="separate"/>
      </w: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_Toc28997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44"/>
          <w:highlight w:val="none"/>
        </w:rPr>
        <w:t>前  言</w:t>
      </w:r>
      <w:r>
        <w:tab/>
      </w:r>
      <w:r>
        <w:fldChar w:fldCharType="begin"/>
      </w:r>
      <w:r>
        <w:instrText xml:space="preserve"> PAGEREF _Toc28997 \h </w:instrText>
      </w:r>
      <w:r>
        <w:fldChar w:fldCharType="separate"/>
      </w:r>
      <w:r>
        <w:t>1</w:t>
      </w:r>
      <w:r>
        <w:fldChar w:fldCharType="end"/>
      </w:r>
      <w:r>
        <w:rPr>
          <w:rFonts w:ascii="Times New Roman" w:hAnsi="Times New Roman" w:eastAsia="宋体" w:cs="Times New Roman"/>
          <w:color w:val="auto"/>
          <w:szCs w:val="24"/>
          <w:highlight w:val="none"/>
        </w:rPr>
        <w:fldChar w:fldCharType="end"/>
      </w:r>
    </w:p>
    <w:p w14:paraId="3453AEA2">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_Toc29517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一、任务的由来</w:t>
      </w:r>
      <w:r>
        <w:tab/>
      </w:r>
      <w:r>
        <w:fldChar w:fldCharType="begin"/>
      </w:r>
      <w:r>
        <w:instrText xml:space="preserve"> PAGEREF _Toc29517 \h </w:instrText>
      </w:r>
      <w:r>
        <w:fldChar w:fldCharType="separate"/>
      </w:r>
      <w:r>
        <w:t>1</w:t>
      </w:r>
      <w:r>
        <w:fldChar w:fldCharType="end"/>
      </w:r>
      <w:r>
        <w:rPr>
          <w:rFonts w:ascii="Times New Roman" w:hAnsi="Times New Roman" w:eastAsia="宋体" w:cs="Times New Roman"/>
          <w:color w:val="auto"/>
          <w:szCs w:val="24"/>
          <w:highlight w:val="none"/>
        </w:rPr>
        <w:fldChar w:fldCharType="end"/>
      </w:r>
    </w:p>
    <w:p w14:paraId="25B04A57">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_Toc9050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二、编制目的</w:t>
      </w:r>
      <w:r>
        <w:tab/>
      </w:r>
      <w:r>
        <w:fldChar w:fldCharType="begin"/>
      </w:r>
      <w:r>
        <w:instrText xml:space="preserve"> PAGEREF _Toc9050 \h </w:instrText>
      </w:r>
      <w:r>
        <w:fldChar w:fldCharType="separate"/>
      </w:r>
      <w:r>
        <w:t>2</w:t>
      </w:r>
      <w:r>
        <w:fldChar w:fldCharType="end"/>
      </w:r>
      <w:r>
        <w:rPr>
          <w:rFonts w:ascii="Times New Roman" w:hAnsi="Times New Roman" w:eastAsia="宋体" w:cs="Times New Roman"/>
          <w:color w:val="auto"/>
          <w:szCs w:val="24"/>
          <w:highlight w:val="none"/>
        </w:rPr>
        <w:fldChar w:fldCharType="end"/>
      </w:r>
    </w:p>
    <w:p w14:paraId="2E0544DF">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_Toc19633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三、编制依据</w:t>
      </w:r>
      <w:r>
        <w:tab/>
      </w:r>
      <w:r>
        <w:fldChar w:fldCharType="begin"/>
      </w:r>
      <w:r>
        <w:instrText xml:space="preserve"> PAGEREF _Toc19633 \h </w:instrText>
      </w:r>
      <w:r>
        <w:fldChar w:fldCharType="separate"/>
      </w:r>
      <w:r>
        <w:t>4</w:t>
      </w:r>
      <w:r>
        <w:fldChar w:fldCharType="end"/>
      </w:r>
      <w:r>
        <w:rPr>
          <w:rFonts w:ascii="Times New Roman" w:hAnsi="Times New Roman" w:eastAsia="宋体" w:cs="Times New Roman"/>
          <w:color w:val="auto"/>
          <w:szCs w:val="24"/>
          <w:highlight w:val="none"/>
        </w:rPr>
        <w:fldChar w:fldCharType="end"/>
      </w:r>
    </w:p>
    <w:p w14:paraId="38626916">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_Toc20580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（一）法律法规</w:t>
      </w:r>
      <w:r>
        <w:tab/>
      </w:r>
      <w:r>
        <w:fldChar w:fldCharType="begin"/>
      </w:r>
      <w:r>
        <w:instrText xml:space="preserve"> PAGEREF _Toc20580 \h </w:instrText>
      </w:r>
      <w:r>
        <w:fldChar w:fldCharType="separate"/>
      </w:r>
      <w:r>
        <w:t>4</w:t>
      </w:r>
      <w:r>
        <w:fldChar w:fldCharType="end"/>
      </w:r>
      <w:r>
        <w:rPr>
          <w:rFonts w:ascii="Times New Roman" w:hAnsi="Times New Roman" w:eastAsia="宋体" w:cs="Times New Roman"/>
          <w:color w:val="auto"/>
          <w:szCs w:val="24"/>
          <w:highlight w:val="none"/>
        </w:rPr>
        <w:fldChar w:fldCharType="end"/>
      </w:r>
    </w:p>
    <w:p w14:paraId="73B41C6B">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_Toc402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（二）规程规范</w:t>
      </w:r>
      <w:r>
        <w:tab/>
      </w:r>
      <w:r>
        <w:fldChar w:fldCharType="begin"/>
      </w:r>
      <w:r>
        <w:instrText xml:space="preserve"> PAGEREF _Toc402 \h </w:instrText>
      </w:r>
      <w:r>
        <w:fldChar w:fldCharType="separate"/>
      </w:r>
      <w:r>
        <w:t>5</w:t>
      </w:r>
      <w:r>
        <w:fldChar w:fldCharType="end"/>
      </w:r>
      <w:r>
        <w:rPr>
          <w:rFonts w:ascii="Times New Roman" w:hAnsi="Times New Roman" w:eastAsia="宋体" w:cs="Times New Roman"/>
          <w:color w:val="auto"/>
          <w:szCs w:val="24"/>
          <w:highlight w:val="none"/>
        </w:rPr>
        <w:fldChar w:fldCharType="end"/>
      </w:r>
    </w:p>
    <w:p w14:paraId="58A29B4F">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_Toc18145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（三）技术文件及资料</w:t>
      </w:r>
      <w:r>
        <w:tab/>
      </w:r>
      <w:r>
        <w:fldChar w:fldCharType="begin"/>
      </w:r>
      <w:r>
        <w:instrText xml:space="preserve"> PAGEREF _Toc18145 \h </w:instrText>
      </w:r>
      <w:r>
        <w:fldChar w:fldCharType="separate"/>
      </w:r>
      <w:r>
        <w:t>6</w:t>
      </w:r>
      <w:r>
        <w:fldChar w:fldCharType="end"/>
      </w:r>
      <w:r>
        <w:rPr>
          <w:rFonts w:ascii="Times New Roman" w:hAnsi="Times New Roman" w:eastAsia="宋体" w:cs="Times New Roman"/>
          <w:color w:val="auto"/>
          <w:szCs w:val="24"/>
          <w:highlight w:val="none"/>
        </w:rPr>
        <w:fldChar w:fldCharType="end"/>
      </w:r>
    </w:p>
    <w:p w14:paraId="6B48E103">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_Toc858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四、数学基础</w:t>
      </w:r>
      <w:r>
        <w:tab/>
      </w:r>
      <w:r>
        <w:fldChar w:fldCharType="begin"/>
      </w:r>
      <w:r>
        <w:instrText xml:space="preserve"> PAGEREF _Toc858 \h </w:instrText>
      </w:r>
      <w:r>
        <w:fldChar w:fldCharType="separate"/>
      </w:r>
      <w:r>
        <w:t>7</w:t>
      </w:r>
      <w:r>
        <w:fldChar w:fldCharType="end"/>
      </w:r>
      <w:r>
        <w:rPr>
          <w:rFonts w:ascii="Times New Roman" w:hAnsi="Times New Roman" w:eastAsia="宋体" w:cs="Times New Roman"/>
          <w:color w:val="auto"/>
          <w:szCs w:val="24"/>
          <w:highlight w:val="none"/>
        </w:rPr>
        <w:fldChar w:fldCharType="end"/>
      </w:r>
    </w:p>
    <w:p w14:paraId="36408DBD">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_Toc9201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（一）主要计量单位</w:t>
      </w:r>
      <w:r>
        <w:tab/>
      </w:r>
      <w:r>
        <w:fldChar w:fldCharType="begin"/>
      </w:r>
      <w:r>
        <w:instrText xml:space="preserve"> PAGEREF _Toc9201 \h </w:instrText>
      </w:r>
      <w:r>
        <w:fldChar w:fldCharType="separate"/>
      </w:r>
      <w:r>
        <w:t>7</w:t>
      </w:r>
      <w:r>
        <w:fldChar w:fldCharType="end"/>
      </w:r>
      <w:r>
        <w:rPr>
          <w:rFonts w:ascii="Times New Roman" w:hAnsi="Times New Roman" w:eastAsia="宋体" w:cs="Times New Roman"/>
          <w:color w:val="auto"/>
          <w:szCs w:val="24"/>
          <w:highlight w:val="none"/>
        </w:rPr>
        <w:fldChar w:fldCharType="end"/>
      </w:r>
    </w:p>
    <w:p w14:paraId="67646215">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_Toc3736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（二）坐标系及投影信息</w:t>
      </w:r>
      <w:r>
        <w:tab/>
      </w:r>
      <w:r>
        <w:fldChar w:fldCharType="begin"/>
      </w:r>
      <w:r>
        <w:instrText xml:space="preserve"> PAGEREF _Toc3736 \h </w:instrText>
      </w:r>
      <w:r>
        <w:fldChar w:fldCharType="separate"/>
      </w:r>
      <w:r>
        <w:t>7</w:t>
      </w:r>
      <w:r>
        <w:fldChar w:fldCharType="end"/>
      </w:r>
      <w:r>
        <w:rPr>
          <w:rFonts w:ascii="Times New Roman" w:hAnsi="Times New Roman" w:eastAsia="宋体" w:cs="Times New Roman"/>
          <w:color w:val="auto"/>
          <w:szCs w:val="24"/>
          <w:highlight w:val="none"/>
        </w:rPr>
        <w:fldChar w:fldCharType="end"/>
      </w:r>
    </w:p>
    <w:p w14:paraId="6770A1E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_Toc15883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（三）土地利用现状分类标准</w:t>
      </w:r>
      <w:r>
        <w:tab/>
      </w:r>
      <w:r>
        <w:fldChar w:fldCharType="begin"/>
      </w:r>
      <w:r>
        <w:instrText xml:space="preserve"> PAGEREF _Toc15883 \h </w:instrText>
      </w:r>
      <w:r>
        <w:fldChar w:fldCharType="separate"/>
      </w:r>
      <w:r>
        <w:t>7</w:t>
      </w:r>
      <w:r>
        <w:fldChar w:fldCharType="end"/>
      </w:r>
      <w:r>
        <w:rPr>
          <w:rFonts w:ascii="Times New Roman" w:hAnsi="Times New Roman" w:eastAsia="宋体" w:cs="Times New Roman"/>
          <w:color w:val="auto"/>
          <w:szCs w:val="24"/>
          <w:highlight w:val="none"/>
        </w:rPr>
        <w:fldChar w:fldCharType="end"/>
      </w:r>
    </w:p>
    <w:p w14:paraId="746EC295">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_Toc9067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五、方案适用年限</w:t>
      </w:r>
      <w:r>
        <w:tab/>
      </w:r>
      <w:r>
        <w:fldChar w:fldCharType="begin"/>
      </w:r>
      <w:r>
        <w:instrText xml:space="preserve"> PAGEREF _Toc9067 \h </w:instrText>
      </w:r>
      <w:r>
        <w:fldChar w:fldCharType="separate"/>
      </w:r>
      <w:r>
        <w:t>8</w:t>
      </w:r>
      <w:r>
        <w:fldChar w:fldCharType="end"/>
      </w:r>
      <w:r>
        <w:rPr>
          <w:rFonts w:ascii="Times New Roman" w:hAnsi="Times New Roman" w:eastAsia="宋体" w:cs="Times New Roman"/>
          <w:color w:val="auto"/>
          <w:szCs w:val="24"/>
          <w:highlight w:val="none"/>
        </w:rPr>
        <w:fldChar w:fldCharType="end"/>
      </w:r>
    </w:p>
    <w:p w14:paraId="0105716B">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_Toc4690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（一）矿山服务年限</w:t>
      </w:r>
      <w:r>
        <w:tab/>
      </w:r>
      <w:r>
        <w:fldChar w:fldCharType="begin"/>
      </w:r>
      <w:r>
        <w:instrText xml:space="preserve"> PAGEREF _Toc4690 \h </w:instrText>
      </w:r>
      <w:r>
        <w:fldChar w:fldCharType="separate"/>
      </w:r>
      <w:r>
        <w:t>8</w:t>
      </w:r>
      <w:r>
        <w:fldChar w:fldCharType="end"/>
      </w:r>
      <w:r>
        <w:rPr>
          <w:rFonts w:ascii="Times New Roman" w:hAnsi="Times New Roman" w:eastAsia="宋体" w:cs="Times New Roman"/>
          <w:color w:val="auto"/>
          <w:szCs w:val="24"/>
          <w:highlight w:val="none"/>
        </w:rPr>
        <w:fldChar w:fldCharType="end"/>
      </w:r>
    </w:p>
    <w:p w14:paraId="4EE5B8A2">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_Toc14843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六、编制工作概况</w:t>
      </w:r>
      <w:r>
        <w:tab/>
      </w:r>
      <w:r>
        <w:fldChar w:fldCharType="begin"/>
      </w:r>
      <w:r>
        <w:instrText xml:space="preserve"> PAGEREF _Toc14843 \h </w:instrText>
      </w:r>
      <w:r>
        <w:fldChar w:fldCharType="separate"/>
      </w:r>
      <w:r>
        <w:t>9</w:t>
      </w:r>
      <w:r>
        <w:fldChar w:fldCharType="end"/>
      </w:r>
      <w:r>
        <w:rPr>
          <w:rFonts w:ascii="Times New Roman" w:hAnsi="Times New Roman" w:eastAsia="宋体" w:cs="Times New Roman"/>
          <w:color w:val="auto"/>
          <w:szCs w:val="24"/>
          <w:highlight w:val="none"/>
        </w:rPr>
        <w:fldChar w:fldCharType="end"/>
      </w:r>
    </w:p>
    <w:p w14:paraId="4CD45746">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_Toc12690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（一）工作程序</w:t>
      </w:r>
      <w:r>
        <w:tab/>
      </w:r>
      <w:r>
        <w:fldChar w:fldCharType="begin"/>
      </w:r>
      <w:r>
        <w:instrText xml:space="preserve"> PAGEREF _Toc12690 \h </w:instrText>
      </w:r>
      <w:r>
        <w:fldChar w:fldCharType="separate"/>
      </w:r>
      <w:r>
        <w:t>9</w:t>
      </w:r>
      <w:r>
        <w:fldChar w:fldCharType="end"/>
      </w:r>
      <w:r>
        <w:rPr>
          <w:rFonts w:ascii="Times New Roman" w:hAnsi="Times New Roman" w:eastAsia="宋体" w:cs="Times New Roman"/>
          <w:color w:val="auto"/>
          <w:szCs w:val="24"/>
          <w:highlight w:val="none"/>
        </w:rPr>
        <w:fldChar w:fldCharType="end"/>
      </w:r>
    </w:p>
    <w:p w14:paraId="3B1EC474">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_Toc23558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（二）工作方法</w:t>
      </w:r>
      <w:r>
        <w:tab/>
      </w:r>
      <w:r>
        <w:fldChar w:fldCharType="begin"/>
      </w:r>
      <w:r>
        <w:instrText xml:space="preserve"> PAGEREF _Toc23558 \h </w:instrText>
      </w:r>
      <w:r>
        <w:fldChar w:fldCharType="separate"/>
      </w:r>
      <w:r>
        <w:t>10</w:t>
      </w:r>
      <w:r>
        <w:fldChar w:fldCharType="end"/>
      </w:r>
      <w:r>
        <w:rPr>
          <w:rFonts w:ascii="Times New Roman" w:hAnsi="Times New Roman" w:eastAsia="宋体" w:cs="Times New Roman"/>
          <w:color w:val="auto"/>
          <w:szCs w:val="24"/>
          <w:highlight w:val="none"/>
        </w:rPr>
        <w:fldChar w:fldCharType="end"/>
      </w:r>
    </w:p>
    <w:p w14:paraId="215BCCAC">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_Toc21041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highlight w:val="none"/>
        </w:rPr>
        <w:t>（三）现场调查工作量</w:t>
      </w:r>
      <w:r>
        <w:tab/>
      </w:r>
      <w:r>
        <w:fldChar w:fldCharType="begin"/>
      </w:r>
      <w:r>
        <w:instrText xml:space="preserve"> PAGEREF _Toc21041 \h </w:instrText>
      </w:r>
      <w:r>
        <w:fldChar w:fldCharType="separate"/>
      </w:r>
      <w:r>
        <w:t>12</w:t>
      </w:r>
      <w:r>
        <w:fldChar w:fldCharType="end"/>
      </w:r>
      <w:r>
        <w:rPr>
          <w:rFonts w:ascii="Times New Roman" w:hAnsi="Times New Roman" w:eastAsia="宋体" w:cs="Times New Roman"/>
          <w:color w:val="auto"/>
          <w:szCs w:val="24"/>
          <w:highlight w:val="none"/>
        </w:rPr>
        <w:fldChar w:fldCharType="end"/>
      </w:r>
    </w:p>
    <w:p w14:paraId="0564F4F0">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_Toc21387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44"/>
          <w:highlight w:val="none"/>
        </w:rPr>
        <w:t>第1章  矿山基本情况</w:t>
      </w:r>
      <w:r>
        <w:tab/>
      </w:r>
      <w:r>
        <w:fldChar w:fldCharType="begin"/>
      </w:r>
      <w:r>
        <w:instrText xml:space="preserve"> PAGEREF _Toc21387 \h </w:instrText>
      </w:r>
      <w:r>
        <w:fldChar w:fldCharType="separate"/>
      </w:r>
      <w:r>
        <w:t>14</w:t>
      </w:r>
      <w:r>
        <w:fldChar w:fldCharType="end"/>
      </w:r>
      <w:r>
        <w:rPr>
          <w:rFonts w:ascii="Times New Roman" w:hAnsi="Times New Roman" w:eastAsia="宋体" w:cs="Times New Roman"/>
          <w:color w:val="auto"/>
          <w:szCs w:val="24"/>
          <w:highlight w:val="none"/>
        </w:rPr>
        <w:fldChar w:fldCharType="end"/>
      </w:r>
    </w:p>
    <w:p w14:paraId="6EB338F7">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_Toc5782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一、</w:t>
      </w:r>
      <w:r>
        <w:rPr>
          <w:rFonts w:ascii="Times New Roman" w:hAnsi="Times New Roman" w:eastAsia="宋体" w:cs="Times New Roman"/>
          <w:bCs/>
          <w:szCs w:val="32"/>
          <w:highlight w:val="none"/>
          <w:lang w:val="zh-CN"/>
        </w:rPr>
        <w:t>矿山简介</w:t>
      </w:r>
      <w:r>
        <w:tab/>
      </w:r>
      <w:r>
        <w:fldChar w:fldCharType="begin"/>
      </w:r>
      <w:r>
        <w:instrText xml:space="preserve"> PAGEREF _Toc5782 \h </w:instrText>
      </w:r>
      <w:r>
        <w:fldChar w:fldCharType="separate"/>
      </w:r>
      <w:r>
        <w:t>14</w:t>
      </w:r>
      <w:r>
        <w:fldChar w:fldCharType="end"/>
      </w:r>
      <w:r>
        <w:rPr>
          <w:rFonts w:ascii="Times New Roman" w:hAnsi="Times New Roman" w:eastAsia="宋体" w:cs="Times New Roman"/>
          <w:color w:val="auto"/>
          <w:szCs w:val="24"/>
          <w:highlight w:val="none"/>
        </w:rPr>
        <w:fldChar w:fldCharType="end"/>
      </w:r>
    </w:p>
    <w:p w14:paraId="569AD003">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_Toc24602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lang w:val="zh-CN"/>
        </w:rPr>
        <w:t>二、</w:t>
      </w:r>
      <w:r>
        <w:rPr>
          <w:rFonts w:hint="eastAsia" w:ascii="Times New Roman" w:hAnsi="Times New Roman" w:eastAsia="宋体" w:cs="Times New Roman"/>
          <w:highlight w:val="none"/>
          <w:lang w:val="en-US" w:eastAsia="zh-CN"/>
        </w:rPr>
        <w:t>采矿权</w:t>
      </w:r>
      <w:r>
        <w:rPr>
          <w:rFonts w:ascii="Times New Roman" w:hAnsi="Times New Roman" w:eastAsia="宋体" w:cs="Times New Roman"/>
          <w:highlight w:val="none"/>
          <w:lang w:val="zh-CN"/>
        </w:rPr>
        <w:t>范围及拐点坐标</w:t>
      </w:r>
      <w:r>
        <w:tab/>
      </w:r>
      <w:r>
        <w:fldChar w:fldCharType="begin"/>
      </w:r>
      <w:r>
        <w:instrText xml:space="preserve"> PAGEREF _Toc24602 \h </w:instrText>
      </w:r>
      <w:r>
        <w:fldChar w:fldCharType="separate"/>
      </w:r>
      <w:r>
        <w:t>15</w:t>
      </w:r>
      <w:r>
        <w:fldChar w:fldCharType="end"/>
      </w:r>
      <w:r>
        <w:rPr>
          <w:rFonts w:ascii="Times New Roman" w:hAnsi="Times New Roman" w:eastAsia="宋体" w:cs="Times New Roman"/>
          <w:color w:val="auto"/>
          <w:szCs w:val="24"/>
          <w:highlight w:val="none"/>
        </w:rPr>
        <w:fldChar w:fldCharType="end"/>
      </w:r>
    </w:p>
    <w:p w14:paraId="3DB563E0">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_Toc21458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三、</w:t>
      </w:r>
      <w:r>
        <w:rPr>
          <w:rFonts w:ascii="Times New Roman" w:hAnsi="Times New Roman" w:eastAsia="宋体" w:cs="Times New Roman"/>
          <w:highlight w:val="none"/>
          <w:lang w:val="zh-CN"/>
        </w:rPr>
        <w:t>矿山开发利用方案概述</w:t>
      </w:r>
      <w:r>
        <w:tab/>
      </w:r>
      <w:r>
        <w:fldChar w:fldCharType="begin"/>
      </w:r>
      <w:r>
        <w:instrText xml:space="preserve"> PAGEREF _Toc21458 \h </w:instrText>
      </w:r>
      <w:r>
        <w:fldChar w:fldCharType="separate"/>
      </w:r>
      <w:r>
        <w:t>15</w:t>
      </w:r>
      <w:r>
        <w:fldChar w:fldCharType="end"/>
      </w:r>
      <w:r>
        <w:rPr>
          <w:rFonts w:ascii="Times New Roman" w:hAnsi="Times New Roman" w:eastAsia="宋体" w:cs="Times New Roman"/>
          <w:color w:val="auto"/>
          <w:szCs w:val="24"/>
          <w:highlight w:val="none"/>
        </w:rPr>
        <w:fldChar w:fldCharType="end"/>
      </w:r>
    </w:p>
    <w:p w14:paraId="1012963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_Toc12112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szCs w:val="28"/>
          <w:highlight w:val="none"/>
          <w:lang w:eastAsia="zh-CN"/>
        </w:rPr>
        <w:t>（</w:t>
      </w:r>
      <w:r>
        <w:rPr>
          <w:rFonts w:hint="eastAsia" w:ascii="Times New Roman" w:hAnsi="Times New Roman" w:eastAsia="宋体" w:cs="Times New Roman"/>
          <w:szCs w:val="28"/>
          <w:highlight w:val="none"/>
          <w:lang w:val="en-US" w:eastAsia="zh-CN"/>
        </w:rPr>
        <w:t>一</w:t>
      </w:r>
      <w:r>
        <w:rPr>
          <w:rFonts w:hint="eastAsia" w:ascii="Times New Roman" w:hAnsi="Times New Roman" w:eastAsia="宋体" w:cs="Times New Roman"/>
          <w:szCs w:val="28"/>
          <w:highlight w:val="none"/>
          <w:lang w:eastAsia="zh-CN"/>
        </w:rPr>
        <w:t>）</w:t>
      </w:r>
      <w:r>
        <w:rPr>
          <w:rFonts w:hint="eastAsia" w:ascii="Times New Roman" w:hAnsi="Times New Roman" w:eastAsia="宋体" w:cs="Times New Roman"/>
          <w:szCs w:val="28"/>
          <w:highlight w:val="none"/>
        </w:rPr>
        <w:t>矿床开采方式和开采顺序</w:t>
      </w:r>
      <w:r>
        <w:tab/>
      </w:r>
      <w:r>
        <w:fldChar w:fldCharType="begin"/>
      </w:r>
      <w:r>
        <w:instrText xml:space="preserve"> PAGEREF _Toc12112 \h </w:instrText>
      </w:r>
      <w:r>
        <w:fldChar w:fldCharType="separate"/>
      </w:r>
      <w:r>
        <w:t>15</w:t>
      </w:r>
      <w:r>
        <w:fldChar w:fldCharType="end"/>
      </w:r>
      <w:r>
        <w:rPr>
          <w:rFonts w:ascii="Times New Roman" w:hAnsi="Times New Roman" w:eastAsia="宋体" w:cs="Times New Roman"/>
          <w:color w:val="auto"/>
          <w:szCs w:val="24"/>
          <w:highlight w:val="none"/>
        </w:rPr>
        <w:fldChar w:fldCharType="end"/>
      </w:r>
    </w:p>
    <w:p w14:paraId="039F3262">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_Toc17042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szCs w:val="28"/>
        </w:rPr>
        <w:t xml:space="preserve">（二） </w:t>
      </w:r>
      <w:r>
        <w:rPr>
          <w:rFonts w:hint="eastAsia" w:ascii="Times New Roman" w:hAnsi="Times New Roman" w:eastAsia="宋体" w:cs="Times New Roman"/>
          <w:szCs w:val="28"/>
          <w:highlight w:val="none"/>
        </w:rPr>
        <w:t>开采运输方案</w:t>
      </w:r>
      <w:r>
        <w:tab/>
      </w:r>
      <w:r>
        <w:fldChar w:fldCharType="begin"/>
      </w:r>
      <w:r>
        <w:instrText xml:space="preserve"> PAGEREF _Toc17042 \h </w:instrText>
      </w:r>
      <w:r>
        <w:fldChar w:fldCharType="separate"/>
      </w:r>
      <w:r>
        <w:t>16</w:t>
      </w:r>
      <w:r>
        <w:fldChar w:fldCharType="end"/>
      </w:r>
      <w:r>
        <w:rPr>
          <w:rFonts w:ascii="Times New Roman" w:hAnsi="Times New Roman" w:eastAsia="宋体" w:cs="Times New Roman"/>
          <w:color w:val="auto"/>
          <w:szCs w:val="24"/>
          <w:highlight w:val="none"/>
        </w:rPr>
        <w:fldChar w:fldCharType="end"/>
      </w:r>
    </w:p>
    <w:p w14:paraId="17274ED4">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_Toc31368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szCs w:val="28"/>
        </w:rPr>
        <w:t xml:space="preserve">（三） </w:t>
      </w:r>
      <w:r>
        <w:rPr>
          <w:rFonts w:hint="eastAsia" w:ascii="Times New Roman" w:hAnsi="Times New Roman" w:eastAsia="宋体" w:cs="Times New Roman"/>
          <w:szCs w:val="28"/>
          <w:highlight w:val="none"/>
        </w:rPr>
        <w:t>采场边坡要素</w:t>
      </w:r>
      <w:r>
        <w:tab/>
      </w:r>
      <w:r>
        <w:fldChar w:fldCharType="begin"/>
      </w:r>
      <w:r>
        <w:instrText xml:space="preserve"> PAGEREF _Toc31368 \h </w:instrText>
      </w:r>
      <w:r>
        <w:fldChar w:fldCharType="separate"/>
      </w:r>
      <w:r>
        <w:t>16</w:t>
      </w:r>
      <w:r>
        <w:fldChar w:fldCharType="end"/>
      </w:r>
      <w:r>
        <w:rPr>
          <w:rFonts w:ascii="Times New Roman" w:hAnsi="Times New Roman" w:eastAsia="宋体" w:cs="Times New Roman"/>
          <w:color w:val="auto"/>
          <w:szCs w:val="24"/>
          <w:highlight w:val="none"/>
        </w:rPr>
        <w:fldChar w:fldCharType="end"/>
      </w:r>
    </w:p>
    <w:p w14:paraId="15476C4A">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_Toc5284 </w:instrText>
      </w:r>
      <w:r>
        <w:rPr>
          <w:rFonts w:ascii="Times New Roman" w:hAnsi="Times New Roman" w:eastAsia="宋体" w:cs="Times New Roman"/>
          <w:szCs w:val="24"/>
          <w:highlight w:val="none"/>
        </w:rPr>
        <w:fldChar w:fldCharType="separate"/>
      </w:r>
      <w:r>
        <w:rPr>
          <w:rFonts w:hint="eastAsia"/>
        </w:rPr>
        <w:t>（</w:t>
      </w:r>
      <w:r>
        <w:rPr>
          <w:rFonts w:hint="eastAsia"/>
          <w:lang w:val="en-US" w:eastAsia="zh-CN"/>
        </w:rPr>
        <w:t>四</w:t>
      </w:r>
      <w:r>
        <w:rPr>
          <w:rFonts w:hint="eastAsia"/>
        </w:rPr>
        <w:t>）排土场设计情况</w:t>
      </w:r>
      <w:r>
        <w:tab/>
      </w:r>
      <w:r>
        <w:fldChar w:fldCharType="begin"/>
      </w:r>
      <w:r>
        <w:instrText xml:space="preserve"> PAGEREF _Toc5284 \h </w:instrText>
      </w:r>
      <w:r>
        <w:fldChar w:fldCharType="separate"/>
      </w:r>
      <w:r>
        <w:t>17</w:t>
      </w:r>
      <w:r>
        <w:fldChar w:fldCharType="end"/>
      </w:r>
      <w:r>
        <w:rPr>
          <w:rFonts w:ascii="Times New Roman" w:hAnsi="Times New Roman" w:eastAsia="宋体" w:cs="Times New Roman"/>
          <w:color w:val="auto"/>
          <w:szCs w:val="24"/>
          <w:highlight w:val="none"/>
        </w:rPr>
        <w:fldChar w:fldCharType="end"/>
      </w:r>
    </w:p>
    <w:p w14:paraId="0D5C45FB">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_Toc31436 </w:instrText>
      </w:r>
      <w:r>
        <w:rPr>
          <w:rFonts w:ascii="Times New Roman" w:hAnsi="Times New Roman" w:eastAsia="宋体" w:cs="Times New Roman"/>
          <w:szCs w:val="24"/>
          <w:highlight w:val="none"/>
        </w:rPr>
        <w:fldChar w:fldCharType="separate"/>
      </w:r>
      <w:r>
        <w:rPr>
          <w:rFonts w:hint="eastAsia"/>
        </w:rPr>
        <w:t>（</w:t>
      </w:r>
      <w:r>
        <w:rPr>
          <w:rFonts w:hint="eastAsia"/>
          <w:lang w:val="en-US" w:eastAsia="zh-CN"/>
        </w:rPr>
        <w:t>五</w:t>
      </w:r>
      <w:r>
        <w:rPr>
          <w:rFonts w:hint="eastAsia"/>
        </w:rPr>
        <w:t>）矿床开采</w:t>
      </w:r>
      <w:r>
        <w:tab/>
      </w:r>
      <w:r>
        <w:fldChar w:fldCharType="begin"/>
      </w:r>
      <w:r>
        <w:instrText xml:space="preserve"> PAGEREF _Toc31436 \h </w:instrText>
      </w:r>
      <w:r>
        <w:fldChar w:fldCharType="separate"/>
      </w:r>
      <w:r>
        <w:t>17</w:t>
      </w:r>
      <w:r>
        <w:fldChar w:fldCharType="end"/>
      </w:r>
      <w:r>
        <w:rPr>
          <w:rFonts w:ascii="Times New Roman" w:hAnsi="Times New Roman" w:eastAsia="宋体" w:cs="Times New Roman"/>
          <w:color w:val="auto"/>
          <w:szCs w:val="24"/>
          <w:highlight w:val="none"/>
        </w:rPr>
        <w:fldChar w:fldCharType="end"/>
      </w:r>
    </w:p>
    <w:p w14:paraId="3DF6EA26">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_Toc31631 </w:instrText>
      </w:r>
      <w:r>
        <w:rPr>
          <w:rFonts w:ascii="Times New Roman" w:hAnsi="Times New Roman" w:eastAsia="宋体" w:cs="Times New Roman"/>
          <w:szCs w:val="24"/>
          <w:highlight w:val="none"/>
        </w:rPr>
        <w:fldChar w:fldCharType="separate"/>
      </w:r>
      <w:r>
        <w:rPr>
          <w:rFonts w:hint="eastAsia"/>
        </w:rPr>
        <w:t>（</w:t>
      </w:r>
      <w:r>
        <w:rPr>
          <w:rFonts w:hint="eastAsia"/>
          <w:lang w:val="en-US" w:eastAsia="zh-CN"/>
        </w:rPr>
        <w:t>六</w:t>
      </w:r>
      <w:r>
        <w:rPr>
          <w:rFonts w:hint="eastAsia"/>
        </w:rPr>
        <w:t>）固体废弃物和废水的排放和处理情况</w:t>
      </w:r>
      <w:r>
        <w:tab/>
      </w:r>
      <w:r>
        <w:fldChar w:fldCharType="begin"/>
      </w:r>
      <w:r>
        <w:instrText xml:space="preserve"> PAGEREF _Toc31631 \h </w:instrText>
      </w:r>
      <w:r>
        <w:fldChar w:fldCharType="separate"/>
      </w:r>
      <w:r>
        <w:t>18</w:t>
      </w:r>
      <w:r>
        <w:fldChar w:fldCharType="end"/>
      </w:r>
      <w:r>
        <w:rPr>
          <w:rFonts w:ascii="Times New Roman" w:hAnsi="Times New Roman" w:eastAsia="宋体" w:cs="Times New Roman"/>
          <w:color w:val="auto"/>
          <w:szCs w:val="24"/>
          <w:highlight w:val="none"/>
        </w:rPr>
        <w:fldChar w:fldCharType="end"/>
      </w:r>
    </w:p>
    <w:p w14:paraId="134BF06C">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_Toc11652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44"/>
          <w:highlight w:val="none"/>
        </w:rPr>
        <w:t>第2章  矿区基础信息</w:t>
      </w:r>
      <w:r>
        <w:tab/>
      </w:r>
      <w:r>
        <w:fldChar w:fldCharType="begin"/>
      </w:r>
      <w:r>
        <w:instrText xml:space="preserve"> PAGEREF _Toc11652 \h </w:instrText>
      </w:r>
      <w:r>
        <w:fldChar w:fldCharType="separate"/>
      </w:r>
      <w:r>
        <w:t>22</w:t>
      </w:r>
      <w:r>
        <w:fldChar w:fldCharType="end"/>
      </w:r>
      <w:r>
        <w:rPr>
          <w:rFonts w:ascii="Times New Roman" w:hAnsi="Times New Roman" w:eastAsia="宋体" w:cs="Times New Roman"/>
          <w:color w:val="auto"/>
          <w:szCs w:val="24"/>
          <w:highlight w:val="none"/>
        </w:rPr>
        <w:fldChar w:fldCharType="end"/>
      </w:r>
    </w:p>
    <w:p w14:paraId="608E5772">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_Toc20758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32"/>
          <w:highlight w:val="none"/>
        </w:rPr>
        <w:t>一、</w:t>
      </w:r>
      <w:r>
        <w:rPr>
          <w:rFonts w:ascii="Times New Roman" w:hAnsi="Times New Roman" w:eastAsia="宋体" w:cs="Times New Roman"/>
          <w:bCs/>
          <w:szCs w:val="32"/>
          <w:highlight w:val="none"/>
          <w:lang w:val="zh-CN"/>
        </w:rPr>
        <w:t>矿区自然地理</w:t>
      </w:r>
      <w:r>
        <w:tab/>
      </w:r>
      <w:r>
        <w:fldChar w:fldCharType="begin"/>
      </w:r>
      <w:r>
        <w:instrText xml:space="preserve"> PAGEREF _Toc20758 \h </w:instrText>
      </w:r>
      <w:r>
        <w:fldChar w:fldCharType="separate"/>
      </w:r>
      <w:r>
        <w:t>22</w:t>
      </w:r>
      <w:r>
        <w:fldChar w:fldCharType="end"/>
      </w:r>
      <w:r>
        <w:rPr>
          <w:rFonts w:ascii="Times New Roman" w:hAnsi="Times New Roman" w:eastAsia="宋体" w:cs="Times New Roman"/>
          <w:color w:val="auto"/>
          <w:szCs w:val="24"/>
          <w:highlight w:val="none"/>
        </w:rPr>
        <w:fldChar w:fldCharType="end"/>
      </w:r>
    </w:p>
    <w:p w14:paraId="1CF897F3">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_Toc30591 </w:instrText>
      </w:r>
      <w:r>
        <w:rPr>
          <w:rFonts w:ascii="Times New Roman" w:hAnsi="Times New Roman" w:eastAsia="宋体" w:cs="Times New Roman"/>
          <w:szCs w:val="24"/>
          <w:highlight w:val="none"/>
        </w:rPr>
        <w:fldChar w:fldCharType="separate"/>
      </w:r>
      <w:r>
        <w:rPr>
          <w:rFonts w:hint="eastAsia"/>
        </w:rPr>
        <w:t>（一）气象</w:t>
      </w:r>
      <w:r>
        <w:tab/>
      </w:r>
      <w:r>
        <w:fldChar w:fldCharType="begin"/>
      </w:r>
      <w:r>
        <w:instrText xml:space="preserve"> PAGEREF _Toc30591 \h </w:instrText>
      </w:r>
      <w:r>
        <w:fldChar w:fldCharType="separate"/>
      </w:r>
      <w:r>
        <w:t>22</w:t>
      </w:r>
      <w:r>
        <w:fldChar w:fldCharType="end"/>
      </w:r>
      <w:r>
        <w:rPr>
          <w:rFonts w:ascii="Times New Roman" w:hAnsi="Times New Roman" w:eastAsia="宋体" w:cs="Times New Roman"/>
          <w:color w:val="auto"/>
          <w:szCs w:val="24"/>
          <w:highlight w:val="none"/>
        </w:rPr>
        <w:fldChar w:fldCharType="end"/>
      </w:r>
    </w:p>
    <w:p w14:paraId="29340854">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_Toc22680 </w:instrText>
      </w:r>
      <w:r>
        <w:rPr>
          <w:rFonts w:ascii="Times New Roman" w:hAnsi="Times New Roman" w:eastAsia="宋体" w:cs="Times New Roman"/>
          <w:szCs w:val="24"/>
          <w:highlight w:val="none"/>
        </w:rPr>
        <w:fldChar w:fldCharType="separate"/>
      </w:r>
      <w:r>
        <w:rPr>
          <w:rFonts w:hint="eastAsia"/>
        </w:rPr>
        <w:t>（二）水文</w:t>
      </w:r>
      <w:r>
        <w:tab/>
      </w:r>
      <w:r>
        <w:fldChar w:fldCharType="begin"/>
      </w:r>
      <w:r>
        <w:instrText xml:space="preserve"> PAGEREF _Toc22680 \h </w:instrText>
      </w:r>
      <w:r>
        <w:fldChar w:fldCharType="separate"/>
      </w:r>
      <w:r>
        <w:t>22</w:t>
      </w:r>
      <w:r>
        <w:fldChar w:fldCharType="end"/>
      </w:r>
      <w:r>
        <w:rPr>
          <w:rFonts w:ascii="Times New Roman" w:hAnsi="Times New Roman" w:eastAsia="宋体" w:cs="Times New Roman"/>
          <w:color w:val="auto"/>
          <w:szCs w:val="24"/>
          <w:highlight w:val="none"/>
        </w:rPr>
        <w:fldChar w:fldCharType="end"/>
      </w:r>
    </w:p>
    <w:p w14:paraId="298A7B16">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_Toc24894 </w:instrText>
      </w:r>
      <w:r>
        <w:rPr>
          <w:rFonts w:ascii="Times New Roman" w:hAnsi="Times New Roman" w:eastAsia="宋体" w:cs="Times New Roman"/>
          <w:szCs w:val="24"/>
          <w:highlight w:val="none"/>
        </w:rPr>
        <w:fldChar w:fldCharType="separate"/>
      </w:r>
      <w:r>
        <w:rPr>
          <w:rFonts w:hint="eastAsia"/>
        </w:rPr>
        <w:t>（三）地形地貌</w:t>
      </w:r>
      <w:r>
        <w:tab/>
      </w:r>
      <w:r>
        <w:fldChar w:fldCharType="begin"/>
      </w:r>
      <w:r>
        <w:instrText xml:space="preserve"> PAGEREF _Toc24894 \h </w:instrText>
      </w:r>
      <w:r>
        <w:fldChar w:fldCharType="separate"/>
      </w:r>
      <w:r>
        <w:t>23</w:t>
      </w:r>
      <w:r>
        <w:fldChar w:fldCharType="end"/>
      </w:r>
      <w:r>
        <w:rPr>
          <w:rFonts w:ascii="Times New Roman" w:hAnsi="Times New Roman" w:eastAsia="宋体" w:cs="Times New Roman"/>
          <w:color w:val="auto"/>
          <w:szCs w:val="24"/>
          <w:highlight w:val="none"/>
        </w:rPr>
        <w:fldChar w:fldCharType="end"/>
      </w:r>
    </w:p>
    <w:p w14:paraId="6D2D455C">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_Toc2219 </w:instrText>
      </w:r>
      <w:r>
        <w:rPr>
          <w:rFonts w:ascii="Times New Roman" w:hAnsi="Times New Roman" w:eastAsia="宋体" w:cs="Times New Roman"/>
          <w:szCs w:val="24"/>
          <w:highlight w:val="none"/>
        </w:rPr>
        <w:fldChar w:fldCharType="separate"/>
      </w:r>
      <w:r>
        <w:rPr>
          <w:rFonts w:hint="eastAsia"/>
        </w:rPr>
        <w:t>（四）植被</w:t>
      </w:r>
      <w:r>
        <w:tab/>
      </w:r>
      <w:r>
        <w:fldChar w:fldCharType="begin"/>
      </w:r>
      <w:r>
        <w:instrText xml:space="preserve"> PAGEREF _Toc2219 \h </w:instrText>
      </w:r>
      <w:r>
        <w:fldChar w:fldCharType="separate"/>
      </w:r>
      <w:r>
        <w:t>24</w:t>
      </w:r>
      <w:r>
        <w:fldChar w:fldCharType="end"/>
      </w:r>
      <w:r>
        <w:rPr>
          <w:rFonts w:ascii="Times New Roman" w:hAnsi="Times New Roman" w:eastAsia="宋体" w:cs="Times New Roman"/>
          <w:color w:val="auto"/>
          <w:szCs w:val="24"/>
          <w:highlight w:val="none"/>
        </w:rPr>
        <w:fldChar w:fldCharType="end"/>
      </w:r>
    </w:p>
    <w:p w14:paraId="776DE97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_Toc16049 </w:instrText>
      </w:r>
      <w:r>
        <w:rPr>
          <w:rFonts w:ascii="Times New Roman" w:hAnsi="Times New Roman" w:eastAsia="宋体" w:cs="Times New Roman"/>
          <w:szCs w:val="24"/>
          <w:highlight w:val="none"/>
        </w:rPr>
        <w:fldChar w:fldCharType="separate"/>
      </w:r>
      <w:r>
        <w:rPr>
          <w:rFonts w:hint="eastAsia"/>
        </w:rPr>
        <w:t>（五）土壤</w:t>
      </w:r>
      <w:r>
        <w:tab/>
      </w:r>
      <w:r>
        <w:fldChar w:fldCharType="begin"/>
      </w:r>
      <w:r>
        <w:instrText xml:space="preserve"> PAGEREF _Toc16049 \h </w:instrText>
      </w:r>
      <w:r>
        <w:fldChar w:fldCharType="separate"/>
      </w:r>
      <w:r>
        <w:t>24</w:t>
      </w:r>
      <w:r>
        <w:fldChar w:fldCharType="end"/>
      </w:r>
      <w:r>
        <w:rPr>
          <w:rFonts w:ascii="Times New Roman" w:hAnsi="Times New Roman" w:eastAsia="宋体" w:cs="Times New Roman"/>
          <w:color w:val="auto"/>
          <w:szCs w:val="24"/>
          <w:highlight w:val="none"/>
        </w:rPr>
        <w:fldChar w:fldCharType="end"/>
      </w:r>
    </w:p>
    <w:p w14:paraId="7390A7DC">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_Toc1645 </w:instrText>
      </w:r>
      <w:r>
        <w:rPr>
          <w:rFonts w:ascii="Times New Roman" w:hAnsi="Times New Roman" w:eastAsia="宋体" w:cs="Times New Roman"/>
          <w:szCs w:val="24"/>
          <w:highlight w:val="none"/>
        </w:rPr>
        <w:fldChar w:fldCharType="separate"/>
      </w:r>
      <w:r>
        <w:rPr>
          <w:rFonts w:hint="eastAsia"/>
        </w:rPr>
        <w:t>二、矿区地质环境背景</w:t>
      </w:r>
      <w:r>
        <w:tab/>
      </w:r>
      <w:r>
        <w:fldChar w:fldCharType="begin"/>
      </w:r>
      <w:r>
        <w:instrText xml:space="preserve"> PAGEREF _Toc1645 \h </w:instrText>
      </w:r>
      <w:r>
        <w:fldChar w:fldCharType="separate"/>
      </w:r>
      <w:r>
        <w:t>25</w:t>
      </w:r>
      <w:r>
        <w:fldChar w:fldCharType="end"/>
      </w:r>
      <w:r>
        <w:rPr>
          <w:rFonts w:ascii="Times New Roman" w:hAnsi="Times New Roman" w:eastAsia="宋体" w:cs="Times New Roman"/>
          <w:color w:val="auto"/>
          <w:szCs w:val="24"/>
          <w:highlight w:val="none"/>
        </w:rPr>
        <w:fldChar w:fldCharType="end"/>
      </w:r>
    </w:p>
    <w:p w14:paraId="54386CEA">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_Toc26050 </w:instrText>
      </w:r>
      <w:r>
        <w:rPr>
          <w:rFonts w:ascii="Times New Roman" w:hAnsi="Times New Roman" w:eastAsia="宋体" w:cs="Times New Roman"/>
          <w:szCs w:val="24"/>
          <w:highlight w:val="none"/>
        </w:rPr>
        <w:fldChar w:fldCharType="separate"/>
      </w:r>
      <w:r>
        <w:rPr>
          <w:rFonts w:hint="eastAsia"/>
        </w:rPr>
        <w:t>（一）地层岩性</w:t>
      </w:r>
      <w:r>
        <w:tab/>
      </w:r>
      <w:r>
        <w:fldChar w:fldCharType="begin"/>
      </w:r>
      <w:r>
        <w:instrText xml:space="preserve"> PAGEREF _Toc26050 \h </w:instrText>
      </w:r>
      <w:r>
        <w:fldChar w:fldCharType="separate"/>
      </w:r>
      <w:r>
        <w:t>25</w:t>
      </w:r>
      <w:r>
        <w:fldChar w:fldCharType="end"/>
      </w:r>
      <w:r>
        <w:rPr>
          <w:rFonts w:ascii="Times New Roman" w:hAnsi="Times New Roman" w:eastAsia="宋体" w:cs="Times New Roman"/>
          <w:color w:val="auto"/>
          <w:szCs w:val="24"/>
          <w:highlight w:val="none"/>
        </w:rPr>
        <w:fldChar w:fldCharType="end"/>
      </w:r>
    </w:p>
    <w:p w14:paraId="1D4A943E">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_Toc2129 </w:instrText>
      </w:r>
      <w:r>
        <w:rPr>
          <w:rFonts w:ascii="Times New Roman" w:hAnsi="Times New Roman" w:eastAsia="宋体" w:cs="Times New Roman"/>
          <w:szCs w:val="24"/>
          <w:highlight w:val="none"/>
        </w:rPr>
        <w:fldChar w:fldCharType="separate"/>
      </w:r>
      <w:r>
        <w:rPr>
          <w:rFonts w:hint="eastAsia"/>
        </w:rPr>
        <w:t>（二）地质构造</w:t>
      </w:r>
      <w:r>
        <w:tab/>
      </w:r>
      <w:r>
        <w:fldChar w:fldCharType="begin"/>
      </w:r>
      <w:r>
        <w:instrText xml:space="preserve"> PAGEREF _Toc2129 \h </w:instrText>
      </w:r>
      <w:r>
        <w:fldChar w:fldCharType="separate"/>
      </w:r>
      <w:r>
        <w:t>26</w:t>
      </w:r>
      <w:r>
        <w:fldChar w:fldCharType="end"/>
      </w:r>
      <w:r>
        <w:rPr>
          <w:rFonts w:ascii="Times New Roman" w:hAnsi="Times New Roman" w:eastAsia="宋体" w:cs="Times New Roman"/>
          <w:color w:val="auto"/>
          <w:szCs w:val="24"/>
          <w:highlight w:val="none"/>
        </w:rPr>
        <w:fldChar w:fldCharType="end"/>
      </w:r>
    </w:p>
    <w:p w14:paraId="320F801A">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_Toc29291 </w:instrText>
      </w:r>
      <w:r>
        <w:rPr>
          <w:rFonts w:ascii="Times New Roman" w:hAnsi="Times New Roman" w:eastAsia="宋体" w:cs="Times New Roman"/>
          <w:szCs w:val="24"/>
          <w:highlight w:val="none"/>
        </w:rPr>
        <w:fldChar w:fldCharType="separate"/>
      </w:r>
      <w:r>
        <w:rPr>
          <w:rFonts w:hint="eastAsia"/>
        </w:rPr>
        <w:t>（三）水文地质</w:t>
      </w:r>
      <w:r>
        <w:tab/>
      </w:r>
      <w:r>
        <w:fldChar w:fldCharType="begin"/>
      </w:r>
      <w:r>
        <w:instrText xml:space="preserve"> PAGEREF _Toc29291 \h </w:instrText>
      </w:r>
      <w:r>
        <w:fldChar w:fldCharType="separate"/>
      </w:r>
      <w:r>
        <w:t>28</w:t>
      </w:r>
      <w:r>
        <w:fldChar w:fldCharType="end"/>
      </w:r>
      <w:r>
        <w:rPr>
          <w:rFonts w:ascii="Times New Roman" w:hAnsi="Times New Roman" w:eastAsia="宋体" w:cs="Times New Roman"/>
          <w:color w:val="auto"/>
          <w:szCs w:val="24"/>
          <w:highlight w:val="none"/>
        </w:rPr>
        <w:fldChar w:fldCharType="end"/>
      </w:r>
    </w:p>
    <w:p w14:paraId="0024CF8F">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_Toc17532 </w:instrText>
      </w:r>
      <w:r>
        <w:rPr>
          <w:rFonts w:ascii="Times New Roman" w:hAnsi="Times New Roman" w:eastAsia="宋体" w:cs="Times New Roman"/>
          <w:szCs w:val="24"/>
          <w:highlight w:val="none"/>
        </w:rPr>
        <w:fldChar w:fldCharType="separate"/>
      </w:r>
      <w:r>
        <w:rPr>
          <w:rFonts w:hint="eastAsia"/>
        </w:rPr>
        <w:t>（四）工程地质</w:t>
      </w:r>
      <w:r>
        <w:tab/>
      </w:r>
      <w:r>
        <w:fldChar w:fldCharType="begin"/>
      </w:r>
      <w:r>
        <w:instrText xml:space="preserve"> PAGEREF _Toc17532 \h </w:instrText>
      </w:r>
      <w:r>
        <w:fldChar w:fldCharType="separate"/>
      </w:r>
      <w:r>
        <w:t>28</w:t>
      </w:r>
      <w:r>
        <w:fldChar w:fldCharType="end"/>
      </w:r>
      <w:r>
        <w:rPr>
          <w:rFonts w:ascii="Times New Roman" w:hAnsi="Times New Roman" w:eastAsia="宋体" w:cs="Times New Roman"/>
          <w:color w:val="auto"/>
          <w:szCs w:val="24"/>
          <w:highlight w:val="none"/>
        </w:rPr>
        <w:fldChar w:fldCharType="end"/>
      </w:r>
    </w:p>
    <w:p w14:paraId="486715B6">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_Toc19485 </w:instrText>
      </w:r>
      <w:r>
        <w:rPr>
          <w:rFonts w:ascii="Times New Roman" w:hAnsi="Times New Roman" w:eastAsia="宋体" w:cs="Times New Roman"/>
          <w:szCs w:val="24"/>
          <w:highlight w:val="none"/>
        </w:rPr>
        <w:fldChar w:fldCharType="separate"/>
      </w:r>
      <w:r>
        <w:rPr>
          <w:rFonts w:hint="eastAsia"/>
        </w:rPr>
        <w:t>（五）环境地质</w:t>
      </w:r>
      <w:r>
        <w:tab/>
      </w:r>
      <w:r>
        <w:fldChar w:fldCharType="begin"/>
      </w:r>
      <w:r>
        <w:instrText xml:space="preserve"> PAGEREF _Toc19485 \h </w:instrText>
      </w:r>
      <w:r>
        <w:fldChar w:fldCharType="separate"/>
      </w:r>
      <w:r>
        <w:t>29</w:t>
      </w:r>
      <w:r>
        <w:fldChar w:fldCharType="end"/>
      </w:r>
      <w:r>
        <w:rPr>
          <w:rFonts w:ascii="Times New Roman" w:hAnsi="Times New Roman" w:eastAsia="宋体" w:cs="Times New Roman"/>
          <w:color w:val="auto"/>
          <w:szCs w:val="24"/>
          <w:highlight w:val="none"/>
        </w:rPr>
        <w:fldChar w:fldCharType="end"/>
      </w:r>
    </w:p>
    <w:p w14:paraId="25EB69F8">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_Toc28399 </w:instrText>
      </w:r>
      <w:r>
        <w:rPr>
          <w:rFonts w:ascii="Times New Roman" w:hAnsi="Times New Roman" w:eastAsia="宋体" w:cs="Times New Roman"/>
          <w:szCs w:val="24"/>
          <w:highlight w:val="none"/>
        </w:rPr>
        <w:fldChar w:fldCharType="separate"/>
      </w:r>
      <w:r>
        <w:rPr>
          <w:rFonts w:hint="eastAsia"/>
        </w:rPr>
        <w:t>（六）矿体地质特征</w:t>
      </w:r>
      <w:r>
        <w:tab/>
      </w:r>
      <w:r>
        <w:fldChar w:fldCharType="begin"/>
      </w:r>
      <w:r>
        <w:instrText xml:space="preserve"> PAGEREF _Toc28399 \h </w:instrText>
      </w:r>
      <w:r>
        <w:fldChar w:fldCharType="separate"/>
      </w:r>
      <w:r>
        <w:t>29</w:t>
      </w:r>
      <w:r>
        <w:fldChar w:fldCharType="end"/>
      </w:r>
      <w:r>
        <w:rPr>
          <w:rFonts w:ascii="Times New Roman" w:hAnsi="Times New Roman" w:eastAsia="宋体" w:cs="Times New Roman"/>
          <w:color w:val="auto"/>
          <w:szCs w:val="24"/>
          <w:highlight w:val="none"/>
        </w:rPr>
        <w:fldChar w:fldCharType="end"/>
      </w:r>
    </w:p>
    <w:p w14:paraId="301DEF05">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_Toc32711 </w:instrText>
      </w:r>
      <w:r>
        <w:rPr>
          <w:rFonts w:ascii="Times New Roman" w:hAnsi="Times New Roman" w:eastAsia="宋体" w:cs="Times New Roman"/>
          <w:szCs w:val="24"/>
          <w:highlight w:val="none"/>
        </w:rPr>
        <w:fldChar w:fldCharType="separate"/>
      </w:r>
      <w:r>
        <w:rPr>
          <w:rFonts w:hint="eastAsia"/>
        </w:rPr>
        <w:t>三、矿区社会经济概况</w:t>
      </w:r>
      <w:r>
        <w:tab/>
      </w:r>
      <w:r>
        <w:fldChar w:fldCharType="begin"/>
      </w:r>
      <w:r>
        <w:instrText xml:space="preserve"> PAGEREF _Toc32711 \h </w:instrText>
      </w:r>
      <w:r>
        <w:fldChar w:fldCharType="separate"/>
      </w:r>
      <w:r>
        <w:t>30</w:t>
      </w:r>
      <w:r>
        <w:fldChar w:fldCharType="end"/>
      </w:r>
      <w:r>
        <w:rPr>
          <w:rFonts w:ascii="Times New Roman" w:hAnsi="Times New Roman" w:eastAsia="宋体" w:cs="Times New Roman"/>
          <w:color w:val="auto"/>
          <w:szCs w:val="24"/>
          <w:highlight w:val="none"/>
        </w:rPr>
        <w:fldChar w:fldCharType="end"/>
      </w:r>
    </w:p>
    <w:p w14:paraId="30C71287">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_Toc11788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四、矿区土地利用现状</w:t>
      </w:r>
      <w:r>
        <w:tab/>
      </w:r>
      <w:r>
        <w:fldChar w:fldCharType="begin"/>
      </w:r>
      <w:r>
        <w:instrText xml:space="preserve"> PAGEREF _Toc11788 \h </w:instrText>
      </w:r>
      <w:r>
        <w:fldChar w:fldCharType="separate"/>
      </w:r>
      <w:r>
        <w:t>30</w:t>
      </w:r>
      <w:r>
        <w:fldChar w:fldCharType="end"/>
      </w:r>
      <w:r>
        <w:rPr>
          <w:rFonts w:ascii="Times New Roman" w:hAnsi="Times New Roman" w:eastAsia="宋体" w:cs="Times New Roman"/>
          <w:color w:val="auto"/>
          <w:szCs w:val="24"/>
          <w:highlight w:val="none"/>
        </w:rPr>
        <w:fldChar w:fldCharType="end"/>
      </w:r>
    </w:p>
    <w:p w14:paraId="5B33F7B0">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_Toc23234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五、矿山及周边其他人类重大工程活动</w:t>
      </w:r>
      <w:r>
        <w:tab/>
      </w:r>
      <w:r>
        <w:fldChar w:fldCharType="begin"/>
      </w:r>
      <w:r>
        <w:instrText xml:space="preserve"> PAGEREF _Toc23234 \h </w:instrText>
      </w:r>
      <w:r>
        <w:fldChar w:fldCharType="separate"/>
      </w:r>
      <w:r>
        <w:t>31</w:t>
      </w:r>
      <w:r>
        <w:fldChar w:fldCharType="end"/>
      </w:r>
      <w:r>
        <w:rPr>
          <w:rFonts w:ascii="Times New Roman" w:hAnsi="Times New Roman" w:eastAsia="宋体" w:cs="Times New Roman"/>
          <w:color w:val="auto"/>
          <w:szCs w:val="24"/>
          <w:highlight w:val="none"/>
        </w:rPr>
        <w:fldChar w:fldCharType="end"/>
      </w:r>
    </w:p>
    <w:p w14:paraId="68C6B7A7">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_Toc24637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44"/>
          <w:highlight w:val="none"/>
        </w:rPr>
        <w:t>第3章 矿山地质环境影响和土地损毁评估</w:t>
      </w:r>
      <w:r>
        <w:tab/>
      </w:r>
      <w:r>
        <w:fldChar w:fldCharType="begin"/>
      </w:r>
      <w:r>
        <w:instrText xml:space="preserve"> PAGEREF _Toc24637 \h </w:instrText>
      </w:r>
      <w:r>
        <w:fldChar w:fldCharType="separate"/>
      </w:r>
      <w:r>
        <w:t>32</w:t>
      </w:r>
      <w:r>
        <w:fldChar w:fldCharType="end"/>
      </w:r>
      <w:r>
        <w:rPr>
          <w:rFonts w:ascii="Times New Roman" w:hAnsi="Times New Roman" w:eastAsia="宋体" w:cs="Times New Roman"/>
          <w:color w:val="auto"/>
          <w:szCs w:val="24"/>
          <w:highlight w:val="none"/>
        </w:rPr>
        <w:fldChar w:fldCharType="end"/>
      </w:r>
    </w:p>
    <w:p w14:paraId="72BD83A2">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_Toc22121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一、矿山地质环境与土地资源调查概述</w:t>
      </w:r>
      <w:r>
        <w:tab/>
      </w:r>
      <w:r>
        <w:fldChar w:fldCharType="begin"/>
      </w:r>
      <w:r>
        <w:instrText xml:space="preserve"> PAGEREF _Toc22121 \h </w:instrText>
      </w:r>
      <w:r>
        <w:fldChar w:fldCharType="separate"/>
      </w:r>
      <w:r>
        <w:t>32</w:t>
      </w:r>
      <w:r>
        <w:fldChar w:fldCharType="end"/>
      </w:r>
      <w:r>
        <w:rPr>
          <w:rFonts w:ascii="Times New Roman" w:hAnsi="Times New Roman" w:eastAsia="宋体" w:cs="Times New Roman"/>
          <w:color w:val="auto"/>
          <w:szCs w:val="24"/>
          <w:highlight w:val="none"/>
        </w:rPr>
        <w:fldChar w:fldCharType="end"/>
      </w:r>
    </w:p>
    <w:p w14:paraId="11D7E384">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_Toc9148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二、矿山地质环境影响评估</w:t>
      </w:r>
      <w:r>
        <w:tab/>
      </w:r>
      <w:r>
        <w:fldChar w:fldCharType="begin"/>
      </w:r>
      <w:r>
        <w:instrText xml:space="preserve"> PAGEREF _Toc9148 \h </w:instrText>
      </w:r>
      <w:r>
        <w:fldChar w:fldCharType="separate"/>
      </w:r>
      <w:r>
        <w:t>33</w:t>
      </w:r>
      <w:r>
        <w:fldChar w:fldCharType="end"/>
      </w:r>
      <w:r>
        <w:rPr>
          <w:rFonts w:ascii="Times New Roman" w:hAnsi="Times New Roman" w:eastAsia="宋体" w:cs="Times New Roman"/>
          <w:color w:val="auto"/>
          <w:szCs w:val="24"/>
          <w:highlight w:val="none"/>
        </w:rPr>
        <w:fldChar w:fldCharType="end"/>
      </w:r>
    </w:p>
    <w:p w14:paraId="22F521BC">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_Toc8492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（一）评估范围和评估级别</w:t>
      </w:r>
      <w:r>
        <w:tab/>
      </w:r>
      <w:r>
        <w:fldChar w:fldCharType="begin"/>
      </w:r>
      <w:r>
        <w:instrText xml:space="preserve"> PAGEREF _Toc8492 \h </w:instrText>
      </w:r>
      <w:r>
        <w:fldChar w:fldCharType="separate"/>
      </w:r>
      <w:r>
        <w:t>33</w:t>
      </w:r>
      <w:r>
        <w:fldChar w:fldCharType="end"/>
      </w:r>
      <w:r>
        <w:rPr>
          <w:rFonts w:ascii="Times New Roman" w:hAnsi="Times New Roman" w:eastAsia="宋体" w:cs="Times New Roman"/>
          <w:color w:val="auto"/>
          <w:szCs w:val="24"/>
          <w:highlight w:val="none"/>
        </w:rPr>
        <w:fldChar w:fldCharType="end"/>
      </w:r>
    </w:p>
    <w:p w14:paraId="30091A62">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_Toc23000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（二）矿山地质灾害现状分析与预测</w:t>
      </w:r>
      <w:r>
        <w:tab/>
      </w:r>
      <w:r>
        <w:fldChar w:fldCharType="begin"/>
      </w:r>
      <w:r>
        <w:instrText xml:space="preserve"> PAGEREF _Toc23000 \h </w:instrText>
      </w:r>
      <w:r>
        <w:fldChar w:fldCharType="separate"/>
      </w:r>
      <w:r>
        <w:t>37</w:t>
      </w:r>
      <w:r>
        <w:fldChar w:fldCharType="end"/>
      </w:r>
      <w:r>
        <w:rPr>
          <w:rFonts w:ascii="Times New Roman" w:hAnsi="Times New Roman" w:eastAsia="宋体" w:cs="Times New Roman"/>
          <w:color w:val="auto"/>
          <w:szCs w:val="24"/>
          <w:highlight w:val="none"/>
        </w:rPr>
        <w:fldChar w:fldCharType="end"/>
      </w:r>
    </w:p>
    <w:p w14:paraId="57B7E7BF">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_Toc14670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（三）矿区含水层损毁现状分析与预测</w:t>
      </w:r>
      <w:r>
        <w:tab/>
      </w:r>
      <w:r>
        <w:fldChar w:fldCharType="begin"/>
      </w:r>
      <w:r>
        <w:instrText xml:space="preserve"> PAGEREF _Toc14670 \h </w:instrText>
      </w:r>
      <w:r>
        <w:fldChar w:fldCharType="separate"/>
      </w:r>
      <w:r>
        <w:t>41</w:t>
      </w:r>
      <w:r>
        <w:fldChar w:fldCharType="end"/>
      </w:r>
      <w:r>
        <w:rPr>
          <w:rFonts w:ascii="Times New Roman" w:hAnsi="Times New Roman" w:eastAsia="宋体" w:cs="Times New Roman"/>
          <w:color w:val="auto"/>
          <w:szCs w:val="24"/>
          <w:highlight w:val="none"/>
        </w:rPr>
        <w:fldChar w:fldCharType="end"/>
      </w:r>
    </w:p>
    <w:p w14:paraId="5654755D">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_Toc26924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（四）</w:t>
      </w:r>
      <w:r>
        <w:rPr>
          <w:rFonts w:ascii="Times New Roman" w:hAnsi="Times New Roman" w:eastAsia="宋体" w:cs="Times New Roman"/>
          <w:spacing w:val="-6"/>
          <w:szCs w:val="28"/>
          <w:highlight w:val="none"/>
        </w:rPr>
        <w:t>矿区地形地貌景观（地质遗迹、人文景观）损毁现状分析与预测</w:t>
      </w:r>
      <w:r>
        <w:tab/>
      </w:r>
      <w:r>
        <w:fldChar w:fldCharType="begin"/>
      </w:r>
      <w:r>
        <w:instrText xml:space="preserve"> PAGEREF _Toc26924 \h </w:instrText>
      </w:r>
      <w:r>
        <w:fldChar w:fldCharType="separate"/>
      </w:r>
      <w:r>
        <w:t>42</w:t>
      </w:r>
      <w:r>
        <w:fldChar w:fldCharType="end"/>
      </w:r>
      <w:r>
        <w:rPr>
          <w:rFonts w:ascii="Times New Roman" w:hAnsi="Times New Roman" w:eastAsia="宋体" w:cs="Times New Roman"/>
          <w:color w:val="auto"/>
          <w:szCs w:val="24"/>
          <w:highlight w:val="none"/>
        </w:rPr>
        <w:fldChar w:fldCharType="end"/>
      </w:r>
    </w:p>
    <w:p w14:paraId="2630F5DE">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_Toc28356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（五）矿区水土环境污染现状分析与预测</w:t>
      </w:r>
      <w:r>
        <w:tab/>
      </w:r>
      <w:r>
        <w:fldChar w:fldCharType="begin"/>
      </w:r>
      <w:r>
        <w:instrText xml:space="preserve"> PAGEREF _Toc28356 \h </w:instrText>
      </w:r>
      <w:r>
        <w:fldChar w:fldCharType="separate"/>
      </w:r>
      <w:r>
        <w:t>42</w:t>
      </w:r>
      <w:r>
        <w:fldChar w:fldCharType="end"/>
      </w:r>
      <w:r>
        <w:rPr>
          <w:rFonts w:ascii="Times New Roman" w:hAnsi="Times New Roman" w:eastAsia="宋体" w:cs="Times New Roman"/>
          <w:color w:val="auto"/>
          <w:szCs w:val="24"/>
          <w:highlight w:val="none"/>
        </w:rPr>
        <w:fldChar w:fldCharType="end"/>
      </w:r>
    </w:p>
    <w:p w14:paraId="430E8344">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_Toc24214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（六）矿区环境影响评估小结</w:t>
      </w:r>
      <w:r>
        <w:tab/>
      </w:r>
      <w:r>
        <w:fldChar w:fldCharType="begin"/>
      </w:r>
      <w:r>
        <w:instrText xml:space="preserve"> PAGEREF _Toc24214 \h </w:instrText>
      </w:r>
      <w:r>
        <w:fldChar w:fldCharType="separate"/>
      </w:r>
      <w:r>
        <w:t>44</w:t>
      </w:r>
      <w:r>
        <w:fldChar w:fldCharType="end"/>
      </w:r>
      <w:r>
        <w:rPr>
          <w:rFonts w:ascii="Times New Roman" w:hAnsi="Times New Roman" w:eastAsia="宋体" w:cs="Times New Roman"/>
          <w:color w:val="auto"/>
          <w:szCs w:val="24"/>
          <w:highlight w:val="none"/>
        </w:rPr>
        <w:fldChar w:fldCharType="end"/>
      </w:r>
    </w:p>
    <w:p w14:paraId="69DE923D">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_Toc3269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三、矿山土地损毁预测与评估</w:t>
      </w:r>
      <w:r>
        <w:tab/>
      </w:r>
      <w:r>
        <w:fldChar w:fldCharType="begin"/>
      </w:r>
      <w:r>
        <w:instrText xml:space="preserve"> PAGEREF _Toc3269 \h </w:instrText>
      </w:r>
      <w:r>
        <w:fldChar w:fldCharType="separate"/>
      </w:r>
      <w:r>
        <w:t>44</w:t>
      </w:r>
      <w:r>
        <w:fldChar w:fldCharType="end"/>
      </w:r>
      <w:r>
        <w:rPr>
          <w:rFonts w:ascii="Times New Roman" w:hAnsi="Times New Roman" w:eastAsia="宋体" w:cs="Times New Roman"/>
          <w:color w:val="auto"/>
          <w:szCs w:val="24"/>
          <w:highlight w:val="none"/>
        </w:rPr>
        <w:fldChar w:fldCharType="end"/>
      </w:r>
    </w:p>
    <w:p w14:paraId="4C1AE46F">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_Toc19194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（一）土地损毁环节与时序</w:t>
      </w:r>
      <w:r>
        <w:tab/>
      </w:r>
      <w:r>
        <w:fldChar w:fldCharType="begin"/>
      </w:r>
      <w:r>
        <w:instrText xml:space="preserve"> PAGEREF _Toc19194 \h </w:instrText>
      </w:r>
      <w:r>
        <w:fldChar w:fldCharType="separate"/>
      </w:r>
      <w:r>
        <w:t>44</w:t>
      </w:r>
      <w:r>
        <w:fldChar w:fldCharType="end"/>
      </w:r>
      <w:r>
        <w:rPr>
          <w:rFonts w:ascii="Times New Roman" w:hAnsi="Times New Roman" w:eastAsia="宋体" w:cs="Times New Roman"/>
          <w:color w:val="auto"/>
          <w:szCs w:val="24"/>
          <w:highlight w:val="none"/>
        </w:rPr>
        <w:fldChar w:fldCharType="end"/>
      </w:r>
    </w:p>
    <w:p w14:paraId="7C426E4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_Toc12548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w:t>
      </w:r>
      <w:r>
        <w:rPr>
          <w:rFonts w:hint="eastAsia" w:ascii="Times New Roman" w:hAnsi="Times New Roman" w:eastAsia="宋体" w:cs="Times New Roman"/>
          <w:szCs w:val="28"/>
          <w:highlight w:val="none"/>
          <w:lang w:val="en-US" w:eastAsia="zh-CN"/>
        </w:rPr>
        <w:t>二</w:t>
      </w:r>
      <w:r>
        <w:rPr>
          <w:rFonts w:ascii="Times New Roman" w:hAnsi="Times New Roman" w:eastAsia="宋体" w:cs="Times New Roman"/>
          <w:szCs w:val="28"/>
          <w:highlight w:val="none"/>
        </w:rPr>
        <w:t>）拟损毁土地预测与评估</w:t>
      </w:r>
      <w:r>
        <w:tab/>
      </w:r>
      <w:r>
        <w:fldChar w:fldCharType="begin"/>
      </w:r>
      <w:r>
        <w:instrText xml:space="preserve"> PAGEREF _Toc12548 \h </w:instrText>
      </w:r>
      <w:r>
        <w:fldChar w:fldCharType="separate"/>
      </w:r>
      <w:r>
        <w:t>46</w:t>
      </w:r>
      <w:r>
        <w:fldChar w:fldCharType="end"/>
      </w:r>
      <w:r>
        <w:rPr>
          <w:rFonts w:ascii="Times New Roman" w:hAnsi="Times New Roman" w:eastAsia="宋体" w:cs="Times New Roman"/>
          <w:color w:val="auto"/>
          <w:szCs w:val="24"/>
          <w:highlight w:val="none"/>
        </w:rPr>
        <w:fldChar w:fldCharType="end"/>
      </w:r>
    </w:p>
    <w:p w14:paraId="32F9BE30">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_Toc27670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（四）土地损毁程度</w:t>
      </w:r>
      <w:r>
        <w:tab/>
      </w:r>
      <w:r>
        <w:fldChar w:fldCharType="begin"/>
      </w:r>
      <w:r>
        <w:instrText xml:space="preserve"> PAGEREF _Toc27670 \h </w:instrText>
      </w:r>
      <w:r>
        <w:fldChar w:fldCharType="separate"/>
      </w:r>
      <w:r>
        <w:t>49</w:t>
      </w:r>
      <w:r>
        <w:fldChar w:fldCharType="end"/>
      </w:r>
      <w:r>
        <w:rPr>
          <w:rFonts w:ascii="Times New Roman" w:hAnsi="Times New Roman" w:eastAsia="宋体" w:cs="Times New Roman"/>
          <w:color w:val="auto"/>
          <w:szCs w:val="24"/>
          <w:highlight w:val="none"/>
        </w:rPr>
        <w:fldChar w:fldCharType="end"/>
      </w:r>
    </w:p>
    <w:p w14:paraId="09A95056">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_Toc17850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四、矿山地质环境治理分区与土地复垦范围</w:t>
      </w:r>
      <w:r>
        <w:tab/>
      </w:r>
      <w:r>
        <w:fldChar w:fldCharType="begin"/>
      </w:r>
      <w:r>
        <w:instrText xml:space="preserve"> PAGEREF _Toc17850 \h </w:instrText>
      </w:r>
      <w:r>
        <w:fldChar w:fldCharType="separate"/>
      </w:r>
      <w:r>
        <w:t>50</w:t>
      </w:r>
      <w:r>
        <w:fldChar w:fldCharType="end"/>
      </w:r>
      <w:r>
        <w:rPr>
          <w:rFonts w:ascii="Times New Roman" w:hAnsi="Times New Roman" w:eastAsia="宋体" w:cs="Times New Roman"/>
          <w:color w:val="auto"/>
          <w:szCs w:val="24"/>
          <w:highlight w:val="none"/>
        </w:rPr>
        <w:fldChar w:fldCharType="end"/>
      </w:r>
    </w:p>
    <w:p w14:paraId="498297AB">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_Toc24816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（一）矿山地质环境保护与恢复治理分区</w:t>
      </w:r>
      <w:r>
        <w:tab/>
      </w:r>
      <w:r>
        <w:fldChar w:fldCharType="begin"/>
      </w:r>
      <w:r>
        <w:instrText xml:space="preserve"> PAGEREF _Toc24816 \h </w:instrText>
      </w:r>
      <w:r>
        <w:fldChar w:fldCharType="separate"/>
      </w:r>
      <w:r>
        <w:t>50</w:t>
      </w:r>
      <w:r>
        <w:fldChar w:fldCharType="end"/>
      </w:r>
      <w:r>
        <w:rPr>
          <w:rFonts w:ascii="Times New Roman" w:hAnsi="Times New Roman" w:eastAsia="宋体" w:cs="Times New Roman"/>
          <w:color w:val="auto"/>
          <w:szCs w:val="24"/>
          <w:highlight w:val="none"/>
        </w:rPr>
        <w:fldChar w:fldCharType="end"/>
      </w:r>
    </w:p>
    <w:p w14:paraId="391E3A2E">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_Toc31965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（二）土地复垦区与复垦责任范围</w:t>
      </w:r>
      <w:r>
        <w:tab/>
      </w:r>
      <w:r>
        <w:fldChar w:fldCharType="begin"/>
      </w:r>
      <w:r>
        <w:instrText xml:space="preserve"> PAGEREF _Toc31965 \h </w:instrText>
      </w:r>
      <w:r>
        <w:fldChar w:fldCharType="separate"/>
      </w:r>
      <w:r>
        <w:t>52</w:t>
      </w:r>
      <w:r>
        <w:fldChar w:fldCharType="end"/>
      </w:r>
      <w:r>
        <w:rPr>
          <w:rFonts w:ascii="Times New Roman" w:hAnsi="Times New Roman" w:eastAsia="宋体" w:cs="Times New Roman"/>
          <w:color w:val="auto"/>
          <w:szCs w:val="24"/>
          <w:highlight w:val="none"/>
        </w:rPr>
        <w:fldChar w:fldCharType="end"/>
      </w:r>
    </w:p>
    <w:p w14:paraId="2B7CE07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_Toc28316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（三）土地类型与权属</w:t>
      </w:r>
      <w:r>
        <w:tab/>
      </w:r>
      <w:r>
        <w:fldChar w:fldCharType="begin"/>
      </w:r>
      <w:r>
        <w:instrText xml:space="preserve"> PAGEREF _Toc28316 \h </w:instrText>
      </w:r>
      <w:r>
        <w:fldChar w:fldCharType="separate"/>
      </w:r>
      <w:r>
        <w:t>53</w:t>
      </w:r>
      <w:r>
        <w:fldChar w:fldCharType="end"/>
      </w:r>
      <w:r>
        <w:rPr>
          <w:rFonts w:ascii="Times New Roman" w:hAnsi="Times New Roman" w:eastAsia="宋体" w:cs="Times New Roman"/>
          <w:color w:val="auto"/>
          <w:szCs w:val="24"/>
          <w:highlight w:val="none"/>
        </w:rPr>
        <w:fldChar w:fldCharType="end"/>
      </w:r>
    </w:p>
    <w:p w14:paraId="2843EB1A">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_Toc24122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44"/>
          <w:highlight w:val="none"/>
        </w:rPr>
        <w:t>第4章 矿山地质环境治理与土地复垦可行性分析</w:t>
      </w:r>
      <w:r>
        <w:tab/>
      </w:r>
      <w:r>
        <w:fldChar w:fldCharType="begin"/>
      </w:r>
      <w:r>
        <w:instrText xml:space="preserve"> PAGEREF _Toc24122 \h </w:instrText>
      </w:r>
      <w:r>
        <w:fldChar w:fldCharType="separate"/>
      </w:r>
      <w:r>
        <w:t>54</w:t>
      </w:r>
      <w:r>
        <w:fldChar w:fldCharType="end"/>
      </w:r>
      <w:r>
        <w:rPr>
          <w:rFonts w:ascii="Times New Roman" w:hAnsi="Times New Roman" w:eastAsia="宋体" w:cs="Times New Roman"/>
          <w:color w:val="auto"/>
          <w:szCs w:val="24"/>
          <w:highlight w:val="none"/>
        </w:rPr>
        <w:fldChar w:fldCharType="end"/>
      </w:r>
    </w:p>
    <w:p w14:paraId="6B072646">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_Toc16507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一、矿山地质环境治理可行性分析</w:t>
      </w:r>
      <w:r>
        <w:tab/>
      </w:r>
      <w:r>
        <w:fldChar w:fldCharType="begin"/>
      </w:r>
      <w:r>
        <w:instrText xml:space="preserve"> PAGEREF _Toc16507 \h </w:instrText>
      </w:r>
      <w:r>
        <w:fldChar w:fldCharType="separate"/>
      </w:r>
      <w:r>
        <w:t>54</w:t>
      </w:r>
      <w:r>
        <w:fldChar w:fldCharType="end"/>
      </w:r>
      <w:r>
        <w:rPr>
          <w:rFonts w:ascii="Times New Roman" w:hAnsi="Times New Roman" w:eastAsia="宋体" w:cs="Times New Roman"/>
          <w:color w:val="auto"/>
          <w:szCs w:val="24"/>
          <w:highlight w:val="none"/>
        </w:rPr>
        <w:fldChar w:fldCharType="end"/>
      </w:r>
    </w:p>
    <w:p w14:paraId="022EA1F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_Toc18262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（一）技术可行性分析</w:t>
      </w:r>
      <w:r>
        <w:tab/>
      </w:r>
      <w:r>
        <w:fldChar w:fldCharType="begin"/>
      </w:r>
      <w:r>
        <w:instrText xml:space="preserve"> PAGEREF _Toc18262 \h </w:instrText>
      </w:r>
      <w:r>
        <w:fldChar w:fldCharType="separate"/>
      </w:r>
      <w:r>
        <w:t>54</w:t>
      </w:r>
      <w:r>
        <w:fldChar w:fldCharType="end"/>
      </w:r>
      <w:r>
        <w:rPr>
          <w:rFonts w:ascii="Times New Roman" w:hAnsi="Times New Roman" w:eastAsia="宋体" w:cs="Times New Roman"/>
          <w:color w:val="auto"/>
          <w:szCs w:val="24"/>
          <w:highlight w:val="none"/>
        </w:rPr>
        <w:fldChar w:fldCharType="end"/>
      </w:r>
    </w:p>
    <w:p w14:paraId="40C793F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_Toc10012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（二）经济可行性分析</w:t>
      </w:r>
      <w:r>
        <w:tab/>
      </w:r>
      <w:r>
        <w:fldChar w:fldCharType="begin"/>
      </w:r>
      <w:r>
        <w:instrText xml:space="preserve"> PAGEREF _Toc10012 \h </w:instrText>
      </w:r>
      <w:r>
        <w:fldChar w:fldCharType="separate"/>
      </w:r>
      <w:r>
        <w:t>54</w:t>
      </w:r>
      <w:r>
        <w:fldChar w:fldCharType="end"/>
      </w:r>
      <w:r>
        <w:rPr>
          <w:rFonts w:ascii="Times New Roman" w:hAnsi="Times New Roman" w:eastAsia="宋体" w:cs="Times New Roman"/>
          <w:color w:val="auto"/>
          <w:szCs w:val="24"/>
          <w:highlight w:val="none"/>
        </w:rPr>
        <w:fldChar w:fldCharType="end"/>
      </w:r>
    </w:p>
    <w:p w14:paraId="084A7A3B">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_Toc29492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（三）生态环境协调性分析</w:t>
      </w:r>
      <w:r>
        <w:tab/>
      </w:r>
      <w:r>
        <w:fldChar w:fldCharType="begin"/>
      </w:r>
      <w:r>
        <w:instrText xml:space="preserve"> PAGEREF _Toc29492 \h </w:instrText>
      </w:r>
      <w:r>
        <w:fldChar w:fldCharType="separate"/>
      </w:r>
      <w:r>
        <w:t>55</w:t>
      </w:r>
      <w:r>
        <w:fldChar w:fldCharType="end"/>
      </w:r>
      <w:r>
        <w:rPr>
          <w:rFonts w:ascii="Times New Roman" w:hAnsi="Times New Roman" w:eastAsia="宋体" w:cs="Times New Roman"/>
          <w:color w:val="auto"/>
          <w:szCs w:val="24"/>
          <w:highlight w:val="none"/>
        </w:rPr>
        <w:fldChar w:fldCharType="end"/>
      </w:r>
    </w:p>
    <w:p w14:paraId="31CEC691">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_Toc13151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二、矿区土地复垦可行性分析</w:t>
      </w:r>
      <w:r>
        <w:tab/>
      </w:r>
      <w:r>
        <w:fldChar w:fldCharType="begin"/>
      </w:r>
      <w:r>
        <w:instrText xml:space="preserve"> PAGEREF _Toc13151 \h </w:instrText>
      </w:r>
      <w:r>
        <w:fldChar w:fldCharType="separate"/>
      </w:r>
      <w:r>
        <w:t>56</w:t>
      </w:r>
      <w:r>
        <w:fldChar w:fldCharType="end"/>
      </w:r>
      <w:r>
        <w:rPr>
          <w:rFonts w:ascii="Times New Roman" w:hAnsi="Times New Roman" w:eastAsia="宋体" w:cs="Times New Roman"/>
          <w:color w:val="auto"/>
          <w:szCs w:val="24"/>
          <w:highlight w:val="none"/>
        </w:rPr>
        <w:fldChar w:fldCharType="end"/>
      </w:r>
    </w:p>
    <w:p w14:paraId="7844CDCE">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_Toc4471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（一）复垦区土地利用现状</w:t>
      </w:r>
      <w:r>
        <w:tab/>
      </w:r>
      <w:r>
        <w:fldChar w:fldCharType="begin"/>
      </w:r>
      <w:r>
        <w:instrText xml:space="preserve"> PAGEREF _Toc4471 \h </w:instrText>
      </w:r>
      <w:r>
        <w:fldChar w:fldCharType="separate"/>
      </w:r>
      <w:r>
        <w:t>56</w:t>
      </w:r>
      <w:r>
        <w:fldChar w:fldCharType="end"/>
      </w:r>
      <w:r>
        <w:rPr>
          <w:rFonts w:ascii="Times New Roman" w:hAnsi="Times New Roman" w:eastAsia="宋体" w:cs="Times New Roman"/>
          <w:color w:val="auto"/>
          <w:szCs w:val="24"/>
          <w:highlight w:val="none"/>
        </w:rPr>
        <w:fldChar w:fldCharType="end"/>
      </w:r>
    </w:p>
    <w:p w14:paraId="622FE836">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_Toc14229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（二）土地复垦适宜性评价</w:t>
      </w:r>
      <w:r>
        <w:tab/>
      </w:r>
      <w:r>
        <w:fldChar w:fldCharType="begin"/>
      </w:r>
      <w:r>
        <w:instrText xml:space="preserve"> PAGEREF _Toc14229 \h </w:instrText>
      </w:r>
      <w:r>
        <w:fldChar w:fldCharType="separate"/>
      </w:r>
      <w:r>
        <w:t>56</w:t>
      </w:r>
      <w:r>
        <w:fldChar w:fldCharType="end"/>
      </w:r>
      <w:r>
        <w:rPr>
          <w:rFonts w:ascii="Times New Roman" w:hAnsi="Times New Roman" w:eastAsia="宋体" w:cs="Times New Roman"/>
          <w:color w:val="auto"/>
          <w:szCs w:val="24"/>
          <w:highlight w:val="none"/>
        </w:rPr>
        <w:fldChar w:fldCharType="end"/>
      </w:r>
    </w:p>
    <w:p w14:paraId="1F4D043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_Toc28541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（三）水土资源平衡分析</w:t>
      </w:r>
      <w:r>
        <w:tab/>
      </w:r>
      <w:r>
        <w:fldChar w:fldCharType="begin"/>
      </w:r>
      <w:r>
        <w:instrText xml:space="preserve"> PAGEREF _Toc28541 \h </w:instrText>
      </w:r>
      <w:r>
        <w:fldChar w:fldCharType="separate"/>
      </w:r>
      <w:r>
        <w:t>63</w:t>
      </w:r>
      <w:r>
        <w:fldChar w:fldCharType="end"/>
      </w:r>
      <w:r>
        <w:rPr>
          <w:rFonts w:ascii="Times New Roman" w:hAnsi="Times New Roman" w:eastAsia="宋体" w:cs="Times New Roman"/>
          <w:color w:val="auto"/>
          <w:szCs w:val="24"/>
          <w:highlight w:val="none"/>
        </w:rPr>
        <w:fldChar w:fldCharType="end"/>
      </w:r>
    </w:p>
    <w:p w14:paraId="68D6BA5A">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_Toc18090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（四）土地复垦质量要求</w:t>
      </w:r>
      <w:r>
        <w:tab/>
      </w:r>
      <w:r>
        <w:fldChar w:fldCharType="begin"/>
      </w:r>
      <w:r>
        <w:instrText xml:space="preserve"> PAGEREF _Toc18090 \h </w:instrText>
      </w:r>
      <w:r>
        <w:fldChar w:fldCharType="separate"/>
      </w:r>
      <w:r>
        <w:t>65</w:t>
      </w:r>
      <w:r>
        <w:fldChar w:fldCharType="end"/>
      </w:r>
      <w:r>
        <w:rPr>
          <w:rFonts w:ascii="Times New Roman" w:hAnsi="Times New Roman" w:eastAsia="宋体" w:cs="Times New Roman"/>
          <w:color w:val="auto"/>
          <w:szCs w:val="24"/>
          <w:highlight w:val="none"/>
        </w:rPr>
        <w:fldChar w:fldCharType="end"/>
      </w:r>
    </w:p>
    <w:p w14:paraId="46EFBF4D">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_Toc2917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2"/>
          <w:highlight w:val="none"/>
        </w:rPr>
        <w:t>第5章  矿山地质环境治理与土地复垦工程</w:t>
      </w:r>
      <w:r>
        <w:tab/>
      </w:r>
      <w:r>
        <w:fldChar w:fldCharType="begin"/>
      </w:r>
      <w:r>
        <w:instrText xml:space="preserve"> PAGEREF _Toc2917 \h </w:instrText>
      </w:r>
      <w:r>
        <w:fldChar w:fldCharType="separate"/>
      </w:r>
      <w:r>
        <w:t>67</w:t>
      </w:r>
      <w:r>
        <w:fldChar w:fldCharType="end"/>
      </w:r>
      <w:r>
        <w:rPr>
          <w:rFonts w:ascii="Times New Roman" w:hAnsi="Times New Roman" w:eastAsia="宋体" w:cs="Times New Roman"/>
          <w:color w:val="auto"/>
          <w:szCs w:val="24"/>
          <w:highlight w:val="none"/>
        </w:rPr>
        <w:fldChar w:fldCharType="end"/>
      </w:r>
    </w:p>
    <w:p w14:paraId="0646BAD6">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_Toc18849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一、矿山地质环境保护与土地复垦预防</w:t>
      </w:r>
      <w:r>
        <w:tab/>
      </w:r>
      <w:r>
        <w:fldChar w:fldCharType="begin"/>
      </w:r>
      <w:r>
        <w:instrText xml:space="preserve"> PAGEREF _Toc18849 \h </w:instrText>
      </w:r>
      <w:r>
        <w:fldChar w:fldCharType="separate"/>
      </w:r>
      <w:r>
        <w:t>67</w:t>
      </w:r>
      <w:r>
        <w:fldChar w:fldCharType="end"/>
      </w:r>
      <w:r>
        <w:rPr>
          <w:rFonts w:ascii="Times New Roman" w:hAnsi="Times New Roman" w:eastAsia="宋体" w:cs="Times New Roman"/>
          <w:color w:val="auto"/>
          <w:szCs w:val="24"/>
          <w:highlight w:val="none"/>
        </w:rPr>
        <w:fldChar w:fldCharType="end"/>
      </w:r>
    </w:p>
    <w:p w14:paraId="1DFF8493">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_Toc26647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（一）目标任务</w:t>
      </w:r>
      <w:r>
        <w:tab/>
      </w:r>
      <w:r>
        <w:fldChar w:fldCharType="begin"/>
      </w:r>
      <w:r>
        <w:instrText xml:space="preserve"> PAGEREF _Toc26647 \h </w:instrText>
      </w:r>
      <w:r>
        <w:fldChar w:fldCharType="separate"/>
      </w:r>
      <w:r>
        <w:t>67</w:t>
      </w:r>
      <w:r>
        <w:fldChar w:fldCharType="end"/>
      </w:r>
      <w:r>
        <w:rPr>
          <w:rFonts w:ascii="Times New Roman" w:hAnsi="Times New Roman" w:eastAsia="宋体" w:cs="Times New Roman"/>
          <w:color w:val="auto"/>
          <w:szCs w:val="24"/>
          <w:highlight w:val="none"/>
        </w:rPr>
        <w:fldChar w:fldCharType="end"/>
      </w:r>
    </w:p>
    <w:p w14:paraId="40F80707">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_Toc17894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（二）主要技术措施</w:t>
      </w:r>
      <w:r>
        <w:tab/>
      </w:r>
      <w:r>
        <w:fldChar w:fldCharType="begin"/>
      </w:r>
      <w:r>
        <w:instrText xml:space="preserve"> PAGEREF _Toc17894 \h </w:instrText>
      </w:r>
      <w:r>
        <w:fldChar w:fldCharType="separate"/>
      </w:r>
      <w:r>
        <w:t>69</w:t>
      </w:r>
      <w:r>
        <w:fldChar w:fldCharType="end"/>
      </w:r>
      <w:r>
        <w:rPr>
          <w:rFonts w:ascii="Times New Roman" w:hAnsi="Times New Roman" w:eastAsia="宋体" w:cs="Times New Roman"/>
          <w:color w:val="auto"/>
          <w:szCs w:val="24"/>
          <w:highlight w:val="none"/>
        </w:rPr>
        <w:fldChar w:fldCharType="end"/>
      </w:r>
    </w:p>
    <w:p w14:paraId="5F9CAC5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_Toc29390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highlight w:val="none"/>
        </w:rPr>
        <w:t>（三）主要工程量</w:t>
      </w:r>
      <w:r>
        <w:tab/>
      </w:r>
      <w:r>
        <w:fldChar w:fldCharType="begin"/>
      </w:r>
      <w:r>
        <w:instrText xml:space="preserve"> PAGEREF _Toc29390 \h </w:instrText>
      </w:r>
      <w:r>
        <w:fldChar w:fldCharType="separate"/>
      </w:r>
      <w:r>
        <w:t>71</w:t>
      </w:r>
      <w:r>
        <w:fldChar w:fldCharType="end"/>
      </w:r>
      <w:r>
        <w:rPr>
          <w:rFonts w:ascii="Times New Roman" w:hAnsi="Times New Roman" w:eastAsia="宋体" w:cs="Times New Roman"/>
          <w:color w:val="auto"/>
          <w:szCs w:val="24"/>
          <w:highlight w:val="none"/>
        </w:rPr>
        <w:fldChar w:fldCharType="end"/>
      </w:r>
    </w:p>
    <w:p w14:paraId="7A554951">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_Toc841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二、矿山地质灾害治理</w:t>
      </w:r>
      <w:r>
        <w:tab/>
      </w:r>
      <w:r>
        <w:fldChar w:fldCharType="begin"/>
      </w:r>
      <w:r>
        <w:instrText xml:space="preserve"> PAGEREF _Toc841 \h </w:instrText>
      </w:r>
      <w:r>
        <w:fldChar w:fldCharType="separate"/>
      </w:r>
      <w:r>
        <w:t>72</w:t>
      </w:r>
      <w:r>
        <w:fldChar w:fldCharType="end"/>
      </w:r>
      <w:r>
        <w:rPr>
          <w:rFonts w:ascii="Times New Roman" w:hAnsi="Times New Roman" w:eastAsia="宋体" w:cs="Times New Roman"/>
          <w:color w:val="auto"/>
          <w:szCs w:val="24"/>
          <w:highlight w:val="none"/>
        </w:rPr>
        <w:fldChar w:fldCharType="end"/>
      </w:r>
    </w:p>
    <w:p w14:paraId="662F0702">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_Toc3507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（一）目标任务</w:t>
      </w:r>
      <w:r>
        <w:tab/>
      </w:r>
      <w:r>
        <w:fldChar w:fldCharType="begin"/>
      </w:r>
      <w:r>
        <w:instrText xml:space="preserve"> PAGEREF _Toc3507 \h </w:instrText>
      </w:r>
      <w:r>
        <w:fldChar w:fldCharType="separate"/>
      </w:r>
      <w:r>
        <w:t>72</w:t>
      </w:r>
      <w:r>
        <w:fldChar w:fldCharType="end"/>
      </w:r>
      <w:r>
        <w:rPr>
          <w:rFonts w:ascii="Times New Roman" w:hAnsi="Times New Roman" w:eastAsia="宋体" w:cs="Times New Roman"/>
          <w:color w:val="auto"/>
          <w:szCs w:val="24"/>
          <w:highlight w:val="none"/>
        </w:rPr>
        <w:fldChar w:fldCharType="end"/>
      </w:r>
    </w:p>
    <w:p w14:paraId="3D7692BE">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_Toc30355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（二）工程设计</w:t>
      </w:r>
      <w:r>
        <w:tab/>
      </w:r>
      <w:r>
        <w:fldChar w:fldCharType="begin"/>
      </w:r>
      <w:r>
        <w:instrText xml:space="preserve"> PAGEREF _Toc30355 \h </w:instrText>
      </w:r>
      <w:r>
        <w:fldChar w:fldCharType="separate"/>
      </w:r>
      <w:r>
        <w:t>72</w:t>
      </w:r>
      <w:r>
        <w:fldChar w:fldCharType="end"/>
      </w:r>
      <w:r>
        <w:rPr>
          <w:rFonts w:ascii="Times New Roman" w:hAnsi="Times New Roman" w:eastAsia="宋体" w:cs="Times New Roman"/>
          <w:color w:val="auto"/>
          <w:szCs w:val="24"/>
          <w:highlight w:val="none"/>
        </w:rPr>
        <w:fldChar w:fldCharType="end"/>
      </w:r>
    </w:p>
    <w:p w14:paraId="31E0E43D">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_Toc12423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szCs w:val="30"/>
        </w:rPr>
        <w:t xml:space="preserve">三、 </w:t>
      </w:r>
      <w:r>
        <w:rPr>
          <w:rFonts w:ascii="Times New Roman" w:hAnsi="Times New Roman" w:eastAsia="宋体" w:cs="Times New Roman"/>
          <w:szCs w:val="30"/>
          <w:highlight w:val="none"/>
        </w:rPr>
        <w:t>矿区土地复垦</w:t>
      </w:r>
      <w:r>
        <w:tab/>
      </w:r>
      <w:r>
        <w:fldChar w:fldCharType="begin"/>
      </w:r>
      <w:r>
        <w:instrText xml:space="preserve"> PAGEREF _Toc12423 \h </w:instrText>
      </w:r>
      <w:r>
        <w:fldChar w:fldCharType="separate"/>
      </w:r>
      <w:r>
        <w:t>73</w:t>
      </w:r>
      <w:r>
        <w:fldChar w:fldCharType="end"/>
      </w:r>
      <w:r>
        <w:rPr>
          <w:rFonts w:ascii="Times New Roman" w:hAnsi="Times New Roman" w:eastAsia="宋体" w:cs="Times New Roman"/>
          <w:color w:val="auto"/>
          <w:szCs w:val="24"/>
          <w:highlight w:val="none"/>
        </w:rPr>
        <w:fldChar w:fldCharType="end"/>
      </w:r>
    </w:p>
    <w:p w14:paraId="187566DE">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_Toc15901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（一）目标任务</w:t>
      </w:r>
      <w:r>
        <w:tab/>
      </w:r>
      <w:r>
        <w:fldChar w:fldCharType="begin"/>
      </w:r>
      <w:r>
        <w:instrText xml:space="preserve"> PAGEREF _Toc15901 \h </w:instrText>
      </w:r>
      <w:r>
        <w:fldChar w:fldCharType="separate"/>
      </w:r>
      <w:r>
        <w:t>73</w:t>
      </w:r>
      <w:r>
        <w:fldChar w:fldCharType="end"/>
      </w:r>
      <w:r>
        <w:rPr>
          <w:rFonts w:ascii="Times New Roman" w:hAnsi="Times New Roman" w:eastAsia="宋体" w:cs="Times New Roman"/>
          <w:color w:val="auto"/>
          <w:szCs w:val="24"/>
          <w:highlight w:val="none"/>
        </w:rPr>
        <w:fldChar w:fldCharType="end"/>
      </w:r>
    </w:p>
    <w:p w14:paraId="36D027AB">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_Toc22388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（二）工程设计</w:t>
      </w:r>
      <w:r>
        <w:tab/>
      </w:r>
      <w:r>
        <w:fldChar w:fldCharType="begin"/>
      </w:r>
      <w:r>
        <w:instrText xml:space="preserve"> PAGEREF _Toc22388 \h </w:instrText>
      </w:r>
      <w:r>
        <w:fldChar w:fldCharType="separate"/>
      </w:r>
      <w:r>
        <w:t>73</w:t>
      </w:r>
      <w:r>
        <w:fldChar w:fldCharType="end"/>
      </w:r>
      <w:r>
        <w:rPr>
          <w:rFonts w:ascii="Times New Roman" w:hAnsi="Times New Roman" w:eastAsia="宋体" w:cs="Times New Roman"/>
          <w:color w:val="auto"/>
          <w:szCs w:val="24"/>
          <w:highlight w:val="none"/>
        </w:rPr>
        <w:fldChar w:fldCharType="end"/>
      </w:r>
    </w:p>
    <w:p w14:paraId="1C4C4940">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_Toc10197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（三）技术措施</w:t>
      </w:r>
      <w:r>
        <w:tab/>
      </w:r>
      <w:r>
        <w:fldChar w:fldCharType="begin"/>
      </w:r>
      <w:r>
        <w:instrText xml:space="preserve"> PAGEREF _Toc10197 \h </w:instrText>
      </w:r>
      <w:r>
        <w:fldChar w:fldCharType="separate"/>
      </w:r>
      <w:r>
        <w:t>76</w:t>
      </w:r>
      <w:r>
        <w:fldChar w:fldCharType="end"/>
      </w:r>
      <w:r>
        <w:rPr>
          <w:rFonts w:ascii="Times New Roman" w:hAnsi="Times New Roman" w:eastAsia="宋体" w:cs="Times New Roman"/>
          <w:color w:val="auto"/>
          <w:szCs w:val="24"/>
          <w:highlight w:val="none"/>
        </w:rPr>
        <w:fldChar w:fldCharType="end"/>
      </w:r>
    </w:p>
    <w:p w14:paraId="75A81A94">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_Toc31092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（四）主要工程量</w:t>
      </w:r>
      <w:r>
        <w:tab/>
      </w:r>
      <w:r>
        <w:fldChar w:fldCharType="begin"/>
      </w:r>
      <w:r>
        <w:instrText xml:space="preserve"> PAGEREF _Toc31092 \h </w:instrText>
      </w:r>
      <w:r>
        <w:fldChar w:fldCharType="separate"/>
      </w:r>
      <w:r>
        <w:t>79</w:t>
      </w:r>
      <w:r>
        <w:fldChar w:fldCharType="end"/>
      </w:r>
      <w:r>
        <w:rPr>
          <w:rFonts w:ascii="Times New Roman" w:hAnsi="Times New Roman" w:eastAsia="宋体" w:cs="Times New Roman"/>
          <w:color w:val="auto"/>
          <w:szCs w:val="24"/>
          <w:highlight w:val="none"/>
        </w:rPr>
        <w:fldChar w:fldCharType="end"/>
      </w:r>
    </w:p>
    <w:p w14:paraId="246E4F1A">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_Toc13445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四、含水层破坏修复</w:t>
      </w:r>
      <w:r>
        <w:tab/>
      </w:r>
      <w:r>
        <w:fldChar w:fldCharType="begin"/>
      </w:r>
      <w:r>
        <w:instrText xml:space="preserve"> PAGEREF _Toc13445 \h </w:instrText>
      </w:r>
      <w:r>
        <w:fldChar w:fldCharType="separate"/>
      </w:r>
      <w:r>
        <w:t>80</w:t>
      </w:r>
      <w:r>
        <w:fldChar w:fldCharType="end"/>
      </w:r>
      <w:r>
        <w:rPr>
          <w:rFonts w:ascii="Times New Roman" w:hAnsi="Times New Roman" w:eastAsia="宋体" w:cs="Times New Roman"/>
          <w:color w:val="auto"/>
          <w:szCs w:val="24"/>
          <w:highlight w:val="none"/>
        </w:rPr>
        <w:fldChar w:fldCharType="end"/>
      </w:r>
    </w:p>
    <w:p w14:paraId="34A87BDD">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_Toc19190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五、水土环境污染修复</w:t>
      </w:r>
      <w:r>
        <w:tab/>
      </w:r>
      <w:r>
        <w:fldChar w:fldCharType="begin"/>
      </w:r>
      <w:r>
        <w:instrText xml:space="preserve"> PAGEREF _Toc19190 \h </w:instrText>
      </w:r>
      <w:r>
        <w:fldChar w:fldCharType="separate"/>
      </w:r>
      <w:r>
        <w:t>80</w:t>
      </w:r>
      <w:r>
        <w:fldChar w:fldCharType="end"/>
      </w:r>
      <w:r>
        <w:rPr>
          <w:rFonts w:ascii="Times New Roman" w:hAnsi="Times New Roman" w:eastAsia="宋体" w:cs="Times New Roman"/>
          <w:color w:val="auto"/>
          <w:szCs w:val="24"/>
          <w:highlight w:val="none"/>
        </w:rPr>
        <w:fldChar w:fldCharType="end"/>
      </w:r>
    </w:p>
    <w:p w14:paraId="73876387">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_Toc27241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六、矿山地质环境监测</w:t>
      </w:r>
      <w:r>
        <w:tab/>
      </w:r>
      <w:r>
        <w:fldChar w:fldCharType="begin"/>
      </w:r>
      <w:r>
        <w:instrText xml:space="preserve"> PAGEREF _Toc27241 \h </w:instrText>
      </w:r>
      <w:r>
        <w:fldChar w:fldCharType="separate"/>
      </w:r>
      <w:r>
        <w:t>81</w:t>
      </w:r>
      <w:r>
        <w:fldChar w:fldCharType="end"/>
      </w:r>
      <w:r>
        <w:rPr>
          <w:rFonts w:ascii="Times New Roman" w:hAnsi="Times New Roman" w:eastAsia="宋体" w:cs="Times New Roman"/>
          <w:color w:val="auto"/>
          <w:szCs w:val="24"/>
          <w:highlight w:val="none"/>
        </w:rPr>
        <w:fldChar w:fldCharType="end"/>
      </w:r>
    </w:p>
    <w:p w14:paraId="27E8706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_Toc30377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（一）目标任务</w:t>
      </w:r>
      <w:r>
        <w:tab/>
      </w:r>
      <w:r>
        <w:fldChar w:fldCharType="begin"/>
      </w:r>
      <w:r>
        <w:instrText xml:space="preserve"> PAGEREF _Toc30377 \h </w:instrText>
      </w:r>
      <w:r>
        <w:fldChar w:fldCharType="separate"/>
      </w:r>
      <w:r>
        <w:t>81</w:t>
      </w:r>
      <w:r>
        <w:fldChar w:fldCharType="end"/>
      </w:r>
      <w:r>
        <w:rPr>
          <w:rFonts w:ascii="Times New Roman" w:hAnsi="Times New Roman" w:eastAsia="宋体" w:cs="Times New Roman"/>
          <w:color w:val="auto"/>
          <w:szCs w:val="24"/>
          <w:highlight w:val="none"/>
        </w:rPr>
        <w:fldChar w:fldCharType="end"/>
      </w:r>
    </w:p>
    <w:p w14:paraId="4715D2C5">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_Toc6482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（二）监测设计</w:t>
      </w:r>
      <w:r>
        <w:tab/>
      </w:r>
      <w:r>
        <w:fldChar w:fldCharType="begin"/>
      </w:r>
      <w:r>
        <w:instrText xml:space="preserve"> PAGEREF _Toc6482 \h </w:instrText>
      </w:r>
      <w:r>
        <w:fldChar w:fldCharType="separate"/>
      </w:r>
      <w:r>
        <w:t>81</w:t>
      </w:r>
      <w:r>
        <w:fldChar w:fldCharType="end"/>
      </w:r>
      <w:r>
        <w:rPr>
          <w:rFonts w:ascii="Times New Roman" w:hAnsi="Times New Roman" w:eastAsia="宋体" w:cs="Times New Roman"/>
          <w:color w:val="auto"/>
          <w:szCs w:val="24"/>
          <w:highlight w:val="none"/>
        </w:rPr>
        <w:fldChar w:fldCharType="end"/>
      </w:r>
    </w:p>
    <w:p w14:paraId="47CEF6D1">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_Toc1423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（三）技术措施</w:t>
      </w:r>
      <w:r>
        <w:tab/>
      </w:r>
      <w:r>
        <w:fldChar w:fldCharType="begin"/>
      </w:r>
      <w:r>
        <w:instrText xml:space="preserve"> PAGEREF _Toc1423 \h </w:instrText>
      </w:r>
      <w:r>
        <w:fldChar w:fldCharType="separate"/>
      </w:r>
      <w:r>
        <w:t>82</w:t>
      </w:r>
      <w:r>
        <w:fldChar w:fldCharType="end"/>
      </w:r>
      <w:r>
        <w:rPr>
          <w:rFonts w:ascii="Times New Roman" w:hAnsi="Times New Roman" w:eastAsia="宋体" w:cs="Times New Roman"/>
          <w:color w:val="auto"/>
          <w:szCs w:val="24"/>
          <w:highlight w:val="none"/>
        </w:rPr>
        <w:fldChar w:fldCharType="end"/>
      </w:r>
    </w:p>
    <w:p w14:paraId="1474BB63">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_Toc1245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（四）主要工程量</w:t>
      </w:r>
      <w:r>
        <w:tab/>
      </w:r>
      <w:r>
        <w:fldChar w:fldCharType="begin"/>
      </w:r>
      <w:r>
        <w:instrText xml:space="preserve"> PAGEREF _Toc1245 \h </w:instrText>
      </w:r>
      <w:r>
        <w:fldChar w:fldCharType="separate"/>
      </w:r>
      <w:r>
        <w:t>83</w:t>
      </w:r>
      <w:r>
        <w:fldChar w:fldCharType="end"/>
      </w:r>
      <w:r>
        <w:rPr>
          <w:rFonts w:ascii="Times New Roman" w:hAnsi="Times New Roman" w:eastAsia="宋体" w:cs="Times New Roman"/>
          <w:color w:val="auto"/>
          <w:szCs w:val="24"/>
          <w:highlight w:val="none"/>
        </w:rPr>
        <w:fldChar w:fldCharType="end"/>
      </w:r>
    </w:p>
    <w:p w14:paraId="07DF5D31">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_Toc14542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七、矿区土地复垦监测和管护</w:t>
      </w:r>
      <w:r>
        <w:tab/>
      </w:r>
      <w:r>
        <w:fldChar w:fldCharType="begin"/>
      </w:r>
      <w:r>
        <w:instrText xml:space="preserve"> PAGEREF _Toc14542 \h </w:instrText>
      </w:r>
      <w:r>
        <w:fldChar w:fldCharType="separate"/>
      </w:r>
      <w:r>
        <w:t>83</w:t>
      </w:r>
      <w:r>
        <w:fldChar w:fldCharType="end"/>
      </w:r>
      <w:r>
        <w:rPr>
          <w:rFonts w:ascii="Times New Roman" w:hAnsi="Times New Roman" w:eastAsia="宋体" w:cs="Times New Roman"/>
          <w:color w:val="auto"/>
          <w:szCs w:val="24"/>
          <w:highlight w:val="none"/>
        </w:rPr>
        <w:fldChar w:fldCharType="end"/>
      </w:r>
    </w:p>
    <w:p w14:paraId="5BC83CE5">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_Toc19864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（一）目标任务</w:t>
      </w:r>
      <w:r>
        <w:tab/>
      </w:r>
      <w:r>
        <w:fldChar w:fldCharType="begin"/>
      </w:r>
      <w:r>
        <w:instrText xml:space="preserve"> PAGEREF _Toc19864 \h </w:instrText>
      </w:r>
      <w:r>
        <w:fldChar w:fldCharType="separate"/>
      </w:r>
      <w:r>
        <w:t>83</w:t>
      </w:r>
      <w:r>
        <w:fldChar w:fldCharType="end"/>
      </w:r>
      <w:r>
        <w:rPr>
          <w:rFonts w:ascii="Times New Roman" w:hAnsi="Times New Roman" w:eastAsia="宋体" w:cs="Times New Roman"/>
          <w:color w:val="auto"/>
          <w:szCs w:val="24"/>
          <w:highlight w:val="none"/>
        </w:rPr>
        <w:fldChar w:fldCharType="end"/>
      </w:r>
    </w:p>
    <w:p w14:paraId="3F1C02A8">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_Toc27349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28"/>
          <w:highlight w:val="none"/>
        </w:rPr>
        <w:t>（二）措施和内容</w:t>
      </w:r>
      <w:r>
        <w:tab/>
      </w:r>
      <w:r>
        <w:fldChar w:fldCharType="begin"/>
      </w:r>
      <w:r>
        <w:instrText xml:space="preserve"> PAGEREF _Toc27349 \h </w:instrText>
      </w:r>
      <w:r>
        <w:fldChar w:fldCharType="separate"/>
      </w:r>
      <w:r>
        <w:t>85</w:t>
      </w:r>
      <w:r>
        <w:fldChar w:fldCharType="end"/>
      </w:r>
      <w:r>
        <w:rPr>
          <w:rFonts w:ascii="Times New Roman" w:hAnsi="Times New Roman" w:eastAsia="宋体" w:cs="Times New Roman"/>
          <w:color w:val="auto"/>
          <w:szCs w:val="24"/>
          <w:highlight w:val="none"/>
        </w:rPr>
        <w:fldChar w:fldCharType="end"/>
      </w:r>
    </w:p>
    <w:p w14:paraId="4AC95594">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_Toc30721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2"/>
          <w:highlight w:val="none"/>
        </w:rPr>
        <w:t>第6章  矿山地质环境治理与土地复垦工作部署</w:t>
      </w:r>
      <w:r>
        <w:tab/>
      </w:r>
      <w:r>
        <w:fldChar w:fldCharType="begin"/>
      </w:r>
      <w:r>
        <w:instrText xml:space="preserve"> PAGEREF _Toc30721 \h </w:instrText>
      </w:r>
      <w:r>
        <w:fldChar w:fldCharType="separate"/>
      </w:r>
      <w:r>
        <w:t>87</w:t>
      </w:r>
      <w:r>
        <w:fldChar w:fldCharType="end"/>
      </w:r>
      <w:r>
        <w:rPr>
          <w:rFonts w:ascii="Times New Roman" w:hAnsi="Times New Roman" w:eastAsia="宋体" w:cs="Times New Roman"/>
          <w:color w:val="auto"/>
          <w:szCs w:val="24"/>
          <w:highlight w:val="none"/>
        </w:rPr>
        <w:fldChar w:fldCharType="end"/>
      </w:r>
    </w:p>
    <w:p w14:paraId="1C80A6B0">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_Toc31432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一、总体工作部署</w:t>
      </w:r>
      <w:r>
        <w:tab/>
      </w:r>
      <w:r>
        <w:fldChar w:fldCharType="begin"/>
      </w:r>
      <w:r>
        <w:instrText xml:space="preserve"> PAGEREF _Toc31432 \h </w:instrText>
      </w:r>
      <w:r>
        <w:fldChar w:fldCharType="separate"/>
      </w:r>
      <w:r>
        <w:t>87</w:t>
      </w:r>
      <w:r>
        <w:fldChar w:fldCharType="end"/>
      </w:r>
      <w:r>
        <w:rPr>
          <w:rFonts w:ascii="Times New Roman" w:hAnsi="Times New Roman" w:eastAsia="宋体" w:cs="Times New Roman"/>
          <w:color w:val="auto"/>
          <w:szCs w:val="24"/>
          <w:highlight w:val="none"/>
        </w:rPr>
        <w:fldChar w:fldCharType="end"/>
      </w:r>
    </w:p>
    <w:p w14:paraId="0B31D28C">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_Toc10432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0"/>
          <w:highlight w:val="none"/>
        </w:rPr>
        <w:t>二、阶段实施计划</w:t>
      </w:r>
      <w:r>
        <w:tab/>
      </w:r>
      <w:r>
        <w:fldChar w:fldCharType="begin"/>
      </w:r>
      <w:r>
        <w:instrText xml:space="preserve"> PAGEREF _Toc10432 \h </w:instrText>
      </w:r>
      <w:r>
        <w:fldChar w:fldCharType="separate"/>
      </w:r>
      <w:r>
        <w:t>87</w:t>
      </w:r>
      <w:r>
        <w:fldChar w:fldCharType="end"/>
      </w:r>
      <w:r>
        <w:rPr>
          <w:rFonts w:ascii="Times New Roman" w:hAnsi="Times New Roman" w:eastAsia="宋体" w:cs="Times New Roman"/>
          <w:color w:val="auto"/>
          <w:szCs w:val="24"/>
          <w:highlight w:val="none"/>
        </w:rPr>
        <w:fldChar w:fldCharType="end"/>
      </w:r>
    </w:p>
    <w:p w14:paraId="5E7EF325">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_Toc7264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2"/>
        </w:rPr>
        <w:t xml:space="preserve">第7章 </w:t>
      </w:r>
      <w:r>
        <w:rPr>
          <w:rFonts w:ascii="Times New Roman" w:hAnsi="Times New Roman" w:eastAsia="宋体" w:cs="Times New Roman"/>
          <w:szCs w:val="32"/>
          <w:highlight w:val="none"/>
        </w:rPr>
        <w:t>经费估算与进度安排</w:t>
      </w:r>
      <w:r>
        <w:tab/>
      </w:r>
      <w:r>
        <w:fldChar w:fldCharType="begin"/>
      </w:r>
      <w:r>
        <w:instrText xml:space="preserve"> PAGEREF _Toc7264 \h </w:instrText>
      </w:r>
      <w:r>
        <w:fldChar w:fldCharType="separate"/>
      </w:r>
      <w:r>
        <w:t>90</w:t>
      </w:r>
      <w:r>
        <w:fldChar w:fldCharType="end"/>
      </w:r>
      <w:r>
        <w:rPr>
          <w:rFonts w:ascii="Times New Roman" w:hAnsi="Times New Roman" w:eastAsia="宋体" w:cs="Times New Roman"/>
          <w:color w:val="auto"/>
          <w:szCs w:val="24"/>
          <w:highlight w:val="none"/>
        </w:rPr>
        <w:fldChar w:fldCharType="end"/>
      </w:r>
    </w:p>
    <w:p w14:paraId="48BC31C5">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_Toc10137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一、经费估算依据</w:t>
      </w:r>
      <w:r>
        <w:tab/>
      </w:r>
      <w:r>
        <w:fldChar w:fldCharType="begin"/>
      </w:r>
      <w:r>
        <w:instrText xml:space="preserve"> PAGEREF _Toc10137 \h </w:instrText>
      </w:r>
      <w:r>
        <w:fldChar w:fldCharType="separate"/>
      </w:r>
      <w:r>
        <w:t>90</w:t>
      </w:r>
      <w:r>
        <w:fldChar w:fldCharType="end"/>
      </w:r>
      <w:r>
        <w:rPr>
          <w:rFonts w:ascii="Times New Roman" w:hAnsi="Times New Roman" w:eastAsia="宋体" w:cs="Times New Roman"/>
          <w:color w:val="auto"/>
          <w:szCs w:val="24"/>
          <w:highlight w:val="none"/>
        </w:rPr>
        <w:fldChar w:fldCharType="end"/>
      </w:r>
    </w:p>
    <w:p w14:paraId="175A34A6">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_Toc30614 </w:instrText>
      </w:r>
      <w:r>
        <w:rPr>
          <w:rFonts w:ascii="Times New Roman" w:hAnsi="Times New Roman" w:eastAsia="宋体" w:cs="Times New Roman"/>
          <w:szCs w:val="24"/>
          <w:highlight w:val="none"/>
        </w:rPr>
        <w:fldChar w:fldCharType="separate"/>
      </w:r>
      <w:r>
        <w:rPr>
          <w:rFonts w:ascii="Times New Roman" w:hAnsi="Times New Roman" w:eastAsia="宋体" w:cs="Times New Roman"/>
          <w:bCs/>
          <w:szCs w:val="28"/>
          <w:highlight w:val="none"/>
        </w:rPr>
        <w:t>（一）矿山地质环境恢复治理经费估算依据</w:t>
      </w:r>
      <w:r>
        <w:tab/>
      </w:r>
      <w:r>
        <w:fldChar w:fldCharType="begin"/>
      </w:r>
      <w:r>
        <w:instrText xml:space="preserve"> PAGEREF _Toc30614 \h </w:instrText>
      </w:r>
      <w:r>
        <w:fldChar w:fldCharType="separate"/>
      </w:r>
      <w:r>
        <w:t>90</w:t>
      </w:r>
      <w:r>
        <w:fldChar w:fldCharType="end"/>
      </w:r>
      <w:r>
        <w:rPr>
          <w:rFonts w:ascii="Times New Roman" w:hAnsi="Times New Roman" w:eastAsia="宋体" w:cs="Times New Roman"/>
          <w:color w:val="auto"/>
          <w:szCs w:val="24"/>
          <w:highlight w:val="none"/>
        </w:rPr>
        <w:fldChar w:fldCharType="end"/>
      </w:r>
    </w:p>
    <w:p w14:paraId="4746775D">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_Toc1753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（二）土地复垦费用估算依据</w:t>
      </w:r>
      <w:r>
        <w:tab/>
      </w:r>
      <w:r>
        <w:fldChar w:fldCharType="begin"/>
      </w:r>
      <w:r>
        <w:instrText xml:space="preserve"> PAGEREF _Toc1753 \h </w:instrText>
      </w:r>
      <w:r>
        <w:fldChar w:fldCharType="separate"/>
      </w:r>
      <w:r>
        <w:t>93</w:t>
      </w:r>
      <w:r>
        <w:fldChar w:fldCharType="end"/>
      </w:r>
      <w:r>
        <w:rPr>
          <w:rFonts w:ascii="Times New Roman" w:hAnsi="Times New Roman" w:eastAsia="宋体" w:cs="Times New Roman"/>
          <w:color w:val="auto"/>
          <w:szCs w:val="24"/>
          <w:highlight w:val="none"/>
        </w:rPr>
        <w:fldChar w:fldCharType="end"/>
      </w:r>
    </w:p>
    <w:p w14:paraId="75494DF8">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_Toc7889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rPr>
        <w:t xml:space="preserve">二、 </w:t>
      </w:r>
      <w:r>
        <w:rPr>
          <w:rFonts w:ascii="Times New Roman" w:hAnsi="Times New Roman" w:eastAsia="宋体" w:cs="Times New Roman"/>
          <w:highlight w:val="none"/>
        </w:rPr>
        <w:t>矿山地质环境治理工程经费估算</w:t>
      </w:r>
      <w:r>
        <w:tab/>
      </w:r>
      <w:r>
        <w:fldChar w:fldCharType="begin"/>
      </w:r>
      <w:r>
        <w:instrText xml:space="preserve"> PAGEREF _Toc7889 \h </w:instrText>
      </w:r>
      <w:r>
        <w:fldChar w:fldCharType="separate"/>
      </w:r>
      <w:r>
        <w:t>98</w:t>
      </w:r>
      <w:r>
        <w:fldChar w:fldCharType="end"/>
      </w:r>
      <w:r>
        <w:rPr>
          <w:rFonts w:ascii="Times New Roman" w:hAnsi="Times New Roman" w:eastAsia="宋体" w:cs="Times New Roman"/>
          <w:color w:val="auto"/>
          <w:szCs w:val="24"/>
          <w:highlight w:val="none"/>
        </w:rPr>
        <w:fldChar w:fldCharType="end"/>
      </w:r>
    </w:p>
    <w:p w14:paraId="7BC67674">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_Toc31572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（一）总工程量与投资估算</w:t>
      </w:r>
      <w:r>
        <w:tab/>
      </w:r>
      <w:r>
        <w:fldChar w:fldCharType="begin"/>
      </w:r>
      <w:r>
        <w:instrText xml:space="preserve"> PAGEREF _Toc31572 \h </w:instrText>
      </w:r>
      <w:r>
        <w:fldChar w:fldCharType="separate"/>
      </w:r>
      <w:r>
        <w:t>98</w:t>
      </w:r>
      <w:r>
        <w:fldChar w:fldCharType="end"/>
      </w:r>
      <w:r>
        <w:rPr>
          <w:rFonts w:ascii="Times New Roman" w:hAnsi="Times New Roman" w:eastAsia="宋体" w:cs="Times New Roman"/>
          <w:color w:val="auto"/>
          <w:szCs w:val="24"/>
          <w:highlight w:val="none"/>
        </w:rPr>
        <w:fldChar w:fldCharType="end"/>
      </w:r>
    </w:p>
    <w:p w14:paraId="350E1252">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_Toc22392 </w:instrText>
      </w:r>
      <w:r>
        <w:rPr>
          <w:rFonts w:ascii="Times New Roman" w:hAnsi="Times New Roman" w:eastAsia="宋体" w:cs="Times New Roman"/>
          <w:szCs w:val="24"/>
          <w:highlight w:val="none"/>
        </w:rPr>
        <w:fldChar w:fldCharType="separate"/>
      </w:r>
      <w:r>
        <w:rPr>
          <w:rFonts w:hint="eastAsia" w:ascii="Times New Roman" w:hAnsi="Times New Roman" w:eastAsia="宋体" w:cs="Times New Roman"/>
          <w:highlight w:val="none"/>
          <w:lang w:val="en-US" w:eastAsia="zh-CN"/>
        </w:rPr>
        <w:t>二</w:t>
      </w:r>
      <w:r>
        <w:rPr>
          <w:rFonts w:ascii="Times New Roman" w:hAnsi="Times New Roman" w:eastAsia="宋体" w:cs="Times New Roman"/>
          <w:highlight w:val="none"/>
        </w:rPr>
        <w:t>、土地复垦工程经费估算</w:t>
      </w:r>
      <w:r>
        <w:tab/>
      </w:r>
      <w:r>
        <w:fldChar w:fldCharType="begin"/>
      </w:r>
      <w:r>
        <w:instrText xml:space="preserve"> PAGEREF _Toc22392 \h </w:instrText>
      </w:r>
      <w:r>
        <w:fldChar w:fldCharType="separate"/>
      </w:r>
      <w:r>
        <w:t>99</w:t>
      </w:r>
      <w:r>
        <w:fldChar w:fldCharType="end"/>
      </w:r>
      <w:r>
        <w:rPr>
          <w:rFonts w:ascii="Times New Roman" w:hAnsi="Times New Roman" w:eastAsia="宋体" w:cs="Times New Roman"/>
          <w:color w:val="auto"/>
          <w:szCs w:val="24"/>
          <w:highlight w:val="none"/>
        </w:rPr>
        <w:fldChar w:fldCharType="end"/>
      </w:r>
    </w:p>
    <w:p w14:paraId="54CD8E38">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_Toc4399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28"/>
          <w:highlight w:val="none"/>
        </w:rPr>
        <w:t>（一）总工程量与投资估算</w:t>
      </w:r>
      <w:r>
        <w:tab/>
      </w:r>
      <w:r>
        <w:fldChar w:fldCharType="begin"/>
      </w:r>
      <w:r>
        <w:instrText xml:space="preserve"> PAGEREF _Toc4399 \h </w:instrText>
      </w:r>
      <w:r>
        <w:fldChar w:fldCharType="separate"/>
      </w:r>
      <w:r>
        <w:t>99</w:t>
      </w:r>
      <w:r>
        <w:fldChar w:fldCharType="end"/>
      </w:r>
      <w:r>
        <w:rPr>
          <w:rFonts w:ascii="Times New Roman" w:hAnsi="Times New Roman" w:eastAsia="宋体" w:cs="Times New Roman"/>
          <w:color w:val="auto"/>
          <w:szCs w:val="24"/>
          <w:highlight w:val="none"/>
        </w:rPr>
        <w:fldChar w:fldCharType="end"/>
      </w:r>
    </w:p>
    <w:p w14:paraId="49CA2B26">
      <w:pPr>
        <w:pStyle w:val="13"/>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_Toc20498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（二）单项工程量与投资估算</w:t>
      </w:r>
      <w:r>
        <w:tab/>
      </w:r>
      <w:r>
        <w:fldChar w:fldCharType="begin"/>
      </w:r>
      <w:r>
        <w:instrText xml:space="preserve"> PAGEREF _Toc20498 \h </w:instrText>
      </w:r>
      <w:r>
        <w:fldChar w:fldCharType="separate"/>
      </w:r>
      <w:r>
        <w:t>100</w:t>
      </w:r>
      <w:r>
        <w:fldChar w:fldCharType="end"/>
      </w:r>
      <w:r>
        <w:rPr>
          <w:rFonts w:ascii="Times New Roman" w:hAnsi="Times New Roman" w:eastAsia="宋体" w:cs="Times New Roman"/>
          <w:color w:val="auto"/>
          <w:szCs w:val="24"/>
          <w:highlight w:val="none"/>
        </w:rPr>
        <w:fldChar w:fldCharType="end"/>
      </w:r>
    </w:p>
    <w:p w14:paraId="5817E0C6">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_Toc3074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四、总费用汇总与年度安排</w:t>
      </w:r>
      <w:r>
        <w:tab/>
      </w:r>
      <w:r>
        <w:fldChar w:fldCharType="begin"/>
      </w:r>
      <w:r>
        <w:instrText xml:space="preserve"> PAGEREF _Toc3074 \h </w:instrText>
      </w:r>
      <w:r>
        <w:fldChar w:fldCharType="separate"/>
      </w:r>
      <w:r>
        <w:t>101</w:t>
      </w:r>
      <w:r>
        <w:fldChar w:fldCharType="end"/>
      </w:r>
      <w:r>
        <w:rPr>
          <w:rFonts w:ascii="Times New Roman" w:hAnsi="Times New Roman" w:eastAsia="宋体" w:cs="Times New Roman"/>
          <w:color w:val="auto"/>
          <w:szCs w:val="24"/>
          <w:highlight w:val="none"/>
        </w:rPr>
        <w:fldChar w:fldCharType="end"/>
      </w:r>
    </w:p>
    <w:p w14:paraId="2C02C02E">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_Toc30807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2"/>
          <w:highlight w:val="none"/>
        </w:rPr>
        <w:t>第8章  保障措施与效益分析</w:t>
      </w:r>
      <w:r>
        <w:tab/>
      </w:r>
      <w:r>
        <w:fldChar w:fldCharType="begin"/>
      </w:r>
      <w:r>
        <w:instrText xml:space="preserve"> PAGEREF _Toc30807 \h </w:instrText>
      </w:r>
      <w:r>
        <w:fldChar w:fldCharType="separate"/>
      </w:r>
      <w:r>
        <w:t>104</w:t>
      </w:r>
      <w:r>
        <w:fldChar w:fldCharType="end"/>
      </w:r>
      <w:r>
        <w:rPr>
          <w:rFonts w:ascii="Times New Roman" w:hAnsi="Times New Roman" w:eastAsia="宋体" w:cs="Times New Roman"/>
          <w:color w:val="auto"/>
          <w:szCs w:val="24"/>
          <w:highlight w:val="none"/>
        </w:rPr>
        <w:fldChar w:fldCharType="end"/>
      </w:r>
    </w:p>
    <w:p w14:paraId="7734FCD1">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_Toc29983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一、组织保障</w:t>
      </w:r>
      <w:r>
        <w:tab/>
      </w:r>
      <w:r>
        <w:fldChar w:fldCharType="begin"/>
      </w:r>
      <w:r>
        <w:instrText xml:space="preserve"> PAGEREF _Toc29983 \h </w:instrText>
      </w:r>
      <w:r>
        <w:fldChar w:fldCharType="separate"/>
      </w:r>
      <w:r>
        <w:t>104</w:t>
      </w:r>
      <w:r>
        <w:fldChar w:fldCharType="end"/>
      </w:r>
      <w:r>
        <w:rPr>
          <w:rFonts w:ascii="Times New Roman" w:hAnsi="Times New Roman" w:eastAsia="宋体" w:cs="Times New Roman"/>
          <w:color w:val="auto"/>
          <w:szCs w:val="24"/>
          <w:highlight w:val="none"/>
        </w:rPr>
        <w:fldChar w:fldCharType="end"/>
      </w:r>
    </w:p>
    <w:p w14:paraId="6416631E">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_Toc4832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二、技术保障</w:t>
      </w:r>
      <w:r>
        <w:tab/>
      </w:r>
      <w:r>
        <w:fldChar w:fldCharType="begin"/>
      </w:r>
      <w:r>
        <w:instrText xml:space="preserve"> PAGEREF _Toc4832 \h </w:instrText>
      </w:r>
      <w:r>
        <w:fldChar w:fldCharType="separate"/>
      </w:r>
      <w:r>
        <w:t>106</w:t>
      </w:r>
      <w:r>
        <w:fldChar w:fldCharType="end"/>
      </w:r>
      <w:r>
        <w:rPr>
          <w:rFonts w:ascii="Times New Roman" w:hAnsi="Times New Roman" w:eastAsia="宋体" w:cs="Times New Roman"/>
          <w:color w:val="auto"/>
          <w:szCs w:val="24"/>
          <w:highlight w:val="none"/>
        </w:rPr>
        <w:fldChar w:fldCharType="end"/>
      </w:r>
    </w:p>
    <w:p w14:paraId="27004289">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_Toc12545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三、资金保障</w:t>
      </w:r>
      <w:r>
        <w:tab/>
      </w:r>
      <w:r>
        <w:fldChar w:fldCharType="begin"/>
      </w:r>
      <w:r>
        <w:instrText xml:space="preserve"> PAGEREF _Toc12545 \h </w:instrText>
      </w:r>
      <w:r>
        <w:fldChar w:fldCharType="separate"/>
      </w:r>
      <w:r>
        <w:t>107</w:t>
      </w:r>
      <w:r>
        <w:fldChar w:fldCharType="end"/>
      </w:r>
      <w:r>
        <w:rPr>
          <w:rFonts w:ascii="Times New Roman" w:hAnsi="Times New Roman" w:eastAsia="宋体" w:cs="Times New Roman"/>
          <w:color w:val="auto"/>
          <w:szCs w:val="24"/>
          <w:highlight w:val="none"/>
        </w:rPr>
        <w:fldChar w:fldCharType="end"/>
      </w:r>
    </w:p>
    <w:p w14:paraId="23F3988F">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_Toc5473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四、监督保障</w:t>
      </w:r>
      <w:r>
        <w:tab/>
      </w:r>
      <w:r>
        <w:fldChar w:fldCharType="begin"/>
      </w:r>
      <w:r>
        <w:instrText xml:space="preserve"> PAGEREF _Toc5473 \h </w:instrText>
      </w:r>
      <w:r>
        <w:fldChar w:fldCharType="separate"/>
      </w:r>
      <w:r>
        <w:t>109</w:t>
      </w:r>
      <w:r>
        <w:fldChar w:fldCharType="end"/>
      </w:r>
      <w:r>
        <w:rPr>
          <w:rFonts w:ascii="Times New Roman" w:hAnsi="Times New Roman" w:eastAsia="宋体" w:cs="Times New Roman"/>
          <w:color w:val="auto"/>
          <w:szCs w:val="24"/>
          <w:highlight w:val="none"/>
        </w:rPr>
        <w:fldChar w:fldCharType="end"/>
      </w:r>
    </w:p>
    <w:p w14:paraId="67EEDA01">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_Toc32041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五、效益分析</w:t>
      </w:r>
      <w:r>
        <w:tab/>
      </w:r>
      <w:r>
        <w:fldChar w:fldCharType="begin"/>
      </w:r>
      <w:r>
        <w:instrText xml:space="preserve"> PAGEREF _Toc32041 \h </w:instrText>
      </w:r>
      <w:r>
        <w:fldChar w:fldCharType="separate"/>
      </w:r>
      <w:r>
        <w:t>110</w:t>
      </w:r>
      <w:r>
        <w:fldChar w:fldCharType="end"/>
      </w:r>
      <w:r>
        <w:rPr>
          <w:rFonts w:ascii="Times New Roman" w:hAnsi="Times New Roman" w:eastAsia="宋体" w:cs="Times New Roman"/>
          <w:color w:val="auto"/>
          <w:szCs w:val="24"/>
          <w:highlight w:val="none"/>
        </w:rPr>
        <w:fldChar w:fldCharType="end"/>
      </w:r>
    </w:p>
    <w:p w14:paraId="5F98776A">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_Toc21383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六、公众参与</w:t>
      </w:r>
      <w:r>
        <w:tab/>
      </w:r>
      <w:r>
        <w:fldChar w:fldCharType="begin"/>
      </w:r>
      <w:r>
        <w:instrText xml:space="preserve"> PAGEREF _Toc21383 \h </w:instrText>
      </w:r>
      <w:r>
        <w:fldChar w:fldCharType="separate"/>
      </w:r>
      <w:r>
        <w:t>112</w:t>
      </w:r>
      <w:r>
        <w:fldChar w:fldCharType="end"/>
      </w:r>
      <w:r>
        <w:rPr>
          <w:rFonts w:ascii="Times New Roman" w:hAnsi="Times New Roman" w:eastAsia="宋体" w:cs="Times New Roman"/>
          <w:color w:val="auto"/>
          <w:szCs w:val="24"/>
          <w:highlight w:val="none"/>
        </w:rPr>
        <w:fldChar w:fldCharType="end"/>
      </w:r>
    </w:p>
    <w:p w14:paraId="17522AE4">
      <w:pPr>
        <w:pStyle w:val="18"/>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_Toc504 </w:instrText>
      </w:r>
      <w:r>
        <w:rPr>
          <w:rFonts w:ascii="Times New Roman" w:hAnsi="Times New Roman" w:eastAsia="宋体" w:cs="Times New Roman"/>
          <w:szCs w:val="24"/>
          <w:highlight w:val="none"/>
        </w:rPr>
        <w:fldChar w:fldCharType="separate"/>
      </w:r>
      <w:r>
        <w:rPr>
          <w:rFonts w:ascii="Times New Roman" w:hAnsi="Times New Roman" w:eastAsia="宋体" w:cs="Times New Roman"/>
          <w:szCs w:val="32"/>
          <w:highlight w:val="none"/>
        </w:rPr>
        <w:t>第9章  结论与建议</w:t>
      </w:r>
      <w:r>
        <w:tab/>
      </w:r>
      <w:r>
        <w:fldChar w:fldCharType="begin"/>
      </w:r>
      <w:r>
        <w:instrText xml:space="preserve"> PAGEREF _Toc504 \h </w:instrText>
      </w:r>
      <w:r>
        <w:fldChar w:fldCharType="separate"/>
      </w:r>
      <w:r>
        <w:t>114</w:t>
      </w:r>
      <w:r>
        <w:fldChar w:fldCharType="end"/>
      </w:r>
      <w:r>
        <w:rPr>
          <w:rFonts w:ascii="Times New Roman" w:hAnsi="Times New Roman" w:eastAsia="宋体" w:cs="Times New Roman"/>
          <w:color w:val="auto"/>
          <w:szCs w:val="24"/>
          <w:highlight w:val="none"/>
        </w:rPr>
        <w:fldChar w:fldCharType="end"/>
      </w:r>
    </w:p>
    <w:p w14:paraId="3893B815">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_Toc4596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一、结论</w:t>
      </w:r>
      <w:r>
        <w:tab/>
      </w:r>
      <w:r>
        <w:fldChar w:fldCharType="begin"/>
      </w:r>
      <w:r>
        <w:instrText xml:space="preserve"> PAGEREF _Toc4596 \h </w:instrText>
      </w:r>
      <w:r>
        <w:fldChar w:fldCharType="separate"/>
      </w:r>
      <w:r>
        <w:t>114</w:t>
      </w:r>
      <w:r>
        <w:fldChar w:fldCharType="end"/>
      </w:r>
      <w:r>
        <w:rPr>
          <w:rFonts w:ascii="Times New Roman" w:hAnsi="Times New Roman" w:eastAsia="宋体" w:cs="Times New Roman"/>
          <w:color w:val="auto"/>
          <w:szCs w:val="24"/>
          <w:highlight w:val="none"/>
        </w:rPr>
        <w:fldChar w:fldCharType="end"/>
      </w:r>
    </w:p>
    <w:p w14:paraId="5240A88F">
      <w:pPr>
        <w:pStyle w:val="19"/>
        <w:tabs>
          <w:tab w:val="right" w:leader="dot" w:pos="8306"/>
        </w:tabs>
      </w:pPr>
      <w:r>
        <w:rPr>
          <w:rFonts w:ascii="Times New Roman" w:hAnsi="Times New Roman" w:eastAsia="宋体" w:cs="Times New Roman"/>
          <w:color w:val="auto"/>
          <w:szCs w:val="24"/>
          <w:highlight w:val="none"/>
        </w:rPr>
        <w:fldChar w:fldCharType="begin"/>
      </w:r>
      <w:r>
        <w:rPr>
          <w:rFonts w:ascii="Times New Roman" w:hAnsi="Times New Roman" w:eastAsia="宋体" w:cs="Times New Roman"/>
          <w:szCs w:val="24"/>
          <w:highlight w:val="none"/>
        </w:rPr>
        <w:instrText xml:space="preserve"> HYPERLINK \l _Toc16455 </w:instrText>
      </w:r>
      <w:r>
        <w:rPr>
          <w:rFonts w:ascii="Times New Roman" w:hAnsi="Times New Roman" w:eastAsia="宋体" w:cs="Times New Roman"/>
          <w:szCs w:val="24"/>
          <w:highlight w:val="none"/>
        </w:rPr>
        <w:fldChar w:fldCharType="separate"/>
      </w:r>
      <w:r>
        <w:rPr>
          <w:rFonts w:ascii="Times New Roman" w:hAnsi="Times New Roman" w:eastAsia="宋体" w:cs="Times New Roman"/>
          <w:highlight w:val="none"/>
        </w:rPr>
        <w:t>二、建议</w:t>
      </w:r>
      <w:r>
        <w:tab/>
      </w:r>
      <w:r>
        <w:fldChar w:fldCharType="begin"/>
      </w:r>
      <w:r>
        <w:instrText xml:space="preserve"> PAGEREF _Toc16455 \h </w:instrText>
      </w:r>
      <w:r>
        <w:fldChar w:fldCharType="separate"/>
      </w:r>
      <w:r>
        <w:t>115</w:t>
      </w:r>
      <w:r>
        <w:fldChar w:fldCharType="end"/>
      </w:r>
      <w:r>
        <w:rPr>
          <w:rFonts w:ascii="Times New Roman" w:hAnsi="Times New Roman" w:eastAsia="宋体" w:cs="Times New Roman"/>
          <w:color w:val="auto"/>
          <w:szCs w:val="24"/>
          <w:highlight w:val="none"/>
        </w:rPr>
        <w:fldChar w:fldCharType="end"/>
      </w:r>
    </w:p>
    <w:p w14:paraId="7F26E631">
      <w:pPr>
        <w:tabs>
          <w:tab w:val="left" w:pos="30"/>
          <w:tab w:val="center" w:pos="4153"/>
        </w:tabs>
        <w:spacing w:before="312" w:beforeLines="100" w:line="312" w:lineRule="auto"/>
        <w:jc w:val="left"/>
        <w:rPr>
          <w:rFonts w:ascii="Times New Roman" w:hAnsi="Times New Roman" w:eastAsia="宋体" w:cs="Times New Roman"/>
          <w:color w:val="auto"/>
          <w:sz w:val="24"/>
          <w:szCs w:val="24"/>
          <w:highlight w:val="none"/>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auto"/>
          <w:szCs w:val="24"/>
          <w:highlight w:val="none"/>
        </w:rPr>
        <w:fldChar w:fldCharType="end"/>
      </w:r>
    </w:p>
    <w:p w14:paraId="3C6BE97F">
      <w:pPr>
        <w:pStyle w:val="2"/>
        <w:spacing w:before="200" w:after="200" w:line="360" w:lineRule="auto"/>
        <w:jc w:val="center"/>
        <w:rPr>
          <w:rFonts w:ascii="Times New Roman" w:hAnsi="Times New Roman" w:eastAsia="宋体" w:cs="Times New Roman"/>
          <w:bCs/>
          <w:color w:val="auto"/>
          <w:sz w:val="32"/>
          <w:szCs w:val="44"/>
          <w:highlight w:val="none"/>
        </w:rPr>
      </w:pPr>
      <w:bookmarkStart w:id="1" w:name="_Toc28997"/>
      <w:r>
        <w:rPr>
          <w:rFonts w:ascii="Times New Roman" w:hAnsi="Times New Roman" w:eastAsia="宋体" w:cs="Times New Roman"/>
          <w:bCs/>
          <w:color w:val="auto"/>
          <w:sz w:val="32"/>
          <w:szCs w:val="44"/>
          <w:highlight w:val="none"/>
        </w:rPr>
        <w:t>前  言</w:t>
      </w:r>
      <w:bookmarkEnd w:id="1"/>
    </w:p>
    <w:p w14:paraId="4DFB2091">
      <w:pPr>
        <w:pStyle w:val="3"/>
        <w:spacing w:before="156" w:beforeLines="50" w:after="156" w:afterLines="50" w:line="360" w:lineRule="auto"/>
        <w:jc w:val="left"/>
        <w:rPr>
          <w:rFonts w:ascii="Times New Roman" w:hAnsi="Times New Roman" w:eastAsia="宋体" w:cs="Times New Roman"/>
          <w:bCs/>
          <w:color w:val="auto"/>
          <w:sz w:val="30"/>
          <w:szCs w:val="32"/>
          <w:highlight w:val="none"/>
        </w:rPr>
      </w:pPr>
      <w:bookmarkStart w:id="2" w:name="_Toc29517"/>
      <w:r>
        <w:rPr>
          <w:rFonts w:ascii="Times New Roman" w:hAnsi="Times New Roman" w:eastAsia="宋体" w:cs="Times New Roman"/>
          <w:bCs/>
          <w:color w:val="auto"/>
          <w:sz w:val="30"/>
          <w:szCs w:val="32"/>
          <w:highlight w:val="none"/>
        </w:rPr>
        <w:t>一、任务的由来</w:t>
      </w:r>
      <w:bookmarkEnd w:id="2"/>
    </w:p>
    <w:p w14:paraId="0763A6FF">
      <w:pPr>
        <w:spacing w:line="360" w:lineRule="auto"/>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为了落实十分珍惜、合理利用土地和切实保护耕地的基本国策，进一步保护矿山地质环境，减少矿产资源勘查开采活动造成的矿山地质环境破坏和土地损毁，保护人民生命和财产安全，促进矿产资源的合理开发利用，规范土地复垦活动，加强土地复垦管理，提高土地利用的社会效益、经济效益和生态效益，根据《中华人民共和国矿产资源法》《中华人民共和国土地管理法》《地质灾害防治条例》（国务院令第</w:t>
      </w:r>
      <w:r>
        <w:rPr>
          <w:rFonts w:hint="default" w:ascii="仿宋_GB2312" w:hAnsi="仿宋_GB2312" w:eastAsia="仿宋_GB2312" w:cs="仿宋_GB2312"/>
          <w:color w:val="auto"/>
          <w:sz w:val="28"/>
          <w:szCs w:val="28"/>
          <w:lang w:val="en-US" w:eastAsia="zh-CN"/>
        </w:rPr>
        <w:t>394</w:t>
      </w:r>
      <w:r>
        <w:rPr>
          <w:rFonts w:hint="eastAsia" w:ascii="仿宋_GB2312" w:hAnsi="仿宋_GB2312" w:eastAsia="仿宋_GB2312" w:cs="仿宋_GB2312"/>
          <w:color w:val="auto"/>
          <w:sz w:val="28"/>
          <w:szCs w:val="28"/>
          <w:lang w:val="en-US" w:eastAsia="zh-CN"/>
        </w:rPr>
        <w:t>号）、《土地复垦条例》（国务院令第</w:t>
      </w:r>
      <w:r>
        <w:rPr>
          <w:rFonts w:hint="default" w:ascii="仿宋_GB2312" w:hAnsi="仿宋_GB2312" w:eastAsia="仿宋_GB2312" w:cs="仿宋_GB2312"/>
          <w:color w:val="auto"/>
          <w:sz w:val="28"/>
          <w:szCs w:val="28"/>
          <w:lang w:val="en-US" w:eastAsia="zh-CN"/>
        </w:rPr>
        <w:t>592</w:t>
      </w:r>
      <w:r>
        <w:rPr>
          <w:rFonts w:hint="eastAsia" w:ascii="仿宋_GB2312" w:hAnsi="仿宋_GB2312" w:eastAsia="仿宋_GB2312" w:cs="仿宋_GB2312"/>
          <w:color w:val="auto"/>
          <w:sz w:val="28"/>
          <w:szCs w:val="28"/>
          <w:lang w:val="en-US" w:eastAsia="zh-CN"/>
        </w:rPr>
        <w:t>号）、《矿山地质环境保护规定》（国土资源部令第</w:t>
      </w:r>
      <w:r>
        <w:rPr>
          <w:rFonts w:hint="default" w:ascii="仿宋_GB2312" w:hAnsi="仿宋_GB2312" w:eastAsia="仿宋_GB2312" w:cs="仿宋_GB2312"/>
          <w:color w:val="auto"/>
          <w:sz w:val="28"/>
          <w:szCs w:val="28"/>
          <w:lang w:val="en-US" w:eastAsia="zh-CN"/>
        </w:rPr>
        <w:t>44</w:t>
      </w:r>
      <w:r>
        <w:rPr>
          <w:rFonts w:hint="eastAsia" w:ascii="仿宋_GB2312" w:hAnsi="仿宋_GB2312" w:eastAsia="仿宋_GB2312" w:cs="仿宋_GB2312"/>
          <w:color w:val="auto"/>
          <w:sz w:val="28"/>
          <w:szCs w:val="28"/>
          <w:lang w:val="en-US" w:eastAsia="zh-CN"/>
        </w:rPr>
        <w:t>号）等法律法规有关规定，按照国土资源部办公厅《关于做好矿山地质环境保护与土地复垦方案编报有关工作的通知》（国土资规〔</w:t>
      </w:r>
      <w:r>
        <w:rPr>
          <w:rFonts w:hint="default" w:ascii="仿宋_GB2312" w:hAnsi="仿宋_GB2312" w:eastAsia="仿宋_GB2312" w:cs="仿宋_GB2312"/>
          <w:color w:val="auto"/>
          <w:sz w:val="28"/>
          <w:szCs w:val="28"/>
          <w:lang w:val="en-US" w:eastAsia="zh-CN"/>
        </w:rPr>
        <w:t>2016</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21</w:t>
      </w:r>
      <w:r>
        <w:rPr>
          <w:rFonts w:hint="eastAsia" w:ascii="仿宋_GB2312" w:hAnsi="仿宋_GB2312" w:eastAsia="仿宋_GB2312" w:cs="仿宋_GB2312"/>
          <w:color w:val="auto"/>
          <w:sz w:val="28"/>
          <w:szCs w:val="28"/>
          <w:lang w:val="en-US" w:eastAsia="zh-CN"/>
        </w:rPr>
        <w:t>号）、四川省国土资源厅《关于做好矿山地质环境保护与土地复垦方案编报工作的通知》（川自然资函〔2023〕358号））相关要求，采矿权申请人在申请办理采矿许可证前，应当自行编制或委托有关机构编制矿山地质环境保护与土地复垦方案，大英县紫云村饰面用砂岩为大英县自然资源和规划局以挂牌方式进行挂网，大英县顺源矿业有限责任公司为最终竞标人，属于新建矿山。因此，根据文件要求矿山企业应完成《矿山地质环境保护与土地复垦方案》的编报工作。为此，我单位受大英县顺源矿业有限责任公司委托，对《大英县蓬莱镇紫云村饰面用砂岩矿矿山地质环境保护与土地复垦方案》（以下简称《方案》）进行编制。</w:t>
      </w:r>
    </w:p>
    <w:p w14:paraId="05340364">
      <w:pPr>
        <w:pStyle w:val="13"/>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color w:val="auto"/>
          <w:lang w:val="en-US"/>
        </w:rPr>
      </w:pPr>
      <w:r>
        <w:rPr>
          <w:rFonts w:hint="eastAsia" w:ascii="仿宋_GB2312" w:hAnsi="仿宋_GB2312" w:eastAsia="仿宋_GB2312" w:cs="仿宋_GB2312"/>
          <w:color w:val="auto"/>
          <w:sz w:val="28"/>
          <w:szCs w:val="28"/>
          <w:lang w:val="en-US" w:eastAsia="zh-CN"/>
        </w:rPr>
        <w:t>大英县紫云村饰面用砂岩矿为新建矿山，开采方式露天开采，设计开采规模1万立方米/年。设计开采年限9.14年。</w:t>
      </w:r>
    </w:p>
    <w:p w14:paraId="661BC4E0">
      <w:pPr>
        <w:pStyle w:val="3"/>
        <w:spacing w:before="156" w:beforeLines="50" w:after="156" w:afterLines="50" w:line="360" w:lineRule="auto"/>
        <w:jc w:val="left"/>
        <w:rPr>
          <w:rFonts w:hint="eastAsia" w:ascii="Times New Roman" w:hAnsi="Times New Roman" w:eastAsia="宋体" w:cs="Times New Roman"/>
          <w:bCs/>
          <w:color w:val="auto"/>
          <w:sz w:val="30"/>
          <w:szCs w:val="32"/>
          <w:highlight w:val="none"/>
          <w:lang w:val="en-US" w:eastAsia="zh-CN"/>
        </w:rPr>
      </w:pPr>
      <w:bookmarkStart w:id="3" w:name="_Toc9050"/>
      <w:r>
        <w:rPr>
          <w:rFonts w:ascii="Times New Roman" w:hAnsi="Times New Roman" w:eastAsia="宋体" w:cs="Times New Roman"/>
          <w:bCs/>
          <w:color w:val="auto"/>
          <w:sz w:val="30"/>
          <w:szCs w:val="32"/>
          <w:highlight w:val="none"/>
        </w:rPr>
        <w:t>二、编制目的</w:t>
      </w:r>
      <w:bookmarkEnd w:id="3"/>
    </w:p>
    <w:p w14:paraId="2C3A84EA">
      <w:pPr>
        <w:keepNext w:val="0"/>
        <w:keepLines w:val="0"/>
        <w:widowControl/>
        <w:suppressLineNumbers w:val="0"/>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方案》编制的目的，主要是通过对矿山矿产资源开发利用方案（等已有资料的收集，开展矿山地质环境和矿区土地资源及土地损毁情况调查，基本查明矿区地质环境背景、存在的矿山地质环境问题和矿区土地利用现状，在此基础上开展矿山地质环境影响评价和土地损毁评价，并进行矿山地质环境治理分区与土地复垦区及复垦责任区划分，拟定矿山地质环境恢复治理方案与土地复垦具体方案，为矿山地质环境保护、治理和监测及土地复垦提供技术依据。</w:t>
      </w:r>
    </w:p>
    <w:p w14:paraId="7FD62A93">
      <w:pPr>
        <w:keepNext w:val="0"/>
        <w:keepLines w:val="0"/>
        <w:widowControl/>
        <w:suppressLineNumbers w:val="0"/>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从而促进矿产资源和土地合理开发利用，有效保护矿山地质环境和耕地，减少矿产资源勘查开采活动造成的矿山地质环境破坏和土地损毁，保护人民生命和财产安全，提高矿产资源、土地资源开发利用的综合效益。</w:t>
      </w:r>
    </w:p>
    <w:p w14:paraId="3C079796">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矿山地质环境保护与土地复垦方案，是实施矿山地质环境保护、治理和监测及土地复垦的技术依据之一，通过方案编制，要实现以下目的。</w:t>
      </w:r>
    </w:p>
    <w:p w14:paraId="78D113DF">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通过方案编制和依据方案对该矿山进行地质环境保护与治理，减少或消除矿山存在的各种地质环境问题和隐患，保护矿区地下水资源和环境。恢复因采矿造成破坏的地形地貌景观及周边生态环境，恢复矿区土地资源，提高土地利用价值。根据自然资源部2019年8月14日发布的《矿山地质环境保护规定》和（2016年1月8日）第64号《国土资源部关于修改和废止部分规章的决定》、《四川省财政厅 四川省国土资源厅 四川省环境保护厅关于取消矿山地质环境治理恢复保证金建立矿山地质环境治理恢复基金有关事项的通知》川财规〔2018〕8号，为矿山地质环境保护的实施管理、监督检查、矿山地质环境恢复治理</w:t>
      </w:r>
      <w:r>
        <w:rPr>
          <w:rFonts w:hint="eastAsia" w:ascii="仿宋_GB2312" w:hAnsi="仿宋_GB2312" w:eastAsia="仿宋_GB2312" w:cs="仿宋_GB2312"/>
          <w:color w:val="auto"/>
          <w:sz w:val="28"/>
          <w:szCs w:val="28"/>
          <w:lang w:val="en-US" w:eastAsia="zh-CN"/>
        </w:rPr>
        <w:t>基金制度</w:t>
      </w:r>
      <w:r>
        <w:rPr>
          <w:rFonts w:hint="eastAsia" w:ascii="仿宋_GB2312" w:hAnsi="仿宋_GB2312" w:eastAsia="仿宋_GB2312" w:cs="仿宋_GB2312"/>
          <w:color w:val="auto"/>
          <w:sz w:val="28"/>
          <w:szCs w:val="28"/>
        </w:rPr>
        <w:t>等提供依据。</w:t>
      </w:r>
    </w:p>
    <w:p w14:paraId="03A6A3E3">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通过方案编制和方案实施，促进矿山珍惜及合理利用土地，实现土地资源可持续利用，促进经济社会和环境的和谐发展，改善矿山生态环境，实现绿色矿山的目标。根据《土地复垦条例》（国务院92号令）以及《关于加强生产建设项目土地复垦管理工作的通知》（国土资发【2006】225号）等文件规定和要求，按照“谁破坏、谁复垦”的原则，将生产建设单位的土地复垦目标、任务、措施、计划等落到实处，为土地复垦的实施管理、监督检查、土地复垦费用征收等提供依据。</w:t>
      </w:r>
    </w:p>
    <w:p w14:paraId="5EBAC88C">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3、根据《四川省国土资源厅关于矿山地质环境保护与土地复垦方案编报有关工作的通知》（川国土资发</w:t>
      </w:r>
      <w:r>
        <w:rPr>
          <w:rFonts w:hint="eastAsia" w:ascii="仿宋_GB2312" w:hAnsi="仿宋_GB2312" w:eastAsia="仿宋_GB2312" w:cs="仿宋_GB2312"/>
          <w:color w:val="auto"/>
          <w:sz w:val="28"/>
          <w:szCs w:val="28"/>
          <w:lang w:eastAsia="zh-CN"/>
        </w:rPr>
        <w:t>[2023]358</w:t>
      </w:r>
      <w:r>
        <w:rPr>
          <w:rFonts w:hint="eastAsia" w:ascii="仿宋_GB2312" w:hAnsi="仿宋_GB2312" w:eastAsia="仿宋_GB2312" w:cs="仿宋_GB2312"/>
          <w:color w:val="auto"/>
          <w:sz w:val="28"/>
          <w:szCs w:val="28"/>
        </w:rPr>
        <w:t>号）要求，完善矿山生产手续。</w:t>
      </w:r>
    </w:p>
    <w:p w14:paraId="311B7595">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大英县</w:t>
      </w:r>
      <w:r>
        <w:rPr>
          <w:rFonts w:hint="eastAsia" w:ascii="仿宋_GB2312" w:hAnsi="仿宋_GB2312" w:eastAsia="仿宋_GB2312" w:cs="仿宋_GB2312"/>
          <w:color w:val="auto"/>
          <w:sz w:val="28"/>
          <w:szCs w:val="28"/>
          <w:lang w:val="en-US" w:eastAsia="zh-CN"/>
        </w:rPr>
        <w:t>蓬莱镇</w:t>
      </w:r>
      <w:r>
        <w:rPr>
          <w:rFonts w:hint="eastAsia" w:ascii="仿宋_GB2312" w:hAnsi="仿宋_GB2312" w:eastAsia="仿宋_GB2312" w:cs="仿宋_GB2312"/>
          <w:color w:val="auto"/>
          <w:sz w:val="28"/>
          <w:szCs w:val="28"/>
          <w:lang w:eastAsia="zh-CN"/>
        </w:rPr>
        <w:t>紫云村饰面用砂岩</w:t>
      </w:r>
      <w:r>
        <w:rPr>
          <w:rFonts w:hint="eastAsia" w:ascii="仿宋_GB2312" w:hAnsi="仿宋_GB2312" w:eastAsia="仿宋_GB2312" w:cs="仿宋_GB2312"/>
          <w:color w:val="auto"/>
          <w:sz w:val="28"/>
          <w:szCs w:val="28"/>
        </w:rPr>
        <w:t>矿矿山地质环境保护与土地复垦方案编制的主要任务是：</w:t>
      </w:r>
    </w:p>
    <w:p w14:paraId="2959CCF6">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1、收集资料，开展矿山地质环境调查，查明矿区地质环境条件复杂程度，确定矿山地质环境影响评估级别与评估范围；</w:t>
      </w:r>
    </w:p>
    <w:p w14:paraId="3296BF21">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2、根据矿山地质环境现状，进行矿山地质环境影响现状评估；</w:t>
      </w:r>
    </w:p>
    <w:p w14:paraId="77C7C5B9">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3、在现状评估的基础上，根据矿山开发利用方案、采矿地质环境条件，进行矿山地质环境影响预测评估；</w:t>
      </w:r>
    </w:p>
    <w:p w14:paraId="0B5A768C">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4、根据现状评估和预测评估，进行矿山地质环境保护与土地复垦工程分区；</w:t>
      </w:r>
    </w:p>
    <w:p w14:paraId="0F1B4D2C">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5、提出矿山地质环境保护、预防和土地复垦技术措施；</w:t>
      </w:r>
    </w:p>
    <w:p w14:paraId="591FB41B">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w:t>
      </w:r>
      <w:r>
        <w:rPr>
          <w:rFonts w:hint="eastAsia" w:ascii="仿宋_GB2312" w:hAnsi="仿宋_GB2312" w:eastAsia="仿宋_GB2312" w:cs="仿宋_GB2312"/>
          <w:color w:val="auto"/>
          <w:sz w:val="28"/>
          <w:szCs w:val="28"/>
          <w:lang w:val="en-US" w:eastAsia="zh-CN"/>
        </w:rPr>
        <w:t>指导矿山在开采建设过程及闭坑后对矿山进行环境治理及土地复垦工作，并</w:t>
      </w:r>
      <w:r>
        <w:rPr>
          <w:rFonts w:hint="eastAsia" w:ascii="仿宋_GB2312" w:hAnsi="仿宋_GB2312" w:eastAsia="仿宋_GB2312" w:cs="仿宋_GB2312"/>
          <w:color w:val="auto"/>
          <w:sz w:val="28"/>
          <w:szCs w:val="28"/>
        </w:rPr>
        <w:t>制定矿山地质环境监测工作方案；</w:t>
      </w:r>
    </w:p>
    <w:p w14:paraId="1F57DC42">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_GB2312" w:hAnsi="仿宋_GB2312" w:eastAsia="仿宋_GB2312" w:cs="仿宋_GB2312"/>
          <w:color w:val="auto"/>
          <w:sz w:val="28"/>
          <w:szCs w:val="28"/>
        </w:rPr>
        <w:t>7、进行矿山地质环境保护与土地复垦工程经费估算。</w:t>
      </w:r>
    </w:p>
    <w:p w14:paraId="62C99850">
      <w:pPr>
        <w:pStyle w:val="3"/>
        <w:spacing w:before="156" w:beforeLines="50" w:after="156" w:afterLines="50" w:line="360" w:lineRule="auto"/>
        <w:jc w:val="left"/>
        <w:rPr>
          <w:rFonts w:ascii="Times New Roman" w:hAnsi="Times New Roman" w:eastAsia="宋体" w:cs="Times New Roman"/>
          <w:bCs/>
          <w:color w:val="auto"/>
          <w:sz w:val="30"/>
          <w:szCs w:val="32"/>
          <w:highlight w:val="none"/>
        </w:rPr>
      </w:pPr>
      <w:bookmarkStart w:id="4" w:name="_Toc19633"/>
      <w:r>
        <w:rPr>
          <w:rFonts w:ascii="Times New Roman" w:hAnsi="Times New Roman" w:eastAsia="宋体" w:cs="Times New Roman"/>
          <w:bCs/>
          <w:color w:val="auto"/>
          <w:sz w:val="30"/>
          <w:szCs w:val="32"/>
          <w:highlight w:val="none"/>
        </w:rPr>
        <w:t>三、编制依据</w:t>
      </w:r>
      <w:bookmarkEnd w:id="4"/>
    </w:p>
    <w:p w14:paraId="68097432">
      <w:pPr>
        <w:pStyle w:val="4"/>
        <w:spacing w:line="360" w:lineRule="auto"/>
        <w:jc w:val="left"/>
        <w:rPr>
          <w:rFonts w:ascii="Times New Roman" w:hAnsi="Times New Roman" w:eastAsia="宋体" w:cs="Times New Roman"/>
          <w:bCs/>
          <w:color w:val="auto"/>
          <w:sz w:val="28"/>
          <w:szCs w:val="32"/>
          <w:highlight w:val="none"/>
        </w:rPr>
      </w:pPr>
      <w:bookmarkStart w:id="5" w:name="_Toc18550"/>
      <w:bookmarkStart w:id="6" w:name="_Toc20580"/>
      <w:r>
        <w:rPr>
          <w:rFonts w:ascii="Times New Roman" w:hAnsi="Times New Roman" w:eastAsia="宋体" w:cs="Times New Roman"/>
          <w:bCs/>
          <w:color w:val="auto"/>
          <w:sz w:val="28"/>
          <w:szCs w:val="32"/>
          <w:highlight w:val="none"/>
        </w:rPr>
        <w:t>（一）法律法规</w:t>
      </w:r>
      <w:bookmarkEnd w:id="5"/>
      <w:bookmarkEnd w:id="6"/>
    </w:p>
    <w:p w14:paraId="05BC5064">
      <w:pPr>
        <w:spacing w:line="360" w:lineRule="auto"/>
        <w:ind w:firstLine="560" w:firstLineChars="200"/>
        <w:rPr>
          <w:rFonts w:hint="eastAsia" w:ascii="仿宋" w:hAnsi="仿宋" w:eastAsia="仿宋" w:cs="仿宋"/>
          <w:color w:val="auto"/>
          <w:sz w:val="28"/>
          <w:szCs w:val="28"/>
          <w:highlight w:val="none"/>
        </w:rPr>
      </w:pPr>
      <w:bookmarkStart w:id="7" w:name="_Toc13324"/>
      <w:r>
        <w:rPr>
          <w:rFonts w:hint="eastAsia" w:ascii="仿宋" w:hAnsi="仿宋" w:eastAsia="仿宋" w:cs="仿宋"/>
          <w:color w:val="auto"/>
          <w:sz w:val="28"/>
          <w:szCs w:val="28"/>
          <w:highlight w:val="none"/>
        </w:rPr>
        <w:t>1、《矿山地质环境保护规定（修订）》（国土资源部令64号）（2019.7.16）；</w:t>
      </w:r>
    </w:p>
    <w:p w14:paraId="3C124081">
      <w:pPr>
        <w:spacing w:line="360" w:lineRule="auto"/>
        <w:ind w:firstLine="560" w:firstLineChars="200"/>
        <w:rPr>
          <w:rFonts w:hint="eastAsia" w:ascii="仿宋" w:hAnsi="仿宋" w:eastAsia="仿宋" w:cs="仿宋"/>
          <w:color w:val="auto"/>
          <w:sz w:val="28"/>
          <w:szCs w:val="28"/>
          <w:highlight w:val="none"/>
        </w:rPr>
      </w:pPr>
      <w:bookmarkStart w:id="8" w:name="_Toc529211035"/>
      <w:bookmarkStart w:id="9" w:name="_Toc535828575"/>
      <w:r>
        <w:rPr>
          <w:rFonts w:hint="eastAsia" w:ascii="仿宋" w:hAnsi="仿宋" w:eastAsia="仿宋" w:cs="仿宋"/>
          <w:color w:val="auto"/>
          <w:sz w:val="28"/>
          <w:szCs w:val="28"/>
          <w:highlight w:val="none"/>
        </w:rPr>
        <w:t>2、《地质灾害防治条例》（国务院第394号令）（2003.11.24）；</w:t>
      </w:r>
      <w:bookmarkEnd w:id="8"/>
      <w:bookmarkEnd w:id="9"/>
    </w:p>
    <w:p w14:paraId="2F262B0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3、《中华人民共和国土地管理法（修订）》（第十三届全国人民代表大会常务委员会第十二次会议修订）（2019.8.26）；</w:t>
      </w:r>
    </w:p>
    <w:p w14:paraId="04DA6D5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4、《土地复垦条例》（国务院令第592号）（2011.3.5）；</w:t>
      </w:r>
    </w:p>
    <w:p w14:paraId="05A8E61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5、《中华人民共和国水土保持法（修订）》（2011.3.1）；</w:t>
      </w:r>
    </w:p>
    <w:p w14:paraId="4E69693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6、《中华人民共和国环境保护法》（2015.1.1）；</w:t>
      </w:r>
    </w:p>
    <w:p w14:paraId="3557E19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7、《中华人民共和国矿产资源法（2009年修正）》（2009.8.27）；</w:t>
      </w:r>
    </w:p>
    <w:p w14:paraId="4750772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8、《中华人民共和国森林法》（2020.7.1）；</w:t>
      </w:r>
    </w:p>
    <w:p w14:paraId="6E786D4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、《中华人民共和国水土保持法实施条例》（国务院令第120号）（2011.1.8修订）；</w:t>
      </w:r>
    </w:p>
    <w:p w14:paraId="7384545F">
      <w:pPr>
        <w:spacing w:line="360" w:lineRule="auto"/>
        <w:ind w:firstLine="560" w:firstLineChars="200"/>
        <w:rPr>
          <w:rFonts w:hint="eastAsia" w:ascii="仿宋" w:hAnsi="仿宋" w:eastAsia="仿宋" w:cs="仿宋"/>
          <w:color w:val="auto"/>
          <w:sz w:val="28"/>
          <w:szCs w:val="28"/>
          <w:highlight w:val="none"/>
        </w:rPr>
      </w:pPr>
      <w:bookmarkStart w:id="10" w:name="_Toc529211036"/>
      <w:bookmarkStart w:id="11" w:name="_Toc535828576"/>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rPr>
        <w:t>、《中华人民共和国水污染防治法》（2008.6.1）；</w:t>
      </w:r>
      <w:bookmarkEnd w:id="10"/>
      <w:bookmarkEnd w:id="11"/>
    </w:p>
    <w:p w14:paraId="0542348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、《中华人民共和国固体废物污染环境防治法（</w:t>
      </w:r>
      <w:r>
        <w:rPr>
          <w:rFonts w:hint="eastAsia" w:ascii="仿宋" w:hAnsi="仿宋" w:eastAsia="仿宋" w:cs="仿宋"/>
          <w:color w:val="auto"/>
          <w:sz w:val="28"/>
          <w:szCs w:val="28"/>
          <w:highlight w:val="none"/>
          <w:lang w:val="en-US" w:eastAsia="zh-CN"/>
        </w:rPr>
        <w:t>2020</w:t>
      </w:r>
      <w:r>
        <w:rPr>
          <w:rFonts w:hint="eastAsia" w:ascii="仿宋" w:hAnsi="仿宋" w:eastAsia="仿宋" w:cs="仿宋"/>
          <w:color w:val="auto"/>
          <w:sz w:val="28"/>
          <w:szCs w:val="28"/>
          <w:highlight w:val="none"/>
        </w:rPr>
        <w:t>修订）》（中华人民共和国主席令第</w:t>
      </w:r>
      <w:r>
        <w:rPr>
          <w:rFonts w:hint="eastAsia" w:ascii="仿宋" w:hAnsi="仿宋" w:eastAsia="仿宋" w:cs="仿宋"/>
          <w:color w:val="auto"/>
          <w:sz w:val="28"/>
          <w:szCs w:val="28"/>
          <w:highlight w:val="none"/>
          <w:lang w:val="en-US" w:eastAsia="zh-CN"/>
        </w:rPr>
        <w:t>43</w:t>
      </w:r>
      <w:r>
        <w:rPr>
          <w:rFonts w:hint="eastAsia" w:ascii="仿宋" w:hAnsi="仿宋" w:eastAsia="仿宋" w:cs="仿宋"/>
          <w:color w:val="auto"/>
          <w:sz w:val="28"/>
          <w:szCs w:val="28"/>
          <w:highlight w:val="none"/>
        </w:rPr>
        <w:t>号）（20</w:t>
      </w:r>
      <w:r>
        <w:rPr>
          <w:rFonts w:hint="eastAsia" w:ascii="仿宋" w:hAnsi="仿宋" w:eastAsia="仿宋" w:cs="仿宋"/>
          <w:color w:val="auto"/>
          <w:sz w:val="28"/>
          <w:szCs w:val="28"/>
          <w:highlight w:val="none"/>
          <w:lang w:val="en-US" w:eastAsia="zh-CN"/>
        </w:rPr>
        <w:t>20.9.1</w:t>
      </w:r>
      <w:r>
        <w:rPr>
          <w:rFonts w:hint="eastAsia" w:ascii="仿宋" w:hAnsi="仿宋" w:eastAsia="仿宋" w:cs="仿宋"/>
          <w:color w:val="auto"/>
          <w:sz w:val="28"/>
          <w:szCs w:val="28"/>
          <w:highlight w:val="none"/>
        </w:rPr>
        <w:t>）；</w:t>
      </w:r>
    </w:p>
    <w:p w14:paraId="4DAC7691">
      <w:pPr>
        <w:spacing w:line="360" w:lineRule="auto"/>
        <w:ind w:firstLine="560" w:firstLineChars="200"/>
        <w:rPr>
          <w:rFonts w:hint="eastAsia" w:ascii="仿宋" w:hAnsi="仿宋" w:eastAsia="仿宋" w:cs="仿宋"/>
          <w:color w:val="auto"/>
          <w:sz w:val="28"/>
          <w:szCs w:val="28"/>
          <w:highlight w:val="none"/>
        </w:rPr>
      </w:pPr>
      <w:bookmarkStart w:id="12" w:name="_Toc535828577"/>
      <w:bookmarkStart w:id="13" w:name="_Toc529211037"/>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、《中华人民共和国矿产资源法实施细则》（国务院令第152号）（1994.3.26）；</w:t>
      </w:r>
      <w:bookmarkEnd w:id="12"/>
      <w:bookmarkEnd w:id="13"/>
    </w:p>
    <w:p w14:paraId="7A296195">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、《基本农田保护条例》（国务院令第162号）（1998.12.27）。</w:t>
      </w:r>
    </w:p>
    <w:p w14:paraId="07C33810">
      <w:pPr>
        <w:pStyle w:val="4"/>
        <w:spacing w:line="360" w:lineRule="auto"/>
        <w:jc w:val="left"/>
        <w:rPr>
          <w:rFonts w:ascii="Times New Roman" w:hAnsi="Times New Roman" w:eastAsia="宋体" w:cs="Times New Roman"/>
          <w:bCs/>
          <w:color w:val="auto"/>
          <w:sz w:val="28"/>
          <w:szCs w:val="32"/>
          <w:highlight w:val="none"/>
        </w:rPr>
      </w:pPr>
      <w:bookmarkStart w:id="14" w:name="_Toc402"/>
      <w:r>
        <w:rPr>
          <w:rFonts w:ascii="Times New Roman" w:hAnsi="Times New Roman" w:eastAsia="宋体" w:cs="Times New Roman"/>
          <w:bCs/>
          <w:color w:val="auto"/>
          <w:sz w:val="28"/>
          <w:szCs w:val="32"/>
          <w:highlight w:val="none"/>
        </w:rPr>
        <w:t>（二）规程规范</w:t>
      </w:r>
      <w:bookmarkEnd w:id="7"/>
      <w:bookmarkEnd w:id="14"/>
    </w:p>
    <w:p w14:paraId="30598B1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1、《矿山地质环境保护与土地复垦方案编制指南》（2016.12）；</w:t>
      </w:r>
    </w:p>
    <w:p w14:paraId="7AA7F77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2、《矿山地质环境保护与恢复治理方案编制规范》（DZ/T 0223-2011）；</w:t>
      </w:r>
    </w:p>
    <w:p w14:paraId="1941B57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3、《土地复垦方案编制规程》（TD/T</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1031-2011）；</w:t>
      </w:r>
    </w:p>
    <w:p w14:paraId="504487A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4、《土地复垦质量控制标准》（TD/T 1036-2013）；</w:t>
      </w:r>
    </w:p>
    <w:p w14:paraId="7FB8F1A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5、《土地利用现状分类》(GB/T21010-2017)；</w:t>
      </w:r>
    </w:p>
    <w:p w14:paraId="183B650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6、《土地整治项目规划设计规范》(TB/T1012-2016)；</w:t>
      </w:r>
    </w:p>
    <w:p w14:paraId="0876F85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7、《地表水和污水监测技术规范》(HJ/T91-2002)；</w:t>
      </w:r>
    </w:p>
    <w:p w14:paraId="061455D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8、《建筑边坡工程技术规范》(GB50330-2013)；</w:t>
      </w:r>
    </w:p>
    <w:p w14:paraId="4266107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9、《地质灾害危险性评估规范》（DZT 0286-2015）；</w:t>
      </w:r>
    </w:p>
    <w:p w14:paraId="0B35242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10、《滑坡防治工程设计与施工技术规范》（DZ/T0219-2006）；</w:t>
      </w:r>
    </w:p>
    <w:p w14:paraId="7E673CD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11、《崩塌、滑坡、泥石流监测规范》（DZ/T 0221-2006）；</w:t>
      </w:r>
    </w:p>
    <w:p w14:paraId="6102418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12、《造林技术规程》（GB</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T15776-20</w:t>
      </w:r>
      <w:r>
        <w:rPr>
          <w:rFonts w:hint="eastAsia" w:ascii="仿宋" w:hAnsi="仿宋" w:eastAsia="仿宋" w:cs="仿宋"/>
          <w:color w:val="auto"/>
          <w:sz w:val="28"/>
          <w:szCs w:val="28"/>
          <w:highlight w:val="none"/>
          <w:lang w:val="en-US" w:eastAsia="zh-CN"/>
        </w:rPr>
        <w:t>23</w:t>
      </w:r>
      <w:r>
        <w:rPr>
          <w:rFonts w:hint="eastAsia" w:ascii="仿宋" w:hAnsi="仿宋" w:eastAsia="仿宋" w:cs="仿宋"/>
          <w:color w:val="auto"/>
          <w:sz w:val="28"/>
          <w:szCs w:val="28"/>
          <w:highlight w:val="none"/>
        </w:rPr>
        <w:t>）；</w:t>
      </w:r>
    </w:p>
    <w:p w14:paraId="6241D36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13、《耕地质量验收技术规范》（NY/T 1120-2006）；</w:t>
      </w:r>
    </w:p>
    <w:p w14:paraId="32783F1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14、《人工草地建设技术规程》（NY/T 1342-2007）；</w:t>
      </w:r>
    </w:p>
    <w:p w14:paraId="593CC34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15、《四川省地质灾害治理工程概预算定额（试行）》；</w:t>
      </w:r>
    </w:p>
    <w:p w14:paraId="4036425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16、《四川省建筑工程清单计价定额》（2015）；</w:t>
      </w:r>
    </w:p>
    <w:p w14:paraId="7072E42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17、《四川省土地开发整理项目预算定额标准》（川财投〔2012〕139号）；</w:t>
      </w:r>
    </w:p>
    <w:p w14:paraId="6BC7967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18、《四川省土地开发整理项目施工机械台班费定额》（2012）；</w:t>
      </w:r>
    </w:p>
    <w:p w14:paraId="09FE883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19、《土地开发整理项目预算编制规定》（2012）；</w:t>
      </w:r>
    </w:p>
    <w:p w14:paraId="515A0E5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20、《土地整治项目工程量计算规则》（TD/T 1039-2013）</w:t>
      </w:r>
    </w:p>
    <w:p w14:paraId="460ACFA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《造林作业设计技术规程》</w:t>
      </w:r>
      <w:r>
        <w:rPr>
          <w:rFonts w:hint="eastAsia" w:ascii="仿宋" w:hAnsi="仿宋" w:eastAsia="仿宋" w:cs="仿宋"/>
          <w:color w:val="auto"/>
          <w:sz w:val="28"/>
          <w:szCs w:val="28"/>
          <w:highlight w:val="none"/>
        </w:rPr>
        <w:t>。</w:t>
      </w:r>
    </w:p>
    <w:p w14:paraId="4AB907F8">
      <w:pPr>
        <w:pStyle w:val="4"/>
        <w:rPr>
          <w:rFonts w:ascii="Times New Roman" w:hAnsi="Times New Roman" w:eastAsia="宋体" w:cs="Times New Roman"/>
          <w:color w:val="auto"/>
          <w:highlight w:val="none"/>
        </w:rPr>
      </w:pPr>
      <w:bookmarkStart w:id="15" w:name="_Toc10667"/>
      <w:bookmarkStart w:id="16" w:name="_Toc18145"/>
      <w:r>
        <w:rPr>
          <w:rFonts w:ascii="Times New Roman" w:hAnsi="Times New Roman" w:eastAsia="宋体" w:cs="Times New Roman"/>
          <w:color w:val="auto"/>
          <w:highlight w:val="none"/>
        </w:rPr>
        <w:t>（三）技术文件及资料</w:t>
      </w:r>
      <w:bookmarkEnd w:id="15"/>
      <w:bookmarkEnd w:id="16"/>
    </w:p>
    <w:p w14:paraId="1A8B5563">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1、《关于加强生产建设项目土地复垦管理工作的通知》（国土资发〔2006〕225号）；</w:t>
      </w:r>
    </w:p>
    <w:p w14:paraId="1D5EA6BA">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2、《关于组织土地复垦方案编报和审查有关问题的通知》（国土资发〔2007〕81号）；</w:t>
      </w:r>
    </w:p>
    <w:p w14:paraId="540EE2CD">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3、《农业综合开发土地复垦项目管理暂行办法》（国土资发〔2000〕414号）；</w:t>
      </w:r>
    </w:p>
    <w:p w14:paraId="19AE9813">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4、《关于加强矿山生态环境保护工作的通知》（国土资发〔1999〕36号）；</w:t>
      </w:r>
    </w:p>
    <w:p w14:paraId="5DA93FB6">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5、《国土资源部办公厅关于做好矿山地质环境保护与土地复垦方案编报有关工作的通知》（国土资规〔2016〕21号）；</w:t>
      </w:r>
    </w:p>
    <w:p w14:paraId="65D1DEBB">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6、《四川省在建与生产矿山生态修复管理办法》（川自然资发（2021）27号</w:t>
      </w:r>
      <w:r>
        <w:rPr>
          <w:rFonts w:hint="eastAsia" w:ascii="Noto Sans SC" w:hAnsi="Noto Sans SC" w:eastAsia="Noto Sans SC" w:cs="Noto Sans SC"/>
          <w:i w:val="0"/>
          <w:iCs w:val="0"/>
          <w:caps w:val="0"/>
          <w:color w:val="000000"/>
          <w:spacing w:val="0"/>
          <w:sz w:val="16"/>
          <w:szCs w:val="16"/>
          <w:shd w:val="clear" w:fill="FFFFFF"/>
          <w:lang w:eastAsia="zh-CN"/>
        </w:rPr>
        <w:t>）</w:t>
      </w:r>
      <w:r>
        <w:rPr>
          <w:rFonts w:hint="eastAsia" w:ascii="仿宋_GB2312" w:hAnsi="仿宋_GB2312" w:eastAsia="仿宋_GB2312" w:cs="仿宋_GB2312"/>
          <w:color w:val="auto"/>
          <w:sz w:val="28"/>
          <w:szCs w:val="28"/>
          <w:lang w:val="en-US" w:eastAsia="zh-CN"/>
        </w:rPr>
        <w:t>；</w:t>
      </w:r>
    </w:p>
    <w:p w14:paraId="2BEB11BC">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7、《四川省自然资源厅关于规范矿山地质环境保护与土地复垦方案编报和审查工作的通知》（川自然资函〔2023〕358号）；</w:t>
      </w:r>
    </w:p>
    <w:p w14:paraId="61EDD8BC">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8、《四川省自然资源厅关于进一步加强和规范矿山地质环境保护与土地复垦方案评审工作的通知》（川自然资发[2021]44号）；</w:t>
      </w:r>
    </w:p>
    <w:p w14:paraId="7320716E">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9、《四川省在建与生产矿山生态修复管理办法》（川自然资发〔2021〕27号）；</w:t>
      </w:r>
    </w:p>
    <w:p w14:paraId="166A6817">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10、《四川省地质灾害治理工程概（预）算标准（修订）》（川自然资发〔2018〕9号）</w:t>
      </w:r>
    </w:p>
    <w:p w14:paraId="6CF20EF8">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11</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四川省大英县</w:t>
      </w:r>
      <w:r>
        <w:rPr>
          <w:rFonts w:hint="eastAsia" w:ascii="仿宋_GB2312" w:hAnsi="仿宋_GB2312" w:eastAsia="仿宋_GB2312" w:cs="仿宋_GB2312"/>
          <w:color w:val="auto"/>
          <w:sz w:val="28"/>
          <w:szCs w:val="28"/>
          <w:lang w:eastAsia="zh-CN"/>
        </w:rPr>
        <w:t>紫云村饰面用砂岩</w:t>
      </w:r>
      <w:r>
        <w:rPr>
          <w:rFonts w:hint="eastAsia" w:ascii="仿宋_GB2312" w:hAnsi="仿宋_GB2312" w:eastAsia="仿宋_GB2312" w:cs="仿宋_GB2312"/>
          <w:color w:val="auto"/>
          <w:sz w:val="28"/>
          <w:szCs w:val="28"/>
        </w:rPr>
        <w:t>矿勘查报告</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highlight w:val="none"/>
        </w:rPr>
        <w:t>2023</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8</w:t>
      </w:r>
      <w:r>
        <w:rPr>
          <w:rFonts w:hint="eastAsia" w:ascii="仿宋_GB2312" w:hAnsi="仿宋_GB2312" w:eastAsia="仿宋_GB2312" w:cs="仿宋_GB2312"/>
          <w:color w:val="auto"/>
          <w:sz w:val="28"/>
          <w:szCs w:val="28"/>
          <w:highlight w:val="none"/>
          <w:lang w:val="en-US" w:eastAsia="zh-CN"/>
        </w:rPr>
        <w:t>;</w:t>
      </w:r>
    </w:p>
    <w:p w14:paraId="678B3637">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_GB2312" w:hAnsi="仿宋_GB2312" w:eastAsia="仿宋_GB2312" w:cs="仿宋_GB2312"/>
          <w:color w:val="auto"/>
          <w:sz w:val="28"/>
          <w:szCs w:val="28"/>
          <w:lang w:val="en-US" w:eastAsia="zh-CN"/>
        </w:rPr>
        <w:t>12</w:t>
      </w:r>
      <w:r>
        <w:rPr>
          <w:rFonts w:hint="eastAsia" w:ascii="仿宋_GB2312" w:hAnsi="仿宋_GB2312" w:eastAsia="仿宋_GB2312" w:cs="仿宋_GB2312"/>
          <w:color w:val="auto"/>
          <w:sz w:val="28"/>
          <w:szCs w:val="28"/>
        </w:rPr>
        <w:t>、《大英县</w:t>
      </w:r>
      <w:r>
        <w:rPr>
          <w:rFonts w:hint="eastAsia" w:ascii="仿宋_GB2312" w:hAnsi="仿宋_GB2312" w:eastAsia="仿宋_GB2312" w:cs="仿宋_GB2312"/>
          <w:color w:val="auto"/>
          <w:sz w:val="28"/>
          <w:szCs w:val="28"/>
          <w:lang w:eastAsia="zh-CN"/>
        </w:rPr>
        <w:t>紫云村饰面用砂岩饰面用砂岩</w:t>
      </w:r>
      <w:r>
        <w:rPr>
          <w:rFonts w:hint="eastAsia" w:ascii="仿宋_GB2312" w:hAnsi="仿宋_GB2312" w:eastAsia="仿宋_GB2312" w:cs="仿宋_GB2312"/>
          <w:color w:val="auto"/>
          <w:sz w:val="28"/>
          <w:szCs w:val="28"/>
        </w:rPr>
        <w:t>矿</w:t>
      </w:r>
      <w:r>
        <w:rPr>
          <w:rFonts w:hint="eastAsia" w:ascii="仿宋_GB2312" w:hAnsi="仿宋_GB2312" w:eastAsia="仿宋_GB2312" w:cs="仿宋_GB2312"/>
          <w:color w:val="auto"/>
          <w:sz w:val="28"/>
          <w:szCs w:val="28"/>
          <w:lang w:eastAsia="zh-CN"/>
        </w:rPr>
        <w:t>饰面用砂岩</w:t>
      </w:r>
      <w:r>
        <w:rPr>
          <w:rFonts w:hint="eastAsia" w:ascii="仿宋_GB2312" w:hAnsi="仿宋_GB2312" w:eastAsia="仿宋_GB2312" w:cs="仿宋_GB2312"/>
          <w:color w:val="auto"/>
          <w:sz w:val="28"/>
          <w:szCs w:val="28"/>
        </w:rPr>
        <w:t>矿矿开发利用方案》；</w:t>
      </w:r>
    </w:p>
    <w:p w14:paraId="002898AC">
      <w:pPr>
        <w:pStyle w:val="3"/>
        <w:spacing w:before="156" w:beforeLines="50" w:after="156" w:afterLines="50" w:line="360" w:lineRule="auto"/>
        <w:jc w:val="left"/>
        <w:rPr>
          <w:rFonts w:ascii="Times New Roman" w:hAnsi="Times New Roman" w:eastAsia="宋体" w:cs="Times New Roman"/>
          <w:bCs/>
          <w:color w:val="auto"/>
          <w:sz w:val="30"/>
          <w:szCs w:val="32"/>
          <w:highlight w:val="none"/>
        </w:rPr>
      </w:pPr>
      <w:bookmarkStart w:id="17" w:name="_Toc14039"/>
      <w:bookmarkStart w:id="18" w:name="_Toc858"/>
      <w:bookmarkStart w:id="19" w:name="_Toc60652258"/>
      <w:bookmarkStart w:id="20" w:name="_Toc14673"/>
      <w:r>
        <w:rPr>
          <w:rFonts w:ascii="Times New Roman" w:hAnsi="Times New Roman" w:eastAsia="宋体" w:cs="Times New Roman"/>
          <w:bCs/>
          <w:color w:val="auto"/>
          <w:sz w:val="30"/>
          <w:szCs w:val="32"/>
          <w:highlight w:val="none"/>
        </w:rPr>
        <w:t>四、数学基础</w:t>
      </w:r>
      <w:bookmarkEnd w:id="17"/>
      <w:bookmarkEnd w:id="18"/>
      <w:bookmarkEnd w:id="19"/>
      <w:bookmarkEnd w:id="20"/>
    </w:p>
    <w:p w14:paraId="18623EE6">
      <w:pPr>
        <w:pStyle w:val="4"/>
        <w:rPr>
          <w:rFonts w:ascii="Times New Roman" w:hAnsi="Times New Roman" w:eastAsia="宋体" w:cs="Times New Roman"/>
          <w:color w:val="auto"/>
          <w:highlight w:val="none"/>
        </w:rPr>
      </w:pPr>
      <w:bookmarkStart w:id="21" w:name="_Toc60652259"/>
      <w:bookmarkStart w:id="22" w:name="_Toc25263"/>
      <w:bookmarkStart w:id="23" w:name="_Toc19588"/>
      <w:bookmarkStart w:id="24" w:name="_Toc9201"/>
      <w:r>
        <w:rPr>
          <w:rFonts w:ascii="Times New Roman" w:hAnsi="Times New Roman" w:eastAsia="宋体" w:cs="Times New Roman"/>
          <w:color w:val="auto"/>
          <w:highlight w:val="none"/>
        </w:rPr>
        <w:t>（一）主要计量单位</w:t>
      </w:r>
      <w:bookmarkEnd w:id="21"/>
      <w:bookmarkEnd w:id="22"/>
      <w:bookmarkEnd w:id="23"/>
      <w:bookmarkEnd w:id="24"/>
    </w:p>
    <w:p w14:paraId="692E1F2E">
      <w:pPr>
        <w:spacing w:line="360" w:lineRule="auto"/>
        <w:ind w:firstLine="560" w:firstLineChars="200"/>
        <w:rPr>
          <w:rFonts w:hint="eastAsia" w:ascii="仿宋" w:hAnsi="仿宋" w:eastAsia="仿宋" w:cs="仿宋"/>
          <w:color w:val="auto"/>
          <w:sz w:val="28"/>
          <w:szCs w:val="28"/>
          <w:highlight w:val="none"/>
          <w:vertAlign w:val="superscript"/>
        </w:rPr>
      </w:pPr>
      <w:r>
        <w:rPr>
          <w:rFonts w:hint="eastAsia" w:ascii="仿宋" w:hAnsi="仿宋" w:eastAsia="仿宋" w:cs="仿宋"/>
          <w:color w:val="auto"/>
          <w:sz w:val="28"/>
          <w:szCs w:val="28"/>
          <w:highlight w:val="none"/>
        </w:rPr>
        <w:t>面积：公顷、亩，m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、km</w:t>
      </w:r>
      <w:r>
        <w:rPr>
          <w:rFonts w:hint="eastAsia" w:ascii="仿宋" w:hAnsi="仿宋" w:eastAsia="仿宋" w:cs="仿宋"/>
          <w:color w:val="auto"/>
          <w:sz w:val="28"/>
          <w:szCs w:val="28"/>
          <w:highlight w:val="none"/>
          <w:vertAlign w:val="superscript"/>
        </w:rPr>
        <w:t>2</w:t>
      </w:r>
    </w:p>
    <w:p w14:paraId="5C3968B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长度：cm、m、km</w:t>
      </w:r>
    </w:p>
    <w:p w14:paraId="5C39124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体积：m</w:t>
      </w:r>
      <w:r>
        <w:rPr>
          <w:rFonts w:hint="eastAsia" w:ascii="仿宋" w:hAnsi="仿宋" w:eastAsia="仿宋" w:cs="仿宋"/>
          <w:color w:val="auto"/>
          <w:sz w:val="28"/>
          <w:szCs w:val="28"/>
          <w:highlight w:val="none"/>
          <w:vertAlign w:val="superscript"/>
        </w:rPr>
        <w:t>3</w:t>
      </w:r>
    </w:p>
    <w:p w14:paraId="4958CB3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质量：g、kg、t</w:t>
      </w:r>
    </w:p>
    <w:p w14:paraId="346627B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金额：元、万元（RMB）</w:t>
      </w:r>
    </w:p>
    <w:p w14:paraId="730A69EC">
      <w:pPr>
        <w:pStyle w:val="4"/>
        <w:rPr>
          <w:rFonts w:ascii="Times New Roman" w:hAnsi="Times New Roman" w:eastAsia="宋体" w:cs="Times New Roman"/>
          <w:color w:val="auto"/>
          <w:highlight w:val="none"/>
        </w:rPr>
      </w:pPr>
      <w:bookmarkStart w:id="25" w:name="_Toc31204"/>
      <w:bookmarkStart w:id="26" w:name="_Toc3736"/>
      <w:bookmarkStart w:id="27" w:name="_Toc60652260"/>
      <w:bookmarkStart w:id="28" w:name="_Toc8926"/>
      <w:r>
        <w:rPr>
          <w:rFonts w:ascii="Times New Roman" w:hAnsi="Times New Roman" w:eastAsia="宋体" w:cs="Times New Roman"/>
          <w:color w:val="auto"/>
          <w:highlight w:val="none"/>
        </w:rPr>
        <w:t>（二）坐标系及投影信息</w:t>
      </w:r>
      <w:bookmarkEnd w:id="25"/>
      <w:bookmarkEnd w:id="26"/>
      <w:bookmarkEnd w:id="27"/>
      <w:bookmarkEnd w:id="28"/>
    </w:p>
    <w:p w14:paraId="0C2C3B9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地理坐标系：2000国家大地坐标系</w:t>
      </w:r>
    </w:p>
    <w:p w14:paraId="34291AB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高程系统：1985国家高程基准</w:t>
      </w:r>
    </w:p>
    <w:p w14:paraId="2F7F6BD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投影方式：高斯克吕格投影3°分带</w:t>
      </w:r>
    </w:p>
    <w:p w14:paraId="3255BFB4">
      <w:pPr>
        <w:pStyle w:val="4"/>
        <w:rPr>
          <w:rFonts w:ascii="Times New Roman" w:hAnsi="Times New Roman" w:eastAsia="宋体" w:cs="Times New Roman"/>
          <w:color w:val="auto"/>
          <w:highlight w:val="none"/>
        </w:rPr>
      </w:pPr>
      <w:bookmarkStart w:id="29" w:name="_Toc60652261"/>
      <w:bookmarkStart w:id="30" w:name="_Toc26953"/>
      <w:bookmarkStart w:id="31" w:name="_Toc15883"/>
      <w:bookmarkStart w:id="32" w:name="_Toc20960"/>
      <w:r>
        <w:rPr>
          <w:rFonts w:ascii="Times New Roman" w:hAnsi="Times New Roman" w:eastAsia="宋体" w:cs="Times New Roman"/>
          <w:color w:val="auto"/>
          <w:highlight w:val="none"/>
        </w:rPr>
        <w:t>（三）土地利用现状分类标准</w:t>
      </w:r>
      <w:bookmarkEnd w:id="29"/>
      <w:bookmarkEnd w:id="30"/>
      <w:bookmarkEnd w:id="31"/>
      <w:bookmarkEnd w:id="32"/>
    </w:p>
    <w:p w14:paraId="037073E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本项目的引用的土地利用现状数据为“</w:t>
      </w:r>
      <w:r>
        <w:rPr>
          <w:rFonts w:hint="eastAsia" w:ascii="仿宋" w:hAnsi="仿宋" w:eastAsia="仿宋" w:cs="仿宋"/>
          <w:color w:val="auto"/>
          <w:sz w:val="28"/>
          <w:szCs w:val="28"/>
          <w:highlight w:val="none"/>
          <w:lang w:val="en-US" w:eastAsia="zh-CN"/>
        </w:rPr>
        <w:t>大英县最新年度</w:t>
      </w:r>
      <w:r>
        <w:rPr>
          <w:rFonts w:hint="eastAsia" w:ascii="仿宋" w:hAnsi="仿宋" w:eastAsia="仿宋" w:cs="仿宋"/>
          <w:color w:val="auto"/>
          <w:sz w:val="28"/>
          <w:szCs w:val="28"/>
          <w:highlight w:val="none"/>
        </w:rPr>
        <w:t>土地利用变更数据库”，该数据库采用的土地分类标准为“GB/T21010-2017土地利用现状分类”，因此本方案遵循该标准。</w:t>
      </w:r>
    </w:p>
    <w:p w14:paraId="776F4AD8">
      <w:pPr>
        <w:pStyle w:val="3"/>
        <w:spacing w:before="156" w:beforeLines="50" w:after="156" w:afterLines="50" w:line="360" w:lineRule="auto"/>
        <w:jc w:val="left"/>
        <w:rPr>
          <w:rFonts w:ascii="Times New Roman" w:hAnsi="Times New Roman" w:eastAsia="宋体" w:cs="Times New Roman"/>
          <w:bCs/>
          <w:color w:val="auto"/>
          <w:sz w:val="30"/>
          <w:szCs w:val="32"/>
          <w:highlight w:val="none"/>
        </w:rPr>
      </w:pPr>
      <w:bookmarkStart w:id="33" w:name="_Toc9067"/>
      <w:r>
        <w:rPr>
          <w:rFonts w:ascii="Times New Roman" w:hAnsi="Times New Roman" w:eastAsia="宋体" w:cs="Times New Roman"/>
          <w:bCs/>
          <w:color w:val="auto"/>
          <w:sz w:val="30"/>
          <w:szCs w:val="32"/>
          <w:highlight w:val="none"/>
        </w:rPr>
        <w:t>五、方案适用年限</w:t>
      </w:r>
      <w:bookmarkEnd w:id="33"/>
    </w:p>
    <w:p w14:paraId="42A9102F">
      <w:pPr>
        <w:pStyle w:val="4"/>
        <w:rPr>
          <w:rFonts w:ascii="Times New Roman" w:hAnsi="Times New Roman" w:eastAsia="宋体" w:cs="Times New Roman"/>
          <w:color w:val="auto"/>
          <w:highlight w:val="none"/>
        </w:rPr>
      </w:pPr>
      <w:bookmarkStart w:id="34" w:name="_Toc4690"/>
      <w:r>
        <w:rPr>
          <w:rFonts w:ascii="Times New Roman" w:hAnsi="Times New Roman" w:eastAsia="宋体" w:cs="Times New Roman"/>
          <w:color w:val="auto"/>
          <w:highlight w:val="none"/>
        </w:rPr>
        <w:t>（一）矿山服务年限</w:t>
      </w:r>
      <w:bookmarkEnd w:id="34"/>
    </w:p>
    <w:p w14:paraId="26AA45B6">
      <w:pPr>
        <w:spacing w:line="360" w:lineRule="auto"/>
        <w:ind w:firstLine="480" w:firstLineChars="200"/>
        <w:rPr>
          <w:rFonts w:ascii="Times New Roman" w:hAnsi="Times New Roman" w:eastAsia="宋体" w:cs="Times New Roman"/>
          <w:color w:val="auto"/>
          <w:sz w:val="24"/>
          <w:szCs w:val="24"/>
          <w:highlight w:val="none"/>
        </w:rPr>
      </w:pPr>
      <w:bookmarkStart w:id="35" w:name="_Toc31439"/>
      <w:r>
        <w:rPr>
          <w:rFonts w:ascii="Times New Roman" w:hAnsi="Times New Roman" w:eastAsia="宋体" w:cs="Times New Roman"/>
          <w:color w:val="auto"/>
          <w:sz w:val="24"/>
          <w:szCs w:val="24"/>
          <w:highlight w:val="none"/>
        </w:rPr>
        <w:t>1、矿山开采服务年限</w:t>
      </w:r>
      <w:bookmarkEnd w:id="35"/>
    </w:p>
    <w:p w14:paraId="666C0923">
      <w:pPr>
        <w:spacing w:line="360" w:lineRule="auto"/>
        <w:ind w:firstLine="560" w:firstLineChars="200"/>
        <w:rPr>
          <w:rFonts w:ascii="Times New Roman" w:hAnsi="Times New Roman" w:eastAsia="仿宋" w:cs="Times New Roman"/>
          <w:color w:val="auto"/>
          <w:sz w:val="24"/>
          <w:szCs w:val="24"/>
          <w:highlight w:val="none"/>
        </w:rPr>
      </w:pPr>
      <w:r>
        <w:rPr>
          <w:rFonts w:hint="eastAsia" w:ascii="仿宋_GB2312" w:hAnsi="仿宋_GB2312" w:eastAsia="仿宋_GB2312" w:cs="仿宋_GB2312"/>
          <w:color w:val="auto"/>
          <w:sz w:val="28"/>
          <w:szCs w:val="28"/>
          <w:lang w:val="en-US" w:eastAsia="zh-CN"/>
        </w:rPr>
        <w:t>根据中国建筑西南勘察设计研究院有限公司提交的《四川省大英县紫云村饰面用砂岩矿勘查报告》。</w:t>
      </w:r>
      <w:bookmarkStart w:id="36" w:name="_Hlk145666704"/>
      <w:r>
        <w:rPr>
          <w:rFonts w:hint="eastAsia" w:ascii="仿宋_GB2312" w:hAnsi="仿宋_GB2312" w:eastAsia="仿宋_GB2312" w:cs="仿宋_GB2312"/>
          <w:color w:val="auto"/>
          <w:sz w:val="28"/>
          <w:szCs w:val="28"/>
          <w:lang w:val="en-US" w:eastAsia="zh-CN"/>
        </w:rPr>
        <w:t>截至2023年8月30日，估算资源量：探明资源量7.51万立方米（折合18.16万吨）；推断资源量2.63万立方米（折合6.35万吨），合计10.13万立方米（折合24.52万吨），矿床资源量规模为小型。</w:t>
      </w:r>
      <w:bookmarkEnd w:id="36"/>
      <w:bookmarkStart w:id="37" w:name="_Hlk145666717"/>
      <w:r>
        <w:rPr>
          <w:rFonts w:hint="eastAsia" w:ascii="仿宋_GB2312" w:hAnsi="仿宋_GB2312" w:eastAsia="仿宋_GB2312" w:cs="仿宋_GB2312"/>
          <w:color w:val="auto"/>
          <w:sz w:val="28"/>
          <w:szCs w:val="28"/>
          <w:lang w:val="en-US" w:eastAsia="zh-CN"/>
        </w:rPr>
        <w:t>探明资源量占累计查明资源量74.08%，推断资源量占累计查明资源量25.92%</w:t>
      </w:r>
      <w:bookmarkEnd w:id="37"/>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设计</w:t>
      </w:r>
      <w:r>
        <w:rPr>
          <w:rFonts w:hint="eastAsia" w:ascii="仿宋_GB2312" w:hAnsi="仿宋_GB2312" w:eastAsia="仿宋_GB2312" w:cs="仿宋_GB2312"/>
          <w:color w:val="auto"/>
          <w:sz w:val="28"/>
          <w:szCs w:val="28"/>
          <w:lang w:val="en-US" w:eastAsia="zh-CN"/>
        </w:rPr>
        <w:t>回采率95</w:t>
      </w:r>
      <w:r>
        <w:rPr>
          <w:rFonts w:hint="eastAsia" w:ascii="仿宋_GB2312" w:hAnsi="仿宋_GB2312" w:eastAsia="仿宋_GB2312" w:cs="仿宋_GB2312"/>
          <w:color w:val="auto"/>
          <w:sz w:val="28"/>
          <w:szCs w:val="28"/>
        </w:rPr>
        <w:t>%、废石混入率为</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可采矿量9万立方米，按照矿山</w:t>
      </w:r>
      <w:r>
        <w:rPr>
          <w:rFonts w:hint="eastAsia" w:ascii="仿宋_GB2312" w:hAnsi="仿宋_GB2312" w:eastAsia="仿宋_GB2312" w:cs="仿宋_GB2312"/>
          <w:color w:val="auto"/>
          <w:sz w:val="28"/>
          <w:szCs w:val="28"/>
        </w:rPr>
        <w:t>拟建采选</w:t>
      </w:r>
      <w:r>
        <w:rPr>
          <w:rFonts w:hint="eastAsia" w:ascii="仿宋_GB2312" w:hAnsi="仿宋_GB2312" w:eastAsia="仿宋_GB2312" w:cs="仿宋_GB2312"/>
          <w:color w:val="auto"/>
          <w:sz w:val="28"/>
          <w:szCs w:val="28"/>
          <w:lang w:val="en-US" w:eastAsia="zh-CN"/>
        </w:rPr>
        <w:t>规模1万立方米/年，矿山生产服务年限为9.14年。</w:t>
      </w:r>
      <w:r>
        <w:rPr>
          <w:rFonts w:hint="eastAsia" w:ascii="仿宋_GB2312" w:hAnsi="仿宋_GB2312" w:eastAsia="仿宋_GB2312" w:cs="仿宋_GB2312"/>
          <w:color w:val="auto"/>
          <w:sz w:val="28"/>
          <w:szCs w:val="28"/>
        </w:rPr>
        <w:t>采用露天开采，公路运输开拓方案。矿权面积：0.0</w:t>
      </w:r>
      <w:r>
        <w:rPr>
          <w:rFonts w:hint="eastAsia" w:ascii="仿宋_GB2312" w:hAnsi="仿宋_GB2312" w:eastAsia="仿宋_GB2312" w:cs="仿宋_GB2312"/>
          <w:color w:val="auto"/>
          <w:sz w:val="28"/>
          <w:szCs w:val="28"/>
          <w:lang w:val="en-US" w:eastAsia="zh-CN"/>
        </w:rPr>
        <w:t>08</w:t>
      </w:r>
      <w:r>
        <w:rPr>
          <w:rFonts w:hint="eastAsia" w:ascii="仿宋_GB2312" w:hAnsi="仿宋_GB2312" w:eastAsia="仿宋_GB2312" w:cs="仿宋_GB2312"/>
          <w:color w:val="auto"/>
          <w:sz w:val="28"/>
          <w:szCs w:val="28"/>
        </w:rPr>
        <w:t>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，生产规模为</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万</w:t>
      </w:r>
      <w:r>
        <w:rPr>
          <w:rFonts w:hint="eastAsia" w:ascii="仿宋_GB2312" w:hAnsi="仿宋_GB2312" w:eastAsia="仿宋_GB2312" w:cs="仿宋_GB2312"/>
          <w:color w:val="auto"/>
          <w:sz w:val="28"/>
          <w:szCs w:val="28"/>
          <w:lang w:val="en-US" w:eastAsia="zh-CN"/>
        </w:rPr>
        <w:t>立方米</w:t>
      </w:r>
      <w:r>
        <w:rPr>
          <w:rFonts w:hint="eastAsia" w:ascii="仿宋_GB2312" w:hAnsi="仿宋_GB2312" w:eastAsia="仿宋_GB2312" w:cs="仿宋_GB2312"/>
          <w:color w:val="auto"/>
          <w:sz w:val="28"/>
          <w:szCs w:val="28"/>
        </w:rPr>
        <w:t>／年。</w:t>
      </w:r>
    </w:p>
    <w:p w14:paraId="265EA1FF">
      <w:pPr>
        <w:spacing w:line="360" w:lineRule="auto"/>
        <w:ind w:firstLine="480" w:firstLineChars="200"/>
        <w:rPr>
          <w:rFonts w:ascii="Times New Roman" w:hAnsi="Times New Roman" w:eastAsia="宋体" w:cs="Times New Roman"/>
          <w:color w:val="auto"/>
          <w:sz w:val="24"/>
          <w:szCs w:val="24"/>
          <w:highlight w:val="none"/>
        </w:rPr>
      </w:pPr>
      <w:bookmarkStart w:id="38" w:name="_Toc8343"/>
      <w:r>
        <w:rPr>
          <w:rFonts w:ascii="Times New Roman" w:hAnsi="Times New Roman" w:eastAsia="宋体" w:cs="Times New Roman"/>
          <w:color w:val="auto"/>
          <w:sz w:val="24"/>
          <w:szCs w:val="24"/>
          <w:highlight w:val="none"/>
        </w:rPr>
        <w:t>2、方案服务年限</w:t>
      </w:r>
      <w:bookmarkEnd w:id="38"/>
    </w:p>
    <w:p w14:paraId="3A27EEC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lang w:val="en-US" w:eastAsia="zh-CN"/>
        </w:rPr>
        <w:t>根据《四川省国土资源厅关于做好矿山地质环境保护与恢复治理方案编报工作的通知》（川国土资发[2023]358号）有关规定，新建矿山的《方案》适用期限可依据批准的《矿产资源开发利用方案》中的设计年限确定。因此本方案根据《大英县蓬莱镇紫云村饰面用砂岩矿开发利用方案》中的设计服务年限与治理、复垦期之和来确定方案适用年限。矿山设计的服务年限为9.14年，施工期1年，加上管护期3年，因此本方案使用年限为13.14年</w:t>
      </w:r>
      <w:r>
        <w:rPr>
          <w:rFonts w:hint="eastAsia" w:ascii="仿宋" w:hAnsi="仿宋" w:eastAsia="仿宋" w:cs="仿宋"/>
          <w:color w:val="auto"/>
          <w:sz w:val="28"/>
          <w:szCs w:val="28"/>
          <w:highlight w:val="none"/>
        </w:rPr>
        <w:t>。</w:t>
      </w:r>
    </w:p>
    <w:p w14:paraId="5C88213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方案基准期：</w:t>
      </w:r>
      <w:r>
        <w:rPr>
          <w:rFonts w:hint="eastAsia" w:ascii="仿宋" w:hAnsi="仿宋" w:eastAsia="仿宋" w:cs="仿宋"/>
          <w:color w:val="auto"/>
          <w:sz w:val="28"/>
          <w:szCs w:val="28"/>
          <w:highlight w:val="none"/>
          <w:lang w:val="en-US" w:eastAsia="zh-CN"/>
        </w:rPr>
        <w:t>矿山投产之日起算</w:t>
      </w:r>
      <w:r>
        <w:rPr>
          <w:rFonts w:hint="eastAsia" w:ascii="仿宋" w:hAnsi="仿宋" w:eastAsia="仿宋" w:cs="仿宋"/>
          <w:color w:val="auto"/>
          <w:sz w:val="28"/>
          <w:szCs w:val="28"/>
          <w:highlight w:val="none"/>
        </w:rPr>
        <w:t>。依据国家法律法规和相关政策要求，根据企业生产规划和矿山实际地质环境情况等因素变化，本方案在实施过程中，每5年应进行修订。当矿山扩大生产规模、扩大矿区范围、变更开采方式时，应重新编制或修订矿山地质环境保护与土地复垦方案。</w:t>
      </w:r>
    </w:p>
    <w:p w14:paraId="2D09E62D">
      <w:pPr>
        <w:pStyle w:val="3"/>
        <w:spacing w:before="156" w:beforeLines="50" w:after="156" w:afterLines="50" w:line="360" w:lineRule="auto"/>
        <w:jc w:val="left"/>
        <w:rPr>
          <w:rFonts w:ascii="Times New Roman" w:hAnsi="Times New Roman" w:eastAsia="宋体" w:cs="Times New Roman"/>
          <w:bCs/>
          <w:color w:val="auto"/>
          <w:sz w:val="30"/>
          <w:szCs w:val="32"/>
          <w:highlight w:val="none"/>
        </w:rPr>
      </w:pPr>
      <w:bookmarkStart w:id="39" w:name="_Toc14843"/>
      <w:r>
        <w:rPr>
          <w:rFonts w:ascii="Times New Roman" w:hAnsi="Times New Roman" w:eastAsia="宋体" w:cs="Times New Roman"/>
          <w:bCs/>
          <w:color w:val="auto"/>
          <w:sz w:val="30"/>
          <w:szCs w:val="32"/>
          <w:highlight w:val="none"/>
        </w:rPr>
        <w:t>六、编制工作概况</w:t>
      </w:r>
      <w:bookmarkEnd w:id="39"/>
    </w:p>
    <w:p w14:paraId="75E87FC2">
      <w:pPr>
        <w:pStyle w:val="4"/>
        <w:rPr>
          <w:rFonts w:ascii="Times New Roman" w:hAnsi="Times New Roman" w:eastAsia="宋体" w:cs="Times New Roman"/>
          <w:color w:val="auto"/>
          <w:highlight w:val="none"/>
        </w:rPr>
      </w:pPr>
      <w:bookmarkStart w:id="40" w:name="_Toc12690"/>
      <w:bookmarkStart w:id="41" w:name="_Toc31582"/>
      <w:r>
        <w:rPr>
          <w:rFonts w:ascii="Times New Roman" w:hAnsi="Times New Roman" w:eastAsia="宋体" w:cs="Times New Roman"/>
          <w:color w:val="auto"/>
          <w:highlight w:val="none"/>
        </w:rPr>
        <w:t>（一）工作程序</w:t>
      </w:r>
      <w:bookmarkEnd w:id="40"/>
      <w:bookmarkEnd w:id="41"/>
    </w:p>
    <w:p w14:paraId="1EE88D0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本次方案编制工作按照《土地复垦方案编制规程》（TD/T1031-2011）、《矿山地质环境保护与恢复治理方案编制规范》（DZ/T223－2011）、《土地复垦方案编制规程 第一部分：通则》（TD/T 1031.1-2011）、《矿山地质环境保护和土地复垦方案编制指南》以及自然资源部颁发的《国土资源部办公厅关于做好地质环境保护与土地复垦方案编报有关工作的通知》（国土资规〔2016〕21号）文件规定的程序进行，主要工作程序为：资料收集及综合分析，确定评估范围及评估级别→现场踏勘、矿山地质环境及土地资源等调查→确定矿山地质环境评估范围和复垦区→开展矿山地质环境影响评估和土地复垦适宜性评价→矿山地质环境保护与土地复垦分区→部署矿山地质环境保护与土地复垦工程→编制《</w:t>
      </w:r>
      <w:r>
        <w:rPr>
          <w:rFonts w:hint="eastAsia" w:ascii="仿宋" w:hAnsi="仿宋" w:eastAsia="仿宋" w:cs="仿宋"/>
          <w:color w:val="auto"/>
          <w:sz w:val="28"/>
          <w:szCs w:val="28"/>
          <w:highlight w:val="none"/>
          <w:lang w:val="en-US" w:eastAsia="zh-CN"/>
        </w:rPr>
        <w:t>大英县紫云村饰面用砂岩</w:t>
      </w:r>
      <w:r>
        <w:rPr>
          <w:rFonts w:hint="eastAsia" w:ascii="仿宋" w:hAnsi="仿宋" w:eastAsia="仿宋" w:cs="仿宋"/>
          <w:color w:val="auto"/>
          <w:sz w:val="28"/>
          <w:szCs w:val="28"/>
          <w:highlight w:val="none"/>
        </w:rPr>
        <w:t>矿矿山地质环境保护与土地复垦方案》。本次矿山地质环境保护和土地复垦方案的具体技术路线见下图0-1。</w:t>
      </w:r>
    </w:p>
    <w:p w14:paraId="4BED9961">
      <w:pPr>
        <w:pStyle w:val="13"/>
        <w:rPr>
          <w:rFonts w:hint="eastAsia" w:ascii="仿宋" w:hAnsi="仿宋" w:eastAsia="仿宋" w:cs="仿宋"/>
          <w:color w:val="auto"/>
          <w:sz w:val="28"/>
          <w:szCs w:val="28"/>
          <w:highlight w:val="none"/>
        </w:rPr>
      </w:pPr>
    </w:p>
    <w:p w14:paraId="31F35D9C">
      <w:pPr>
        <w:rPr>
          <w:rFonts w:hint="eastAsia" w:ascii="仿宋" w:hAnsi="仿宋" w:eastAsia="仿宋" w:cs="仿宋"/>
          <w:color w:val="auto"/>
          <w:sz w:val="28"/>
          <w:szCs w:val="28"/>
          <w:highlight w:val="none"/>
        </w:rPr>
      </w:pPr>
    </w:p>
    <w:p w14:paraId="0D9FFF05">
      <w:pPr>
        <w:rPr>
          <w:rFonts w:hint="eastAsia" w:ascii="仿宋" w:hAnsi="仿宋" w:eastAsia="仿宋" w:cs="仿宋"/>
          <w:color w:val="auto"/>
          <w:sz w:val="28"/>
          <w:szCs w:val="28"/>
          <w:highlight w:val="none"/>
        </w:rPr>
      </w:pPr>
    </w:p>
    <w:p w14:paraId="1E1DD932">
      <w:pPr>
        <w:rPr>
          <w:rFonts w:hint="eastAsia"/>
          <w:color w:val="auto"/>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2"/>
      </w:tblGrid>
      <w:tr w14:paraId="0D5C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14:paraId="357CB9D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资料收集及综合分析，确定评估范围及评估级别</w:t>
            </w:r>
          </w:p>
        </w:tc>
      </w:tr>
      <w:tr w14:paraId="4418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72" w:type="dxa"/>
            <w:tcBorders>
              <w:top w:val="single" w:color="auto" w:sz="4" w:space="0"/>
              <w:left w:val="single" w:color="FFFFFF" w:sz="4" w:space="0"/>
              <w:bottom w:val="single" w:color="auto" w:sz="4" w:space="0"/>
              <w:right w:val="single" w:color="FFFFFF" w:sz="4" w:space="0"/>
            </w:tcBorders>
            <w:vAlign w:val="center"/>
          </w:tcPr>
          <w:p w14:paraId="075627EB">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1312" behindDoc="0" locked="0" layoutInCell="1" allowOverlap="1">
                  <wp:simplePos x="0" y="0"/>
                  <wp:positionH relativeFrom="column">
                    <wp:posOffset>1492885</wp:posOffset>
                  </wp:positionH>
                  <wp:positionV relativeFrom="paragraph">
                    <wp:posOffset>13970</wp:posOffset>
                  </wp:positionV>
                  <wp:extent cx="72390" cy="240665"/>
                  <wp:effectExtent l="0" t="0" r="3810" b="3175"/>
                  <wp:wrapNone/>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5" cstate="print"/>
                          <a:stretch>
                            <a:fillRect/>
                          </a:stretch>
                        </pic:blipFill>
                        <pic:spPr>
                          <a:xfrm>
                            <a:off x="0" y="0"/>
                            <a:ext cx="72390" cy="240665"/>
                          </a:xfrm>
                          <a:prstGeom prst="rect">
                            <a:avLst/>
                          </a:prstGeom>
                          <a:noFill/>
                          <a:ln>
                            <a:noFill/>
                          </a:ln>
                        </pic:spPr>
                      </pic:pic>
                    </a:graphicData>
                  </a:graphic>
                </wp:anchor>
              </w:drawing>
            </w:r>
          </w:p>
        </w:tc>
      </w:tr>
      <w:tr w14:paraId="488D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14:paraId="145BD7C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现场踏勘、矿山地质环境和土地资源等调查</w:t>
            </w:r>
          </w:p>
        </w:tc>
      </w:tr>
      <w:tr w14:paraId="4676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72" w:type="dxa"/>
            <w:tcBorders>
              <w:top w:val="single" w:color="auto" w:sz="4" w:space="0"/>
              <w:left w:val="single" w:color="FFFFFF" w:sz="4" w:space="0"/>
              <w:bottom w:val="single" w:color="auto" w:sz="4" w:space="0"/>
              <w:right w:val="single" w:color="FFFFFF" w:sz="4" w:space="0"/>
            </w:tcBorders>
            <w:vAlign w:val="center"/>
          </w:tcPr>
          <w:p w14:paraId="56287297">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0288" behindDoc="0" locked="0" layoutInCell="1" allowOverlap="1">
                  <wp:simplePos x="0" y="0"/>
                  <wp:positionH relativeFrom="column">
                    <wp:posOffset>1492885</wp:posOffset>
                  </wp:positionH>
                  <wp:positionV relativeFrom="paragraph">
                    <wp:posOffset>34290</wp:posOffset>
                  </wp:positionV>
                  <wp:extent cx="72390" cy="240665"/>
                  <wp:effectExtent l="0" t="0" r="3810" b="3175"/>
                  <wp:wrapNone/>
                  <wp:docPr id="2" name="直接箭头连接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直接箭头连接符 5"/>
                          <pic:cNvPicPr>
                            <a:picLocks noChangeAspect="1"/>
                          </pic:cNvPicPr>
                        </pic:nvPicPr>
                        <pic:blipFill>
                          <a:blip r:embed="rId5" cstate="print"/>
                          <a:stretch>
                            <a:fillRect/>
                          </a:stretch>
                        </pic:blipFill>
                        <pic:spPr>
                          <a:xfrm>
                            <a:off x="0" y="0"/>
                            <a:ext cx="72390" cy="240665"/>
                          </a:xfrm>
                          <a:prstGeom prst="rect">
                            <a:avLst/>
                          </a:prstGeom>
                          <a:noFill/>
                          <a:ln>
                            <a:noFill/>
                          </a:ln>
                        </pic:spPr>
                      </pic:pic>
                    </a:graphicData>
                  </a:graphic>
                </wp:anchor>
              </w:drawing>
            </w:r>
          </w:p>
        </w:tc>
      </w:tr>
      <w:tr w14:paraId="7FF1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14:paraId="759A67D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确定矿山地质环境评估范围和复垦区</w:t>
            </w:r>
          </w:p>
        </w:tc>
      </w:tr>
      <w:tr w14:paraId="3E90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72" w:type="dxa"/>
            <w:tcBorders>
              <w:top w:val="single" w:color="auto" w:sz="4" w:space="0"/>
              <w:left w:val="single" w:color="FFFFFF" w:sz="4" w:space="0"/>
              <w:bottom w:val="single" w:color="auto" w:sz="4" w:space="0"/>
              <w:right w:val="single" w:color="FFFFFF" w:sz="4" w:space="0"/>
            </w:tcBorders>
            <w:vAlign w:val="center"/>
          </w:tcPr>
          <w:p w14:paraId="0B10C3D1">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2336" behindDoc="0" locked="0" layoutInCell="1" allowOverlap="1">
                  <wp:simplePos x="0" y="0"/>
                  <wp:positionH relativeFrom="column">
                    <wp:posOffset>1492885</wp:posOffset>
                  </wp:positionH>
                  <wp:positionV relativeFrom="paragraph">
                    <wp:posOffset>54610</wp:posOffset>
                  </wp:positionV>
                  <wp:extent cx="72390" cy="240665"/>
                  <wp:effectExtent l="0" t="0" r="3810" b="3175"/>
                  <wp:wrapNone/>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5" cstate="print"/>
                          <a:stretch>
                            <a:fillRect/>
                          </a:stretch>
                        </pic:blipFill>
                        <pic:spPr>
                          <a:xfrm>
                            <a:off x="0" y="0"/>
                            <a:ext cx="72390" cy="240665"/>
                          </a:xfrm>
                          <a:prstGeom prst="rect">
                            <a:avLst/>
                          </a:prstGeom>
                          <a:noFill/>
                          <a:ln>
                            <a:noFill/>
                          </a:ln>
                        </pic:spPr>
                      </pic:pic>
                    </a:graphicData>
                  </a:graphic>
                </wp:anchor>
              </w:drawing>
            </w:r>
          </w:p>
        </w:tc>
      </w:tr>
      <w:tr w14:paraId="02CC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14:paraId="7622172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矿山地质环境影响评估和土地复垦适宜性评价</w:t>
            </w:r>
          </w:p>
        </w:tc>
      </w:tr>
      <w:tr w14:paraId="14CB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72" w:type="dxa"/>
            <w:tcBorders>
              <w:top w:val="single" w:color="auto" w:sz="4" w:space="0"/>
              <w:left w:val="single" w:color="FFFFFF" w:sz="4" w:space="0"/>
              <w:bottom w:val="single" w:color="auto" w:sz="4" w:space="0"/>
              <w:right w:val="single" w:color="FFFFFF" w:sz="4" w:space="0"/>
            </w:tcBorders>
            <w:vAlign w:val="center"/>
          </w:tcPr>
          <w:p w14:paraId="69C07247">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3360" behindDoc="0" locked="0" layoutInCell="1" allowOverlap="1">
                  <wp:simplePos x="0" y="0"/>
                  <wp:positionH relativeFrom="column">
                    <wp:posOffset>1492885</wp:posOffset>
                  </wp:positionH>
                  <wp:positionV relativeFrom="paragraph">
                    <wp:posOffset>74930</wp:posOffset>
                  </wp:positionV>
                  <wp:extent cx="72390" cy="240665"/>
                  <wp:effectExtent l="0" t="0" r="3810" b="3175"/>
                  <wp:wrapNone/>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pic:cNvPicPr>
                        </pic:nvPicPr>
                        <pic:blipFill>
                          <a:blip r:embed="rId5" cstate="print"/>
                          <a:stretch>
                            <a:fillRect/>
                          </a:stretch>
                        </pic:blipFill>
                        <pic:spPr>
                          <a:xfrm>
                            <a:off x="0" y="0"/>
                            <a:ext cx="72390" cy="240665"/>
                          </a:xfrm>
                          <a:prstGeom prst="rect">
                            <a:avLst/>
                          </a:prstGeom>
                          <a:noFill/>
                          <a:ln>
                            <a:noFill/>
                          </a:ln>
                        </pic:spPr>
                      </pic:pic>
                    </a:graphicData>
                  </a:graphic>
                </wp:anchor>
              </w:drawing>
            </w:r>
          </w:p>
        </w:tc>
      </w:tr>
      <w:tr w14:paraId="6BF8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14:paraId="7514A48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矿山地质环境保护与土地复垦分区</w:t>
            </w:r>
          </w:p>
        </w:tc>
      </w:tr>
      <w:tr w14:paraId="315F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172" w:type="dxa"/>
            <w:tcBorders>
              <w:top w:val="single" w:color="FFFFFF" w:sz="4" w:space="0"/>
              <w:left w:val="single" w:color="FFFFFF" w:sz="4" w:space="0"/>
              <w:bottom w:val="single" w:color="auto" w:sz="4" w:space="0"/>
              <w:right w:val="single" w:color="FFFFFF" w:sz="4" w:space="0"/>
            </w:tcBorders>
            <w:vAlign w:val="center"/>
          </w:tcPr>
          <w:p w14:paraId="0A4AF544">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drawing>
                <wp:anchor distT="0" distB="0" distL="114300" distR="114300" simplePos="0" relativeHeight="251664384" behindDoc="0" locked="0" layoutInCell="1" allowOverlap="1">
                  <wp:simplePos x="0" y="0"/>
                  <wp:positionH relativeFrom="column">
                    <wp:posOffset>1492885</wp:posOffset>
                  </wp:positionH>
                  <wp:positionV relativeFrom="paragraph">
                    <wp:posOffset>25400</wp:posOffset>
                  </wp:positionV>
                  <wp:extent cx="72390" cy="240665"/>
                  <wp:effectExtent l="0" t="0" r="3810" b="3175"/>
                  <wp:wrapNone/>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5" cstate="print"/>
                          <a:stretch>
                            <a:fillRect/>
                          </a:stretch>
                        </pic:blipFill>
                        <pic:spPr>
                          <a:xfrm>
                            <a:off x="0" y="0"/>
                            <a:ext cx="72390" cy="240665"/>
                          </a:xfrm>
                          <a:prstGeom prst="rect">
                            <a:avLst/>
                          </a:prstGeom>
                          <a:noFill/>
                          <a:ln>
                            <a:noFill/>
                          </a:ln>
                        </pic:spPr>
                      </pic:pic>
                    </a:graphicData>
                  </a:graphic>
                </wp:anchor>
              </w:drawing>
            </w:r>
          </w:p>
        </w:tc>
      </w:tr>
      <w:tr w14:paraId="15D8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72" w:type="dxa"/>
            <w:tcBorders>
              <w:top w:val="single" w:color="auto" w:sz="4" w:space="0"/>
              <w:left w:val="single" w:color="auto" w:sz="4" w:space="0"/>
              <w:bottom w:val="single" w:color="auto" w:sz="4" w:space="0"/>
              <w:right w:val="single" w:color="auto" w:sz="4" w:space="0"/>
            </w:tcBorders>
            <w:vAlign w:val="center"/>
          </w:tcPr>
          <w:p w14:paraId="2B7E1F1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矿山地质环境保护与土地复垦方案报告编写和图件编绘</w:t>
            </w:r>
          </w:p>
        </w:tc>
      </w:tr>
    </w:tbl>
    <w:p w14:paraId="57A27682">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图0-1  工作程序框图</w:t>
      </w:r>
    </w:p>
    <w:p w14:paraId="31EA14E3">
      <w:pPr>
        <w:pStyle w:val="4"/>
        <w:rPr>
          <w:rFonts w:ascii="Times New Roman" w:hAnsi="Times New Roman" w:eastAsia="宋体" w:cs="Times New Roman"/>
          <w:color w:val="auto"/>
          <w:highlight w:val="none"/>
        </w:rPr>
      </w:pPr>
      <w:bookmarkStart w:id="42" w:name="_Toc7226"/>
      <w:bookmarkStart w:id="43" w:name="_Toc23558"/>
      <w:r>
        <w:rPr>
          <w:rFonts w:ascii="Times New Roman" w:hAnsi="Times New Roman" w:eastAsia="宋体" w:cs="Times New Roman"/>
          <w:color w:val="auto"/>
          <w:highlight w:val="none"/>
        </w:rPr>
        <w:t>（二）工作方法</w:t>
      </w:r>
      <w:bookmarkEnd w:id="42"/>
      <w:bookmarkEnd w:id="43"/>
    </w:p>
    <w:p w14:paraId="34D899C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我公司在接到委托任务后，按</w:t>
      </w:r>
      <w:r>
        <w:rPr>
          <w:rFonts w:hint="eastAsia" w:ascii="仿宋" w:hAnsi="仿宋" w:eastAsia="仿宋" w:cs="仿宋"/>
          <w:color w:val="auto"/>
          <w:sz w:val="28"/>
          <w:szCs w:val="28"/>
          <w:highlight w:val="none"/>
          <w:lang w:val="zh-CN"/>
        </w:rPr>
        <w:t>编制规范</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矿山地质环境保护与恢复治理方案编制规范</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（DZ/T223－2011）、《土地复垦方案编制实务》、</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zh-CN"/>
        </w:rPr>
        <w:t>矿山地质环境保护与土地复垦方案编制指南</w:t>
      </w:r>
      <w:r>
        <w:rPr>
          <w:rFonts w:hint="eastAsia" w:ascii="仿宋" w:hAnsi="仿宋" w:eastAsia="仿宋" w:cs="仿宋"/>
          <w:color w:val="auto"/>
          <w:sz w:val="28"/>
          <w:szCs w:val="28"/>
          <w:highlight w:val="none"/>
        </w:rPr>
        <w:t>》中要求的工作程序，在充分收集、综合分析建设项目相关资料的基础上，</w:t>
      </w:r>
      <w:r>
        <w:rPr>
          <w:rFonts w:hint="eastAsia" w:ascii="仿宋" w:hAnsi="仿宋" w:eastAsia="仿宋" w:cs="仿宋"/>
          <w:color w:val="auto"/>
          <w:sz w:val="28"/>
          <w:szCs w:val="28"/>
          <w:highlight w:val="none"/>
          <w:lang w:val="zh-CN"/>
        </w:rPr>
        <w:t>确定调查评估范围、初步确定评估级别；开展矿山地质环境现状和土地资源调查，</w:t>
      </w:r>
      <w:r>
        <w:rPr>
          <w:rFonts w:hint="eastAsia" w:ascii="仿宋" w:hAnsi="仿宋" w:eastAsia="仿宋" w:cs="仿宋"/>
          <w:color w:val="auto"/>
          <w:sz w:val="28"/>
          <w:szCs w:val="28"/>
          <w:highlight w:val="none"/>
        </w:rPr>
        <w:t>广泛征询土地复垦义务人、政府相关部门、土地使用权人和社会公众的意愿。现场调查完成后，结合前期收集的资料对现场调查收集的</w:t>
      </w:r>
      <w:r>
        <w:rPr>
          <w:rFonts w:hint="eastAsia" w:ascii="仿宋" w:hAnsi="仿宋" w:eastAsia="仿宋" w:cs="仿宋"/>
          <w:color w:val="auto"/>
          <w:sz w:val="28"/>
          <w:szCs w:val="28"/>
          <w:highlight w:val="none"/>
          <w:lang w:val="zh-CN"/>
        </w:rPr>
        <w:t>资料进行综合整理分析，进行矿山地质环境影响和土地损毁评估，在此基础上，进行矿山地质环境保护与恢复治理分区和土地复垦范围确定，制订恢复治理措施和复垦方案，提出保护和预防、恢复治理工程，拟定监测方案，并进行治理经费估算和效益分析。</w:t>
      </w:r>
      <w:r>
        <w:rPr>
          <w:rFonts w:hint="eastAsia" w:ascii="仿宋" w:hAnsi="仿宋" w:eastAsia="仿宋" w:cs="仿宋"/>
          <w:color w:val="auto"/>
          <w:sz w:val="28"/>
          <w:szCs w:val="28"/>
          <w:highlight w:val="none"/>
        </w:rPr>
        <w:t>对初步拟定的矿山地质环境保护与土地复垦方案广泛征询土地复垦义务人、政府相关部门、土地使用权人和社会公众的意愿，从组织、经济、技术、公众接受程度等方面进行可行性论证。最后依据方案协调论证结果，确定土地复垦标准，优化工程设计，完善工程量测算及投资估算，细化地质环境保护与土地复垦实施计划安排以及资金、技术和组织管理保障措施等。</w:t>
      </w:r>
    </w:p>
    <w:p w14:paraId="5B03C916">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1、资料收集与分析</w:t>
      </w:r>
    </w:p>
    <w:p w14:paraId="3E521251">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在开展野外调查工作前，充分收集、分析、整理相关资料，了解评估区地质环境条件和土地资源状况，分析已有资料情况，确定补充资料内容，并确定评估范围和评估级别，在此基础上初步确定野外调查方法、调查路线和调查内容等。</w:t>
      </w:r>
    </w:p>
    <w:p w14:paraId="3B05C82F">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2、野外调查</w:t>
      </w:r>
    </w:p>
    <w:p w14:paraId="0A8B95BF">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野外调查采用路线穿插，地质环境点重点追索的调查方法进行。做到了逢人必问、遇沟必看，访问调查与实际调查相结合。野外采用1：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zh-CN"/>
        </w:rPr>
        <w:t>000地形图作野外手图，调查点采用GPS和地形地物校核定位，对可能因采矿活动而受影响的范围进行重点调查，并对</w:t>
      </w:r>
      <w:r>
        <w:rPr>
          <w:rFonts w:hint="eastAsia" w:ascii="仿宋" w:hAnsi="仿宋" w:eastAsia="仿宋" w:cs="仿宋"/>
          <w:color w:val="auto"/>
          <w:sz w:val="28"/>
          <w:szCs w:val="28"/>
          <w:highlight w:val="none"/>
        </w:rPr>
        <w:t>地质灾害点</w:t>
      </w:r>
      <w:r>
        <w:rPr>
          <w:rFonts w:hint="eastAsia" w:ascii="仿宋" w:hAnsi="仿宋" w:eastAsia="仿宋" w:cs="仿宋"/>
          <w:color w:val="auto"/>
          <w:sz w:val="28"/>
          <w:szCs w:val="28"/>
          <w:highlight w:val="none"/>
          <w:lang w:val="zh-CN"/>
        </w:rPr>
        <w:t>和重要地质现象进行详细记录和拍照，保证了调查的质量。</w:t>
      </w:r>
    </w:p>
    <w:p w14:paraId="25FB600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（1）搜集区内已有的地质勘探、储量核实、可研、初步设计和开发利用方案、土地现状及规划等资料。</w:t>
      </w:r>
    </w:p>
    <w:p w14:paraId="40744C7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（2）确定调查范围：评估范围以矿区范围、地表用地范围为基础，考虑到矿体采动后对地表的影响，调查范围在影响范围基础上外扩，若遇泥石流沟，则扩大调查范围至500～2000m，总面积约0.</w:t>
      </w:r>
      <w:r>
        <w:rPr>
          <w:rFonts w:hint="eastAsia" w:ascii="仿宋" w:hAnsi="仿宋" w:eastAsia="仿宋" w:cs="仿宋"/>
          <w:color w:val="auto"/>
          <w:sz w:val="28"/>
          <w:szCs w:val="28"/>
          <w:highlight w:val="none"/>
          <w:lang w:val="en-US" w:eastAsia="zh-CN"/>
        </w:rPr>
        <w:t>01</w:t>
      </w:r>
      <w:r>
        <w:rPr>
          <w:rFonts w:hint="eastAsia" w:ascii="仿宋" w:hAnsi="仿宋" w:eastAsia="仿宋" w:cs="仿宋"/>
          <w:color w:val="auto"/>
          <w:sz w:val="28"/>
          <w:szCs w:val="28"/>
          <w:highlight w:val="none"/>
        </w:rPr>
        <w:t>km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14:paraId="20225D1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（3）野外调查内容：</w:t>
      </w:r>
      <w:r>
        <w:rPr>
          <w:rFonts w:hint="eastAsia" w:ascii="仿宋" w:hAnsi="仿宋" w:eastAsia="仿宋" w:cs="仿宋"/>
          <w:color w:val="auto"/>
          <w:sz w:val="28"/>
          <w:szCs w:val="28"/>
          <w:highlight w:val="none"/>
          <w:lang w:val="zh-CN"/>
        </w:rPr>
        <w:t>主要对区内交通、矿山建设情况、居民饮用水井、村庄、植被覆盖率、土壤情况、地形地貌、现状下地质环境条件等进行了调查，</w:t>
      </w:r>
      <w:r>
        <w:rPr>
          <w:rFonts w:hint="eastAsia" w:ascii="仿宋" w:hAnsi="仿宋" w:eastAsia="仿宋" w:cs="仿宋"/>
          <w:color w:val="auto"/>
          <w:sz w:val="28"/>
          <w:szCs w:val="28"/>
          <w:highlight w:val="none"/>
        </w:rPr>
        <w:t>基本查明了评估区内的地质环境问题。</w:t>
      </w:r>
    </w:p>
    <w:p w14:paraId="4883C13F">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3、室内资料整理及综合分析</w:t>
      </w:r>
    </w:p>
    <w:p w14:paraId="13107054">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在综合分析研究已有资料和实际调查资料的基础上，按照《矿山地质环境保护与土地复垦方案编制指南》的工作程序，进行矿山地质环境影响现状评估、预测评估，编制相关图件，进行防治分区，确定恢复治理目标与治理工程，进行治理经费估算，最终提交《</w:t>
      </w:r>
      <w:r>
        <w:rPr>
          <w:rFonts w:hint="eastAsia" w:ascii="仿宋" w:hAnsi="仿宋" w:eastAsia="仿宋" w:cs="仿宋"/>
          <w:color w:val="auto"/>
          <w:sz w:val="28"/>
          <w:szCs w:val="28"/>
          <w:highlight w:val="none"/>
          <w:lang w:val="en-US" w:eastAsia="zh-CN"/>
        </w:rPr>
        <w:t>大英县紫云村饰面用砂岩</w:t>
      </w:r>
      <w:r>
        <w:rPr>
          <w:rFonts w:hint="eastAsia" w:ascii="仿宋" w:hAnsi="仿宋" w:eastAsia="仿宋" w:cs="仿宋"/>
          <w:color w:val="auto"/>
          <w:sz w:val="28"/>
          <w:szCs w:val="28"/>
          <w:highlight w:val="none"/>
        </w:rPr>
        <w:t>矿</w:t>
      </w:r>
      <w:r>
        <w:rPr>
          <w:rFonts w:hint="eastAsia" w:ascii="仿宋" w:hAnsi="仿宋" w:eastAsia="仿宋" w:cs="仿宋"/>
          <w:color w:val="auto"/>
          <w:sz w:val="28"/>
          <w:szCs w:val="28"/>
          <w:highlight w:val="none"/>
          <w:lang w:val="en-GB"/>
        </w:rPr>
        <w:t>矿山地质环境保护与土地复垦方案</w:t>
      </w:r>
      <w:r>
        <w:rPr>
          <w:rFonts w:hint="eastAsia" w:ascii="仿宋" w:hAnsi="仿宋" w:eastAsia="仿宋" w:cs="仿宋"/>
          <w:color w:val="auto"/>
          <w:sz w:val="28"/>
          <w:szCs w:val="28"/>
          <w:highlight w:val="none"/>
        </w:rPr>
        <w:t>》文本、估算、附件及附图等</w:t>
      </w:r>
      <w:r>
        <w:rPr>
          <w:rFonts w:hint="eastAsia" w:ascii="仿宋" w:hAnsi="仿宋" w:eastAsia="仿宋" w:cs="仿宋"/>
          <w:color w:val="auto"/>
          <w:sz w:val="28"/>
          <w:szCs w:val="28"/>
          <w:highlight w:val="none"/>
          <w:lang w:val="zh-CN"/>
        </w:rPr>
        <w:t>。</w:t>
      </w:r>
    </w:p>
    <w:p w14:paraId="45BE517C">
      <w:pPr>
        <w:pStyle w:val="4"/>
        <w:rPr>
          <w:rFonts w:ascii="Times New Roman" w:hAnsi="Times New Roman" w:eastAsia="宋体" w:cs="Times New Roman"/>
          <w:bCs/>
          <w:color w:val="auto"/>
          <w:highlight w:val="none"/>
        </w:rPr>
      </w:pPr>
      <w:bookmarkStart w:id="44" w:name="_Toc325634030"/>
      <w:bookmarkStart w:id="45" w:name="_Toc333940497"/>
      <w:bookmarkStart w:id="46" w:name="_Toc21041"/>
      <w:bookmarkStart w:id="47" w:name="_Toc317499451"/>
      <w:bookmarkStart w:id="48" w:name="_Toc4315"/>
      <w:bookmarkStart w:id="49" w:name="_Toc317496140"/>
      <w:r>
        <w:rPr>
          <w:rFonts w:ascii="Times New Roman" w:hAnsi="Times New Roman" w:eastAsia="宋体" w:cs="Times New Roman"/>
          <w:bCs/>
          <w:color w:val="auto"/>
          <w:highlight w:val="none"/>
        </w:rPr>
        <w:t>（三）现场调查工作量</w:t>
      </w:r>
      <w:bookmarkEnd w:id="44"/>
      <w:bookmarkEnd w:id="45"/>
      <w:bookmarkEnd w:id="46"/>
      <w:bookmarkEnd w:id="47"/>
      <w:bookmarkEnd w:id="48"/>
      <w:bookmarkEnd w:id="49"/>
    </w:p>
    <w:p w14:paraId="40158D35">
      <w:pPr>
        <w:spacing w:line="360" w:lineRule="auto"/>
        <w:ind w:firstLine="560" w:firstLineChars="200"/>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本方案编制工作前期，资料收集较全面，地质环境现场调查工作基本按国家现行有关技术规范进行，工作精度符合现行技术规范要求，达到了预期工作目的。现场调查工作量见表0-1。</w:t>
      </w:r>
    </w:p>
    <w:p w14:paraId="3C93234E">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表0-1  现场调查工作量一览表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56"/>
        <w:gridCol w:w="4836"/>
        <w:gridCol w:w="636"/>
        <w:gridCol w:w="636"/>
      </w:tblGrid>
      <w:tr w14:paraId="6CB5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blHeader/>
          <w:jc w:val="center"/>
        </w:trPr>
        <w:tc>
          <w:tcPr>
            <w:tcW w:w="0" w:type="auto"/>
            <w:vAlign w:val="center"/>
          </w:tcPr>
          <w:p w14:paraId="06C08FBB">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0" w:type="auto"/>
            <w:vAlign w:val="center"/>
          </w:tcPr>
          <w:p w14:paraId="4AC53C45">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工作项目</w:t>
            </w:r>
          </w:p>
        </w:tc>
        <w:tc>
          <w:tcPr>
            <w:tcW w:w="0" w:type="auto"/>
            <w:vAlign w:val="center"/>
          </w:tcPr>
          <w:p w14:paraId="6F5F1AC3">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内容</w:t>
            </w:r>
          </w:p>
        </w:tc>
        <w:tc>
          <w:tcPr>
            <w:tcW w:w="0" w:type="auto"/>
            <w:vAlign w:val="center"/>
          </w:tcPr>
          <w:p w14:paraId="682C501B">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单位</w:t>
            </w:r>
          </w:p>
        </w:tc>
        <w:tc>
          <w:tcPr>
            <w:tcW w:w="0" w:type="auto"/>
            <w:vAlign w:val="center"/>
          </w:tcPr>
          <w:p w14:paraId="396B4BBD">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数量</w:t>
            </w:r>
          </w:p>
        </w:tc>
      </w:tr>
      <w:tr w14:paraId="634E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0" w:type="auto"/>
            <w:vMerge w:val="restart"/>
            <w:vAlign w:val="center"/>
          </w:tcPr>
          <w:p w14:paraId="5C83D038">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0" w:type="auto"/>
            <w:vMerge w:val="restart"/>
            <w:vAlign w:val="center"/>
          </w:tcPr>
          <w:p w14:paraId="00F1EE35">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收集资料</w:t>
            </w:r>
          </w:p>
        </w:tc>
        <w:tc>
          <w:tcPr>
            <w:tcW w:w="0" w:type="auto"/>
            <w:vAlign w:val="center"/>
          </w:tcPr>
          <w:p w14:paraId="4AC0DA69">
            <w:pPr>
              <w:pStyle w:val="52"/>
              <w:keepNext w:val="0"/>
              <w:keepLines w:val="0"/>
              <w:pageBreakBefore w:val="0"/>
              <w:kinsoku/>
              <w:wordWrap/>
              <w:overflowPunct/>
              <w:topLinePunct w:val="0"/>
              <w:autoSpaceDE/>
              <w:autoSpaceDN/>
              <w:bidi w:val="0"/>
              <w:adjustRightInd/>
              <w:textAlignment w:val="auto"/>
              <w:rPr>
                <w:rFonts w:hint="default"/>
                <w:color w:val="auto"/>
                <w:highlight w:val="none"/>
              </w:rPr>
            </w:pPr>
            <w:r>
              <w:rPr>
                <w:rFonts w:hint="default"/>
                <w:color w:val="auto"/>
                <w:highlight w:val="none"/>
              </w:rPr>
              <w:t>《</w:t>
            </w:r>
            <w:r>
              <w:rPr>
                <w:rFonts w:hint="eastAsia"/>
                <w:color w:val="auto"/>
                <w:highlight w:val="none"/>
                <w:lang w:val="en-US" w:eastAsia="zh-CN"/>
              </w:rPr>
              <w:t>大英县紫云村饰面用砂岩矿矿山</w:t>
            </w:r>
            <w:r>
              <w:rPr>
                <w:rFonts w:hint="default"/>
                <w:color w:val="auto"/>
                <w:highlight w:val="none"/>
              </w:rPr>
              <w:t>开发利用方案》</w:t>
            </w:r>
          </w:p>
        </w:tc>
        <w:tc>
          <w:tcPr>
            <w:tcW w:w="0" w:type="auto"/>
            <w:vAlign w:val="center"/>
          </w:tcPr>
          <w:p w14:paraId="2A6BF465">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份</w:t>
            </w:r>
          </w:p>
        </w:tc>
        <w:tc>
          <w:tcPr>
            <w:tcW w:w="0" w:type="auto"/>
            <w:vAlign w:val="center"/>
          </w:tcPr>
          <w:p w14:paraId="1FAC1125">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r>
      <w:tr w14:paraId="7CBC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0" w:type="auto"/>
            <w:vMerge w:val="continue"/>
            <w:vAlign w:val="center"/>
          </w:tcPr>
          <w:p w14:paraId="6939463D">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14:paraId="6C397F5C">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14:paraId="36999408">
            <w:pPr>
              <w:pStyle w:val="52"/>
              <w:keepNext w:val="0"/>
              <w:keepLines w:val="0"/>
              <w:pageBreakBefore w:val="0"/>
              <w:kinsoku/>
              <w:wordWrap/>
              <w:overflowPunct/>
              <w:topLinePunct w:val="0"/>
              <w:autoSpaceDE/>
              <w:autoSpaceDN/>
              <w:bidi w:val="0"/>
              <w:adjustRightInd/>
              <w:textAlignment w:val="auto"/>
              <w:rPr>
                <w:rFonts w:hint="default"/>
                <w:color w:val="auto"/>
                <w:highlight w:val="none"/>
              </w:rPr>
            </w:pPr>
            <w:r>
              <w:rPr>
                <w:rFonts w:hint="default"/>
                <w:color w:val="auto"/>
                <w:highlight w:val="none"/>
              </w:rPr>
              <w:t>《</w:t>
            </w:r>
            <w:r>
              <w:rPr>
                <w:rFonts w:hint="eastAsia"/>
                <w:color w:val="auto"/>
                <w:highlight w:val="none"/>
                <w:lang w:val="en-US" w:eastAsia="zh-CN"/>
              </w:rPr>
              <w:t>大英县紫云村饰面用砂岩矿勘查</w:t>
            </w:r>
            <w:r>
              <w:rPr>
                <w:rFonts w:hint="default"/>
                <w:color w:val="auto"/>
                <w:highlight w:val="none"/>
              </w:rPr>
              <w:t>报告》</w:t>
            </w:r>
          </w:p>
        </w:tc>
        <w:tc>
          <w:tcPr>
            <w:tcW w:w="0" w:type="auto"/>
            <w:vAlign w:val="center"/>
          </w:tcPr>
          <w:p w14:paraId="182CAC6D">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份</w:t>
            </w:r>
          </w:p>
        </w:tc>
        <w:tc>
          <w:tcPr>
            <w:tcW w:w="0" w:type="auto"/>
            <w:vAlign w:val="center"/>
          </w:tcPr>
          <w:p w14:paraId="26AC409E">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r>
      <w:tr w14:paraId="4E3E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exact"/>
          <w:jc w:val="center"/>
        </w:trPr>
        <w:tc>
          <w:tcPr>
            <w:tcW w:w="0" w:type="auto"/>
            <w:vMerge w:val="continue"/>
            <w:vAlign w:val="center"/>
          </w:tcPr>
          <w:p w14:paraId="7D4D92DD">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14:paraId="6A6F103F">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14:paraId="0B8AC05F">
            <w:pPr>
              <w:pStyle w:val="52"/>
              <w:keepNext w:val="0"/>
              <w:keepLines w:val="0"/>
              <w:pageBreakBefore w:val="0"/>
              <w:kinsoku/>
              <w:wordWrap/>
              <w:overflowPunct/>
              <w:topLinePunct w:val="0"/>
              <w:autoSpaceDE/>
              <w:autoSpaceDN/>
              <w:bidi w:val="0"/>
              <w:adjustRightInd/>
              <w:textAlignment w:val="auto"/>
              <w:rPr>
                <w:rFonts w:hint="default"/>
                <w:color w:val="auto"/>
                <w:highlight w:val="none"/>
              </w:rPr>
            </w:pPr>
            <w:r>
              <w:rPr>
                <w:rFonts w:hint="eastAsia"/>
                <w:color w:val="auto"/>
                <w:highlight w:val="none"/>
                <w:lang w:val="en-US" w:eastAsia="zh-CN"/>
              </w:rPr>
              <w:t>大英县最新</w:t>
            </w:r>
            <w:r>
              <w:rPr>
                <w:rFonts w:hint="default"/>
                <w:color w:val="auto"/>
                <w:highlight w:val="none"/>
              </w:rPr>
              <w:t>土地利用总体规划图</w:t>
            </w:r>
          </w:p>
        </w:tc>
        <w:tc>
          <w:tcPr>
            <w:tcW w:w="0" w:type="auto"/>
            <w:vAlign w:val="center"/>
          </w:tcPr>
          <w:p w14:paraId="29286D0C">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份</w:t>
            </w:r>
          </w:p>
        </w:tc>
        <w:tc>
          <w:tcPr>
            <w:tcW w:w="0" w:type="auto"/>
            <w:vAlign w:val="center"/>
          </w:tcPr>
          <w:p w14:paraId="5304CED2">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r>
      <w:tr w14:paraId="2B3E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0" w:type="auto"/>
            <w:vMerge w:val="restart"/>
            <w:vAlign w:val="center"/>
          </w:tcPr>
          <w:p w14:paraId="6184E5EE">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0" w:type="auto"/>
            <w:vMerge w:val="restart"/>
            <w:vAlign w:val="center"/>
          </w:tcPr>
          <w:p w14:paraId="72089E42">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野外调查</w:t>
            </w:r>
          </w:p>
        </w:tc>
        <w:tc>
          <w:tcPr>
            <w:tcW w:w="0" w:type="auto"/>
            <w:vAlign w:val="center"/>
          </w:tcPr>
          <w:p w14:paraId="3CEBCA3A">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调查面积</w:t>
            </w:r>
          </w:p>
        </w:tc>
        <w:tc>
          <w:tcPr>
            <w:tcW w:w="0" w:type="auto"/>
            <w:vAlign w:val="center"/>
          </w:tcPr>
          <w:p w14:paraId="110EFB6D">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km</w:t>
            </w:r>
            <w:r>
              <w:rPr>
                <w:rFonts w:ascii="Times New Roman" w:hAnsi="Times New Roman" w:eastAsia="宋体" w:cs="Times New Roman"/>
                <w:color w:val="auto"/>
                <w:highlight w:val="none"/>
                <w:vertAlign w:val="superscript"/>
              </w:rPr>
              <w:t>2</w:t>
            </w:r>
          </w:p>
        </w:tc>
        <w:tc>
          <w:tcPr>
            <w:tcW w:w="0" w:type="auto"/>
            <w:vAlign w:val="center"/>
          </w:tcPr>
          <w:p w14:paraId="0DEAE912">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0.01</w:t>
            </w:r>
          </w:p>
        </w:tc>
      </w:tr>
      <w:tr w14:paraId="6A27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0" w:type="auto"/>
            <w:vMerge w:val="continue"/>
            <w:vAlign w:val="center"/>
          </w:tcPr>
          <w:p w14:paraId="58FADBF2">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14:paraId="3EF88E2B">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14:paraId="55BDF95B">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调查线路</w:t>
            </w:r>
          </w:p>
        </w:tc>
        <w:tc>
          <w:tcPr>
            <w:tcW w:w="0" w:type="auto"/>
            <w:vAlign w:val="center"/>
          </w:tcPr>
          <w:p w14:paraId="03315E35">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条</w:t>
            </w:r>
          </w:p>
        </w:tc>
        <w:tc>
          <w:tcPr>
            <w:tcW w:w="0" w:type="auto"/>
            <w:vAlign w:val="center"/>
          </w:tcPr>
          <w:p w14:paraId="68CC20F9">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r>
      <w:tr w14:paraId="12E5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0" w:type="auto"/>
            <w:vMerge w:val="continue"/>
            <w:vAlign w:val="center"/>
          </w:tcPr>
          <w:p w14:paraId="498CB92E">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14:paraId="70B290E3">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14:paraId="6F8EF898">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调查点</w:t>
            </w:r>
          </w:p>
        </w:tc>
        <w:tc>
          <w:tcPr>
            <w:tcW w:w="0" w:type="auto"/>
            <w:vAlign w:val="center"/>
          </w:tcPr>
          <w:p w14:paraId="68D6BA18">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个</w:t>
            </w:r>
          </w:p>
        </w:tc>
        <w:tc>
          <w:tcPr>
            <w:tcW w:w="0" w:type="auto"/>
            <w:vAlign w:val="center"/>
          </w:tcPr>
          <w:p w14:paraId="4703B1A7">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r>
      <w:tr w14:paraId="434D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0" w:type="auto"/>
            <w:vMerge w:val="continue"/>
            <w:vAlign w:val="center"/>
          </w:tcPr>
          <w:p w14:paraId="0ADF1A21">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14:paraId="2CE080FA">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14:paraId="21C75C9C">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村庄</w:t>
            </w:r>
          </w:p>
        </w:tc>
        <w:tc>
          <w:tcPr>
            <w:tcW w:w="0" w:type="auto"/>
            <w:vAlign w:val="center"/>
          </w:tcPr>
          <w:p w14:paraId="667D3AD9">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处</w:t>
            </w:r>
          </w:p>
        </w:tc>
        <w:tc>
          <w:tcPr>
            <w:tcW w:w="0" w:type="auto"/>
            <w:vAlign w:val="center"/>
          </w:tcPr>
          <w:p w14:paraId="204F907C">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r>
      <w:tr w14:paraId="2B34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0" w:type="auto"/>
            <w:vMerge w:val="continue"/>
            <w:vAlign w:val="center"/>
          </w:tcPr>
          <w:p w14:paraId="1A3166AF">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14:paraId="46AFC1F4">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14:paraId="599FE4F6">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访问人数</w:t>
            </w:r>
          </w:p>
        </w:tc>
        <w:tc>
          <w:tcPr>
            <w:tcW w:w="0" w:type="auto"/>
            <w:vAlign w:val="center"/>
          </w:tcPr>
          <w:p w14:paraId="49485AC8">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人</w:t>
            </w:r>
          </w:p>
        </w:tc>
        <w:tc>
          <w:tcPr>
            <w:tcW w:w="0" w:type="auto"/>
            <w:vAlign w:val="center"/>
          </w:tcPr>
          <w:p w14:paraId="0EFAB2A1">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w:t>
            </w:r>
          </w:p>
        </w:tc>
      </w:tr>
      <w:tr w14:paraId="44F7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0" w:type="auto"/>
            <w:vMerge w:val="continue"/>
            <w:vAlign w:val="center"/>
          </w:tcPr>
          <w:p w14:paraId="2627406E">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14:paraId="3851DB33">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14:paraId="067081E2">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地质点</w:t>
            </w:r>
          </w:p>
        </w:tc>
        <w:tc>
          <w:tcPr>
            <w:tcW w:w="0" w:type="auto"/>
            <w:vAlign w:val="center"/>
          </w:tcPr>
          <w:p w14:paraId="23F18333">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处</w:t>
            </w:r>
          </w:p>
        </w:tc>
        <w:tc>
          <w:tcPr>
            <w:tcW w:w="0" w:type="auto"/>
            <w:vAlign w:val="center"/>
          </w:tcPr>
          <w:p w14:paraId="48F36547">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r>
      <w:tr w14:paraId="4826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0" w:type="auto"/>
            <w:vMerge w:val="continue"/>
            <w:vAlign w:val="center"/>
          </w:tcPr>
          <w:p w14:paraId="3B9844C8">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14:paraId="40BCF502">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14:paraId="38916C67">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拍摄相关照片</w:t>
            </w:r>
          </w:p>
        </w:tc>
        <w:tc>
          <w:tcPr>
            <w:tcW w:w="0" w:type="auto"/>
            <w:vAlign w:val="center"/>
          </w:tcPr>
          <w:p w14:paraId="21E7736D">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张</w:t>
            </w:r>
          </w:p>
        </w:tc>
        <w:tc>
          <w:tcPr>
            <w:tcW w:w="0" w:type="auto"/>
            <w:vAlign w:val="center"/>
          </w:tcPr>
          <w:p w14:paraId="5721ACB4">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r>
      <w:tr w14:paraId="1308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0" w:type="auto"/>
            <w:vMerge w:val="continue"/>
            <w:vAlign w:val="center"/>
          </w:tcPr>
          <w:p w14:paraId="2A94792C">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Merge w:val="continue"/>
            <w:vAlign w:val="center"/>
          </w:tcPr>
          <w:p w14:paraId="1B3F0F8C">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p>
        </w:tc>
        <w:tc>
          <w:tcPr>
            <w:tcW w:w="0" w:type="auto"/>
            <w:vAlign w:val="center"/>
          </w:tcPr>
          <w:p w14:paraId="31609CD3">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调查持续时间</w:t>
            </w:r>
          </w:p>
        </w:tc>
        <w:tc>
          <w:tcPr>
            <w:tcW w:w="0" w:type="auto"/>
            <w:vAlign w:val="center"/>
          </w:tcPr>
          <w:p w14:paraId="5B83F83E">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天</w:t>
            </w:r>
          </w:p>
        </w:tc>
        <w:tc>
          <w:tcPr>
            <w:tcW w:w="0" w:type="auto"/>
            <w:vAlign w:val="center"/>
          </w:tcPr>
          <w:p w14:paraId="0A0B56AB">
            <w:pPr>
              <w:keepNext w:val="0"/>
              <w:keepLines w:val="0"/>
              <w:pageBreakBefore w:val="0"/>
              <w:kinsoku/>
              <w:wordWrap/>
              <w:overflowPunct/>
              <w:topLinePunct w:val="0"/>
              <w:autoSpaceDE/>
              <w:autoSpaceDN/>
              <w:bidi w:val="0"/>
              <w:adjustRightInd/>
              <w:spacing w:line="360" w:lineRule="exact"/>
              <w:jc w:val="center"/>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r>
    </w:tbl>
    <w:p w14:paraId="162B1146">
      <w:pPr>
        <w:rPr>
          <w:rFonts w:ascii="Times New Roman" w:hAnsi="Times New Roman" w:eastAsia="宋体" w:cs="Times New Roman"/>
          <w:color w:val="auto"/>
          <w:highlight w:val="none"/>
        </w:rPr>
      </w:pPr>
    </w:p>
    <w:p w14:paraId="498A46F2">
      <w:pPr>
        <w:pStyle w:val="22"/>
        <w:ind w:firstLine="600"/>
        <w:rPr>
          <w:rFonts w:ascii="Times New Roman" w:hAnsi="Times New Roman" w:cs="Times New Roman"/>
          <w:color w:val="auto"/>
          <w:highlight w:val="none"/>
        </w:rPr>
        <w:sectPr>
          <w:footerReference r:id="rId3" w:type="default"/>
          <w:pgSz w:w="11906" w:h="16838"/>
          <w:pgMar w:top="1440" w:right="1800" w:bottom="1440" w:left="1800" w:header="851" w:footer="992" w:gutter="0"/>
          <w:pgNumType w:start="1"/>
          <w:cols w:space="425" w:num="1"/>
          <w:docGrid w:type="lines" w:linePitch="312" w:charSpace="0"/>
        </w:sectPr>
      </w:pPr>
    </w:p>
    <w:p w14:paraId="3DF3303C">
      <w:pPr>
        <w:pStyle w:val="2"/>
        <w:spacing w:before="200" w:after="200" w:line="360" w:lineRule="auto"/>
        <w:jc w:val="center"/>
        <w:rPr>
          <w:rFonts w:ascii="Times New Roman" w:hAnsi="Times New Roman" w:eastAsia="宋体" w:cs="Times New Roman"/>
          <w:bCs/>
          <w:color w:val="auto"/>
          <w:sz w:val="32"/>
          <w:szCs w:val="44"/>
          <w:highlight w:val="none"/>
        </w:rPr>
      </w:pPr>
      <w:bookmarkStart w:id="50" w:name="_Toc21387"/>
      <w:r>
        <w:rPr>
          <w:rFonts w:ascii="Times New Roman" w:hAnsi="Times New Roman" w:eastAsia="宋体" w:cs="Times New Roman"/>
          <w:bCs/>
          <w:color w:val="auto"/>
          <w:sz w:val="32"/>
          <w:szCs w:val="44"/>
          <w:highlight w:val="none"/>
        </w:rPr>
        <w:t>第1章  矿山基本情况</w:t>
      </w:r>
      <w:bookmarkEnd w:id="50"/>
    </w:p>
    <w:p w14:paraId="7DBCF43B">
      <w:pPr>
        <w:pStyle w:val="3"/>
        <w:spacing w:before="156" w:beforeLines="50" w:after="156" w:afterLines="50" w:line="360" w:lineRule="auto"/>
        <w:jc w:val="left"/>
        <w:rPr>
          <w:rFonts w:ascii="Times New Roman" w:hAnsi="Times New Roman" w:eastAsia="宋体" w:cs="Times New Roman"/>
          <w:bCs/>
          <w:color w:val="auto"/>
          <w:sz w:val="30"/>
          <w:szCs w:val="32"/>
          <w:highlight w:val="none"/>
          <w:lang w:val="zh-CN"/>
        </w:rPr>
      </w:pPr>
      <w:bookmarkStart w:id="51" w:name="_Toc5782"/>
      <w:r>
        <w:rPr>
          <w:rFonts w:ascii="Times New Roman" w:hAnsi="Times New Roman" w:eastAsia="宋体" w:cs="Times New Roman"/>
          <w:bCs/>
          <w:color w:val="auto"/>
          <w:sz w:val="30"/>
          <w:szCs w:val="32"/>
          <w:highlight w:val="none"/>
        </w:rPr>
        <w:t>一、</w:t>
      </w:r>
      <w:r>
        <w:rPr>
          <w:rFonts w:ascii="Times New Roman" w:hAnsi="Times New Roman" w:eastAsia="宋体" w:cs="Times New Roman"/>
          <w:bCs/>
          <w:color w:val="auto"/>
          <w:sz w:val="30"/>
          <w:szCs w:val="32"/>
          <w:highlight w:val="none"/>
          <w:lang w:val="zh-CN"/>
        </w:rPr>
        <w:t>矿山简介</w:t>
      </w:r>
      <w:bookmarkEnd w:id="51"/>
    </w:p>
    <w:p w14:paraId="3508E8D4">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大英县位于四川盆地中东部的长江上游北岸涪江流域中段，属遂宁市管辖。地理坐标为：东经105°15′00″～105°19′00″、北纬30°27′45″～31°30′00″。县域东西长34.3km，南北宽29.8km，幅员面积702.6km²。北接遂宁的射洪县、南邻遂宁的安居区、西连德阳中江县及资阳市安岳县和乐至县、东北与蓬溪县隔江相望、东南与遂宁船山区接壤，县城距成都市111km、距遂宁市45km、距德阳市145km、绵阳148km。</w:t>
      </w:r>
    </w:p>
    <w:p w14:paraId="5E696AEA">
      <w:pPr>
        <w:adjustRightInd w:val="0"/>
        <w:snapToGrid w:val="0"/>
        <w:spacing w:line="360" w:lineRule="auto"/>
        <w:ind w:firstLine="560"/>
        <w:rPr>
          <w:rFonts w:hint="default" w:ascii="仿宋_GB2312" w:hAnsi="仿宋_GB2312" w:eastAsia="仿宋_GB2312" w:cs="仿宋_GB2312"/>
          <w:color w:val="auto"/>
          <w:sz w:val="28"/>
          <w:szCs w:val="28"/>
          <w:lang w:eastAsia="zh-CN"/>
        </w:rPr>
      </w:pPr>
      <w:r>
        <w:rPr>
          <w:rFonts w:hint="default" w:ascii="仿宋_GB2312" w:hAnsi="仿宋_GB2312" w:eastAsia="仿宋_GB2312" w:cs="仿宋_GB2312"/>
          <w:color w:val="auto"/>
          <w:sz w:val="28"/>
          <w:szCs w:val="28"/>
          <w:lang w:eastAsia="zh-CN"/>
        </w:rPr>
        <w:t>四川省</w:t>
      </w:r>
      <w:r>
        <w:rPr>
          <w:rFonts w:hint="eastAsia" w:ascii="仿宋_GB2312" w:hAnsi="仿宋_GB2312" w:eastAsia="仿宋_GB2312" w:cs="仿宋_GB2312"/>
          <w:color w:val="auto"/>
          <w:sz w:val="28"/>
          <w:szCs w:val="28"/>
          <w:lang w:eastAsia="zh-CN"/>
        </w:rPr>
        <w:t>大英县紫云村饰面用砂岩矿位于大英县城正南方向，直线距离约</w:t>
      </w:r>
      <w:r>
        <w:rPr>
          <w:rFonts w:hint="default" w:ascii="仿宋_GB2312" w:hAnsi="仿宋_GB2312" w:eastAsia="仿宋_GB2312" w:cs="仿宋_GB2312"/>
          <w:color w:val="auto"/>
          <w:sz w:val="28"/>
          <w:szCs w:val="28"/>
          <w:lang w:eastAsia="zh-CN"/>
        </w:rPr>
        <w:t>2km，行政区划属大英县蓬莱镇。</w:t>
      </w:r>
      <w:r>
        <w:rPr>
          <w:rFonts w:hint="eastAsia" w:ascii="仿宋_GB2312" w:hAnsi="仿宋_GB2312" w:eastAsia="仿宋_GB2312" w:cs="仿宋_GB2312"/>
          <w:color w:val="auto"/>
          <w:sz w:val="28"/>
          <w:szCs w:val="28"/>
          <w:lang w:eastAsia="zh-CN"/>
        </w:rPr>
        <w:t>中心点坐标X:3381624.140、Y：3</w:t>
      </w:r>
      <w:r>
        <w:rPr>
          <w:rFonts w:hint="default" w:ascii="仿宋_GB2312" w:hAnsi="仿宋_GB2312" w:eastAsia="仿宋_GB2312" w:cs="仿宋_GB2312"/>
          <w:color w:val="auto"/>
          <w:sz w:val="28"/>
          <w:szCs w:val="28"/>
          <w:lang w:eastAsia="zh-CN"/>
        </w:rPr>
        <w:t>5</w:t>
      </w:r>
      <w:r>
        <w:rPr>
          <w:rFonts w:hint="eastAsia" w:ascii="仿宋_GB2312" w:hAnsi="仿宋_GB2312" w:eastAsia="仿宋_GB2312" w:cs="仿宋_GB2312"/>
          <w:color w:val="auto"/>
          <w:sz w:val="28"/>
          <w:szCs w:val="28"/>
          <w:lang w:eastAsia="zh-CN"/>
        </w:rPr>
        <w:t>525847.933（2000国家大地坐标系）</w:t>
      </w:r>
      <w:r>
        <w:rPr>
          <w:rFonts w:hint="default"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eastAsia="zh-CN"/>
        </w:rPr>
        <w:t>矿</w:t>
      </w:r>
      <w:r>
        <w:rPr>
          <w:rFonts w:hint="default" w:ascii="仿宋_GB2312" w:hAnsi="仿宋_GB2312" w:eastAsia="仿宋_GB2312" w:cs="仿宋_GB2312"/>
          <w:color w:val="auto"/>
          <w:sz w:val="28"/>
          <w:szCs w:val="28"/>
          <w:lang w:eastAsia="zh-CN"/>
        </w:rPr>
        <w:t>区由多条乡间小路相连，交通条件良好。（见图1-1）。</w:t>
      </w:r>
    </w:p>
    <w:p w14:paraId="0F7DA156">
      <w:pPr>
        <w:keepNext w:val="0"/>
        <w:keepLines w:val="0"/>
        <w:pageBreakBefore w:val="0"/>
        <w:widowControl w:val="0"/>
        <w:kinsoku/>
        <w:wordWrap/>
        <w:overflowPunct/>
        <w:topLinePunct w:val="0"/>
        <w:autoSpaceDE/>
        <w:autoSpaceDN/>
        <w:bidi w:val="0"/>
        <w:ind w:firstLine="105" w:firstLineChars="50"/>
        <w:jc w:val="center"/>
        <w:textAlignment w:val="auto"/>
        <w:rPr>
          <w:rFonts w:ascii="黑体" w:hAnsi="黑体" w:eastAsia="黑体"/>
          <w:b/>
          <w:color w:val="auto"/>
          <w:sz w:val="21"/>
        </w:rPr>
      </w:pPr>
      <w:r>
        <w:rPr>
          <w:color w:val="auto"/>
        </w:rPr>
        <mc:AlternateContent>
          <mc:Choice Requires="wps">
            <w:drawing>
              <wp:anchor distT="0" distB="0" distL="114300" distR="114300" simplePos="0" relativeHeight="251667456" behindDoc="0" locked="0" layoutInCell="1" allowOverlap="1">
                <wp:simplePos x="0" y="0"/>
                <wp:positionH relativeFrom="column">
                  <wp:posOffset>2456180</wp:posOffset>
                </wp:positionH>
                <wp:positionV relativeFrom="paragraph">
                  <wp:posOffset>1752600</wp:posOffset>
                </wp:positionV>
                <wp:extent cx="1443355" cy="5251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443355" cy="525145"/>
                        </a:xfrm>
                        <a:prstGeom prst="rect">
                          <a:avLst/>
                        </a:prstGeom>
                        <a:noFill/>
                        <a:ln>
                          <a:noFill/>
                        </a:ln>
                      </wps:spPr>
                      <wps:txbx>
                        <w:txbxContent>
                          <w:p w14:paraId="1141FE41">
                            <w:pPr>
                              <w:pStyle w:val="73"/>
                              <w:rPr>
                                <w:color w:val="FF0000"/>
                              </w:rPr>
                            </w:pPr>
                            <w:r>
                              <w:rPr>
                                <w:rFonts w:hint="eastAsia"/>
                                <w:color w:val="FF0000"/>
                              </w:rPr>
                              <w:t>蓬莱镇紫云村饰面用砂岩采矿权</w:t>
                            </w:r>
                          </w:p>
                        </w:txbxContent>
                      </wps:txbx>
                      <wps:bodyPr upright="1"/>
                    </wps:wsp>
                  </a:graphicData>
                </a:graphic>
              </wp:anchor>
            </w:drawing>
          </mc:Choice>
          <mc:Fallback>
            <w:pict>
              <v:shape id="_x0000_s1026" o:spid="_x0000_s1026" o:spt="202" type="#_x0000_t202" style="position:absolute;left:0pt;margin-left:193.4pt;margin-top:138pt;height:41.35pt;width:113.65pt;z-index:251667456;mso-width-relative:page;mso-height-relative:page;" filled="f" stroked="f" coordsize="21600,21600" o:gfxdata="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dJuqzZ&#10;AAAACwEAAA8AAAAAAAAAAQAgAAAAIgAAAGRycy9kb3ducmV2LnhtbFBLAQIUABQAAAAIAIdO4kDT&#10;vEYHrQEAAE4DAAAOAAAAAAAAAAEAIAAAACgBAABkcnMvZTJvRG9jLnhtbFBLBQYAAAAABgAGAFkB&#10;AABHBQAAAAA=&#10;">
                <v:fill on="f" focussize="0,0"/>
                <v:stroke on="f"/>
                <v:imagedata o:title=""/>
                <o:lock v:ext="edit" aspectratio="f"/>
                <v:textbox>
                  <w:txbxContent>
                    <w:p w14:paraId="1141FE41">
                      <w:pPr>
                        <w:pStyle w:val="73"/>
                        <w:rPr>
                          <w:color w:val="FF0000"/>
                        </w:rPr>
                      </w:pPr>
                      <w:r>
                        <w:rPr>
                          <w:rFonts w:hint="eastAsia"/>
                          <w:color w:val="FF0000"/>
                        </w:rPr>
                        <w:t>蓬莱镇紫云村饰面用砂岩采矿权</w:t>
                      </w:r>
                    </w:p>
                  </w:txbxContent>
                </v:textbox>
              </v:shape>
            </w:pict>
          </mc:Fallback>
        </mc:AlternateContent>
      </w:r>
      <w:r>
        <w:rPr>
          <w:color w:val="auto"/>
        </w:rPr>
        <mc:AlternateContent>
          <mc:Choice Requires="wps">
            <w:drawing>
              <wp:anchor distT="0" distB="0" distL="114300" distR="114300" simplePos="0" relativeHeight="251666432" behindDoc="0" locked="0" layoutInCell="1" allowOverlap="1">
                <wp:simplePos x="0" y="0"/>
                <wp:positionH relativeFrom="column">
                  <wp:posOffset>2419985</wp:posOffset>
                </wp:positionH>
                <wp:positionV relativeFrom="paragraph">
                  <wp:posOffset>1863725</wp:posOffset>
                </wp:positionV>
                <wp:extent cx="55880" cy="50800"/>
                <wp:effectExtent l="4445" t="4445" r="15875" b="5715"/>
                <wp:wrapNone/>
                <wp:docPr id="7" name="矩形 7"/>
                <wp:cNvGraphicFramePr/>
                <a:graphic xmlns:a="http://schemas.openxmlformats.org/drawingml/2006/main">
                  <a:graphicData uri="http://schemas.microsoft.com/office/word/2010/wordprocessingShape">
                    <wps:wsp>
                      <wps:cNvSpPr/>
                      <wps:spPr>
                        <a:xfrm>
                          <a:off x="0" y="0"/>
                          <a:ext cx="55880" cy="50800"/>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90.55pt;margin-top:146.75pt;height:4pt;width:4.4pt;z-index:251666432;mso-width-relative:page;mso-height-relative:page;" fillcolor="#FF0000" filled="t" stroked="t" coordsize="21600,21600" o:gfxdata="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zOR4XbAAAACwEAAA8AAAAAAAAAAQAgAAAAIgAAAGRycy9kb3ducmV2Lnht&#10;bFBLAQIUABQAAAAIAIdO4kAUF/dd9gEAABsEAAAOAAAAAAAAAAEAIAAAACoBAABkcnMvZTJvRG9j&#10;LnhtbFBLBQYAAAAABgAGAFkBAACSBQAAAAA=&#10;">
                <v:fill on="t" focussize="0,0"/>
                <v:stroke color="#FF0000" joinstyle="miter"/>
                <v:imagedata o:title=""/>
                <o:lock v:ext="edit" aspectratio="f"/>
              </v:rect>
            </w:pict>
          </mc:Fallback>
        </mc:AlternateContent>
      </w:r>
      <w:r>
        <w:rPr>
          <w:color w:val="auto"/>
        </w:rPr>
        <w:drawing>
          <wp:inline distT="0" distB="0" distL="114300" distR="114300">
            <wp:extent cx="5078730" cy="3267075"/>
            <wp:effectExtent l="0" t="0" r="11430"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6"/>
                    <a:stretch>
                      <a:fillRect/>
                    </a:stretch>
                  </pic:blipFill>
                  <pic:spPr>
                    <a:xfrm>
                      <a:off x="0" y="0"/>
                      <a:ext cx="5078730" cy="3267075"/>
                    </a:xfrm>
                    <a:prstGeom prst="rect">
                      <a:avLst/>
                    </a:prstGeom>
                    <a:noFill/>
                    <a:ln>
                      <a:noFill/>
                    </a:ln>
                  </pic:spPr>
                </pic:pic>
              </a:graphicData>
            </a:graphic>
          </wp:inline>
        </w:drawing>
      </w:r>
    </w:p>
    <w:p w14:paraId="355D015F">
      <w:pPr>
        <w:ind w:firstLine="422"/>
        <w:jc w:val="center"/>
        <w:rPr>
          <w:rFonts w:ascii="黑体" w:hAnsi="黑体" w:eastAsia="黑体"/>
          <w:b/>
          <w:color w:val="auto"/>
          <w:sz w:val="21"/>
        </w:rPr>
      </w:pPr>
      <w:r>
        <w:rPr>
          <w:rFonts w:hint="eastAsia" w:ascii="黑体" w:hAnsi="黑体" w:eastAsia="黑体"/>
          <w:b/>
          <w:color w:val="auto"/>
          <w:sz w:val="21"/>
        </w:rPr>
        <w:t xml:space="preserve">图1-1 </w:t>
      </w:r>
      <w:r>
        <w:rPr>
          <w:rFonts w:ascii="黑体" w:hAnsi="黑体" w:eastAsia="黑体"/>
          <w:b/>
          <w:color w:val="auto"/>
          <w:sz w:val="21"/>
        </w:rPr>
        <w:t>交通位置</w:t>
      </w:r>
      <w:r>
        <w:rPr>
          <w:rFonts w:hint="eastAsia" w:ascii="黑体" w:hAnsi="黑体" w:eastAsia="黑体"/>
          <w:b/>
          <w:color w:val="auto"/>
          <w:sz w:val="21"/>
        </w:rPr>
        <w:t>示意</w:t>
      </w:r>
      <w:r>
        <w:rPr>
          <w:rFonts w:ascii="黑体" w:hAnsi="黑体" w:eastAsia="黑体"/>
          <w:b/>
          <w:color w:val="auto"/>
          <w:sz w:val="21"/>
        </w:rPr>
        <w:t>图</w:t>
      </w:r>
    </w:p>
    <w:p w14:paraId="732CB757">
      <w:pPr>
        <w:spacing w:line="360" w:lineRule="auto"/>
        <w:ind w:firstLine="480" w:firstLineChars="200"/>
        <w:rPr>
          <w:rFonts w:ascii="Times New Roman" w:hAnsi="Times New Roman" w:eastAsia="宋体" w:cs="Times New Roman"/>
          <w:color w:val="auto"/>
          <w:sz w:val="24"/>
          <w:szCs w:val="24"/>
          <w:highlight w:val="none"/>
          <w:lang w:val="zh-CN"/>
        </w:rPr>
      </w:pPr>
    </w:p>
    <w:p w14:paraId="61C285D5">
      <w:pPr>
        <w:pStyle w:val="3"/>
        <w:spacing w:before="120" w:after="120"/>
        <w:rPr>
          <w:rFonts w:ascii="Times New Roman" w:hAnsi="Times New Roman" w:eastAsia="宋体" w:cs="Times New Roman"/>
          <w:color w:val="auto"/>
          <w:highlight w:val="none"/>
          <w:lang w:val="zh-CN"/>
        </w:rPr>
      </w:pPr>
      <w:bookmarkStart w:id="52" w:name="_Toc24602"/>
      <w:bookmarkStart w:id="53" w:name="_Toc4157"/>
      <w:r>
        <w:rPr>
          <w:rFonts w:ascii="Times New Roman" w:hAnsi="Times New Roman" w:eastAsia="宋体" w:cs="Times New Roman"/>
          <w:color w:val="auto"/>
          <w:highlight w:val="none"/>
          <w:lang w:val="zh-CN"/>
        </w:rPr>
        <w:t>二、</w:t>
      </w:r>
      <w:r>
        <w:rPr>
          <w:rFonts w:hint="eastAsia" w:ascii="Times New Roman" w:hAnsi="Times New Roman" w:eastAsia="宋体" w:cs="Times New Roman"/>
          <w:color w:val="auto"/>
          <w:highlight w:val="none"/>
          <w:lang w:val="en-US" w:eastAsia="zh-CN"/>
        </w:rPr>
        <w:t>采矿权</w:t>
      </w:r>
      <w:r>
        <w:rPr>
          <w:rFonts w:ascii="Times New Roman" w:hAnsi="Times New Roman" w:eastAsia="宋体" w:cs="Times New Roman"/>
          <w:color w:val="auto"/>
          <w:highlight w:val="none"/>
          <w:lang w:val="zh-CN"/>
        </w:rPr>
        <w:t>范围及拐点坐标</w:t>
      </w:r>
      <w:bookmarkEnd w:id="52"/>
      <w:bookmarkEnd w:id="53"/>
    </w:p>
    <w:p w14:paraId="42FFD43B">
      <w:pPr>
        <w:pStyle w:val="71"/>
        <w:adjustRightInd w:val="0"/>
        <w:snapToGrid w:val="0"/>
        <w:spacing w:line="360" w:lineRule="auto"/>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根据《大英县矿产资源总体规划》（2021-2025年），拟设开采区块名称及编号：大英县紫云村饰面用砂岩开采规划区（CQ51092300003）；开采矿种：饰面用砂岩。</w:t>
      </w:r>
    </w:p>
    <w:p w14:paraId="0BB3B42E">
      <w:pPr>
        <w:pStyle w:val="71"/>
        <w:adjustRightInd w:val="0"/>
        <w:snapToGrid w:val="0"/>
        <w:spacing w:line="360" w:lineRule="auto"/>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拟设大英县蓬莱镇紫云村饰面用砂岩矿采矿权由1～7号拐点圈闭，该区块周边无矿权设置，与已设采矿权无重叠。拐点坐标见表1-1：</w:t>
      </w:r>
    </w:p>
    <w:p w14:paraId="2CD037D1">
      <w:pPr>
        <w:pStyle w:val="72"/>
        <w:rPr>
          <w:rFonts w:hint="eastAsia" w:ascii="仿宋_GB2312" w:hAnsi="仿宋_GB2312" w:eastAsia="仿宋_GB2312" w:cs="仿宋_GB2312"/>
          <w:b w:val="0"/>
          <w:color w:val="auto"/>
          <w:kern w:val="2"/>
          <w:sz w:val="28"/>
          <w:szCs w:val="28"/>
          <w:lang w:val="en-US" w:eastAsia="zh-CN" w:bidi="ar-SA"/>
        </w:rPr>
      </w:pPr>
      <w:r>
        <w:rPr>
          <w:rFonts w:hint="eastAsia" w:ascii="仿宋_GB2312" w:hAnsi="仿宋_GB2312" w:eastAsia="仿宋_GB2312" w:cs="仿宋_GB2312"/>
          <w:b w:val="0"/>
          <w:color w:val="auto"/>
          <w:kern w:val="2"/>
          <w:sz w:val="28"/>
          <w:szCs w:val="28"/>
          <w:lang w:val="en-US" w:eastAsia="zh-CN" w:bidi="ar-SA"/>
        </w:rPr>
        <w:t>表1-1 拟设采矿权拐点坐标一览表</w:t>
      </w:r>
    </w:p>
    <w:tbl>
      <w:tblPr>
        <w:tblStyle w:val="23"/>
        <w:tblW w:w="4998" w:type="pct"/>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589"/>
        <w:gridCol w:w="3355"/>
        <w:gridCol w:w="3569"/>
      </w:tblGrid>
      <w:tr w14:paraId="1165A60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vMerge w:val="restart"/>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37E0A1D">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拐点编号</w:t>
            </w:r>
          </w:p>
        </w:tc>
        <w:tc>
          <w:tcPr>
            <w:tcW w:w="4066" w:type="pct"/>
            <w:gridSpan w:val="2"/>
            <w:tcBorders>
              <w:top w:val="single" w:color="000000" w:sz="4" w:space="0"/>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0FD89E7">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2000国家大地坐标系</w:t>
            </w:r>
          </w:p>
        </w:tc>
      </w:tr>
      <w:tr w14:paraId="4FA8BD0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A79C5D">
            <w:pPr>
              <w:pStyle w:val="73"/>
              <w:rPr>
                <w:rFonts w:hint="eastAsia" w:ascii="仿宋_GB2312" w:hAnsi="仿宋_GB2312" w:eastAsia="仿宋_GB2312" w:cs="仿宋_GB2312"/>
                <w:color w:val="auto"/>
              </w:rPr>
            </w:pP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35E4EFE">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X(m)</w:t>
            </w:r>
          </w:p>
        </w:tc>
        <w:tc>
          <w:tcPr>
            <w:tcW w:w="2096"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6520C15">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Y(m)</w:t>
            </w:r>
          </w:p>
        </w:tc>
      </w:tr>
      <w:tr w14:paraId="4A4E65E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15BD7D7">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1</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FF4C402">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3381639.92</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14:paraId="443E93DB">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35525901.96</w:t>
            </w:r>
          </w:p>
        </w:tc>
      </w:tr>
      <w:tr w14:paraId="3961D78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659578B">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2</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9AC6F71">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3381566.01</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14:paraId="10047854">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35525866.65</w:t>
            </w:r>
          </w:p>
        </w:tc>
      </w:tr>
      <w:tr w14:paraId="72A0CD3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0C4ED00A">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70F9952">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3381577.10</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14:paraId="37F6B793">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35525815.73</w:t>
            </w:r>
          </w:p>
        </w:tc>
      </w:tr>
      <w:tr w14:paraId="60D5007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7B55BEF3">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4</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6822B0F">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3381590.65</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14:paraId="1214A977">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35525801.77</w:t>
            </w:r>
          </w:p>
        </w:tc>
      </w:tr>
      <w:tr w14:paraId="0D6F54C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12E6B601">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5</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5E0D560B">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3381624.3</w:t>
            </w:r>
            <w:r>
              <w:rPr>
                <w:rFonts w:hint="eastAsia" w:ascii="仿宋_GB2312" w:hAnsi="仿宋_GB2312" w:eastAsia="仿宋_GB2312" w:cs="仿宋_GB2312"/>
                <w:color w:val="auto"/>
                <w:lang w:val="en-US" w:eastAsia="zh-CN"/>
              </w:rPr>
              <w:t>1</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14:paraId="54716762">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35525814.91</w:t>
            </w:r>
          </w:p>
        </w:tc>
      </w:tr>
      <w:tr w14:paraId="0552BE5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448E8CF4">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6</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96C3D0C">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3381638.28</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14:paraId="05744D58">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35525784.12</w:t>
            </w:r>
          </w:p>
        </w:tc>
      </w:tr>
      <w:tr w14:paraId="718DD32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30DB6EFA">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7</w:t>
            </w:r>
          </w:p>
        </w:tc>
        <w:tc>
          <w:tcPr>
            <w:tcW w:w="1970" w:type="pct"/>
            <w:tcBorders>
              <w:left w:val="single" w:color="000000" w:sz="4" w:space="0"/>
              <w:bottom w:val="single" w:color="000000" w:sz="4" w:space="0"/>
              <w:right w:val="single" w:color="000000" w:sz="4" w:space="0"/>
            </w:tcBorders>
            <w:noWrap w:val="0"/>
            <w:tcMar>
              <w:top w:w="0" w:type="dxa"/>
              <w:left w:w="105" w:type="dxa"/>
              <w:bottom w:w="0" w:type="dxa"/>
              <w:right w:w="105" w:type="dxa"/>
            </w:tcMar>
            <w:vAlign w:val="center"/>
          </w:tcPr>
          <w:p w14:paraId="6F0577B4">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3381685.49</w:t>
            </w:r>
          </w:p>
        </w:tc>
        <w:tc>
          <w:tcPr>
            <w:tcW w:w="2096" w:type="pct"/>
            <w:tcBorders>
              <w:left w:val="single" w:color="000000" w:sz="4" w:space="0"/>
              <w:bottom w:val="single" w:color="000000" w:sz="4" w:space="0"/>
              <w:right w:val="single" w:color="auto" w:sz="4" w:space="0"/>
            </w:tcBorders>
            <w:noWrap w:val="0"/>
            <w:tcMar>
              <w:top w:w="0" w:type="dxa"/>
              <w:left w:w="105" w:type="dxa"/>
              <w:bottom w:w="0" w:type="dxa"/>
              <w:right w:w="105" w:type="dxa"/>
            </w:tcMar>
            <w:vAlign w:val="center"/>
          </w:tcPr>
          <w:p w14:paraId="508DB2E7">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rPr>
              <w:t>35525815.73</w:t>
            </w:r>
          </w:p>
        </w:tc>
      </w:tr>
      <w:tr w14:paraId="10AA8CA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top w:val="single" w:color="auto" w:sz="4" w:space="0"/>
              <w:left w:val="single" w:color="000000" w:sz="4" w:space="0"/>
              <w:bottom w:val="single" w:color="auto" w:sz="4" w:space="0"/>
              <w:right w:val="single" w:color="auto" w:sz="4" w:space="0"/>
            </w:tcBorders>
            <w:noWrap w:val="0"/>
            <w:tcMar>
              <w:top w:w="0" w:type="dxa"/>
              <w:left w:w="105" w:type="dxa"/>
              <w:bottom w:w="0" w:type="dxa"/>
              <w:right w:w="105" w:type="dxa"/>
            </w:tcMar>
            <w:vAlign w:val="center"/>
          </w:tcPr>
          <w:p w14:paraId="420831B7">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2"/>
                <w:szCs w:val="22"/>
              </w:rPr>
              <w:t>开采深度</w:t>
            </w:r>
          </w:p>
        </w:tc>
        <w:tc>
          <w:tcPr>
            <w:tcW w:w="4066" w:type="pct"/>
            <w:gridSpan w:val="2"/>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2BD790C6">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2"/>
                <w:szCs w:val="22"/>
                <w:lang w:val="en-US" w:eastAsia="zh-CN"/>
              </w:rPr>
              <w:t>从310</w:t>
            </w:r>
            <w:r>
              <w:rPr>
                <w:rFonts w:hint="eastAsia" w:ascii="仿宋_GB2312" w:hAnsi="仿宋_GB2312" w:eastAsia="仿宋_GB2312" w:cs="仿宋_GB2312"/>
                <w:color w:val="auto"/>
                <w:kern w:val="0"/>
                <w:sz w:val="22"/>
                <w:szCs w:val="22"/>
              </w:rPr>
              <w:t>米到</w:t>
            </w:r>
            <w:r>
              <w:rPr>
                <w:rFonts w:hint="eastAsia" w:ascii="仿宋_GB2312" w:hAnsi="仿宋_GB2312" w:eastAsia="仿宋_GB2312" w:cs="仿宋_GB2312"/>
                <w:color w:val="auto"/>
                <w:kern w:val="0"/>
                <w:sz w:val="22"/>
                <w:szCs w:val="22"/>
                <w:lang w:val="en-US" w:eastAsia="zh-CN"/>
              </w:rPr>
              <w:t>340</w:t>
            </w:r>
            <w:r>
              <w:rPr>
                <w:rFonts w:hint="eastAsia" w:ascii="仿宋_GB2312" w:hAnsi="仿宋_GB2312" w:eastAsia="仿宋_GB2312" w:cs="仿宋_GB2312"/>
                <w:color w:val="auto"/>
                <w:kern w:val="0"/>
                <w:sz w:val="22"/>
                <w:szCs w:val="22"/>
              </w:rPr>
              <w:t>米</w:t>
            </w:r>
          </w:p>
        </w:tc>
      </w:tr>
      <w:tr w14:paraId="4B9B582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33" w:type="pct"/>
            <w:tcBorders>
              <w:top w:val="single" w:color="auto" w:sz="4" w:space="0"/>
              <w:left w:val="single" w:color="000000" w:sz="4" w:space="0"/>
              <w:bottom w:val="single" w:color="auto" w:sz="4" w:space="0"/>
              <w:right w:val="single" w:color="auto" w:sz="4" w:space="0"/>
            </w:tcBorders>
            <w:noWrap w:val="0"/>
            <w:tcMar>
              <w:top w:w="0" w:type="dxa"/>
              <w:left w:w="105" w:type="dxa"/>
              <w:bottom w:w="0" w:type="dxa"/>
              <w:right w:w="105" w:type="dxa"/>
            </w:tcMar>
            <w:vAlign w:val="center"/>
          </w:tcPr>
          <w:p w14:paraId="08C856CE">
            <w:pPr>
              <w:pStyle w:val="73"/>
              <w:rPr>
                <w:rFonts w:hint="eastAsia" w:ascii="仿宋_GB2312" w:hAnsi="仿宋_GB2312" w:eastAsia="仿宋_GB2312" w:cs="仿宋_GB2312"/>
                <w:color w:val="auto"/>
              </w:rPr>
            </w:pPr>
            <w:r>
              <w:rPr>
                <w:rFonts w:hint="eastAsia" w:ascii="仿宋_GB2312" w:hAnsi="仿宋_GB2312" w:eastAsia="仿宋_GB2312" w:cs="仿宋_GB2312"/>
                <w:color w:val="auto"/>
                <w:kern w:val="0"/>
                <w:sz w:val="22"/>
                <w:szCs w:val="22"/>
              </w:rPr>
              <w:t>矿区面积</w:t>
            </w:r>
          </w:p>
        </w:tc>
        <w:tc>
          <w:tcPr>
            <w:tcW w:w="4066" w:type="pct"/>
            <w:gridSpan w:val="2"/>
            <w:tcBorders>
              <w:top w:val="single" w:color="auto" w:sz="4" w:space="0"/>
              <w:left w:val="single" w:color="auto" w:sz="4" w:space="0"/>
              <w:bottom w:val="single" w:color="auto" w:sz="4" w:space="0"/>
              <w:right w:val="single" w:color="auto" w:sz="4" w:space="0"/>
            </w:tcBorders>
            <w:noWrap w:val="0"/>
            <w:tcMar>
              <w:top w:w="0" w:type="dxa"/>
              <w:left w:w="105" w:type="dxa"/>
              <w:bottom w:w="0" w:type="dxa"/>
              <w:right w:w="105" w:type="dxa"/>
            </w:tcMar>
            <w:vAlign w:val="center"/>
          </w:tcPr>
          <w:p w14:paraId="61A1A8D2">
            <w:pPr>
              <w:pStyle w:val="73"/>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0.0</w:t>
            </w:r>
            <w:r>
              <w:rPr>
                <w:rFonts w:hint="eastAsia" w:ascii="仿宋_GB2312" w:hAnsi="仿宋_GB2312" w:eastAsia="仿宋_GB2312" w:cs="仿宋_GB2312"/>
                <w:color w:val="auto"/>
                <w:lang w:val="en-US" w:eastAsia="zh-CN"/>
              </w:rPr>
              <w:t>08</w:t>
            </w:r>
            <w:r>
              <w:rPr>
                <w:rFonts w:hint="eastAsia" w:ascii="仿宋_GB2312" w:hAnsi="仿宋_GB2312" w:eastAsia="仿宋_GB2312" w:cs="仿宋_GB2312"/>
                <w:color w:val="auto"/>
              </w:rPr>
              <w:t>k</w:t>
            </w:r>
            <w:r>
              <w:rPr>
                <w:rFonts w:hint="eastAsia" w:ascii="仿宋_GB2312" w:hAnsi="仿宋_GB2312" w:eastAsia="仿宋_GB2312" w:cs="仿宋_GB2312"/>
                <w:color w:val="auto"/>
                <w:lang w:eastAsia="zh-CN"/>
              </w:rPr>
              <w:t>m²</w:t>
            </w:r>
          </w:p>
        </w:tc>
      </w:tr>
    </w:tbl>
    <w:p w14:paraId="1AE9DB98">
      <w:pPr>
        <w:spacing w:line="360" w:lineRule="auto"/>
        <w:ind w:firstLine="480" w:firstLineChars="200"/>
        <w:rPr>
          <w:rFonts w:ascii="Times New Roman" w:hAnsi="Times New Roman" w:eastAsia="宋体" w:cs="Times New Roman"/>
          <w:color w:val="auto"/>
          <w:sz w:val="24"/>
          <w:szCs w:val="24"/>
          <w:highlight w:val="none"/>
        </w:rPr>
      </w:pPr>
    </w:p>
    <w:p w14:paraId="08A5386D">
      <w:pPr>
        <w:pStyle w:val="3"/>
        <w:spacing w:before="120" w:after="120"/>
        <w:rPr>
          <w:rFonts w:ascii="Times New Roman" w:hAnsi="Times New Roman" w:eastAsia="宋体" w:cs="Times New Roman"/>
          <w:color w:val="auto"/>
          <w:highlight w:val="none"/>
          <w:lang w:val="zh-CN"/>
        </w:rPr>
      </w:pPr>
      <w:bookmarkStart w:id="54" w:name="_Toc21458"/>
      <w:r>
        <w:rPr>
          <w:rFonts w:ascii="Times New Roman" w:hAnsi="Times New Roman" w:eastAsia="宋体" w:cs="Times New Roman"/>
          <w:color w:val="auto"/>
          <w:highlight w:val="none"/>
        </w:rPr>
        <w:t>三、</w:t>
      </w:r>
      <w:r>
        <w:rPr>
          <w:rFonts w:ascii="Times New Roman" w:hAnsi="Times New Roman" w:eastAsia="宋体" w:cs="Times New Roman"/>
          <w:color w:val="auto"/>
          <w:highlight w:val="none"/>
          <w:lang w:val="zh-CN"/>
        </w:rPr>
        <w:t>矿山开发利用方案概述</w:t>
      </w:r>
      <w:bookmarkEnd w:id="54"/>
    </w:p>
    <w:p w14:paraId="1313033D">
      <w:pPr>
        <w:spacing w:line="360" w:lineRule="auto"/>
        <w:ind w:firstLine="458"/>
        <w:rPr>
          <w:rFonts w:hint="eastAsia" w:ascii="宋体" w:hAnsi="宋体" w:eastAsia="宋体"/>
          <w:color w:val="auto"/>
          <w:spacing w:val="-11"/>
          <w:w w:val="105"/>
          <w:sz w:val="24"/>
          <w:szCs w:val="24"/>
          <w:highlight w:val="none"/>
        </w:rPr>
      </w:pPr>
      <w:r>
        <w:rPr>
          <w:rFonts w:hint="eastAsia" w:ascii="仿宋_GB2312" w:hAnsi="仿宋_GB2312" w:eastAsia="仿宋_GB2312" w:cs="仿宋_GB2312"/>
          <w:color w:val="auto"/>
          <w:sz w:val="28"/>
          <w:szCs w:val="28"/>
          <w:lang w:val="en-US" w:eastAsia="zh-CN"/>
        </w:rPr>
        <w:t>大英县蓬莱镇紫云村饰面用砂岩矿于2025年3月编制完成了《大英县蓬莱镇紫云村饰面用砂岩矿矿产资源开发利用方案》。</w:t>
      </w:r>
    </w:p>
    <w:p w14:paraId="5293B046">
      <w:pPr>
        <w:pStyle w:val="4"/>
        <w:numPr>
          <w:ilvl w:val="0"/>
          <w:numId w:val="0"/>
        </w:numPr>
        <w:ind w:leftChars="0"/>
        <w:rPr>
          <w:rFonts w:ascii="Times New Roman" w:hAnsi="Times New Roman" w:eastAsia="宋体" w:cs="Times New Roman"/>
          <w:color w:val="auto"/>
          <w:sz w:val="28"/>
          <w:szCs w:val="28"/>
          <w:highlight w:val="none"/>
        </w:rPr>
      </w:pPr>
      <w:bookmarkStart w:id="55" w:name="_Toc12112"/>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一</w:t>
      </w: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rPr>
        <w:t>矿床开采方式和开采顺序</w:t>
      </w:r>
      <w:bookmarkEnd w:id="55"/>
    </w:p>
    <w:p w14:paraId="4FE4B625">
      <w:pPr>
        <w:spacing w:line="360" w:lineRule="auto"/>
        <w:ind w:firstLine="586"/>
        <w:rPr>
          <w:rFonts w:ascii="Times New Roman" w:hAnsi="Times New Roman" w:eastAsia="宋体" w:cs="Times New Roman"/>
          <w:color w:val="auto"/>
          <w:sz w:val="24"/>
          <w:szCs w:val="24"/>
          <w:highlight w:val="none"/>
        </w:rPr>
      </w:pPr>
      <w:r>
        <w:rPr>
          <w:rFonts w:hint="eastAsia" w:ascii="仿宋_GB2312" w:hAnsi="仿宋_GB2312" w:eastAsia="仿宋_GB2312" w:cs="仿宋_GB2312"/>
          <w:color w:val="auto"/>
          <w:sz w:val="28"/>
          <w:szCs w:val="28"/>
          <w:lang w:val="en-US" w:eastAsia="zh-CN"/>
        </w:rPr>
        <w:t>根据《大英县蓬莱镇紫云村饰面用砂岩矿勘查报告》、《大英县蓬莱镇紫云村饰面用砂岩矿矿产资源开发利用方案》设计开采规模为1万立方米/年，设计服务年限为9.14年。</w:t>
      </w:r>
      <w:r>
        <w:rPr>
          <w:rFonts w:hint="eastAsia" w:ascii="宋体" w:hAnsi="宋体" w:eastAsia="宋体"/>
          <w:color w:val="auto"/>
          <w:spacing w:val="-11"/>
          <w:w w:val="105"/>
          <w:sz w:val="24"/>
          <w:szCs w:val="24"/>
          <w:highlight w:val="none"/>
        </w:rPr>
        <w:t>。</w:t>
      </w:r>
    </w:p>
    <w:p w14:paraId="5EB5CD73">
      <w:pPr>
        <w:pStyle w:val="4"/>
        <w:numPr>
          <w:ilvl w:val="0"/>
          <w:numId w:val="2"/>
        </w:numPr>
        <w:rPr>
          <w:rFonts w:ascii="Times New Roman" w:hAnsi="Times New Roman" w:eastAsia="宋体" w:cs="Times New Roman"/>
          <w:color w:val="auto"/>
          <w:sz w:val="28"/>
          <w:szCs w:val="28"/>
          <w:highlight w:val="none"/>
        </w:rPr>
      </w:pPr>
      <w:bookmarkStart w:id="56" w:name="_Toc17042"/>
      <w:r>
        <w:rPr>
          <w:rFonts w:hint="eastAsia" w:ascii="Times New Roman" w:hAnsi="Times New Roman" w:eastAsia="宋体" w:cs="Times New Roman"/>
          <w:color w:val="auto"/>
          <w:sz w:val="28"/>
          <w:szCs w:val="28"/>
          <w:highlight w:val="none"/>
        </w:rPr>
        <w:t>开采运输方案</w:t>
      </w:r>
      <w:bookmarkEnd w:id="56"/>
    </w:p>
    <w:p w14:paraId="0B77176E">
      <w:pPr>
        <w:adjustRightInd w:val="0"/>
        <w:snapToGrid w:val="0"/>
        <w:spacing w:line="360" w:lineRule="auto"/>
        <w:ind w:firstLine="56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本矿山为山坡露天矿，地形较缓；本次设计最高开采标高338.5m，最低开采标高310mm。</w:t>
      </w:r>
    </w:p>
    <w:p w14:paraId="535922A8">
      <w:pPr>
        <w:ind w:firstLine="48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矿石平均运输距离短，矿石无需二次破碎，不适合采用胶带机和铁路运输。设计采用公路开拓汽车运输方案。矿区内采出矿石通过汽车运至砖窑，运输距离约0.8km。</w:t>
      </w:r>
    </w:p>
    <w:p w14:paraId="5C5182A5">
      <w:pPr>
        <w:adjustRightInd w:val="0"/>
        <w:snapToGrid w:val="0"/>
        <w:spacing w:line="360" w:lineRule="auto"/>
        <w:ind w:firstLine="56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设计选用10t自卸汽车运输，车宽2.5m，运输道路采用矿山三级道路。</w:t>
      </w:r>
    </w:p>
    <w:p w14:paraId="29915DDC">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道路主要技术参数</w:t>
      </w:r>
    </w:p>
    <w:p w14:paraId="08B8A420">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道路设计等级：三级；</w:t>
      </w:r>
    </w:p>
    <w:p w14:paraId="3F6AAAF8">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设计</w:t>
      </w:r>
      <w:r>
        <w:rPr>
          <w:rFonts w:hint="eastAsia" w:ascii="仿宋_GB2312" w:hAnsi="仿宋_GB2312" w:eastAsia="仿宋_GB2312" w:cs="仿宋_GB2312"/>
          <w:color w:val="auto"/>
          <w:sz w:val="28"/>
          <w:szCs w:val="28"/>
          <w:lang w:val="en-US" w:eastAsia="zh-CN"/>
        </w:rPr>
        <w:t>车速</w:t>
      </w:r>
      <w:r>
        <w:rPr>
          <w:rFonts w:hint="eastAsia" w:ascii="仿宋_GB2312" w:hAnsi="仿宋_GB2312" w:eastAsia="仿宋_GB2312" w:cs="仿宋_GB2312"/>
          <w:color w:val="auto"/>
          <w:sz w:val="28"/>
          <w:szCs w:val="28"/>
        </w:rPr>
        <w:t>：20km/h</w:t>
      </w:r>
      <w:r>
        <w:rPr>
          <w:rFonts w:hint="eastAsia" w:ascii="仿宋_GB2312" w:hAnsi="仿宋_GB2312" w:eastAsia="仿宋_GB2312" w:cs="仿宋_GB2312"/>
          <w:color w:val="auto"/>
          <w:sz w:val="28"/>
          <w:szCs w:val="28"/>
          <w:lang w:eastAsia="zh-CN"/>
        </w:rPr>
        <w:t>；</w:t>
      </w:r>
    </w:p>
    <w:p w14:paraId="3CFFBF26">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路面宽度</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双车道</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m；</w:t>
      </w:r>
    </w:p>
    <w:p w14:paraId="1BF2D26C">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道路内沿最小转弯半径：15.00m；</w:t>
      </w:r>
    </w:p>
    <w:p w14:paraId="5C624B7C">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道路最大纵坡：9%；</w:t>
      </w:r>
    </w:p>
    <w:p w14:paraId="01FCD03F">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（2）道路做法</w:t>
      </w:r>
    </w:p>
    <w:p w14:paraId="4E38F8FC">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道路做法采用泥结石路面，路面厚度为25cm。</w:t>
      </w:r>
    </w:p>
    <w:p w14:paraId="27178E48">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（3）路面排水</w:t>
      </w:r>
    </w:p>
    <w:p w14:paraId="3DEB0E5D">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_GB2312" w:hAnsi="仿宋_GB2312" w:eastAsia="仿宋_GB2312" w:cs="仿宋_GB2312"/>
          <w:color w:val="auto"/>
          <w:sz w:val="28"/>
          <w:szCs w:val="28"/>
        </w:rPr>
        <w:t>道路横坡采用横向单坡，坡度1%，道路内侧设置道路边沟，边沟做法采用矩形边沟（0.40m×0.</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0m），沟底纵坡随道路纵坡。外侧设安全土堤。</w:t>
      </w:r>
    </w:p>
    <w:p w14:paraId="3DB40690">
      <w:pPr>
        <w:pStyle w:val="4"/>
        <w:numPr>
          <w:ilvl w:val="0"/>
          <w:numId w:val="2"/>
        </w:numPr>
        <w:rPr>
          <w:rFonts w:ascii="Times New Roman" w:hAnsi="Times New Roman" w:eastAsia="宋体" w:cs="Times New Roman"/>
          <w:color w:val="auto"/>
          <w:sz w:val="28"/>
          <w:szCs w:val="28"/>
          <w:highlight w:val="none"/>
        </w:rPr>
      </w:pPr>
      <w:bookmarkStart w:id="57" w:name="_Toc31368"/>
      <w:r>
        <w:rPr>
          <w:rFonts w:hint="eastAsia" w:ascii="Times New Roman" w:hAnsi="Times New Roman" w:eastAsia="宋体" w:cs="Times New Roman"/>
          <w:color w:val="auto"/>
          <w:sz w:val="28"/>
          <w:szCs w:val="28"/>
          <w:highlight w:val="none"/>
        </w:rPr>
        <w:t>采场边坡要素</w:t>
      </w:r>
      <w:bookmarkEnd w:id="57"/>
    </w:p>
    <w:p w14:paraId="234ECBCE">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根据矿山开采初步设计方案，矿山开采自上而下分台阶开采。</w:t>
      </w:r>
    </w:p>
    <w:p w14:paraId="597F8E8A">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最终边坡角：根据围岩的物理力学性质，同时参考类似矿山的岩体物理力学性质参数，采场最终边坡角为≤64°。</w:t>
      </w:r>
    </w:p>
    <w:p w14:paraId="21DFDCE6">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台阶高度：设计生产台阶高度为6m。终了境界2个台阶一并段，并段后台阶高度为12m。</w:t>
      </w:r>
    </w:p>
    <w:p w14:paraId="2E2C0AF1">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台阶坡面角：选取终了台阶坡面角为74°，生产台阶坡面角为60°。</w:t>
      </w:r>
    </w:p>
    <w:p w14:paraId="15E14756">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安全平台、清扫平台：安全平台宽5m。由于终了边坡仅有两个台阶，设计不设置清扫平台。</w:t>
      </w:r>
    </w:p>
    <w:p w14:paraId="594D56F9">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根据采区地形条件和矿体分布情况，矿山采用常规式露天开采方式，分台阶进行采剥。</w:t>
      </w:r>
    </w:p>
    <w:p w14:paraId="67B88B4A">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矿区开采矿体地形坡度平缓，挖掘机和汽车运输道路已到采场底部采矿运输平台，所以确定矿山采用灵活方便的汽车公路运输开拓方案。</w:t>
      </w:r>
    </w:p>
    <w:p w14:paraId="57302E23">
      <w:pPr>
        <w:ind w:firstLine="480"/>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矿山采用露天开采方式，汽车公路运输开拓方案，需开拓采场至制砖车间之间的运输道路。由于该矿场地势较缓，挖掘机及汽车可直接开到平台进行挖掘装车运输。开采过程中保证边坡角度，并将采矿工作面逐渐推至最终边坡为止。</w:t>
      </w:r>
    </w:p>
    <w:p w14:paraId="70C84A04">
      <w:pPr>
        <w:pStyle w:val="4"/>
        <w:ind w:firstLine="562"/>
        <w:rPr>
          <w:rFonts w:hint="eastAsia"/>
          <w:color w:val="auto"/>
        </w:rPr>
      </w:pPr>
      <w:bookmarkStart w:id="58" w:name="_Toc5284"/>
      <w:bookmarkStart w:id="59" w:name="_Toc1140"/>
      <w:r>
        <w:rPr>
          <w:rFonts w:hint="eastAsia"/>
          <w:color w:val="auto"/>
        </w:rPr>
        <w:t>（</w:t>
      </w:r>
      <w:r>
        <w:rPr>
          <w:rFonts w:hint="eastAsia"/>
          <w:color w:val="auto"/>
          <w:lang w:val="en-US" w:eastAsia="zh-CN"/>
        </w:rPr>
        <w:t>四</w:t>
      </w:r>
      <w:r>
        <w:rPr>
          <w:rFonts w:hint="eastAsia"/>
          <w:color w:val="auto"/>
        </w:rPr>
        <w:t>）排土场设计情况</w:t>
      </w:r>
      <w:bookmarkEnd w:id="58"/>
      <w:bookmarkEnd w:id="59"/>
    </w:p>
    <w:p w14:paraId="3B0F4097">
      <w:pPr>
        <w:ind w:firstLine="480"/>
        <w:rPr>
          <w:rFonts w:hint="eastAsia" w:ascii="仿宋_GB2312" w:hAnsi="仿宋_GB2312" w:eastAsia="仿宋_GB2312" w:cs="仿宋_GB2312"/>
          <w:color w:val="auto"/>
          <w:kern w:val="2"/>
          <w:sz w:val="28"/>
          <w:szCs w:val="28"/>
          <w:lang w:val="en-US" w:eastAsia="zh-CN" w:bidi="ar-SA"/>
        </w:rPr>
      </w:pPr>
      <w:r>
        <w:rPr>
          <w:rFonts w:hint="default" w:ascii="仿宋_GB2312" w:hAnsi="仿宋_GB2312" w:eastAsia="仿宋_GB2312" w:cs="仿宋_GB2312"/>
          <w:color w:val="auto"/>
          <w:kern w:val="2"/>
          <w:sz w:val="28"/>
          <w:szCs w:val="28"/>
          <w:lang w:val="en-US" w:eastAsia="zh-CN" w:bidi="ar-SA"/>
        </w:rPr>
        <w:t>本矿山矿石成分单一，不存在共生矿种</w:t>
      </w:r>
      <w:r>
        <w:rPr>
          <w:rFonts w:hint="eastAsia" w:ascii="仿宋_GB2312" w:hAnsi="仿宋_GB2312" w:eastAsia="仿宋_GB2312" w:cs="仿宋_GB2312"/>
          <w:color w:val="auto"/>
          <w:kern w:val="2"/>
          <w:sz w:val="28"/>
          <w:szCs w:val="28"/>
          <w:lang w:val="en-US" w:eastAsia="zh-CN" w:bidi="ar-SA"/>
        </w:rPr>
        <w:t>，</w:t>
      </w:r>
      <w:r>
        <w:rPr>
          <w:rFonts w:hint="default" w:ascii="仿宋_GB2312" w:hAnsi="仿宋_GB2312" w:eastAsia="仿宋_GB2312" w:cs="仿宋_GB2312"/>
          <w:color w:val="auto"/>
          <w:kern w:val="2"/>
          <w:sz w:val="28"/>
          <w:szCs w:val="28"/>
          <w:lang w:val="en-US" w:eastAsia="zh-CN" w:bidi="ar-SA"/>
        </w:rPr>
        <w:t>故本次设计不涉及共生矿种综合利用</w:t>
      </w:r>
      <w:r>
        <w:rPr>
          <w:rFonts w:hint="eastAsia" w:ascii="仿宋_GB2312" w:hAnsi="仿宋_GB2312" w:eastAsia="仿宋_GB2312" w:cs="仿宋_GB2312"/>
          <w:color w:val="auto"/>
          <w:kern w:val="2"/>
          <w:sz w:val="28"/>
          <w:szCs w:val="28"/>
          <w:lang w:val="en-US" w:eastAsia="zh-CN" w:bidi="ar-SA"/>
        </w:rPr>
        <w:t>。</w:t>
      </w:r>
      <w:r>
        <w:rPr>
          <w:rFonts w:hint="default" w:ascii="仿宋_GB2312" w:hAnsi="仿宋_GB2312" w:eastAsia="仿宋_GB2312" w:cs="仿宋_GB2312"/>
          <w:color w:val="auto"/>
          <w:kern w:val="2"/>
          <w:sz w:val="28"/>
          <w:szCs w:val="28"/>
          <w:lang w:val="en-US" w:eastAsia="zh-CN" w:bidi="ar-SA"/>
        </w:rPr>
        <w:t>第四系剥离表土全部用于土地复垦</w:t>
      </w:r>
      <w:r>
        <w:rPr>
          <w:rFonts w:hint="eastAsia" w:ascii="仿宋_GB2312" w:hAnsi="仿宋_GB2312" w:eastAsia="仿宋_GB2312" w:cs="仿宋_GB2312"/>
          <w:color w:val="auto"/>
          <w:kern w:val="2"/>
          <w:sz w:val="28"/>
          <w:szCs w:val="28"/>
          <w:lang w:val="en-US" w:eastAsia="zh-CN" w:bidi="ar-SA"/>
        </w:rPr>
        <w:t>。</w:t>
      </w:r>
    </w:p>
    <w:p w14:paraId="1794E231">
      <w:pPr>
        <w:pStyle w:val="4"/>
        <w:ind w:firstLine="562"/>
        <w:rPr>
          <w:color w:val="auto"/>
        </w:rPr>
      </w:pPr>
      <w:bookmarkStart w:id="60" w:name="_Toc11106"/>
      <w:bookmarkStart w:id="61" w:name="_Toc31436"/>
      <w:r>
        <w:rPr>
          <w:rFonts w:hint="eastAsia"/>
          <w:color w:val="auto"/>
        </w:rPr>
        <w:t>（</w:t>
      </w:r>
      <w:r>
        <w:rPr>
          <w:rFonts w:hint="eastAsia"/>
          <w:color w:val="auto"/>
          <w:lang w:val="en-US" w:eastAsia="zh-CN"/>
        </w:rPr>
        <w:t>五</w:t>
      </w:r>
      <w:r>
        <w:rPr>
          <w:rFonts w:hint="eastAsia"/>
          <w:color w:val="auto"/>
        </w:rPr>
        <w:t>）矿床开采</w:t>
      </w:r>
      <w:bookmarkEnd w:id="60"/>
      <w:bookmarkEnd w:id="61"/>
    </w:p>
    <w:p w14:paraId="5747FFD2">
      <w:pPr>
        <w:pStyle w:val="5"/>
        <w:ind w:firstLine="562"/>
        <w:rPr>
          <w:color w:val="auto"/>
          <w:sz w:val="28"/>
          <w:szCs w:val="28"/>
        </w:rPr>
      </w:pPr>
      <w:r>
        <w:rPr>
          <w:rFonts w:hint="eastAsia"/>
          <w:color w:val="auto"/>
          <w:sz w:val="28"/>
          <w:szCs w:val="28"/>
        </w:rPr>
        <w:t>1、开采方式及范围</w:t>
      </w:r>
    </w:p>
    <w:p w14:paraId="767AF7F2">
      <w:pPr>
        <w:ind w:firstLine="48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根据矿体赋存条件，</w:t>
      </w:r>
      <w:r>
        <w:rPr>
          <w:rFonts w:hint="eastAsia" w:ascii="仿宋_GB2312" w:hAnsi="仿宋_GB2312" w:eastAsia="仿宋_GB2312" w:cs="仿宋_GB2312"/>
          <w:color w:val="auto"/>
          <w:sz w:val="28"/>
          <w:szCs w:val="28"/>
        </w:rPr>
        <w:t>矿山采用自上而下水平分台阶开采法</w:t>
      </w:r>
      <w:r>
        <w:rPr>
          <w:rFonts w:hint="eastAsia" w:ascii="仿宋_GB2312" w:hAnsi="仿宋_GB2312" w:eastAsia="仿宋_GB2312" w:cs="仿宋_GB2312"/>
          <w:color w:val="auto"/>
          <w:sz w:val="28"/>
          <w:szCs w:val="28"/>
          <w:lang w:eastAsia="zh-CN"/>
        </w:rPr>
        <w:t>。</w:t>
      </w:r>
    </w:p>
    <w:p w14:paraId="2630F0FD">
      <w:pPr>
        <w:ind w:firstLine="480"/>
        <w:rPr>
          <w:rFonts w:hint="eastAsia" w:ascii="仿宋" w:hAnsi="仿宋" w:eastAsia="仿宋" w:cs="仿宋"/>
          <w:color w:val="auto"/>
          <w:sz w:val="28"/>
          <w:szCs w:val="28"/>
        </w:rPr>
      </w:pPr>
      <w:r>
        <w:rPr>
          <w:rFonts w:hint="eastAsia" w:ascii="仿宋_GB2312" w:hAnsi="仿宋_GB2312" w:eastAsia="仿宋_GB2312" w:cs="仿宋_GB2312"/>
          <w:color w:val="auto"/>
          <w:sz w:val="28"/>
          <w:szCs w:val="28"/>
        </w:rPr>
        <w:t>采矿总体顺序为自上而下按6m高一个台阶逐层开采</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开采工作线主要垂直矿体走</w:t>
      </w:r>
      <w:r>
        <w:rPr>
          <w:rFonts w:hint="eastAsia" w:ascii="仿宋_GB2312" w:hAnsi="仿宋_GB2312" w:eastAsia="仿宋_GB2312" w:cs="仿宋_GB2312"/>
          <w:color w:val="auto"/>
          <w:sz w:val="28"/>
          <w:szCs w:val="28"/>
          <w:lang w:val="en-US" w:eastAsia="zh-CN"/>
        </w:rPr>
        <w:t>向</w:t>
      </w:r>
      <w:r>
        <w:rPr>
          <w:rFonts w:hint="eastAsia" w:ascii="仿宋_GB2312" w:hAnsi="仿宋_GB2312" w:eastAsia="仿宋_GB2312" w:cs="仿宋_GB2312"/>
          <w:color w:val="auto"/>
          <w:sz w:val="28"/>
          <w:szCs w:val="28"/>
        </w:rPr>
        <w:t>布置，沿矿体走向推进</w:t>
      </w:r>
      <w:r>
        <w:rPr>
          <w:rFonts w:hint="eastAsia" w:ascii="仿宋" w:hAnsi="仿宋" w:eastAsia="仿宋" w:cs="仿宋"/>
          <w:color w:val="auto"/>
          <w:sz w:val="28"/>
          <w:szCs w:val="28"/>
        </w:rPr>
        <w:t>。矿区面积：0.</w:t>
      </w:r>
      <w:r>
        <w:rPr>
          <w:rFonts w:hint="eastAsia" w:ascii="仿宋" w:hAnsi="仿宋" w:eastAsia="仿宋" w:cs="仿宋"/>
          <w:color w:val="auto"/>
          <w:sz w:val="28"/>
          <w:szCs w:val="28"/>
          <w:lang w:val="en-US" w:eastAsia="zh-CN"/>
        </w:rPr>
        <w:t>008</w:t>
      </w:r>
      <w:r>
        <w:rPr>
          <w:rFonts w:hint="eastAsia" w:ascii="仿宋" w:hAnsi="仿宋" w:eastAsia="仿宋" w:cs="仿宋"/>
          <w:color w:val="auto"/>
          <w:sz w:val="28"/>
          <w:szCs w:val="28"/>
        </w:rPr>
        <w:t>km</w:t>
      </w:r>
      <w:r>
        <w:rPr>
          <w:rFonts w:hint="eastAsia" w:ascii="仿宋" w:hAnsi="仿宋" w:eastAsia="仿宋" w:cs="仿宋"/>
          <w:color w:val="auto"/>
          <w:sz w:val="28"/>
          <w:szCs w:val="28"/>
          <w:vertAlign w:val="superscript"/>
        </w:rPr>
        <w:t>2</w:t>
      </w:r>
      <w:r>
        <w:rPr>
          <w:rFonts w:hint="eastAsia" w:ascii="仿宋" w:hAnsi="仿宋" w:eastAsia="仿宋" w:cs="仿宋"/>
          <w:color w:val="auto"/>
          <w:sz w:val="28"/>
          <w:szCs w:val="28"/>
        </w:rPr>
        <w:t>，开采标高：+</w:t>
      </w:r>
      <w:r>
        <w:rPr>
          <w:rFonts w:hint="eastAsia" w:ascii="仿宋" w:hAnsi="仿宋" w:eastAsia="仿宋" w:cs="仿宋"/>
          <w:color w:val="auto"/>
          <w:sz w:val="28"/>
          <w:szCs w:val="28"/>
          <w:lang w:val="en-US" w:eastAsia="zh-CN"/>
        </w:rPr>
        <w:t>340</w:t>
      </w:r>
      <w:r>
        <w:rPr>
          <w:rFonts w:hint="eastAsia" w:ascii="仿宋" w:hAnsi="仿宋" w:eastAsia="仿宋" w:cs="仿宋"/>
          <w:color w:val="auto"/>
          <w:sz w:val="28"/>
          <w:szCs w:val="28"/>
        </w:rPr>
        <w:t>米至+</w:t>
      </w:r>
      <w:r>
        <w:rPr>
          <w:rFonts w:hint="eastAsia" w:ascii="仿宋" w:hAnsi="仿宋" w:eastAsia="仿宋" w:cs="仿宋"/>
          <w:color w:val="auto"/>
          <w:sz w:val="28"/>
          <w:szCs w:val="28"/>
          <w:lang w:val="en-US" w:eastAsia="zh-CN"/>
        </w:rPr>
        <w:t>310</w:t>
      </w:r>
      <w:r>
        <w:rPr>
          <w:rFonts w:hint="eastAsia" w:ascii="仿宋" w:hAnsi="仿宋" w:eastAsia="仿宋" w:cs="仿宋"/>
          <w:color w:val="auto"/>
          <w:sz w:val="28"/>
          <w:szCs w:val="28"/>
        </w:rPr>
        <w:t>米标高。</w:t>
      </w:r>
    </w:p>
    <w:p w14:paraId="7C80F57E">
      <w:pPr>
        <w:pStyle w:val="5"/>
        <w:numPr>
          <w:ilvl w:val="0"/>
          <w:numId w:val="3"/>
        </w:numPr>
        <w:ind w:firstLine="562"/>
        <w:rPr>
          <w:rFonts w:hint="eastAsia"/>
          <w:color w:val="auto"/>
          <w:sz w:val="28"/>
          <w:szCs w:val="28"/>
        </w:rPr>
      </w:pPr>
      <w:r>
        <w:rPr>
          <w:rFonts w:hint="eastAsia"/>
          <w:color w:val="auto"/>
          <w:sz w:val="28"/>
          <w:szCs w:val="28"/>
        </w:rPr>
        <w:t>露天开采境界圈定参数</w:t>
      </w:r>
    </w:p>
    <w:p w14:paraId="0BBC44C4">
      <w:pPr>
        <w:ind w:firstLine="480"/>
        <w:rPr>
          <w:rFonts w:hint="eastAsia" w:ascii="宋体" w:hAnsi="宋体"/>
          <w:b/>
          <w:color w:val="auto"/>
          <w:kern w:val="2"/>
          <w:sz w:val="21"/>
          <w:szCs w:val="21"/>
          <w:lang w:val="en-US" w:eastAsia="zh-CN"/>
        </w:rPr>
      </w:pPr>
      <w:r>
        <w:rPr>
          <w:rFonts w:hint="eastAsia" w:ascii="仿宋_GB2312" w:hAnsi="仿宋_GB2312" w:eastAsia="仿宋_GB2312" w:cs="仿宋_GB2312"/>
          <w:color w:val="auto"/>
          <w:sz w:val="28"/>
          <w:szCs w:val="28"/>
        </w:rPr>
        <w:t>结合</w:t>
      </w:r>
      <w:r>
        <w:rPr>
          <w:rFonts w:hint="eastAsia" w:ascii="仿宋_GB2312" w:hAnsi="仿宋_GB2312" w:eastAsia="仿宋_GB2312" w:cs="仿宋_GB2312"/>
          <w:color w:val="auto"/>
          <w:sz w:val="28"/>
          <w:szCs w:val="28"/>
          <w:lang w:val="en-US" w:eastAsia="zh-CN"/>
        </w:rPr>
        <w:t>地形地质图</w:t>
      </w:r>
      <w:r>
        <w:rPr>
          <w:rFonts w:hint="eastAsia" w:ascii="仿宋_GB2312" w:hAnsi="仿宋_GB2312" w:eastAsia="仿宋_GB2312" w:cs="仿宋_GB2312"/>
          <w:color w:val="auto"/>
          <w:sz w:val="28"/>
          <w:szCs w:val="28"/>
        </w:rPr>
        <w:t>、矿岩开拓运输系统圈定终了境界。露天开采终了境界圈定结果见表1-3-2，终了境界内分层矿岩量见表1-3-</w:t>
      </w:r>
      <w:r>
        <w:rPr>
          <w:rFonts w:hint="eastAsia" w:ascii="仿宋_GB2312" w:hAnsi="仿宋_GB2312" w:eastAsia="仿宋_GB2312" w:cs="仿宋_GB2312"/>
          <w:color w:val="auto"/>
          <w:sz w:val="28"/>
          <w:szCs w:val="28"/>
          <w:lang w:val="en-US" w:eastAsia="zh-CN"/>
        </w:rPr>
        <w:t>3</w:t>
      </w:r>
    </w:p>
    <w:p w14:paraId="698A9C3F">
      <w:pPr>
        <w:pStyle w:val="70"/>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表1-3-2  露天开采终了境界圈定结果</w:t>
      </w:r>
    </w:p>
    <w:tbl>
      <w:tblPr>
        <w:tblStyle w:val="23"/>
        <w:tblW w:w="50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0"/>
        <w:gridCol w:w="3530"/>
        <w:gridCol w:w="938"/>
        <w:gridCol w:w="1271"/>
        <w:gridCol w:w="1967"/>
      </w:tblGrid>
      <w:tr w14:paraId="6BA4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6" w:type="pct"/>
            <w:vAlign w:val="center"/>
          </w:tcPr>
          <w:p w14:paraId="1E3B9E03">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序号</w:t>
            </w:r>
          </w:p>
        </w:tc>
        <w:tc>
          <w:tcPr>
            <w:tcW w:w="2099" w:type="pct"/>
            <w:vAlign w:val="center"/>
          </w:tcPr>
          <w:p w14:paraId="07AA4A22">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项目</w:t>
            </w:r>
          </w:p>
        </w:tc>
        <w:tc>
          <w:tcPr>
            <w:tcW w:w="558" w:type="pct"/>
            <w:vAlign w:val="center"/>
          </w:tcPr>
          <w:p w14:paraId="1C903C96">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单位</w:t>
            </w:r>
          </w:p>
        </w:tc>
        <w:tc>
          <w:tcPr>
            <w:tcW w:w="756" w:type="pct"/>
            <w:vAlign w:val="center"/>
          </w:tcPr>
          <w:p w14:paraId="0DD0B773">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指标</w:t>
            </w:r>
          </w:p>
        </w:tc>
        <w:tc>
          <w:tcPr>
            <w:tcW w:w="1169" w:type="pct"/>
            <w:vAlign w:val="center"/>
          </w:tcPr>
          <w:p w14:paraId="07860505">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备注</w:t>
            </w:r>
          </w:p>
        </w:tc>
      </w:tr>
      <w:tr w14:paraId="52D4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6" w:type="pct"/>
            <w:vMerge w:val="restart"/>
            <w:vAlign w:val="center"/>
          </w:tcPr>
          <w:p w14:paraId="57DAB797">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1</w:t>
            </w:r>
          </w:p>
        </w:tc>
        <w:tc>
          <w:tcPr>
            <w:tcW w:w="2099" w:type="pct"/>
            <w:vMerge w:val="restart"/>
            <w:vAlign w:val="center"/>
          </w:tcPr>
          <w:p w14:paraId="34EB2544">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露天采场尺寸</w:t>
            </w:r>
          </w:p>
        </w:tc>
        <w:tc>
          <w:tcPr>
            <w:tcW w:w="558" w:type="pct"/>
            <w:vAlign w:val="center"/>
          </w:tcPr>
          <w:p w14:paraId="28E69C92">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m</w:t>
            </w:r>
          </w:p>
        </w:tc>
        <w:tc>
          <w:tcPr>
            <w:tcW w:w="756" w:type="pct"/>
            <w:vAlign w:val="center"/>
          </w:tcPr>
          <w:p w14:paraId="6ADC5C6D">
            <w:pPr>
              <w:pStyle w:val="78"/>
              <w:jc w:val="center"/>
              <w:rPr>
                <w:rFonts w:hint="default" w:ascii="宋体" w:hAnsi="宋体" w:eastAsia="宋体" w:cs="宋体"/>
                <w:color w:val="auto"/>
                <w:kern w:val="0"/>
                <w:sz w:val="21"/>
                <w:szCs w:val="20"/>
                <w:lang w:val="en-US" w:eastAsia="zh-CN" w:bidi="ar-SA"/>
              </w:rPr>
            </w:pPr>
            <w:r>
              <w:rPr>
                <w:rFonts w:hint="eastAsia" w:ascii="宋体" w:hAnsi="宋体" w:eastAsia="宋体" w:cs="宋体"/>
                <w:color w:val="auto"/>
                <w:kern w:val="0"/>
                <w:sz w:val="21"/>
                <w:szCs w:val="20"/>
                <w:lang w:val="en-US" w:eastAsia="zh-CN" w:bidi="ar-SA"/>
              </w:rPr>
              <w:t>102</w:t>
            </w:r>
            <w:r>
              <w:rPr>
                <w:rFonts w:hint="default" w:ascii="宋体" w:hAnsi="宋体" w:eastAsia="宋体" w:cs="宋体"/>
                <w:color w:val="auto"/>
                <w:kern w:val="0"/>
                <w:sz w:val="21"/>
                <w:szCs w:val="20"/>
                <w:lang w:val="en-US" w:eastAsia="zh-CN" w:bidi="ar-SA"/>
              </w:rPr>
              <w:t>×</w:t>
            </w:r>
            <w:r>
              <w:rPr>
                <w:rFonts w:hint="eastAsia" w:ascii="宋体" w:hAnsi="宋体" w:eastAsia="宋体" w:cs="宋体"/>
                <w:color w:val="auto"/>
                <w:kern w:val="0"/>
                <w:sz w:val="21"/>
                <w:szCs w:val="20"/>
                <w:lang w:val="en-US" w:eastAsia="zh-CN" w:bidi="ar-SA"/>
              </w:rPr>
              <w:t>95</w:t>
            </w:r>
          </w:p>
        </w:tc>
        <w:tc>
          <w:tcPr>
            <w:tcW w:w="1169" w:type="pct"/>
            <w:vAlign w:val="center"/>
          </w:tcPr>
          <w:p w14:paraId="08FA5D08">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上口</w:t>
            </w:r>
          </w:p>
        </w:tc>
      </w:tr>
      <w:tr w14:paraId="3882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6" w:type="pct"/>
            <w:vMerge w:val="continue"/>
            <w:vAlign w:val="center"/>
          </w:tcPr>
          <w:p w14:paraId="5F414DD6">
            <w:pPr>
              <w:pStyle w:val="78"/>
              <w:jc w:val="center"/>
              <w:rPr>
                <w:rFonts w:hint="default" w:ascii="宋体" w:hAnsi="宋体" w:eastAsia="宋体" w:cs="宋体"/>
                <w:color w:val="auto"/>
                <w:kern w:val="0"/>
                <w:sz w:val="21"/>
                <w:szCs w:val="20"/>
                <w:lang w:val="en-US" w:eastAsia="zh-CN" w:bidi="ar-SA"/>
              </w:rPr>
            </w:pPr>
          </w:p>
        </w:tc>
        <w:tc>
          <w:tcPr>
            <w:tcW w:w="2099" w:type="pct"/>
            <w:vMerge w:val="continue"/>
            <w:vAlign w:val="center"/>
          </w:tcPr>
          <w:p w14:paraId="6DE3BE3C">
            <w:pPr>
              <w:pStyle w:val="78"/>
              <w:jc w:val="center"/>
              <w:rPr>
                <w:rFonts w:hint="default" w:ascii="宋体" w:hAnsi="宋体" w:eastAsia="宋体" w:cs="宋体"/>
                <w:color w:val="auto"/>
                <w:kern w:val="0"/>
                <w:sz w:val="21"/>
                <w:szCs w:val="20"/>
                <w:lang w:val="en-US" w:eastAsia="zh-CN" w:bidi="ar-SA"/>
              </w:rPr>
            </w:pPr>
          </w:p>
        </w:tc>
        <w:tc>
          <w:tcPr>
            <w:tcW w:w="558" w:type="pct"/>
            <w:vAlign w:val="center"/>
          </w:tcPr>
          <w:p w14:paraId="5443D19A">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m</w:t>
            </w:r>
          </w:p>
        </w:tc>
        <w:tc>
          <w:tcPr>
            <w:tcW w:w="756" w:type="pct"/>
            <w:vAlign w:val="center"/>
          </w:tcPr>
          <w:p w14:paraId="73C096BB">
            <w:pPr>
              <w:pStyle w:val="78"/>
              <w:jc w:val="center"/>
              <w:rPr>
                <w:rFonts w:hint="default" w:ascii="宋体" w:hAnsi="宋体" w:eastAsia="宋体" w:cs="宋体"/>
                <w:color w:val="auto"/>
                <w:kern w:val="0"/>
                <w:sz w:val="21"/>
                <w:szCs w:val="20"/>
                <w:lang w:val="en-US" w:eastAsia="zh-CN" w:bidi="ar-SA"/>
              </w:rPr>
            </w:pPr>
            <w:r>
              <w:rPr>
                <w:rFonts w:hint="eastAsia" w:ascii="宋体" w:hAnsi="宋体" w:eastAsia="宋体" w:cs="宋体"/>
                <w:color w:val="auto"/>
                <w:kern w:val="0"/>
                <w:sz w:val="21"/>
                <w:szCs w:val="20"/>
                <w:lang w:val="en-US" w:eastAsia="zh-CN" w:bidi="ar-SA"/>
              </w:rPr>
              <w:t>79</w:t>
            </w:r>
            <w:r>
              <w:rPr>
                <w:rFonts w:hint="default" w:ascii="宋体" w:hAnsi="宋体" w:eastAsia="宋体" w:cs="宋体"/>
                <w:color w:val="auto"/>
                <w:kern w:val="0"/>
                <w:sz w:val="21"/>
                <w:szCs w:val="20"/>
                <w:lang w:val="en-US" w:eastAsia="zh-CN" w:bidi="ar-SA"/>
              </w:rPr>
              <w:t>×</w:t>
            </w:r>
            <w:r>
              <w:rPr>
                <w:rFonts w:hint="eastAsia" w:ascii="宋体" w:hAnsi="宋体" w:eastAsia="宋体" w:cs="宋体"/>
                <w:color w:val="auto"/>
                <w:kern w:val="0"/>
                <w:sz w:val="21"/>
                <w:szCs w:val="20"/>
                <w:lang w:val="en-US" w:eastAsia="zh-CN" w:bidi="ar-SA"/>
              </w:rPr>
              <w:t>68</w:t>
            </w:r>
          </w:p>
        </w:tc>
        <w:tc>
          <w:tcPr>
            <w:tcW w:w="1169" w:type="pct"/>
            <w:vAlign w:val="center"/>
          </w:tcPr>
          <w:p w14:paraId="6ECC2126">
            <w:pPr>
              <w:pStyle w:val="78"/>
              <w:jc w:val="center"/>
              <w:rPr>
                <w:rFonts w:hint="eastAsia" w:ascii="宋体" w:hAnsi="宋体" w:eastAsia="宋体" w:cs="宋体"/>
                <w:color w:val="auto"/>
                <w:kern w:val="0"/>
                <w:sz w:val="21"/>
                <w:szCs w:val="20"/>
                <w:lang w:val="en-US" w:eastAsia="zh-CN" w:bidi="ar-SA"/>
              </w:rPr>
            </w:pPr>
            <w:r>
              <w:rPr>
                <w:rFonts w:hint="eastAsia" w:ascii="宋体" w:hAnsi="宋体" w:eastAsia="宋体" w:cs="宋体"/>
                <w:color w:val="auto"/>
                <w:kern w:val="0"/>
                <w:sz w:val="21"/>
                <w:szCs w:val="20"/>
                <w:lang w:val="en-US" w:eastAsia="zh-CN" w:bidi="ar-SA"/>
              </w:rPr>
              <w:t>底部</w:t>
            </w:r>
          </w:p>
        </w:tc>
      </w:tr>
      <w:tr w14:paraId="50847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6" w:type="pct"/>
            <w:vAlign w:val="center"/>
          </w:tcPr>
          <w:p w14:paraId="2C002377">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2</w:t>
            </w:r>
          </w:p>
        </w:tc>
        <w:tc>
          <w:tcPr>
            <w:tcW w:w="2099" w:type="pct"/>
            <w:vAlign w:val="center"/>
          </w:tcPr>
          <w:p w14:paraId="5B6533BD">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露天采场最高</w:t>
            </w:r>
            <w:r>
              <w:rPr>
                <w:rFonts w:hint="eastAsia" w:ascii="宋体" w:hAnsi="宋体" w:eastAsia="宋体" w:cs="宋体"/>
                <w:color w:val="auto"/>
                <w:kern w:val="0"/>
                <w:sz w:val="21"/>
                <w:szCs w:val="20"/>
                <w:lang w:val="en-US" w:eastAsia="zh-CN" w:bidi="ar-SA"/>
              </w:rPr>
              <w:t>开采标高</w:t>
            </w:r>
          </w:p>
        </w:tc>
        <w:tc>
          <w:tcPr>
            <w:tcW w:w="558" w:type="pct"/>
            <w:vAlign w:val="center"/>
          </w:tcPr>
          <w:p w14:paraId="651B4163">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m</w:t>
            </w:r>
          </w:p>
        </w:tc>
        <w:tc>
          <w:tcPr>
            <w:tcW w:w="756" w:type="pct"/>
            <w:vAlign w:val="center"/>
          </w:tcPr>
          <w:p w14:paraId="5FD61D1B">
            <w:pPr>
              <w:pStyle w:val="78"/>
              <w:jc w:val="center"/>
              <w:rPr>
                <w:rFonts w:hint="default" w:ascii="宋体" w:hAnsi="宋体" w:eastAsia="宋体" w:cs="宋体"/>
                <w:color w:val="auto"/>
                <w:kern w:val="0"/>
                <w:sz w:val="21"/>
                <w:szCs w:val="20"/>
                <w:lang w:val="en-US" w:eastAsia="zh-CN" w:bidi="ar-SA"/>
              </w:rPr>
            </w:pPr>
            <w:r>
              <w:rPr>
                <w:rFonts w:hint="eastAsia" w:ascii="宋体" w:hAnsi="宋体" w:eastAsia="宋体" w:cs="宋体"/>
                <w:color w:val="auto"/>
                <w:kern w:val="0"/>
                <w:sz w:val="21"/>
                <w:szCs w:val="20"/>
                <w:lang w:val="en-US" w:eastAsia="zh-CN" w:bidi="ar-SA"/>
              </w:rPr>
              <w:t>338.5</w:t>
            </w:r>
          </w:p>
        </w:tc>
        <w:tc>
          <w:tcPr>
            <w:tcW w:w="1169" w:type="pct"/>
            <w:vAlign w:val="center"/>
          </w:tcPr>
          <w:p w14:paraId="2174E504">
            <w:pPr>
              <w:pStyle w:val="78"/>
              <w:jc w:val="center"/>
              <w:rPr>
                <w:rFonts w:hint="default" w:ascii="宋体" w:hAnsi="宋体" w:eastAsia="宋体" w:cs="宋体"/>
                <w:color w:val="auto"/>
                <w:kern w:val="0"/>
                <w:sz w:val="21"/>
                <w:szCs w:val="20"/>
                <w:lang w:val="en-US" w:eastAsia="zh-CN" w:bidi="ar-SA"/>
              </w:rPr>
            </w:pPr>
          </w:p>
        </w:tc>
      </w:tr>
      <w:tr w14:paraId="29CE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6" w:type="pct"/>
            <w:vAlign w:val="center"/>
          </w:tcPr>
          <w:p w14:paraId="69F7F017">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3</w:t>
            </w:r>
          </w:p>
        </w:tc>
        <w:tc>
          <w:tcPr>
            <w:tcW w:w="2099" w:type="pct"/>
            <w:vAlign w:val="center"/>
          </w:tcPr>
          <w:p w14:paraId="6D595AA5">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露天采场最低台阶标高</w:t>
            </w:r>
          </w:p>
        </w:tc>
        <w:tc>
          <w:tcPr>
            <w:tcW w:w="558" w:type="pct"/>
            <w:vAlign w:val="center"/>
          </w:tcPr>
          <w:p w14:paraId="5CA33569">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m</w:t>
            </w:r>
          </w:p>
        </w:tc>
        <w:tc>
          <w:tcPr>
            <w:tcW w:w="756" w:type="pct"/>
            <w:vAlign w:val="center"/>
          </w:tcPr>
          <w:p w14:paraId="0ADA5CF9">
            <w:pPr>
              <w:pStyle w:val="78"/>
              <w:jc w:val="center"/>
              <w:rPr>
                <w:rFonts w:hint="default" w:ascii="宋体" w:hAnsi="宋体" w:eastAsia="宋体" w:cs="宋体"/>
                <w:color w:val="auto"/>
                <w:kern w:val="0"/>
                <w:sz w:val="21"/>
                <w:szCs w:val="20"/>
                <w:lang w:val="en-US" w:eastAsia="zh-CN" w:bidi="ar-SA"/>
              </w:rPr>
            </w:pPr>
            <w:r>
              <w:rPr>
                <w:rFonts w:hint="eastAsia" w:ascii="宋体" w:hAnsi="宋体" w:eastAsia="宋体" w:cs="宋体"/>
                <w:color w:val="auto"/>
                <w:kern w:val="0"/>
                <w:sz w:val="21"/>
                <w:szCs w:val="20"/>
                <w:lang w:val="en-US" w:eastAsia="zh-CN" w:bidi="ar-SA"/>
              </w:rPr>
              <w:t>310</w:t>
            </w:r>
          </w:p>
        </w:tc>
        <w:tc>
          <w:tcPr>
            <w:tcW w:w="1169" w:type="pct"/>
            <w:vAlign w:val="center"/>
          </w:tcPr>
          <w:p w14:paraId="19E11386">
            <w:pPr>
              <w:pStyle w:val="78"/>
              <w:jc w:val="center"/>
              <w:rPr>
                <w:rFonts w:hint="default" w:ascii="宋体" w:hAnsi="宋体" w:eastAsia="宋体" w:cs="宋体"/>
                <w:color w:val="auto"/>
                <w:kern w:val="0"/>
                <w:sz w:val="21"/>
                <w:szCs w:val="20"/>
                <w:lang w:val="en-US" w:eastAsia="zh-CN" w:bidi="ar-SA"/>
              </w:rPr>
            </w:pPr>
          </w:p>
        </w:tc>
      </w:tr>
      <w:tr w14:paraId="4D10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6" w:type="pct"/>
            <w:vAlign w:val="center"/>
          </w:tcPr>
          <w:p w14:paraId="789066E1">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4</w:t>
            </w:r>
          </w:p>
        </w:tc>
        <w:tc>
          <w:tcPr>
            <w:tcW w:w="2099" w:type="pct"/>
            <w:vAlign w:val="center"/>
          </w:tcPr>
          <w:p w14:paraId="19003F96">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露天采场最大采深</w:t>
            </w:r>
          </w:p>
        </w:tc>
        <w:tc>
          <w:tcPr>
            <w:tcW w:w="558" w:type="pct"/>
            <w:vAlign w:val="center"/>
          </w:tcPr>
          <w:p w14:paraId="1D7DFF1D">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m</w:t>
            </w:r>
          </w:p>
        </w:tc>
        <w:tc>
          <w:tcPr>
            <w:tcW w:w="756" w:type="pct"/>
            <w:vAlign w:val="center"/>
          </w:tcPr>
          <w:p w14:paraId="6C27B95C">
            <w:pPr>
              <w:pStyle w:val="78"/>
              <w:jc w:val="center"/>
              <w:rPr>
                <w:rFonts w:hint="default" w:ascii="宋体" w:hAnsi="宋体" w:eastAsia="宋体" w:cs="宋体"/>
                <w:color w:val="auto"/>
                <w:kern w:val="0"/>
                <w:sz w:val="21"/>
                <w:szCs w:val="20"/>
                <w:lang w:val="en-US" w:eastAsia="zh-CN" w:bidi="ar-SA"/>
              </w:rPr>
            </w:pPr>
            <w:r>
              <w:rPr>
                <w:rFonts w:hint="eastAsia" w:ascii="宋体" w:hAnsi="宋体" w:eastAsia="宋体" w:cs="宋体"/>
                <w:color w:val="auto"/>
                <w:kern w:val="0"/>
                <w:sz w:val="21"/>
                <w:szCs w:val="20"/>
                <w:lang w:val="en-US" w:eastAsia="zh-CN" w:bidi="ar-SA"/>
              </w:rPr>
              <w:t>28.5</w:t>
            </w:r>
          </w:p>
        </w:tc>
        <w:tc>
          <w:tcPr>
            <w:tcW w:w="1169" w:type="pct"/>
            <w:vAlign w:val="center"/>
          </w:tcPr>
          <w:p w14:paraId="17585948">
            <w:pPr>
              <w:pStyle w:val="78"/>
              <w:jc w:val="center"/>
              <w:rPr>
                <w:rFonts w:hint="default" w:ascii="宋体" w:hAnsi="宋体" w:eastAsia="宋体" w:cs="宋体"/>
                <w:color w:val="auto"/>
                <w:kern w:val="0"/>
                <w:sz w:val="21"/>
                <w:szCs w:val="20"/>
                <w:lang w:val="en-US" w:eastAsia="zh-CN" w:bidi="ar-SA"/>
              </w:rPr>
            </w:pPr>
          </w:p>
        </w:tc>
      </w:tr>
      <w:tr w14:paraId="4ABD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6" w:type="pct"/>
            <w:vMerge w:val="restart"/>
            <w:vAlign w:val="center"/>
          </w:tcPr>
          <w:p w14:paraId="20C4AB18">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5</w:t>
            </w:r>
          </w:p>
        </w:tc>
        <w:tc>
          <w:tcPr>
            <w:tcW w:w="2099" w:type="pct"/>
            <w:vAlign w:val="center"/>
          </w:tcPr>
          <w:p w14:paraId="13142D96">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露天境界内资源量</w:t>
            </w:r>
          </w:p>
        </w:tc>
        <w:tc>
          <w:tcPr>
            <w:tcW w:w="558" w:type="pct"/>
            <w:vAlign w:val="center"/>
          </w:tcPr>
          <w:p w14:paraId="0A58CC0A">
            <w:pPr>
              <w:pStyle w:val="78"/>
              <w:jc w:val="center"/>
              <w:rPr>
                <w:rFonts w:hint="default" w:ascii="宋体" w:hAnsi="宋体" w:eastAsia="宋体" w:cs="宋体"/>
                <w:color w:val="auto"/>
                <w:kern w:val="0"/>
                <w:sz w:val="21"/>
                <w:szCs w:val="20"/>
                <w:lang w:val="en-US" w:eastAsia="zh-CN" w:bidi="ar-SA"/>
              </w:rPr>
            </w:pPr>
            <w:r>
              <w:rPr>
                <w:rFonts w:hint="eastAsia" w:hAnsi="宋体" w:eastAsia="宋体" w:cs="宋体"/>
                <w:color w:val="auto"/>
                <w:kern w:val="0"/>
                <w:sz w:val="21"/>
                <w:szCs w:val="20"/>
                <w:lang w:val="en-US" w:eastAsia="zh-CN" w:bidi="ar-SA"/>
              </w:rPr>
              <w:t>万立方米</w:t>
            </w:r>
          </w:p>
        </w:tc>
        <w:tc>
          <w:tcPr>
            <w:tcW w:w="756" w:type="pct"/>
            <w:vAlign w:val="center"/>
          </w:tcPr>
          <w:p w14:paraId="32442BE7">
            <w:pPr>
              <w:pStyle w:val="78"/>
              <w:jc w:val="center"/>
              <w:rPr>
                <w:rFonts w:hint="default" w:ascii="宋体" w:hAnsi="宋体" w:eastAsia="宋体" w:cs="宋体"/>
                <w:color w:val="auto"/>
                <w:kern w:val="0"/>
                <w:sz w:val="21"/>
                <w:szCs w:val="20"/>
                <w:lang w:val="en-US" w:eastAsia="zh-CN" w:bidi="ar-SA"/>
              </w:rPr>
            </w:pPr>
            <w:r>
              <w:rPr>
                <w:rFonts w:hint="eastAsia" w:ascii="宋体" w:hAnsi="宋体" w:eastAsia="宋体" w:cs="宋体"/>
                <w:color w:val="auto"/>
                <w:kern w:val="0"/>
                <w:sz w:val="21"/>
                <w:szCs w:val="20"/>
                <w:lang w:val="en-US" w:eastAsia="zh-CN" w:bidi="ar-SA"/>
              </w:rPr>
              <w:t>9.62</w:t>
            </w:r>
          </w:p>
        </w:tc>
        <w:tc>
          <w:tcPr>
            <w:tcW w:w="1169" w:type="pct"/>
            <w:vAlign w:val="center"/>
          </w:tcPr>
          <w:p w14:paraId="58E529DA">
            <w:pPr>
              <w:pStyle w:val="78"/>
              <w:jc w:val="center"/>
              <w:rPr>
                <w:rFonts w:hint="default" w:ascii="宋体" w:hAnsi="宋体" w:eastAsia="宋体" w:cs="宋体"/>
                <w:color w:val="auto"/>
                <w:kern w:val="0"/>
                <w:sz w:val="21"/>
                <w:szCs w:val="20"/>
                <w:lang w:val="en-US" w:eastAsia="zh-CN" w:bidi="ar-SA"/>
              </w:rPr>
            </w:pPr>
          </w:p>
        </w:tc>
      </w:tr>
      <w:tr w14:paraId="067C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16" w:type="pct"/>
            <w:vMerge w:val="continue"/>
            <w:vAlign w:val="center"/>
          </w:tcPr>
          <w:p w14:paraId="766286DA">
            <w:pPr>
              <w:pStyle w:val="78"/>
              <w:jc w:val="center"/>
              <w:rPr>
                <w:rFonts w:hint="default" w:ascii="宋体" w:hAnsi="宋体" w:eastAsia="宋体" w:cs="宋体"/>
                <w:color w:val="auto"/>
                <w:kern w:val="0"/>
                <w:sz w:val="21"/>
                <w:szCs w:val="20"/>
                <w:lang w:val="en-US" w:eastAsia="zh-CN" w:bidi="ar-SA"/>
              </w:rPr>
            </w:pPr>
          </w:p>
        </w:tc>
        <w:tc>
          <w:tcPr>
            <w:tcW w:w="2099" w:type="pct"/>
            <w:vAlign w:val="center"/>
          </w:tcPr>
          <w:p w14:paraId="4900A869">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露天采场境界内剥离岩石量</w:t>
            </w:r>
          </w:p>
        </w:tc>
        <w:tc>
          <w:tcPr>
            <w:tcW w:w="558" w:type="pct"/>
            <w:vAlign w:val="center"/>
          </w:tcPr>
          <w:p w14:paraId="3D248DE9">
            <w:pPr>
              <w:pStyle w:val="78"/>
              <w:jc w:val="center"/>
              <w:rPr>
                <w:rFonts w:hint="default" w:ascii="宋体" w:hAnsi="宋体" w:eastAsia="宋体" w:cs="宋体"/>
                <w:color w:val="auto"/>
                <w:kern w:val="0"/>
                <w:sz w:val="21"/>
                <w:szCs w:val="20"/>
                <w:lang w:val="en-US" w:eastAsia="zh-CN" w:bidi="ar-SA"/>
              </w:rPr>
            </w:pPr>
            <w:r>
              <w:rPr>
                <w:rFonts w:hint="eastAsia" w:hAnsi="宋体" w:eastAsia="宋体" w:cs="宋体"/>
                <w:color w:val="auto"/>
                <w:kern w:val="0"/>
                <w:sz w:val="21"/>
                <w:szCs w:val="20"/>
                <w:lang w:val="en-US" w:eastAsia="zh-CN" w:bidi="ar-SA"/>
              </w:rPr>
              <w:t>万立方米</w:t>
            </w:r>
          </w:p>
        </w:tc>
        <w:tc>
          <w:tcPr>
            <w:tcW w:w="756" w:type="pct"/>
            <w:vAlign w:val="center"/>
          </w:tcPr>
          <w:p w14:paraId="6F43B0BB">
            <w:pPr>
              <w:pStyle w:val="78"/>
              <w:jc w:val="center"/>
              <w:rPr>
                <w:rFonts w:hint="default" w:ascii="宋体" w:hAnsi="宋体" w:eastAsia="宋体" w:cs="宋体"/>
                <w:color w:val="auto"/>
                <w:kern w:val="0"/>
                <w:sz w:val="21"/>
                <w:szCs w:val="20"/>
                <w:lang w:val="en-US" w:eastAsia="zh-CN" w:bidi="ar-SA"/>
              </w:rPr>
            </w:pPr>
            <w:r>
              <w:rPr>
                <w:rFonts w:hint="eastAsia" w:ascii="宋体" w:hAnsi="宋体" w:eastAsia="宋体" w:cs="宋体"/>
                <w:color w:val="auto"/>
                <w:kern w:val="0"/>
                <w:sz w:val="21"/>
                <w:szCs w:val="20"/>
                <w:lang w:val="en-US" w:eastAsia="zh-CN" w:bidi="ar-SA"/>
              </w:rPr>
              <w:t>2.28</w:t>
            </w:r>
          </w:p>
        </w:tc>
        <w:tc>
          <w:tcPr>
            <w:tcW w:w="1169" w:type="pct"/>
            <w:vAlign w:val="center"/>
          </w:tcPr>
          <w:p w14:paraId="11EC6FDC">
            <w:pPr>
              <w:pStyle w:val="78"/>
              <w:jc w:val="center"/>
              <w:rPr>
                <w:rFonts w:hint="default" w:ascii="宋体" w:hAnsi="宋体" w:eastAsia="宋体" w:cs="宋体"/>
                <w:color w:val="auto"/>
                <w:kern w:val="0"/>
                <w:sz w:val="21"/>
                <w:szCs w:val="20"/>
                <w:lang w:val="en-US" w:eastAsia="zh-CN" w:bidi="ar-SA"/>
              </w:rPr>
            </w:pPr>
          </w:p>
        </w:tc>
      </w:tr>
      <w:tr w14:paraId="0DA9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6" w:type="pct"/>
            <w:vAlign w:val="center"/>
          </w:tcPr>
          <w:p w14:paraId="13525491">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8</w:t>
            </w:r>
          </w:p>
        </w:tc>
        <w:tc>
          <w:tcPr>
            <w:tcW w:w="2099" w:type="pct"/>
            <w:vAlign w:val="center"/>
          </w:tcPr>
          <w:p w14:paraId="314F6000">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平均剥采比</w:t>
            </w:r>
          </w:p>
        </w:tc>
        <w:tc>
          <w:tcPr>
            <w:tcW w:w="558" w:type="pct"/>
            <w:vAlign w:val="center"/>
          </w:tcPr>
          <w:p w14:paraId="3E94A66E">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m³/m³</w:t>
            </w:r>
          </w:p>
        </w:tc>
        <w:tc>
          <w:tcPr>
            <w:tcW w:w="756" w:type="pct"/>
            <w:vAlign w:val="center"/>
          </w:tcPr>
          <w:p w14:paraId="4238958A">
            <w:pPr>
              <w:pStyle w:val="78"/>
              <w:jc w:val="center"/>
              <w:rPr>
                <w:rFonts w:hint="default" w:ascii="宋体" w:hAnsi="宋体" w:eastAsia="宋体" w:cs="宋体"/>
                <w:color w:val="auto"/>
                <w:kern w:val="0"/>
                <w:sz w:val="21"/>
                <w:szCs w:val="20"/>
                <w:lang w:val="en-US" w:eastAsia="zh-CN" w:bidi="ar-SA"/>
              </w:rPr>
            </w:pPr>
            <w:r>
              <w:rPr>
                <w:rFonts w:hint="eastAsia" w:ascii="宋体" w:hAnsi="宋体" w:eastAsia="宋体" w:cs="宋体"/>
                <w:color w:val="auto"/>
                <w:kern w:val="0"/>
                <w:sz w:val="21"/>
                <w:szCs w:val="20"/>
                <w:lang w:val="en-US" w:eastAsia="zh-CN" w:bidi="ar-SA"/>
              </w:rPr>
              <w:t>0.24</w:t>
            </w:r>
          </w:p>
        </w:tc>
        <w:tc>
          <w:tcPr>
            <w:tcW w:w="1169" w:type="pct"/>
            <w:vAlign w:val="center"/>
          </w:tcPr>
          <w:p w14:paraId="242CA320">
            <w:pPr>
              <w:pStyle w:val="78"/>
              <w:jc w:val="center"/>
              <w:rPr>
                <w:rFonts w:hint="default" w:ascii="宋体" w:hAnsi="宋体" w:eastAsia="宋体" w:cs="宋体"/>
                <w:color w:val="auto"/>
                <w:kern w:val="0"/>
                <w:sz w:val="21"/>
                <w:szCs w:val="20"/>
                <w:lang w:val="en-US" w:eastAsia="zh-CN" w:bidi="ar-SA"/>
              </w:rPr>
            </w:pPr>
          </w:p>
        </w:tc>
      </w:tr>
      <w:tr w14:paraId="50FB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16" w:type="pct"/>
            <w:vAlign w:val="center"/>
          </w:tcPr>
          <w:p w14:paraId="2E85DE39">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10</w:t>
            </w:r>
          </w:p>
        </w:tc>
        <w:tc>
          <w:tcPr>
            <w:tcW w:w="2099" w:type="pct"/>
            <w:vAlign w:val="center"/>
          </w:tcPr>
          <w:p w14:paraId="5DE63228">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最终边坡角</w:t>
            </w:r>
          </w:p>
        </w:tc>
        <w:tc>
          <w:tcPr>
            <w:tcW w:w="558" w:type="pct"/>
            <w:vAlign w:val="center"/>
          </w:tcPr>
          <w:p w14:paraId="1998CA4E">
            <w:pPr>
              <w:pStyle w:val="78"/>
              <w:jc w:val="center"/>
              <w:rPr>
                <w:rFonts w:hint="default" w:ascii="宋体" w:hAnsi="宋体" w:eastAsia="宋体" w:cs="宋体"/>
                <w:color w:val="auto"/>
                <w:kern w:val="0"/>
                <w:sz w:val="21"/>
                <w:szCs w:val="20"/>
                <w:lang w:val="en-US" w:eastAsia="zh-CN" w:bidi="ar-SA"/>
              </w:rPr>
            </w:pPr>
            <w:r>
              <w:rPr>
                <w:rFonts w:hint="default" w:ascii="宋体" w:hAnsi="宋体" w:eastAsia="宋体" w:cs="宋体"/>
                <w:color w:val="auto"/>
                <w:kern w:val="0"/>
                <w:sz w:val="21"/>
                <w:szCs w:val="20"/>
                <w:lang w:val="en-US" w:eastAsia="zh-CN" w:bidi="ar-SA"/>
              </w:rPr>
              <w:t>°</w:t>
            </w:r>
          </w:p>
        </w:tc>
        <w:tc>
          <w:tcPr>
            <w:tcW w:w="756" w:type="pct"/>
            <w:vAlign w:val="center"/>
          </w:tcPr>
          <w:p w14:paraId="2CAC4E03">
            <w:pPr>
              <w:pStyle w:val="78"/>
              <w:jc w:val="center"/>
              <w:rPr>
                <w:rFonts w:hint="default" w:ascii="宋体" w:hAnsi="宋体" w:eastAsia="宋体" w:cs="宋体"/>
                <w:color w:val="auto"/>
                <w:kern w:val="0"/>
                <w:sz w:val="21"/>
                <w:szCs w:val="20"/>
                <w:lang w:val="en-US" w:eastAsia="zh-CN" w:bidi="ar-SA"/>
              </w:rPr>
            </w:pPr>
            <w:r>
              <w:rPr>
                <w:rFonts w:hint="eastAsia" w:ascii="宋体" w:hAnsi="宋体" w:eastAsia="宋体" w:cs="宋体"/>
                <w:color w:val="auto"/>
                <w:kern w:val="0"/>
                <w:sz w:val="21"/>
                <w:szCs w:val="20"/>
                <w:lang w:val="en-US" w:eastAsia="zh-CN" w:bidi="ar-SA"/>
              </w:rPr>
              <w:t>64</w:t>
            </w:r>
            <w:r>
              <w:rPr>
                <w:rFonts w:hint="default" w:ascii="宋体" w:hAnsi="宋体" w:eastAsia="宋体" w:cs="宋体"/>
                <w:color w:val="auto"/>
                <w:kern w:val="0"/>
                <w:sz w:val="21"/>
                <w:szCs w:val="20"/>
                <w:lang w:val="en-US" w:eastAsia="zh-CN" w:bidi="ar-SA"/>
              </w:rPr>
              <w:t>°</w:t>
            </w:r>
          </w:p>
        </w:tc>
        <w:tc>
          <w:tcPr>
            <w:tcW w:w="1169" w:type="pct"/>
            <w:vAlign w:val="center"/>
          </w:tcPr>
          <w:p w14:paraId="20E575F9">
            <w:pPr>
              <w:pStyle w:val="78"/>
              <w:jc w:val="center"/>
              <w:rPr>
                <w:rFonts w:hint="default" w:ascii="宋体" w:hAnsi="宋体" w:eastAsia="宋体" w:cs="宋体"/>
                <w:color w:val="auto"/>
                <w:kern w:val="0"/>
                <w:sz w:val="21"/>
                <w:szCs w:val="20"/>
                <w:lang w:val="en-US" w:eastAsia="zh-CN" w:bidi="ar-SA"/>
              </w:rPr>
            </w:pPr>
          </w:p>
        </w:tc>
      </w:tr>
    </w:tbl>
    <w:p w14:paraId="78A98DC8">
      <w:pPr>
        <w:rPr>
          <w:rFonts w:hint="eastAsia"/>
          <w:color w:val="auto"/>
        </w:rPr>
      </w:pPr>
    </w:p>
    <w:p w14:paraId="7FD2FC1F">
      <w:pPr>
        <w:pStyle w:val="4"/>
        <w:ind w:firstLine="562"/>
        <w:rPr>
          <w:rFonts w:hint="eastAsia"/>
          <w:color w:val="auto"/>
        </w:rPr>
      </w:pPr>
      <w:bookmarkStart w:id="62" w:name="_Toc31631"/>
      <w:r>
        <w:rPr>
          <w:rFonts w:hint="eastAsia"/>
          <w:color w:val="auto"/>
        </w:rPr>
        <w:t>（</w:t>
      </w:r>
      <w:r>
        <w:rPr>
          <w:rFonts w:hint="eastAsia"/>
          <w:color w:val="auto"/>
          <w:lang w:val="en-US" w:eastAsia="zh-CN"/>
        </w:rPr>
        <w:t>六</w:t>
      </w:r>
      <w:r>
        <w:rPr>
          <w:rFonts w:hint="eastAsia"/>
          <w:color w:val="auto"/>
        </w:rPr>
        <w:t>）固体废弃物和废水的排放和处理情况</w:t>
      </w:r>
      <w:bookmarkEnd w:id="62"/>
    </w:p>
    <w:p w14:paraId="2AA02DD8">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lang w:val="en-US" w:eastAsia="zh-CN"/>
        </w:rPr>
        <w:t>矿产资源开采</w:t>
      </w:r>
      <w:r>
        <w:rPr>
          <w:rFonts w:hint="eastAsia" w:ascii="仿宋" w:hAnsi="仿宋" w:eastAsia="仿宋" w:cs="仿宋"/>
          <w:color w:val="auto"/>
          <w:spacing w:val="-11"/>
          <w:w w:val="105"/>
          <w:sz w:val="28"/>
          <w:szCs w:val="28"/>
          <w:highlight w:val="none"/>
        </w:rPr>
        <w:t>对环境影响主要表现为：生态环境、噪声、粉尘、飞石及有害气体等影响。</w:t>
      </w:r>
    </w:p>
    <w:p w14:paraId="3ED38C99">
      <w:pPr>
        <w:pStyle w:val="5"/>
        <w:ind w:firstLine="508"/>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1）矿山施工期环境影响</w:t>
      </w:r>
    </w:p>
    <w:p w14:paraId="28A50D02">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矿山施工期生态影响主要为直接破坏矿区内原有植被及土壤，由于工程车辆行走引起尘土飞扬，需洒水降尘。</w:t>
      </w:r>
    </w:p>
    <w:p w14:paraId="408430D2">
      <w:pPr>
        <w:pStyle w:val="5"/>
        <w:ind w:firstLine="508"/>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2）粉尘、飞石及有害气体</w:t>
      </w:r>
    </w:p>
    <w:p w14:paraId="7E3809AC">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粉尘主要发生于开挖、铲装、运输等环节引起的粉尘飞扬，以及随风而引发的粉尘飞扬；飞石主要由采动影响产生；有害气体主要来自燃油机器排出的废气等。</w:t>
      </w:r>
    </w:p>
    <w:p w14:paraId="0A049559">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（1）露天采场开挖、铲装、卸载及汽车运输所产生的粉尘，是造成采场粉尘超标的主要原因。为此，铲装工作时采用洒水措施降尘，对其它装卸地点，均采用喷雾洒水措施，道路经常洒水。</w:t>
      </w:r>
    </w:p>
    <w:p w14:paraId="40863CB2">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2）载重车辆、挖掘机、装载机等燃油设备作业时排出的废气中，也含有氮氧化物等有毒有害气体。为减轻其危害，要加强对这些设备的维修保养，提高设备完好率，定期举办培训班，提高司机驾驶技术，避免超载运行。</w:t>
      </w:r>
    </w:p>
    <w:p w14:paraId="5DA0EEFE">
      <w:pPr>
        <w:pStyle w:val="5"/>
        <w:keepNext/>
        <w:keepLines/>
        <w:pageBreakBefore w:val="0"/>
        <w:widowControl w:val="0"/>
        <w:kinsoku/>
        <w:wordWrap/>
        <w:overflowPunct/>
        <w:topLinePunct w:val="0"/>
        <w:autoSpaceDE/>
        <w:autoSpaceDN/>
        <w:bidi w:val="0"/>
        <w:adjustRightInd/>
        <w:snapToGrid/>
        <w:spacing w:before="160" w:after="170" w:line="240" w:lineRule="auto"/>
        <w:ind w:firstLine="510"/>
        <w:textAlignment w:val="auto"/>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3）污水、生活垃圾</w:t>
      </w:r>
    </w:p>
    <w:p w14:paraId="473D8E7B">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采矿场基本上无污水排放，矿山工业场地生产和生活污水排放量很少，经简单处理后沿排水沟排出。生活垃圾必须集中处理，减少对环境的污染。</w:t>
      </w:r>
    </w:p>
    <w:p w14:paraId="0DAC4F6D">
      <w:pPr>
        <w:pStyle w:val="5"/>
        <w:keepNext/>
        <w:keepLines/>
        <w:pageBreakBefore w:val="0"/>
        <w:widowControl w:val="0"/>
        <w:kinsoku/>
        <w:wordWrap/>
        <w:overflowPunct/>
        <w:topLinePunct w:val="0"/>
        <w:autoSpaceDE/>
        <w:autoSpaceDN/>
        <w:bidi w:val="0"/>
        <w:adjustRightInd/>
        <w:snapToGrid/>
        <w:spacing w:before="160" w:after="170" w:line="240" w:lineRule="auto"/>
        <w:ind w:firstLine="510"/>
        <w:textAlignment w:val="auto"/>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4）噪声</w:t>
      </w:r>
    </w:p>
    <w:p w14:paraId="41DAA013">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机械噪声矿山开采中破碎、装卸、运输等工序都将产生噪声，噪声源强在80～100dB之间。矿山采矿不会对矿山范围以外的敏感点造成噪声污染。</w:t>
      </w:r>
    </w:p>
    <w:p w14:paraId="68E97C8B">
      <w:pPr>
        <w:pStyle w:val="5"/>
        <w:keepNext/>
        <w:keepLines/>
        <w:pageBreakBefore w:val="0"/>
        <w:widowControl w:val="0"/>
        <w:kinsoku/>
        <w:wordWrap/>
        <w:overflowPunct/>
        <w:topLinePunct w:val="0"/>
        <w:autoSpaceDE/>
        <w:autoSpaceDN/>
        <w:bidi w:val="0"/>
        <w:adjustRightInd/>
        <w:snapToGrid/>
        <w:spacing w:before="160" w:after="170" w:line="240" w:lineRule="auto"/>
        <w:ind w:firstLine="510"/>
        <w:textAlignment w:val="auto"/>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5）采场水土保持方案</w:t>
      </w:r>
    </w:p>
    <w:p w14:paraId="20D8C776">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（1）露天开采过程中，难免会形成采矿边坡及存在边坡失稳情况，在工程设计中确定合理、稳定的边坡角，对在开采境界内的高边坡和失稳边坡实施工程措施进行加固，如挡土墙，削坡减载等工程措施。</w:t>
      </w:r>
    </w:p>
    <w:p w14:paraId="7E4929BD">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（2）采矿中产生的浮尘和碎渣，在降水的冲刷下，会影响周边环境，因此，根据采场地形条件设置临时排水沟，对釆场周边地势低洼处，设置临时拦挡墙，将汇水有序地引入矿山公路靠山侧的排洪沟中。</w:t>
      </w:r>
    </w:p>
    <w:p w14:paraId="1BD53F1C">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（3）矿山服务终了后，对采矿场边坡进行绿化，营造和恢复当地的绿色植被。</w:t>
      </w:r>
    </w:p>
    <w:p w14:paraId="38C752F1">
      <w:pPr>
        <w:pStyle w:val="5"/>
        <w:ind w:firstLine="508"/>
        <w:rPr>
          <w:rFonts w:hint="eastAsia" w:ascii="仿宋" w:hAnsi="仿宋" w:eastAsia="仿宋" w:cs="仿宋"/>
          <w:color w:val="auto"/>
          <w:w w:val="105"/>
          <w:sz w:val="28"/>
          <w:szCs w:val="28"/>
          <w:highlight w:val="none"/>
        </w:rPr>
      </w:pPr>
      <w:r>
        <w:rPr>
          <w:rFonts w:hint="eastAsia" w:ascii="仿宋" w:hAnsi="仿宋" w:eastAsia="仿宋" w:cs="仿宋"/>
          <w:color w:val="auto"/>
          <w:w w:val="105"/>
          <w:sz w:val="28"/>
          <w:szCs w:val="28"/>
          <w:highlight w:val="none"/>
        </w:rPr>
        <w:t>6）道路及其他辅助设施水土保持方案</w:t>
      </w:r>
    </w:p>
    <w:p w14:paraId="6D519C87">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（1）矿山道路、矿山工业场地等开挖和平整场地形成的边坡，应即时进行防护。对永久性边坡视其稳定程度可采用挡墙、削坡、永久性植被等措施，对临时性边坡实施削坡、喷浆等临时性防护措施。</w:t>
      </w:r>
    </w:p>
    <w:p w14:paraId="2A0F9A51">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（2）矿山道路大多是岩土路基，长期重车使用路基、路面会受到破坏，因此，要经常对路基、路面进行防护和维修。</w:t>
      </w:r>
    </w:p>
    <w:p w14:paraId="2E77CBEF">
      <w:pPr>
        <w:spacing w:line="360" w:lineRule="auto"/>
        <w:ind w:firstLine="586"/>
        <w:rPr>
          <w:rFonts w:hint="eastAsia" w:ascii="仿宋" w:hAnsi="仿宋" w:eastAsia="仿宋" w:cs="仿宋"/>
          <w:color w:val="auto"/>
          <w:spacing w:val="-11"/>
          <w:w w:val="105"/>
          <w:sz w:val="28"/>
          <w:szCs w:val="28"/>
          <w:highlight w:val="none"/>
        </w:rPr>
      </w:pPr>
      <w:r>
        <w:rPr>
          <w:rFonts w:hint="eastAsia" w:ascii="仿宋" w:hAnsi="仿宋" w:eastAsia="仿宋" w:cs="仿宋"/>
          <w:color w:val="auto"/>
          <w:spacing w:val="-11"/>
          <w:w w:val="105"/>
          <w:sz w:val="28"/>
          <w:szCs w:val="28"/>
          <w:highlight w:val="none"/>
        </w:rPr>
        <w:t>（3）道路靠山坡一侧和场地开挖的上部根据需要设置截排水沟，一方面道路截排水沟可拦截山坡汇水对下游的冲刷作用，另一方面可为采场场地疏排雨水。</w:t>
      </w:r>
    </w:p>
    <w:p w14:paraId="7B1C1EAA">
      <w:pPr>
        <w:spacing w:line="360" w:lineRule="auto"/>
        <w:ind w:firstLine="544"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11"/>
          <w:w w:val="105"/>
          <w:sz w:val="28"/>
          <w:szCs w:val="28"/>
          <w:highlight w:val="none"/>
        </w:rPr>
        <w:t>（4）一般的开挖边坡应及时复绿，实现水土保持，恢复生态环境之目的。总之，矿山采场最终边坡角设计为</w:t>
      </w:r>
      <w:r>
        <w:rPr>
          <w:rFonts w:hint="eastAsia" w:ascii="仿宋" w:hAnsi="仿宋" w:eastAsia="仿宋" w:cs="仿宋"/>
          <w:color w:val="auto"/>
          <w:spacing w:val="-11"/>
          <w:w w:val="105"/>
          <w:sz w:val="28"/>
          <w:szCs w:val="28"/>
          <w:highlight w:val="none"/>
          <w:lang w:val="en-US" w:eastAsia="zh-CN"/>
        </w:rPr>
        <w:t>74</w:t>
      </w:r>
      <w:r>
        <w:rPr>
          <w:rFonts w:hint="eastAsia" w:ascii="仿宋" w:hAnsi="仿宋" w:eastAsia="仿宋" w:cs="仿宋"/>
          <w:color w:val="auto"/>
          <w:spacing w:val="-11"/>
          <w:w w:val="105"/>
          <w:sz w:val="28"/>
          <w:szCs w:val="28"/>
          <w:highlight w:val="none"/>
        </w:rPr>
        <w:t>°，</w:t>
      </w:r>
      <w:r>
        <w:rPr>
          <w:rFonts w:hint="eastAsia" w:ascii="仿宋" w:hAnsi="仿宋" w:eastAsia="仿宋" w:cs="仿宋"/>
          <w:color w:val="auto"/>
          <w:spacing w:val="-11"/>
          <w:w w:val="105"/>
          <w:sz w:val="28"/>
          <w:szCs w:val="28"/>
          <w:highlight w:val="none"/>
          <w:lang w:val="en-US" w:eastAsia="zh-CN"/>
        </w:rPr>
        <w:t>采矿全范围内</w:t>
      </w:r>
      <w:r>
        <w:rPr>
          <w:rFonts w:hint="eastAsia" w:ascii="仿宋" w:hAnsi="仿宋" w:eastAsia="仿宋" w:cs="仿宋"/>
          <w:color w:val="auto"/>
          <w:spacing w:val="-11"/>
          <w:w w:val="105"/>
          <w:sz w:val="28"/>
          <w:szCs w:val="28"/>
          <w:highlight w:val="none"/>
        </w:rPr>
        <w:t>山体边坡岩层较为稳定。随着矿山将来的生产进行，堆矿场、废渣场等建筑设施的修建，将对区内植被造成一定损坏；采矿活动产生的矿渣、污水对周边地质环境有一定影响，但开采范围小，易于治理。矿区为露天开采，要注意地下水对边坡稳定的影响，</w:t>
      </w:r>
      <w:r>
        <w:rPr>
          <w:rFonts w:hint="eastAsia" w:ascii="仿宋" w:hAnsi="仿宋" w:eastAsia="仿宋" w:cs="仿宋"/>
          <w:color w:val="auto"/>
          <w:spacing w:val="-11"/>
          <w:w w:val="105"/>
          <w:sz w:val="28"/>
          <w:szCs w:val="28"/>
          <w:highlight w:val="none"/>
          <w:lang w:eastAsia="zh-CN"/>
        </w:rPr>
        <w:t>同时做好采空区</w:t>
      </w:r>
      <w:r>
        <w:rPr>
          <w:rFonts w:hint="eastAsia" w:ascii="仿宋" w:hAnsi="仿宋" w:eastAsia="仿宋" w:cs="仿宋"/>
          <w:color w:val="auto"/>
          <w:spacing w:val="-11"/>
          <w:w w:val="105"/>
          <w:sz w:val="28"/>
          <w:szCs w:val="28"/>
          <w:highlight w:val="none"/>
        </w:rPr>
        <w:t>的复垦和绿化工作</w:t>
      </w:r>
      <w:r>
        <w:rPr>
          <w:rFonts w:hint="eastAsia" w:ascii="仿宋" w:hAnsi="仿宋" w:eastAsia="仿宋" w:cs="仿宋"/>
          <w:color w:val="auto"/>
          <w:sz w:val="28"/>
          <w:szCs w:val="28"/>
          <w:highlight w:val="none"/>
        </w:rPr>
        <w:t>。</w:t>
      </w:r>
    </w:p>
    <w:p w14:paraId="5BDAC980">
      <w:pPr>
        <w:rPr>
          <w:rFonts w:hint="eastAsia"/>
          <w:color w:val="auto"/>
        </w:rPr>
      </w:pPr>
      <w:r>
        <w:rPr>
          <w:rFonts w:hint="eastAsia"/>
          <w:color w:val="auto"/>
        </w:rPr>
        <w:br w:type="page"/>
      </w:r>
    </w:p>
    <w:p w14:paraId="3C90CDD4">
      <w:pPr>
        <w:pStyle w:val="2"/>
        <w:spacing w:before="200" w:after="200" w:line="360" w:lineRule="auto"/>
        <w:jc w:val="center"/>
        <w:rPr>
          <w:rFonts w:ascii="Times New Roman" w:hAnsi="Times New Roman" w:eastAsia="宋体" w:cs="Times New Roman"/>
          <w:bCs/>
          <w:color w:val="auto"/>
          <w:sz w:val="32"/>
          <w:szCs w:val="44"/>
          <w:highlight w:val="none"/>
        </w:rPr>
      </w:pPr>
      <w:bookmarkStart w:id="63" w:name="_Toc11652"/>
      <w:r>
        <w:rPr>
          <w:rFonts w:ascii="Times New Roman" w:hAnsi="Times New Roman" w:eastAsia="宋体" w:cs="Times New Roman"/>
          <w:bCs/>
          <w:color w:val="auto"/>
          <w:sz w:val="32"/>
          <w:szCs w:val="44"/>
          <w:highlight w:val="none"/>
        </w:rPr>
        <w:t>第2章  矿区基础信息</w:t>
      </w:r>
      <w:bookmarkEnd w:id="63"/>
    </w:p>
    <w:p w14:paraId="00FB1B3A">
      <w:pPr>
        <w:pStyle w:val="3"/>
        <w:spacing w:before="156" w:beforeLines="50" w:after="156" w:afterLines="50" w:line="360" w:lineRule="auto"/>
        <w:jc w:val="left"/>
        <w:rPr>
          <w:rFonts w:ascii="Times New Roman" w:hAnsi="Times New Roman" w:eastAsia="宋体" w:cs="Times New Roman"/>
          <w:bCs/>
          <w:color w:val="auto"/>
          <w:sz w:val="30"/>
          <w:szCs w:val="32"/>
          <w:highlight w:val="none"/>
          <w:lang w:val="zh-CN"/>
        </w:rPr>
      </w:pPr>
      <w:bookmarkStart w:id="64" w:name="_Toc20758"/>
      <w:r>
        <w:rPr>
          <w:rFonts w:ascii="Times New Roman" w:hAnsi="Times New Roman" w:eastAsia="宋体" w:cs="Times New Roman"/>
          <w:bCs/>
          <w:color w:val="auto"/>
          <w:sz w:val="30"/>
          <w:szCs w:val="32"/>
          <w:highlight w:val="none"/>
        </w:rPr>
        <w:t>一、</w:t>
      </w:r>
      <w:r>
        <w:rPr>
          <w:rFonts w:ascii="Times New Roman" w:hAnsi="Times New Roman" w:eastAsia="宋体" w:cs="Times New Roman"/>
          <w:bCs/>
          <w:color w:val="auto"/>
          <w:sz w:val="30"/>
          <w:szCs w:val="32"/>
          <w:highlight w:val="none"/>
          <w:lang w:val="zh-CN"/>
        </w:rPr>
        <w:t>矿区自然地理</w:t>
      </w:r>
      <w:bookmarkEnd w:id="64"/>
    </w:p>
    <w:p w14:paraId="03DED815">
      <w:pPr>
        <w:pStyle w:val="4"/>
        <w:ind w:firstLine="562"/>
        <w:rPr>
          <w:color w:val="auto"/>
        </w:rPr>
      </w:pPr>
      <w:bookmarkStart w:id="65" w:name="_Toc800"/>
      <w:bookmarkStart w:id="66" w:name="_Toc30591"/>
      <w:r>
        <w:rPr>
          <w:rFonts w:hint="eastAsia"/>
          <w:color w:val="auto"/>
        </w:rPr>
        <w:t>（一）气象</w:t>
      </w:r>
      <w:bookmarkEnd w:id="65"/>
      <w:bookmarkEnd w:id="66"/>
    </w:p>
    <w:p w14:paraId="176A3C34">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大英县属川中亚热带温暖湿润气候区，季风气候显著。特征为：气候湿和，雨量充沛，四季分明，冬暖，春旱，夏热，秋凉，无霜期长。但降雨时空分配不均，雨热同季，夏季伏旱，秋季阴雨，湿度大，云雾多，日照少。区内属低日照区，平均日照数为1471小时，历年平均日照率为32%，最多年为1847.7小时，最少年为1042.6小时。</w:t>
      </w:r>
    </w:p>
    <w:p w14:paraId="7EB3FEB9">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据统计，全县平均气温17℃，极端最低气温-4.6℃；极端最高气温39.4℃。日均温皆在0℃以上，年均无霜期298天。</w:t>
      </w:r>
    </w:p>
    <w:p w14:paraId="3691715F">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灾害性天气包括冬、春、秋季的寒潮、低温、连阴雨、干旱、冰雹、暴雨、洪涝等。区内干旱出现频繁，主要有春旱、夏旱及伏旱，尤以夏季伏旱影响范围最广，危害最大，据历年统计，年发生频率达88%。伏旱延续日数最长可达30天。</w:t>
      </w:r>
    </w:p>
    <w:p w14:paraId="4532B48F">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本区域的降雨极不均匀，降水年际差异也十分突出，最多年1371.4mm，最少年602.2mm，年际之差769mm以上，据收集50年资料，多年平均降雨量为927.6mm，据附近的中江县仓山气象点历时24小时最大降雨量达280mm，而县气象站的历史24小时最大降雨量达185mm，小时最大降雨量80mm（2007年）。</w:t>
      </w:r>
    </w:p>
    <w:p w14:paraId="6E9FBFC9">
      <w:pPr>
        <w:pStyle w:val="4"/>
        <w:ind w:firstLine="562"/>
        <w:rPr>
          <w:color w:val="auto"/>
        </w:rPr>
      </w:pPr>
      <w:bookmarkStart w:id="67" w:name="_Toc22680"/>
      <w:bookmarkStart w:id="68" w:name="_Toc31049"/>
      <w:r>
        <w:rPr>
          <w:rFonts w:hint="eastAsia"/>
          <w:color w:val="auto"/>
        </w:rPr>
        <w:t>（二）水文</w:t>
      </w:r>
      <w:bookmarkEnd w:id="67"/>
      <w:bookmarkEnd w:id="68"/>
    </w:p>
    <w:p w14:paraId="117FC79A">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大英县位于四川盆地中部</w:t>
      </w:r>
      <w:bookmarkStart w:id="69" w:name="ref_7"/>
      <w:bookmarkEnd w:id="69"/>
      <w:r>
        <w:rPr>
          <w:rFonts w:hint="eastAsia" w:ascii="仿宋_GB2312" w:hAnsi="仿宋_GB2312" w:eastAsia="仿宋_GB2312" w:cs="仿宋_GB2312"/>
          <w:color w:val="auto"/>
          <w:sz w:val="28"/>
          <w:szCs w:val="28"/>
        </w:rPr>
        <w:t>， 1997年12月28日由原四川蓬溪县老三区成立了大英县，大英县</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"https://baike.sogou.com/lemma/ShowInnerLink.htm?lemmaId=11619&amp;ss_c=ssc.citiao.link"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遂宁市</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西部，为典型的丘陵区，属亚热带湿润季风气候区。大英县与四地市六县（区）接壤。东隔涪江，与</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"https://baike.sogou.com/lemma/ShowInnerLink.htm?lemmaId=11653&amp;ss_c=ssc.citiao.link"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蓬溪县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相望，南与遂宁市</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"https://baike.sogou.com/lemma/ShowInnerLink.htm?lemmaId=11631&amp;ss_c=ssc.citiao.link"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船山区</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"https://baike.sogou.com/lemma/ShowInnerLink.htm?lemmaId=11637&amp;ss_c=ssc.citiao.link"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安居区</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接壤，西南与</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"https://baike.sogou.com/lemma/ShowInnerLink.htm?lemmaId=13209&amp;ss_c=ssc.citiao.link"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乐至县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连界，西毗</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"https://baike.sogou.com/lemma/ShowInnerLink.htm?lemmaId=11333&amp;ss_c=ssc.citiao.link"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中江县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，西北与</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"https://baike.sogou.com/lemma/ShowInnerLink.htm?lemmaId=11443&amp;ss_c=ssc.citiao.link"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三台县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交界，北与</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"https://baike.sogou.com/lemma/ShowInnerLink.htm?lemmaId=11689&amp;ss_c=ssc.citiao.link"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射洪县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为邻。</w:t>
      </w:r>
    </w:p>
    <w:p w14:paraId="34504BD7">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大英县位于四川盆地中部，</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"https://baike.sogou.com/v11677.htm" \l "quote8"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[8]</w:t>
      </w:r>
      <w:r>
        <w:rPr>
          <w:rFonts w:hint="eastAsia" w:ascii="仿宋_GB2312" w:hAnsi="仿宋_GB2312" w:eastAsia="仿宋_GB2312" w:cs="仿宋_GB2312"/>
          <w:color w:val="auto"/>
          <w:sz w:val="28"/>
          <w:szCs w:val="28"/>
        </w:rPr>
        <w:fldChar w:fldCharType="end"/>
      </w:r>
      <w:bookmarkStart w:id="70" w:name="ref_8"/>
      <w:bookmarkEnd w:id="70"/>
      <w:r>
        <w:rPr>
          <w:rFonts w:hint="eastAsia" w:ascii="仿宋_GB2312" w:hAnsi="仿宋_GB2312" w:eastAsia="仿宋_GB2312" w:cs="仿宋_GB2312"/>
          <w:color w:val="auto"/>
          <w:sz w:val="28"/>
          <w:szCs w:val="28"/>
        </w:rPr>
        <w:t>地处长江上游北岸， 涪江流域中段，东西长34.3公里，南北宽29.8公里，幅员面积702.6平方公里。</w:t>
      </w:r>
    </w:p>
    <w:p w14:paraId="011391F4">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大英县属丘陵地貌区，丘陵占86%，平坝、台地占14%，平均海拔554米，最低288米，相对高差266米。</w:t>
      </w:r>
    </w:p>
    <w:p w14:paraId="54D23B5D">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大英县境内水系发达，河流纵横。主要河流有县境东界的涪江和中部的</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"https://baike.sogou.com/lemma/ShowInnerLink.htm?lemmaId=5934758&amp;ss_c=ssc.citiao.link"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郪江</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p>
    <w:p w14:paraId="64DE6F43">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郪江从大英县西北部的象山镇入境，自西向东横穿大英县，沿途接纳了马力河、河边河、古柏溪、金元河、同心河、金竹河等支流，构成了典型的</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"https://baike.sogou.com/lemma/ShowInnerLink.htm?lemmaId=72317065&amp;ss_c=ssc.citiao.link"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格状水系</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，郪江在大英县境内全长65.37km，大英县境内流域面积588平方公里，落差24米。</w:t>
      </w:r>
    </w:p>
    <w:p w14:paraId="3C6311C9">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涪江发源于</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"https://baike.sogou.com/lemma/ShowInnerLink.htm?lemmaId=19600&amp;ss_c=ssc.citiao.link"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松潘县</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雪宝顶，经遂宁市、重庆市合川注入嘉陵江，全长670公里，流域面积36400平方公里。涪江从大英县回马镇边界线流过，长度为21.3km。</w:t>
      </w:r>
    </w:p>
    <w:p w14:paraId="4017B6A5">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矿区内水系不甚发育，多为季节性冲沟，溪沟雨季流量较大，旱季小至断流，季节性山洪最终汇入安宁河，安宁河河谷为当地最低侵蚀基准面。</w:t>
      </w:r>
    </w:p>
    <w:p w14:paraId="61F2FAEE">
      <w:pPr>
        <w:pStyle w:val="4"/>
        <w:ind w:firstLine="562"/>
        <w:rPr>
          <w:color w:val="auto"/>
        </w:rPr>
      </w:pPr>
      <w:bookmarkStart w:id="71" w:name="_Toc18526"/>
      <w:bookmarkStart w:id="72" w:name="_Toc24894"/>
      <w:r>
        <w:rPr>
          <w:rFonts w:hint="eastAsia"/>
          <w:color w:val="auto"/>
        </w:rPr>
        <w:t>（三）地形地貌</w:t>
      </w:r>
      <w:bookmarkEnd w:id="71"/>
      <w:bookmarkEnd w:id="72"/>
    </w:p>
    <w:p w14:paraId="6070268F">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按照“四川省东部地区地貌区划”，大英县地处盆地丘陵向盆周低山过渡地带，地形差异明显，地貌上属“红色盆地”范畴。</w:t>
      </w:r>
    </w:p>
    <w:p w14:paraId="6ABD943A">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县域内除涪江、郪江河流两岸间续分布河流堆积阶地外，其余地区均为红层丘陵区，丘包群立，沟谷迂回，宽缓延伸，为四川盆地典型的构造剥蚀丘陵地貌，县域地势北西高，南东低，地形切割零碎。</w:t>
      </w:r>
    </w:p>
    <w:p w14:paraId="5B4C9E24">
      <w:pPr>
        <w:adjustRightInd w:val="0"/>
        <w:snapToGrid w:val="0"/>
        <w:spacing w:line="360" w:lineRule="auto"/>
        <w:ind w:firstLine="56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县域内地貌按成因和形态特征可分为：侵蚀堆积地形和构造剥蚀地形，侵蚀堆积地形主要分布于涪江、郪江两侧，表现为河漫滩及一至五级阶地，即平坝区，面积19.2 km²；构造剥蚀地形表现为丘陵，全区地貌类型以浅丘为主，占幅员面积的73.01 %；其次为中丘。</w:t>
      </w:r>
    </w:p>
    <w:p w14:paraId="0D1B2981">
      <w:pPr>
        <w:adjustRightInd w:val="0"/>
        <w:snapToGrid w:val="0"/>
        <w:spacing w:line="360" w:lineRule="auto"/>
        <w:ind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矿区位于</w:t>
      </w:r>
      <w:r>
        <w:rPr>
          <w:rFonts w:hint="eastAsia" w:ascii="仿宋_GB2312" w:hAnsi="仿宋_GB2312" w:eastAsia="仿宋_GB2312" w:cs="仿宋_GB2312"/>
          <w:color w:val="auto"/>
          <w:sz w:val="28"/>
          <w:szCs w:val="28"/>
          <w:lang w:eastAsia="zh-CN"/>
        </w:rPr>
        <w:t>蓬莱镇，</w:t>
      </w:r>
      <w:r>
        <w:rPr>
          <w:rFonts w:hint="eastAsia" w:ascii="仿宋_GB2312" w:hAnsi="仿宋_GB2312" w:eastAsia="仿宋_GB2312" w:cs="仿宋_GB2312"/>
          <w:color w:val="auto"/>
          <w:sz w:val="28"/>
          <w:szCs w:val="28"/>
          <w:lang w:val="en-US" w:eastAsia="zh-CN"/>
        </w:rPr>
        <w:t>属于</w:t>
      </w:r>
      <w:r>
        <w:rPr>
          <w:rFonts w:hint="eastAsia" w:ascii="仿宋_GB2312" w:hAnsi="仿宋_GB2312" w:eastAsia="仿宋_GB2312" w:cs="仿宋_GB2312"/>
          <w:color w:val="auto"/>
          <w:sz w:val="28"/>
          <w:szCs w:val="28"/>
          <w:lang w:eastAsia="zh-CN"/>
        </w:rPr>
        <w:t>中丘地貌区。</w:t>
      </w:r>
    </w:p>
    <w:p w14:paraId="585E9F01">
      <w:pPr>
        <w:pStyle w:val="4"/>
        <w:ind w:firstLine="562"/>
        <w:rPr>
          <w:color w:val="auto"/>
        </w:rPr>
      </w:pPr>
      <w:bookmarkStart w:id="73" w:name="_Toc31715"/>
      <w:bookmarkStart w:id="74" w:name="_Toc2219"/>
      <w:r>
        <w:rPr>
          <w:rFonts w:hint="eastAsia"/>
          <w:color w:val="auto"/>
        </w:rPr>
        <w:t>（四）植被</w:t>
      </w:r>
      <w:bookmarkEnd w:id="73"/>
      <w:bookmarkEnd w:id="74"/>
    </w:p>
    <w:p w14:paraId="7E5D6146">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大英县属亚热带常绿阔叶林区，大英县森林覆盖率37.3%。林木品种110种，其中有水杉、银杏、苏铁、红豆杉、古柏、榕树等国家保护植物和珍稀树木。经济林主要有</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"https://baike.baidu.com/item/%E6%B2%B9%E6%A1%90/1035800?fromModule=lemma_inlink"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油桐</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"https://baike.baidu.com/item/%E6%B2%B9%E6%A9%84%E6%A6%84/2154733?fromModule=lemma_inlink"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油橄榄</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"https://baike.baidu.com/item/%E6%A0%B8%E6%A1%83/549550?fromModule=lemma_inlink"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核桃</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"https://baike.baidu.com/item/%E8%93%96%E9%BA%BB/631447?fromModule=lemma_inlink"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蓖麻</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等树种。境内盛产</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"https://baike.baidu.com/item/%E6%9F%91%E6%A9%98/55204?fromModule=lemma_inlink"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柑橘</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"https://baike.baidu.com/item/%E6%A9%99/25420?fromModule=lemma_inlink"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橙</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"https://baike.baidu.com/item/%E6%9F%9A/811777?fromModule=lemma_inlink"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柚</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"https://baike.baidu.com/item/%E6%A2%A8/11871?fromModule=lemma_inlink"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梨</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"https://baike.baidu.com/item/%E6%A1%83/64247?fromModule=lemma_inlink"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桃</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、李、苹果，尤以河边镇所产的“白柠檬”为国内独有之物。</w:t>
      </w:r>
    </w:p>
    <w:p w14:paraId="6267B1B8">
      <w:pPr>
        <w:pStyle w:val="4"/>
        <w:ind w:firstLine="562"/>
        <w:rPr>
          <w:color w:val="auto"/>
        </w:rPr>
      </w:pPr>
      <w:bookmarkStart w:id="75" w:name="_Toc16049"/>
      <w:bookmarkStart w:id="76" w:name="_Toc7864"/>
      <w:r>
        <w:rPr>
          <w:rFonts w:hint="eastAsia"/>
          <w:color w:val="auto"/>
        </w:rPr>
        <w:t>（五）土壤</w:t>
      </w:r>
      <w:bookmarkEnd w:id="75"/>
      <w:bookmarkEnd w:id="76"/>
    </w:p>
    <w:p w14:paraId="0ABFCF42">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大英县全县土壤分类除少量砾子外，有5个土类，9个亚类，31个土属，78个土种。根据现场踏勘，矿区范围土壤类型主要以黄壤为主。</w:t>
      </w:r>
    </w:p>
    <w:p w14:paraId="688A545C">
      <w:pPr>
        <w:ind w:firstLine="48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黄壤：经踏勘调查，复垦区内黄壤具有明显的发生层次，其农业土壤剖面构型为耕作层一心土层一母质层。自然土表层有10～30cm的未分解或半分解枯枝落叶腐殖质层，其下为粘重、紧实的淀积层，颜色为黄至棕黄色。黄壤的有机质随植被类型而异。在自然土中，有机质由于腐殖质层存在，可高达5%以上，但心土层则迅速降低，耕作黄壤随熟化程度提高而增加，氮、钾含量均属中等水平。由于土壤淋溶强，盐基饱和度低，土壤酸度大，绝大多数黄壤pH值小于6.0。</w:t>
      </w:r>
    </w:p>
    <w:p w14:paraId="40528FC8">
      <w:pPr>
        <w:adjustRightInd w:val="0"/>
        <w:spacing w:line="400" w:lineRule="exact"/>
        <w:ind w:firstLine="480"/>
        <w:rPr>
          <w:rFonts w:ascii="宋体" w:hAnsi="宋体" w:cs="宋体"/>
          <w:color w:val="auto"/>
        </w:rPr>
      </w:pPr>
    </w:p>
    <w:p w14:paraId="3EC03502">
      <w:pPr>
        <w:pStyle w:val="3"/>
        <w:ind w:firstLine="602"/>
        <w:rPr>
          <w:color w:val="auto"/>
        </w:rPr>
      </w:pPr>
      <w:bookmarkStart w:id="77" w:name="_Toc1645"/>
      <w:bookmarkStart w:id="78" w:name="_Toc24317"/>
      <w:r>
        <w:rPr>
          <w:rFonts w:hint="eastAsia"/>
          <w:color w:val="auto"/>
        </w:rPr>
        <w:t>二、矿区地质环境背景</w:t>
      </w:r>
      <w:bookmarkEnd w:id="77"/>
      <w:bookmarkEnd w:id="78"/>
    </w:p>
    <w:p w14:paraId="736E0DC5">
      <w:pPr>
        <w:pStyle w:val="4"/>
        <w:ind w:firstLine="562"/>
        <w:rPr>
          <w:color w:val="auto"/>
        </w:rPr>
      </w:pPr>
      <w:bookmarkStart w:id="79" w:name="_Toc16653"/>
      <w:bookmarkStart w:id="80" w:name="_Toc26050"/>
      <w:r>
        <w:rPr>
          <w:rFonts w:hint="eastAsia"/>
          <w:color w:val="auto"/>
        </w:rPr>
        <w:t>（一）地层岩性</w:t>
      </w:r>
      <w:bookmarkEnd w:id="79"/>
      <w:bookmarkEnd w:id="80"/>
    </w:p>
    <w:p w14:paraId="016F4335">
      <w:pPr>
        <w:ind w:firstLine="560" w:firstLineChars="200"/>
        <w:rPr>
          <w:rFonts w:hint="eastAsia" w:ascii="仿宋" w:hAnsi="仿宋" w:eastAsia="仿宋" w:cs="仿宋"/>
          <w:sz w:val="28"/>
          <w:szCs w:val="28"/>
        </w:rPr>
      </w:pPr>
      <w:r>
        <w:rPr>
          <w:rFonts w:hint="eastAsia" w:ascii="仿宋" w:hAnsi="仿宋" w:eastAsia="仿宋" w:cs="仿宋"/>
          <w:sz w:val="28"/>
          <w:szCs w:val="28"/>
        </w:rPr>
        <w:t>矿区出露地层主要为侏罗系上统蓬莱镇组一段（J</w:t>
      </w:r>
      <w:r>
        <w:rPr>
          <w:rFonts w:hint="eastAsia" w:ascii="仿宋" w:hAnsi="仿宋" w:eastAsia="仿宋" w:cs="仿宋"/>
          <w:sz w:val="28"/>
          <w:szCs w:val="28"/>
          <w:vertAlign w:val="subscript"/>
        </w:rPr>
        <w:t>3</w:t>
      </w:r>
      <w:r>
        <w:rPr>
          <w:rFonts w:hint="eastAsia" w:ascii="仿宋" w:hAnsi="仿宋" w:eastAsia="仿宋" w:cs="仿宋"/>
          <w:i/>
          <w:iCs/>
          <w:sz w:val="28"/>
          <w:szCs w:val="28"/>
        </w:rPr>
        <w:t>p</w:t>
      </w:r>
      <w:r>
        <w:rPr>
          <w:rFonts w:hint="eastAsia" w:ascii="仿宋" w:hAnsi="仿宋" w:eastAsia="仿宋" w:cs="仿宋"/>
          <w:sz w:val="28"/>
          <w:szCs w:val="28"/>
          <w:vertAlign w:val="superscript"/>
        </w:rPr>
        <w:t>1</w:t>
      </w:r>
      <w:r>
        <w:rPr>
          <w:rFonts w:hint="eastAsia" w:ascii="仿宋" w:hAnsi="仿宋" w:eastAsia="仿宋" w:cs="仿宋"/>
          <w:sz w:val="28"/>
          <w:szCs w:val="28"/>
        </w:rPr>
        <w:t>）和第四系残坡积层（Q</w:t>
      </w:r>
      <w:r>
        <w:rPr>
          <w:rFonts w:hint="eastAsia" w:ascii="仿宋" w:hAnsi="仿宋" w:eastAsia="仿宋" w:cs="仿宋"/>
          <w:sz w:val="28"/>
          <w:szCs w:val="28"/>
          <w:vertAlign w:val="subscript"/>
        </w:rPr>
        <w:t>4</w:t>
      </w:r>
      <w:r>
        <w:rPr>
          <w:rFonts w:hint="eastAsia" w:ascii="仿宋" w:hAnsi="仿宋" w:eastAsia="仿宋" w:cs="仿宋"/>
          <w:i/>
          <w:iCs/>
          <w:sz w:val="28"/>
          <w:szCs w:val="28"/>
          <w:vertAlign w:val="superscript"/>
        </w:rPr>
        <w:t>el+dl</w:t>
      </w:r>
      <w:r>
        <w:rPr>
          <w:rFonts w:hint="eastAsia" w:ascii="仿宋" w:hAnsi="仿宋" w:eastAsia="仿宋" w:cs="仿宋"/>
          <w:sz w:val="28"/>
          <w:szCs w:val="28"/>
        </w:rPr>
        <w:t>）。</w:t>
      </w:r>
    </w:p>
    <w:p w14:paraId="57920E98">
      <w:pPr>
        <w:ind w:firstLine="560" w:firstLineChars="200"/>
        <w:rPr>
          <w:rFonts w:hint="eastAsia" w:ascii="仿宋" w:hAnsi="仿宋" w:eastAsia="仿宋" w:cs="仿宋"/>
          <w:sz w:val="28"/>
          <w:szCs w:val="28"/>
        </w:rPr>
      </w:pPr>
      <w:r>
        <w:rPr>
          <w:rFonts w:hint="eastAsia" w:ascii="仿宋" w:hAnsi="仿宋" w:eastAsia="仿宋" w:cs="仿宋"/>
          <w:sz w:val="28"/>
          <w:szCs w:val="28"/>
        </w:rPr>
        <w:t>1、蓬莱镇组一段（J</w:t>
      </w:r>
      <w:r>
        <w:rPr>
          <w:rFonts w:hint="eastAsia" w:ascii="仿宋" w:hAnsi="仿宋" w:eastAsia="仿宋" w:cs="仿宋"/>
          <w:sz w:val="28"/>
          <w:szCs w:val="28"/>
          <w:vertAlign w:val="subscript"/>
        </w:rPr>
        <w:t>3</w:t>
      </w:r>
      <w:r>
        <w:rPr>
          <w:rFonts w:hint="eastAsia" w:ascii="仿宋" w:hAnsi="仿宋" w:eastAsia="仿宋" w:cs="仿宋"/>
          <w:i/>
          <w:iCs/>
          <w:sz w:val="28"/>
          <w:szCs w:val="28"/>
        </w:rPr>
        <w:t>p</w:t>
      </w:r>
      <w:r>
        <w:rPr>
          <w:rFonts w:hint="eastAsia" w:ascii="仿宋" w:hAnsi="仿宋" w:eastAsia="仿宋" w:cs="仿宋"/>
          <w:sz w:val="28"/>
          <w:szCs w:val="28"/>
          <w:vertAlign w:val="superscript"/>
        </w:rPr>
        <w:t>1</w:t>
      </w:r>
      <w:r>
        <w:rPr>
          <w:rFonts w:hint="eastAsia" w:ascii="仿宋" w:hAnsi="仿宋" w:eastAsia="仿宋" w:cs="仿宋"/>
          <w:sz w:val="28"/>
          <w:szCs w:val="28"/>
        </w:rPr>
        <w:t>）：下部为紫灰、灰紫色中层至块状细粒长石石英砂岩与紫红色粉砂岩、泥岩组成2～3个不等厚韵律，中上部紫红色中-薄层状粉砂岩与同色泥岩互层，夹凸透镜长石石英砂岩和灰绿色砂质条带。</w:t>
      </w:r>
    </w:p>
    <w:p w14:paraId="7963286A">
      <w:pPr>
        <w:ind w:firstLine="560" w:firstLineChars="200"/>
        <w:rPr>
          <w:rFonts w:hint="eastAsia" w:ascii="仿宋" w:hAnsi="仿宋" w:eastAsia="仿宋" w:cs="仿宋"/>
          <w:sz w:val="28"/>
          <w:szCs w:val="28"/>
        </w:rPr>
      </w:pPr>
      <w:r>
        <w:rPr>
          <w:rFonts w:hint="eastAsia" w:ascii="仿宋" w:hAnsi="仿宋" w:eastAsia="仿宋" w:cs="仿宋"/>
          <w:sz w:val="28"/>
          <w:szCs w:val="28"/>
        </w:rPr>
        <w:t>矿区内可见主要为蓬莱镇组一段（J</w:t>
      </w:r>
      <w:r>
        <w:rPr>
          <w:rFonts w:hint="eastAsia" w:ascii="仿宋" w:hAnsi="仿宋" w:eastAsia="仿宋" w:cs="仿宋"/>
          <w:sz w:val="28"/>
          <w:szCs w:val="28"/>
          <w:vertAlign w:val="subscript"/>
        </w:rPr>
        <w:t>3</w:t>
      </w:r>
      <w:r>
        <w:rPr>
          <w:rFonts w:hint="eastAsia" w:ascii="仿宋" w:hAnsi="仿宋" w:eastAsia="仿宋" w:cs="仿宋"/>
          <w:i/>
          <w:iCs/>
          <w:sz w:val="28"/>
          <w:szCs w:val="28"/>
        </w:rPr>
        <w:t>p</w:t>
      </w:r>
      <w:r>
        <w:rPr>
          <w:rFonts w:hint="eastAsia" w:ascii="仿宋" w:hAnsi="仿宋" w:eastAsia="仿宋" w:cs="仿宋"/>
          <w:sz w:val="28"/>
          <w:szCs w:val="28"/>
          <w:vertAlign w:val="superscript"/>
        </w:rPr>
        <w:t>1</w:t>
      </w:r>
      <w:r>
        <w:rPr>
          <w:rFonts w:hint="eastAsia" w:ascii="仿宋" w:hAnsi="仿宋" w:eastAsia="仿宋" w:cs="仿宋"/>
          <w:sz w:val="28"/>
          <w:szCs w:val="28"/>
        </w:rPr>
        <w:t>）的灰色厚层状细粒长石石英砂岩，粉砂质泥岩夹层厚约0.8～1.3m。岩层近水平，倾向西北，倾角一般1～3°。</w:t>
      </w:r>
    </w:p>
    <w:p w14:paraId="7FFDA117">
      <w:pPr>
        <w:ind w:firstLine="560" w:firstLineChars="200"/>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2</w:t>
      </w:r>
      <w:r>
        <w:rPr>
          <w:rFonts w:hint="eastAsia" w:ascii="仿宋" w:hAnsi="仿宋" w:eastAsia="仿宋" w:cs="仿宋"/>
          <w:sz w:val="28"/>
          <w:szCs w:val="28"/>
        </w:rPr>
        <w:t>）第四系残坡积层（Q</w:t>
      </w:r>
      <w:r>
        <w:rPr>
          <w:rFonts w:hint="eastAsia" w:ascii="仿宋" w:hAnsi="仿宋" w:eastAsia="仿宋" w:cs="仿宋"/>
          <w:sz w:val="28"/>
          <w:szCs w:val="28"/>
          <w:vertAlign w:val="subscript"/>
        </w:rPr>
        <w:t>4</w:t>
      </w:r>
      <w:r>
        <w:rPr>
          <w:rFonts w:hint="eastAsia" w:ascii="仿宋" w:hAnsi="仿宋" w:eastAsia="仿宋" w:cs="仿宋"/>
          <w:i/>
          <w:iCs/>
          <w:sz w:val="28"/>
          <w:szCs w:val="28"/>
          <w:vertAlign w:val="superscript"/>
        </w:rPr>
        <w:t>el+dl</w:t>
      </w:r>
      <w:r>
        <w:rPr>
          <w:rFonts w:hint="eastAsia" w:ascii="仿宋" w:hAnsi="仿宋" w:eastAsia="仿宋" w:cs="仿宋"/>
          <w:sz w:val="28"/>
          <w:szCs w:val="28"/>
        </w:rPr>
        <w:t>）：</w:t>
      </w:r>
    </w:p>
    <w:p w14:paraId="669D8431">
      <w:pPr>
        <w:ind w:firstLine="480"/>
        <w:rPr>
          <w:rFonts w:hint="eastAsia" w:ascii="仿宋" w:hAnsi="仿宋" w:eastAsia="仿宋" w:cs="仿宋"/>
          <w:color w:val="auto"/>
          <w:sz w:val="28"/>
          <w:szCs w:val="28"/>
        </w:rPr>
      </w:pPr>
      <w:r>
        <w:rPr>
          <w:rFonts w:hint="eastAsia" w:ascii="仿宋" w:hAnsi="仿宋" w:eastAsia="仿宋" w:cs="仿宋"/>
          <w:sz w:val="28"/>
          <w:szCs w:val="28"/>
        </w:rPr>
        <w:t>浅黄、灰红色松散砂、岩石碎块及粘土，厚度1.05～2.5m不等，主要分布在坡脚和洼地，坡顶较薄。</w:t>
      </w:r>
    </w:p>
    <w:p w14:paraId="3CB16745">
      <w:pPr>
        <w:pStyle w:val="4"/>
        <w:ind w:firstLine="562"/>
        <w:rPr>
          <w:color w:val="auto"/>
        </w:rPr>
      </w:pPr>
      <w:bookmarkStart w:id="81" w:name="_Toc6831"/>
      <w:bookmarkStart w:id="82" w:name="_Toc2129"/>
      <w:r>
        <w:rPr>
          <w:rFonts w:hint="eastAsia"/>
          <w:color w:val="auto"/>
        </w:rPr>
        <w:t>（二）地质构造</w:t>
      </w:r>
      <w:bookmarkEnd w:id="81"/>
      <w:bookmarkEnd w:id="82"/>
    </w:p>
    <w:p w14:paraId="062E0EEE">
      <w:pPr>
        <w:ind w:firstLine="480"/>
        <w:rPr>
          <w:rFonts w:hint="eastAsia" w:ascii="仿宋" w:hAnsi="仿宋" w:eastAsia="仿宋" w:cs="仿宋"/>
          <w:color w:val="auto"/>
          <w:sz w:val="28"/>
          <w:szCs w:val="28"/>
        </w:rPr>
      </w:pPr>
      <w:r>
        <w:rPr>
          <w:rFonts w:hint="eastAsia" w:ascii="仿宋" w:hAnsi="仿宋" w:eastAsia="仿宋" w:cs="仿宋"/>
          <w:color w:val="auto"/>
          <w:sz w:val="28"/>
          <w:szCs w:val="28"/>
        </w:rPr>
        <w:t>矿区位于河边场向斜的南翼，整体为一单斜构造。矿区内未见断裂、褶皱等强烈构造活动，岩石整体完整性较好。</w:t>
      </w:r>
    </w:p>
    <w:p w14:paraId="2ECE01E1">
      <w:pPr>
        <w:pStyle w:val="4"/>
        <w:ind w:firstLine="562"/>
        <w:rPr>
          <w:color w:val="auto"/>
        </w:rPr>
      </w:pPr>
      <w:bookmarkStart w:id="83" w:name="_Toc29291"/>
      <w:bookmarkStart w:id="84" w:name="_Toc5380"/>
      <w:r>
        <w:rPr>
          <w:rFonts w:hint="eastAsia"/>
          <w:color w:val="auto"/>
        </w:rPr>
        <w:t>（三）水文地质</w:t>
      </w:r>
      <w:bookmarkEnd w:id="83"/>
      <w:bookmarkEnd w:id="84"/>
    </w:p>
    <w:p w14:paraId="6B65C991">
      <w:pPr>
        <w:ind w:firstLine="480"/>
        <w:rPr>
          <w:rFonts w:hint="eastAsia" w:ascii="仿宋" w:hAnsi="仿宋" w:eastAsia="仿宋" w:cs="仿宋"/>
          <w:color w:val="auto"/>
          <w:sz w:val="28"/>
          <w:szCs w:val="28"/>
        </w:rPr>
      </w:pPr>
      <w:r>
        <w:rPr>
          <w:rFonts w:hint="eastAsia" w:ascii="仿宋" w:hAnsi="仿宋" w:eastAsia="仿宋" w:cs="仿宋"/>
          <w:color w:val="auto"/>
          <w:sz w:val="28"/>
          <w:szCs w:val="28"/>
        </w:rPr>
        <w:t>矿区水工环地质成矿特征为低山丘陵区，沟谷发育，多为坡面水，季节性沟系发育。矿层均位于当地侵蚀基准面以上，自然排水条件好。第四系坡残积与冲积松散层透水性好，动态变化大，富水性微弱；侏罗系中上统沙溪庙组、遂宁组和蓬莱镇组，紫红色、砖红色泥页岩夹薄层粉砂岩。该岩类致密，孔隙度小，节理裂隙不发育，含水性弱，透水性差，是区内相对隔水层；区内无常年地表水体，地表迳流条件好。地下水主要由大气降水补给，大气降水大多通过地表径流排出采场，仅小部分通过裂隙、落水洞等通道渗入地下形成地下水，矿区地下水贫乏，矿山位置位于当地最低侵蚀基准面以上，斜坡地形有利于地表水和地下水排泄，地表及地下水的自然排泄条件好。综上所述，矿区范围内排水通畅，地下水贫乏，水文地质条件简单。</w:t>
      </w:r>
    </w:p>
    <w:p w14:paraId="53A0AC2C">
      <w:pPr>
        <w:pStyle w:val="4"/>
        <w:ind w:firstLine="562"/>
        <w:rPr>
          <w:color w:val="auto"/>
        </w:rPr>
      </w:pPr>
      <w:bookmarkStart w:id="85" w:name="_Toc17532"/>
      <w:bookmarkStart w:id="86" w:name="_Toc15430"/>
      <w:r>
        <w:rPr>
          <w:rFonts w:hint="eastAsia"/>
          <w:color w:val="auto"/>
        </w:rPr>
        <w:t>（四）工程地质</w:t>
      </w:r>
      <w:bookmarkEnd w:id="85"/>
      <w:bookmarkEnd w:id="86"/>
    </w:p>
    <w:p w14:paraId="1C6A15E7">
      <w:pPr>
        <w:ind w:firstLine="480"/>
        <w:rPr>
          <w:rFonts w:hint="eastAsia" w:ascii="仿宋" w:hAnsi="仿宋" w:eastAsia="仿宋" w:cs="仿宋"/>
          <w:color w:val="auto"/>
          <w:sz w:val="28"/>
          <w:szCs w:val="28"/>
        </w:rPr>
      </w:pPr>
      <w:r>
        <w:rPr>
          <w:rFonts w:hint="eastAsia" w:ascii="仿宋" w:hAnsi="仿宋" w:eastAsia="仿宋" w:cs="仿宋"/>
          <w:color w:val="auto"/>
          <w:sz w:val="28"/>
          <w:szCs w:val="28"/>
        </w:rPr>
        <w:t>本区岩层结构软弱，抗压强度&lt;30Mpa，软化系数&lt;0.5，坚固系数&lt;3，岩（土）体工程地质条件一般，露天开采过程中，应注意人工边坡过高而诱发边坡不稳定。在开采边坡临空地段还可发生育卸荷裂隙，在矿区山开采过程中，放炮震动、地震等外营力作用下，易发生崩塌或者小型滑坡等地质灾害，但其影响程度较小，危害程度较小～较大。矿层的覆盖层为耕土，厚度较薄，矿层工程地质条件简单。</w:t>
      </w:r>
    </w:p>
    <w:p w14:paraId="0A580431">
      <w:pPr>
        <w:pStyle w:val="4"/>
        <w:ind w:firstLine="562"/>
        <w:rPr>
          <w:color w:val="auto"/>
        </w:rPr>
      </w:pPr>
      <w:bookmarkStart w:id="87" w:name="_Toc19485"/>
      <w:bookmarkStart w:id="88" w:name="_Toc16365"/>
      <w:r>
        <w:rPr>
          <w:rFonts w:hint="eastAsia"/>
          <w:color w:val="auto"/>
        </w:rPr>
        <w:t>（五）环境地质</w:t>
      </w:r>
      <w:bookmarkEnd w:id="87"/>
      <w:bookmarkEnd w:id="88"/>
    </w:p>
    <w:p w14:paraId="44029798">
      <w:pPr>
        <w:pStyle w:val="71"/>
        <w:adjustRightInd w:val="0"/>
        <w:snapToGrid w:val="0"/>
        <w:spacing w:line="360" w:lineRule="auto"/>
        <w:ind w:firstLine="480"/>
        <w:rPr>
          <w:rFonts w:hint="eastAsia" w:ascii="仿宋" w:hAnsi="仿宋" w:eastAsia="仿宋" w:cs="仿宋"/>
          <w:color w:val="auto"/>
          <w:sz w:val="28"/>
          <w:szCs w:val="28"/>
        </w:rPr>
      </w:pPr>
      <w:r>
        <w:rPr>
          <w:rStyle w:val="75"/>
          <w:rFonts w:hint="eastAsia" w:ascii="仿宋" w:hAnsi="仿宋" w:eastAsia="仿宋" w:cs="仿宋"/>
          <w:color w:val="auto"/>
          <w:sz w:val="28"/>
          <w:szCs w:val="28"/>
        </w:rPr>
        <w:t>（1）</w:t>
      </w:r>
      <w:r>
        <w:rPr>
          <w:rFonts w:hint="eastAsia" w:ascii="仿宋_GB2312" w:hAnsi="仿宋_GB2312" w:eastAsia="仿宋_GB2312" w:cs="仿宋_GB2312"/>
          <w:color w:val="auto"/>
          <w:sz w:val="28"/>
          <w:szCs w:val="28"/>
          <w:lang w:val="en-US" w:eastAsia="zh-CN"/>
        </w:rPr>
        <w:t>根据《中国地震动参数区划图》（GB18306-2015）：大英县蓬莱镇峰值加速度0.05g，</w:t>
      </w:r>
      <w:r>
        <w:rPr>
          <w:rFonts w:hint="eastAsia" w:ascii="仿宋_GB2312" w:hAnsi="仿宋_GB2312" w:eastAsia="仿宋_GB2312" w:cs="仿宋_GB2312"/>
          <w:color w:val="auto"/>
          <w:sz w:val="28"/>
          <w:szCs w:val="28"/>
        </w:rPr>
        <w:t>反应谱特征周期0.</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5s，</w:t>
      </w:r>
      <w:r>
        <w:rPr>
          <w:rFonts w:hint="eastAsia" w:ascii="仿宋_GB2312" w:hAnsi="仿宋_GB2312" w:eastAsia="仿宋_GB2312" w:cs="仿宋_GB2312"/>
          <w:color w:val="auto"/>
          <w:sz w:val="28"/>
          <w:szCs w:val="28"/>
          <w:lang w:val="en-US" w:eastAsia="zh-CN"/>
        </w:rPr>
        <w:t>对应《建筑抗震设计标准（2024年版）》（GB50011-2010）表3.2.2，抗震设防烈度为6度。</w:t>
      </w:r>
    </w:p>
    <w:p w14:paraId="7C5F5F9E">
      <w:pPr>
        <w:ind w:firstLine="480"/>
        <w:rPr>
          <w:rStyle w:val="75"/>
          <w:rFonts w:hint="eastAsia" w:ascii="仿宋" w:hAnsi="仿宋" w:eastAsia="仿宋" w:cs="仿宋"/>
          <w:color w:val="auto"/>
          <w:sz w:val="28"/>
          <w:szCs w:val="28"/>
        </w:rPr>
      </w:pPr>
      <w:r>
        <w:rPr>
          <w:rStyle w:val="75"/>
          <w:rFonts w:hint="eastAsia" w:ascii="仿宋" w:hAnsi="仿宋" w:eastAsia="仿宋" w:cs="仿宋"/>
          <w:color w:val="auto"/>
          <w:sz w:val="28"/>
          <w:szCs w:val="28"/>
        </w:rPr>
        <w:t>（2）矿区地处海拔+300米以上的山区，区内植被较发育，有常住居民；季节性冲沟少，地表土体较薄，无较厚的堆积层，一般情况下不易发生滑坡、垮塌、泥石流等地质灾害。根据现有收集的矿山相关资料，矿区内未发现重大污染源存在，未发现对人体健康有害的放射性元素及地热异常；亦无自然风景及人文遗产保护区，自然环境条件较好。</w:t>
      </w:r>
    </w:p>
    <w:p w14:paraId="54D7F1AE">
      <w:pPr>
        <w:ind w:firstLine="480"/>
        <w:rPr>
          <w:rStyle w:val="75"/>
          <w:rFonts w:hint="eastAsia" w:ascii="仿宋" w:hAnsi="仿宋" w:eastAsia="仿宋" w:cs="仿宋"/>
          <w:color w:val="auto"/>
          <w:sz w:val="28"/>
          <w:szCs w:val="28"/>
        </w:rPr>
      </w:pPr>
      <w:r>
        <w:rPr>
          <w:rStyle w:val="75"/>
          <w:rFonts w:hint="eastAsia" w:ascii="仿宋" w:hAnsi="仿宋" w:eastAsia="仿宋" w:cs="仿宋"/>
          <w:color w:val="auto"/>
          <w:sz w:val="28"/>
          <w:szCs w:val="28"/>
        </w:rPr>
        <w:t>（3）矿山开采对地质环境的影响主要表现为采场边坡、排土场的稳定性及水土流失和粉尘污染对环境的影响。开采过程中务必严格按照要求做好相应的安全防护措施及防治工作，以减少对环境的影响。</w:t>
      </w:r>
    </w:p>
    <w:p w14:paraId="01F06557">
      <w:pPr>
        <w:ind w:firstLine="480"/>
        <w:rPr>
          <w:rFonts w:hint="eastAsia" w:ascii="仿宋" w:hAnsi="仿宋" w:eastAsia="仿宋" w:cs="仿宋"/>
          <w:color w:val="auto"/>
          <w:sz w:val="28"/>
          <w:szCs w:val="28"/>
        </w:rPr>
      </w:pPr>
      <w:r>
        <w:rPr>
          <w:rStyle w:val="75"/>
          <w:rFonts w:hint="eastAsia" w:ascii="仿宋" w:hAnsi="仿宋" w:eastAsia="仿宋" w:cs="仿宋"/>
          <w:color w:val="auto"/>
          <w:sz w:val="28"/>
          <w:szCs w:val="28"/>
        </w:rPr>
        <w:t>综上所述，矿区属次生环境地质问题为主的中等类型。</w:t>
      </w:r>
    </w:p>
    <w:p w14:paraId="2F493331">
      <w:pPr>
        <w:pStyle w:val="4"/>
        <w:ind w:firstLine="562"/>
        <w:rPr>
          <w:color w:val="auto"/>
        </w:rPr>
      </w:pPr>
      <w:bookmarkStart w:id="89" w:name="_Toc28399"/>
      <w:bookmarkStart w:id="90" w:name="_Toc21540"/>
      <w:r>
        <w:rPr>
          <w:rFonts w:hint="eastAsia"/>
          <w:color w:val="auto"/>
        </w:rPr>
        <w:t>（六）矿体地质特征</w:t>
      </w:r>
      <w:bookmarkEnd w:id="89"/>
      <w:bookmarkEnd w:id="90"/>
    </w:p>
    <w:p w14:paraId="6239A1EC">
      <w:pPr>
        <w:ind w:firstLine="480"/>
        <w:rPr>
          <w:rStyle w:val="75"/>
          <w:rFonts w:hint="eastAsia" w:ascii="仿宋" w:hAnsi="仿宋" w:eastAsia="仿宋" w:cs="仿宋"/>
          <w:b w:val="0"/>
          <w:bCs w:val="0"/>
          <w:i w:val="0"/>
          <w:iCs w:val="0"/>
          <w:color w:val="auto"/>
          <w:sz w:val="28"/>
          <w:szCs w:val="28"/>
        </w:rPr>
      </w:pPr>
      <w:r>
        <w:rPr>
          <w:rStyle w:val="75"/>
          <w:rFonts w:hint="eastAsia" w:ascii="仿宋" w:hAnsi="仿宋" w:eastAsia="仿宋" w:cs="仿宋"/>
          <w:b w:val="0"/>
          <w:bCs w:val="0"/>
          <w:i w:val="0"/>
          <w:iCs w:val="0"/>
          <w:color w:val="auto"/>
          <w:sz w:val="28"/>
          <w:szCs w:val="28"/>
        </w:rPr>
        <w:t>区内矿体赋存于侏罗系上统蓬莱镇组（J3p）中，主要为紫红色泥岩。</w:t>
      </w:r>
    </w:p>
    <w:p w14:paraId="37B96E18">
      <w:pPr>
        <w:ind w:firstLine="480"/>
        <w:rPr>
          <w:rStyle w:val="75"/>
          <w:rFonts w:hint="eastAsia" w:ascii="仿宋" w:hAnsi="仿宋" w:eastAsia="仿宋" w:cs="仿宋"/>
          <w:b w:val="0"/>
          <w:bCs w:val="0"/>
          <w:i w:val="0"/>
          <w:iCs w:val="0"/>
          <w:color w:val="auto"/>
          <w:sz w:val="28"/>
          <w:szCs w:val="28"/>
        </w:rPr>
      </w:pPr>
      <w:r>
        <w:rPr>
          <w:rStyle w:val="75"/>
          <w:rFonts w:hint="eastAsia" w:ascii="仿宋" w:hAnsi="仿宋" w:eastAsia="仿宋" w:cs="仿宋"/>
          <w:b w:val="0"/>
          <w:bCs w:val="0"/>
          <w:i w:val="0"/>
          <w:iCs w:val="0"/>
          <w:color w:val="auto"/>
          <w:sz w:val="28"/>
          <w:szCs w:val="28"/>
        </w:rPr>
        <w:t>矿体分布于整个工作区内，为</w:t>
      </w:r>
      <w:r>
        <w:rPr>
          <w:rStyle w:val="75"/>
          <w:rFonts w:hint="eastAsia" w:ascii="仿宋" w:hAnsi="仿宋" w:eastAsia="仿宋" w:cs="仿宋"/>
          <w:b w:val="0"/>
          <w:bCs w:val="0"/>
          <w:i w:val="0"/>
          <w:iCs w:val="0"/>
          <w:color w:val="auto"/>
          <w:sz w:val="28"/>
          <w:szCs w:val="28"/>
          <w:lang w:eastAsia="zh-CN"/>
        </w:rPr>
        <w:t>饰面用砂岩</w:t>
      </w:r>
      <w:r>
        <w:rPr>
          <w:rStyle w:val="75"/>
          <w:rFonts w:hint="eastAsia" w:ascii="仿宋" w:hAnsi="仿宋" w:eastAsia="仿宋" w:cs="仿宋"/>
          <w:b w:val="0"/>
          <w:bCs w:val="0"/>
          <w:i w:val="0"/>
          <w:iCs w:val="0"/>
          <w:color w:val="auto"/>
          <w:sz w:val="28"/>
          <w:szCs w:val="28"/>
        </w:rPr>
        <w:t>，呈近水平层状产出。矿区中间高四周低，东西向长度约560m，最</w:t>
      </w:r>
      <w:r>
        <w:rPr>
          <w:rStyle w:val="75"/>
          <w:rFonts w:hint="eastAsia" w:ascii="仿宋" w:hAnsi="仿宋" w:eastAsia="仿宋" w:cs="仿宋"/>
          <w:b w:val="0"/>
          <w:bCs w:val="0"/>
          <w:i w:val="0"/>
          <w:iCs w:val="0"/>
          <w:color w:val="auto"/>
          <w:sz w:val="28"/>
          <w:szCs w:val="28"/>
          <w:lang w:eastAsia="zh-CN"/>
        </w:rPr>
        <w:t>宽</w:t>
      </w:r>
      <w:r>
        <w:rPr>
          <w:rStyle w:val="75"/>
          <w:rFonts w:hint="eastAsia" w:ascii="仿宋" w:hAnsi="仿宋" w:eastAsia="仿宋" w:cs="仿宋"/>
          <w:b w:val="0"/>
          <w:bCs w:val="0"/>
          <w:i w:val="0"/>
          <w:iCs w:val="0"/>
          <w:color w:val="auto"/>
          <w:sz w:val="28"/>
          <w:szCs w:val="28"/>
        </w:rPr>
        <w:t>处约110m，最窄处约50m，相对高差约50m，矿体总体形态简单，无夹石，分布面积广，厚度稳定。</w:t>
      </w:r>
    </w:p>
    <w:p w14:paraId="1CDEA9C6">
      <w:pPr>
        <w:ind w:firstLine="480"/>
        <w:rPr>
          <w:rStyle w:val="75"/>
          <w:rFonts w:hint="eastAsia" w:ascii="仿宋" w:hAnsi="仿宋" w:eastAsia="仿宋" w:cs="仿宋"/>
          <w:b w:val="0"/>
          <w:bCs w:val="0"/>
          <w:i w:val="0"/>
          <w:iCs w:val="0"/>
          <w:color w:val="auto"/>
          <w:sz w:val="28"/>
          <w:szCs w:val="28"/>
        </w:rPr>
      </w:pPr>
      <w:r>
        <w:rPr>
          <w:rStyle w:val="75"/>
          <w:rFonts w:hint="eastAsia" w:ascii="仿宋" w:hAnsi="仿宋" w:eastAsia="仿宋" w:cs="仿宋"/>
          <w:b w:val="0"/>
          <w:bCs w:val="0"/>
          <w:i w:val="0"/>
          <w:iCs w:val="0"/>
          <w:color w:val="auto"/>
          <w:sz w:val="28"/>
          <w:szCs w:val="28"/>
        </w:rPr>
        <w:t>区内矿体连续，分布于整个工作区，按大英县自然资源和规划局规划设立的矿区范围，拟设开采标高350～</w:t>
      </w:r>
      <w:r>
        <w:rPr>
          <w:rStyle w:val="75"/>
          <w:rFonts w:hint="eastAsia" w:ascii="仿宋" w:hAnsi="仿宋" w:eastAsia="仿宋" w:cs="仿宋"/>
          <w:b w:val="0"/>
          <w:bCs w:val="0"/>
          <w:i w:val="0"/>
          <w:iCs w:val="0"/>
          <w:color w:val="auto"/>
          <w:sz w:val="28"/>
          <w:szCs w:val="28"/>
          <w:lang w:eastAsia="zh-CN"/>
        </w:rPr>
        <w:t>400</w:t>
      </w:r>
      <w:r>
        <w:rPr>
          <w:rStyle w:val="75"/>
          <w:rFonts w:hint="eastAsia" w:ascii="仿宋" w:hAnsi="仿宋" w:eastAsia="仿宋" w:cs="仿宋"/>
          <w:b w:val="0"/>
          <w:bCs w:val="0"/>
          <w:i w:val="0"/>
          <w:iCs w:val="0"/>
          <w:color w:val="auto"/>
          <w:sz w:val="28"/>
          <w:szCs w:val="28"/>
        </w:rPr>
        <w:t>m，根据钻孔揭露矿体厚度30.20～35.70m，未见底。</w:t>
      </w:r>
    </w:p>
    <w:p w14:paraId="315B9553">
      <w:pPr>
        <w:pStyle w:val="3"/>
        <w:ind w:firstLine="602"/>
        <w:rPr>
          <w:color w:val="auto"/>
        </w:rPr>
      </w:pPr>
      <w:bookmarkStart w:id="91" w:name="_Toc22442"/>
      <w:bookmarkStart w:id="92" w:name="_Toc32711"/>
      <w:r>
        <w:rPr>
          <w:rFonts w:hint="eastAsia"/>
          <w:color w:val="auto"/>
        </w:rPr>
        <w:t>三、矿区社会经济概况</w:t>
      </w:r>
      <w:bookmarkEnd w:id="91"/>
      <w:bookmarkEnd w:id="92"/>
    </w:p>
    <w:p w14:paraId="351CDE5B">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rPr>
        <w:t>经遂宁市统计局审定，2022年实现</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"https://baike.sogou.com/lemma/ShowInnerLink.htm?lemmaId=101632548&amp;ss_c=ssc.citiao.link" \t "_blank"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地区生产总值</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GDP)174.87亿元，按可比价格计算比上年(下同)增长8.1%。其中，第一产业增加值29.08亿元，增长2.3%，对经济增长的贡献率为4.9%，拉动经济增长0.4个百分点;第二产业增加值72.51亿元，增长9.4%，对经济增长的贡献率为58.3%，拉动经济增长4.75个百分点;第三产业增加值73.28亿元，增长9.4%，对经济增长的贡献率为36.7%，拉动经济增长2.99个百分点。三次产业结构由上年的15.5:49.5:35调整为今年的16.6:41.5:41.9。人均地区生产总值36356元，增长8.1%。</w:t>
      </w:r>
    </w:p>
    <w:p w14:paraId="6B9D7026">
      <w:pPr>
        <w:pStyle w:val="3"/>
        <w:keepNext/>
        <w:keepLines/>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auto"/>
          <w:highlight w:val="none"/>
        </w:rPr>
      </w:pPr>
      <w:bookmarkStart w:id="93" w:name="_Toc11788"/>
      <w:r>
        <w:rPr>
          <w:rFonts w:ascii="Times New Roman" w:hAnsi="Times New Roman" w:eastAsia="宋体" w:cs="Times New Roman"/>
          <w:color w:val="auto"/>
          <w:highlight w:val="none"/>
        </w:rPr>
        <w:t>四、矿区土地利用现状</w:t>
      </w:r>
      <w:bookmarkEnd w:id="93"/>
    </w:p>
    <w:p w14:paraId="28AD9A4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蓬莱镇紫云村饰面用砂岩矿</w:t>
      </w:r>
      <w:r>
        <w:rPr>
          <w:rFonts w:hint="eastAsia" w:ascii="仿宋" w:hAnsi="仿宋" w:eastAsia="仿宋" w:cs="仿宋"/>
          <w:color w:val="auto"/>
          <w:sz w:val="28"/>
          <w:szCs w:val="28"/>
          <w:highlight w:val="none"/>
        </w:rPr>
        <w:t>矿区面积</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包括采矿权面积及矿山活动范围。</w:t>
      </w:r>
      <w:r>
        <w:rPr>
          <w:rFonts w:hint="eastAsia" w:ascii="仿宋" w:hAnsi="仿宋" w:eastAsia="仿宋" w:cs="仿宋"/>
          <w:color w:val="auto"/>
          <w:sz w:val="28"/>
          <w:szCs w:val="28"/>
          <w:highlight w:val="none"/>
        </w:rPr>
        <w:t>项目区无永久用地。土地利用类型包括乔木林地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其他草地、旱地</w:t>
      </w:r>
      <w:r>
        <w:rPr>
          <w:rFonts w:hint="eastAsia" w:ascii="仿宋" w:hAnsi="仿宋" w:eastAsia="仿宋" w:cs="仿宋"/>
          <w:color w:val="auto"/>
          <w:sz w:val="28"/>
          <w:szCs w:val="28"/>
          <w:highlight w:val="none"/>
        </w:rPr>
        <w:t>。土地权属清楚，无争议。根据</w:t>
      </w:r>
      <w:r>
        <w:rPr>
          <w:rFonts w:hint="eastAsia" w:ascii="仿宋" w:hAnsi="仿宋" w:eastAsia="仿宋" w:cs="仿宋"/>
          <w:color w:val="auto"/>
          <w:sz w:val="28"/>
          <w:szCs w:val="28"/>
          <w:highlight w:val="none"/>
          <w:lang w:val="en-US" w:eastAsia="zh-CN"/>
        </w:rPr>
        <w:t>最新年度</w:t>
      </w:r>
      <w:r>
        <w:rPr>
          <w:rFonts w:hint="eastAsia" w:ascii="仿宋" w:hAnsi="仿宋" w:eastAsia="仿宋" w:cs="仿宋"/>
          <w:color w:val="auto"/>
          <w:sz w:val="28"/>
          <w:szCs w:val="28"/>
          <w:highlight w:val="none"/>
        </w:rPr>
        <w:t>土地利用现状变更调查数据，对矿区范围土地利用情况进行分类统计，详见表2-2。</w:t>
      </w:r>
    </w:p>
    <w:p w14:paraId="28F7C56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自然资源和规划局提供的</w:t>
      </w:r>
      <w:r>
        <w:rPr>
          <w:rFonts w:hint="eastAsia" w:ascii="仿宋" w:hAnsi="仿宋" w:eastAsia="仿宋" w:cs="仿宋"/>
          <w:color w:val="auto"/>
          <w:sz w:val="28"/>
          <w:szCs w:val="28"/>
          <w:highlight w:val="none"/>
          <w:lang w:val="en-US" w:eastAsia="zh-CN"/>
        </w:rPr>
        <w:t>2022年度</w:t>
      </w:r>
      <w:r>
        <w:rPr>
          <w:rFonts w:hint="eastAsia" w:ascii="仿宋" w:hAnsi="仿宋" w:eastAsia="仿宋" w:cs="仿宋"/>
          <w:color w:val="auto"/>
          <w:sz w:val="28"/>
          <w:szCs w:val="28"/>
          <w:highlight w:val="none"/>
        </w:rPr>
        <w:t>土地利用现状变更调查数据及“三区三线”数据，结合本方案调查确定的矿山损毁范围，通过ArcGIS软件进行数据叠加分析得出矿区土地利用现状及占用基本农田情况。</w:t>
      </w:r>
      <w:r>
        <w:rPr>
          <w:rFonts w:hint="eastAsia" w:ascii="仿宋" w:hAnsi="仿宋" w:eastAsia="仿宋" w:cs="仿宋"/>
          <w:b/>
          <w:color w:val="auto"/>
          <w:sz w:val="28"/>
          <w:szCs w:val="28"/>
          <w:highlight w:val="none"/>
        </w:rPr>
        <w:t>本项目未占用基本农田。</w:t>
      </w:r>
    </w:p>
    <w:p w14:paraId="58CBA53A">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表2-2  矿区范围土地利用现状表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308"/>
        <w:gridCol w:w="832"/>
        <w:gridCol w:w="1553"/>
        <w:gridCol w:w="1417"/>
        <w:gridCol w:w="1878"/>
      </w:tblGrid>
      <w:tr w14:paraId="24C1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0" w:type="dxa"/>
            <w:gridSpan w:val="2"/>
            <w:vAlign w:val="center"/>
          </w:tcPr>
          <w:p w14:paraId="5C444DA4">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一级地类</w:t>
            </w:r>
          </w:p>
        </w:tc>
        <w:tc>
          <w:tcPr>
            <w:tcW w:w="2385" w:type="dxa"/>
            <w:gridSpan w:val="2"/>
            <w:vAlign w:val="center"/>
          </w:tcPr>
          <w:p w14:paraId="355AA2F5">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二级地类</w:t>
            </w:r>
          </w:p>
        </w:tc>
        <w:tc>
          <w:tcPr>
            <w:tcW w:w="1417" w:type="dxa"/>
            <w:vAlign w:val="center"/>
          </w:tcPr>
          <w:p w14:paraId="371D1236">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面积</w:t>
            </w:r>
          </w:p>
        </w:tc>
        <w:tc>
          <w:tcPr>
            <w:tcW w:w="1878" w:type="dxa"/>
            <w:vAlign w:val="center"/>
          </w:tcPr>
          <w:p w14:paraId="6DB87773">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占总面积比例（%）</w:t>
            </w:r>
          </w:p>
        </w:tc>
      </w:tr>
      <w:tr w14:paraId="01AC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Align w:val="center"/>
          </w:tcPr>
          <w:p w14:paraId="18DAA42E">
            <w:pPr>
              <w:widowControl/>
              <w:spacing w:line="240" w:lineRule="auto"/>
              <w:ind w:firstLine="0" w:firstLineChars="0"/>
              <w:jc w:val="center"/>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rPr>
              <w:t>0</w:t>
            </w:r>
            <w:r>
              <w:rPr>
                <w:rFonts w:hint="eastAsia" w:ascii="仿宋" w:hAnsi="仿宋" w:eastAsia="仿宋" w:cs="仿宋"/>
                <w:color w:val="auto"/>
                <w:kern w:val="0"/>
                <w:sz w:val="21"/>
                <w:szCs w:val="21"/>
                <w:lang w:val="en-US" w:eastAsia="zh-CN"/>
              </w:rPr>
              <w:t>3</w:t>
            </w:r>
          </w:p>
        </w:tc>
        <w:tc>
          <w:tcPr>
            <w:tcW w:w="1308" w:type="dxa"/>
            <w:vAlign w:val="center"/>
          </w:tcPr>
          <w:p w14:paraId="33209675">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林地</w:t>
            </w:r>
          </w:p>
        </w:tc>
        <w:tc>
          <w:tcPr>
            <w:tcW w:w="832" w:type="dxa"/>
            <w:vAlign w:val="center"/>
          </w:tcPr>
          <w:p w14:paraId="72EE6C75">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0</w:t>
            </w:r>
            <w:r>
              <w:rPr>
                <w:rFonts w:hint="eastAsia" w:ascii="仿宋" w:hAnsi="仿宋" w:eastAsia="仿宋" w:cs="仿宋"/>
                <w:color w:val="auto"/>
                <w:kern w:val="0"/>
                <w:sz w:val="21"/>
                <w:szCs w:val="21"/>
                <w:lang w:val="en-US" w:eastAsia="zh-CN"/>
              </w:rPr>
              <w:t>3</w:t>
            </w:r>
            <w:r>
              <w:rPr>
                <w:rFonts w:hint="eastAsia" w:ascii="仿宋" w:hAnsi="仿宋" w:eastAsia="仿宋" w:cs="仿宋"/>
                <w:color w:val="auto"/>
                <w:kern w:val="0"/>
                <w:sz w:val="21"/>
                <w:szCs w:val="21"/>
              </w:rPr>
              <w:t>01</w:t>
            </w:r>
          </w:p>
        </w:tc>
        <w:tc>
          <w:tcPr>
            <w:tcW w:w="1553" w:type="dxa"/>
            <w:vAlign w:val="center"/>
          </w:tcPr>
          <w:p w14:paraId="36B594CE">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乔木林地</w:t>
            </w:r>
          </w:p>
        </w:tc>
        <w:tc>
          <w:tcPr>
            <w:tcW w:w="1417" w:type="dxa"/>
            <w:vAlign w:val="center"/>
          </w:tcPr>
          <w:p w14:paraId="2856325B">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0.65</w:t>
            </w:r>
          </w:p>
        </w:tc>
        <w:tc>
          <w:tcPr>
            <w:tcW w:w="1878" w:type="dxa"/>
            <w:vAlign w:val="center"/>
          </w:tcPr>
          <w:p w14:paraId="52E5BB58">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81.25</w:t>
            </w:r>
          </w:p>
        </w:tc>
      </w:tr>
      <w:tr w14:paraId="33B2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2" w:type="dxa"/>
            <w:vAlign w:val="center"/>
          </w:tcPr>
          <w:p w14:paraId="725FB44E">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04</w:t>
            </w:r>
          </w:p>
        </w:tc>
        <w:tc>
          <w:tcPr>
            <w:tcW w:w="1308" w:type="dxa"/>
            <w:vAlign w:val="center"/>
          </w:tcPr>
          <w:p w14:paraId="56D777FC">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草地</w:t>
            </w:r>
          </w:p>
        </w:tc>
        <w:tc>
          <w:tcPr>
            <w:tcW w:w="832" w:type="dxa"/>
            <w:vAlign w:val="center"/>
          </w:tcPr>
          <w:p w14:paraId="3FB63280">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0404</w:t>
            </w:r>
          </w:p>
        </w:tc>
        <w:tc>
          <w:tcPr>
            <w:tcW w:w="1553" w:type="dxa"/>
            <w:vAlign w:val="center"/>
          </w:tcPr>
          <w:p w14:paraId="0A2C9C0E">
            <w:pPr>
              <w:widowControl/>
              <w:spacing w:line="240" w:lineRule="auto"/>
              <w:ind w:firstLine="0" w:firstLineChars="0"/>
              <w:jc w:val="center"/>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rPr>
              <w:t>其他</w:t>
            </w:r>
            <w:r>
              <w:rPr>
                <w:rFonts w:hint="eastAsia" w:ascii="仿宋" w:hAnsi="仿宋" w:eastAsia="仿宋" w:cs="仿宋"/>
                <w:color w:val="auto"/>
                <w:kern w:val="0"/>
                <w:sz w:val="21"/>
                <w:szCs w:val="21"/>
                <w:lang w:val="en-US" w:eastAsia="zh-CN"/>
              </w:rPr>
              <w:t>草地</w:t>
            </w:r>
          </w:p>
        </w:tc>
        <w:tc>
          <w:tcPr>
            <w:tcW w:w="1417" w:type="dxa"/>
            <w:vAlign w:val="center"/>
          </w:tcPr>
          <w:p w14:paraId="050A08EC">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0.05</w:t>
            </w:r>
          </w:p>
        </w:tc>
        <w:tc>
          <w:tcPr>
            <w:tcW w:w="1878" w:type="dxa"/>
            <w:vAlign w:val="center"/>
          </w:tcPr>
          <w:p w14:paraId="7F0F4D43">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6.25</w:t>
            </w:r>
          </w:p>
        </w:tc>
      </w:tr>
      <w:tr w14:paraId="333D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2" w:type="dxa"/>
            <w:vAlign w:val="center"/>
          </w:tcPr>
          <w:p w14:paraId="4F2C3455">
            <w:pPr>
              <w:widowControl/>
              <w:spacing w:line="240" w:lineRule="auto"/>
              <w:ind w:firstLine="0" w:firstLineChars="0"/>
              <w:jc w:val="center"/>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rPr>
              <w:t>0</w:t>
            </w:r>
            <w:r>
              <w:rPr>
                <w:rFonts w:hint="eastAsia" w:ascii="仿宋" w:hAnsi="仿宋" w:eastAsia="仿宋" w:cs="仿宋"/>
                <w:color w:val="auto"/>
                <w:kern w:val="0"/>
                <w:sz w:val="21"/>
                <w:szCs w:val="21"/>
                <w:lang w:val="en-US" w:eastAsia="zh-CN"/>
              </w:rPr>
              <w:t>1</w:t>
            </w:r>
          </w:p>
        </w:tc>
        <w:tc>
          <w:tcPr>
            <w:tcW w:w="1308" w:type="dxa"/>
            <w:vAlign w:val="center"/>
          </w:tcPr>
          <w:p w14:paraId="5260962A">
            <w:pPr>
              <w:widowControl/>
              <w:spacing w:line="240" w:lineRule="auto"/>
              <w:ind w:firstLine="0" w:firstLineChars="0"/>
              <w:jc w:val="center"/>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lang w:val="en-US" w:eastAsia="zh-CN"/>
              </w:rPr>
              <w:t>耕地</w:t>
            </w:r>
          </w:p>
        </w:tc>
        <w:tc>
          <w:tcPr>
            <w:tcW w:w="832" w:type="dxa"/>
            <w:vAlign w:val="center"/>
          </w:tcPr>
          <w:p w14:paraId="176072C4">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0103</w:t>
            </w:r>
          </w:p>
        </w:tc>
        <w:tc>
          <w:tcPr>
            <w:tcW w:w="1553" w:type="dxa"/>
            <w:vAlign w:val="center"/>
          </w:tcPr>
          <w:p w14:paraId="34FF921D">
            <w:pPr>
              <w:widowControl/>
              <w:spacing w:line="240" w:lineRule="auto"/>
              <w:ind w:firstLine="0" w:firstLineChars="0"/>
              <w:jc w:val="center"/>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lang w:val="en-US" w:eastAsia="zh-CN"/>
              </w:rPr>
              <w:t>旱地</w:t>
            </w:r>
          </w:p>
        </w:tc>
        <w:tc>
          <w:tcPr>
            <w:tcW w:w="1417" w:type="dxa"/>
            <w:vAlign w:val="center"/>
          </w:tcPr>
          <w:p w14:paraId="79E88B6B">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0.1</w:t>
            </w:r>
          </w:p>
        </w:tc>
        <w:tc>
          <w:tcPr>
            <w:tcW w:w="1878" w:type="dxa"/>
            <w:vAlign w:val="center"/>
          </w:tcPr>
          <w:p w14:paraId="26D96F6B">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12.5</w:t>
            </w:r>
          </w:p>
        </w:tc>
      </w:tr>
      <w:tr w14:paraId="5B50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45" w:type="dxa"/>
            <w:gridSpan w:val="4"/>
            <w:vAlign w:val="center"/>
          </w:tcPr>
          <w:p w14:paraId="41937391">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合计</w:t>
            </w:r>
          </w:p>
        </w:tc>
        <w:tc>
          <w:tcPr>
            <w:tcW w:w="1417" w:type="dxa"/>
            <w:vAlign w:val="center"/>
          </w:tcPr>
          <w:p w14:paraId="06CCA5A9">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0.8</w:t>
            </w:r>
          </w:p>
        </w:tc>
        <w:tc>
          <w:tcPr>
            <w:tcW w:w="1878" w:type="dxa"/>
            <w:vAlign w:val="center"/>
          </w:tcPr>
          <w:p w14:paraId="02083DF2">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100</w:t>
            </w:r>
          </w:p>
        </w:tc>
      </w:tr>
    </w:tbl>
    <w:p w14:paraId="4962E567">
      <w:pPr>
        <w:pStyle w:val="13"/>
        <w:rPr>
          <w:color w:val="auto"/>
        </w:rPr>
      </w:pPr>
    </w:p>
    <w:p w14:paraId="32D684A0">
      <w:pPr>
        <w:pStyle w:val="3"/>
        <w:rPr>
          <w:rFonts w:ascii="Times New Roman" w:hAnsi="Times New Roman" w:eastAsia="宋体" w:cs="Times New Roman"/>
          <w:color w:val="auto"/>
          <w:sz w:val="30"/>
          <w:szCs w:val="30"/>
          <w:highlight w:val="none"/>
        </w:rPr>
      </w:pPr>
      <w:bookmarkStart w:id="94" w:name="_Toc23234"/>
      <w:r>
        <w:rPr>
          <w:rFonts w:ascii="Times New Roman" w:hAnsi="Times New Roman" w:eastAsia="宋体" w:cs="Times New Roman"/>
          <w:color w:val="auto"/>
          <w:sz w:val="30"/>
          <w:szCs w:val="30"/>
          <w:highlight w:val="none"/>
        </w:rPr>
        <w:t>五、矿山及周边其他人类重大工程活动</w:t>
      </w:r>
      <w:bookmarkEnd w:id="94"/>
    </w:p>
    <w:p w14:paraId="6D0EB5F4">
      <w:pPr>
        <w:spacing w:line="336"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本矿区植被覆盖率高，评估区人类工程活动以农耕活动为主，对环境影响较轻，整体矿山周边人类工程活动一般。粮食作物主要有水稻、小麦、玉米、豆类等，植被发育，类型以白杨、</w:t>
      </w:r>
      <w:r>
        <w:rPr>
          <w:rFonts w:hint="eastAsia" w:ascii="仿宋" w:hAnsi="仿宋" w:eastAsia="仿宋" w:cs="仿宋"/>
          <w:color w:val="auto"/>
          <w:sz w:val="28"/>
          <w:szCs w:val="28"/>
          <w:highlight w:val="none"/>
          <w:lang w:val="en-US" w:eastAsia="zh-CN"/>
        </w:rPr>
        <w:t>柏木</w:t>
      </w:r>
      <w:r>
        <w:rPr>
          <w:rFonts w:hint="eastAsia" w:ascii="仿宋" w:hAnsi="仿宋" w:eastAsia="仿宋" w:cs="仿宋"/>
          <w:color w:val="auto"/>
          <w:sz w:val="28"/>
          <w:szCs w:val="28"/>
          <w:highlight w:val="none"/>
        </w:rPr>
        <w:t>、马尾松为主。矿山及其邻近周边区域无重点交通干线、旅游景点及文物保护单位</w:t>
      </w:r>
      <w:r>
        <w:rPr>
          <w:rFonts w:ascii="Times New Roman" w:hAnsi="Times New Roman" w:eastAsia="宋体" w:cs="Times New Roman"/>
          <w:color w:val="auto"/>
          <w:sz w:val="24"/>
          <w:szCs w:val="24"/>
          <w:highlight w:val="none"/>
        </w:rPr>
        <w:t>。</w:t>
      </w:r>
    </w:p>
    <w:p w14:paraId="66E960F8">
      <w:pPr>
        <w:rPr>
          <w:rFonts w:ascii="Times New Roman" w:hAnsi="Times New Roman" w:eastAsia="宋体" w:cs="Times New Roman"/>
          <w:color w:val="auto"/>
          <w:sz w:val="24"/>
          <w:szCs w:val="24"/>
          <w:highlight w:val="none"/>
        </w:rPr>
        <w:sectPr>
          <w:pgSz w:w="11906" w:h="16838"/>
          <w:pgMar w:top="1440" w:right="1800" w:bottom="1440" w:left="1800" w:header="851" w:footer="992" w:gutter="0"/>
          <w:cols w:space="425" w:num="1"/>
          <w:docGrid w:type="lines" w:linePitch="312" w:charSpace="0"/>
        </w:sectPr>
      </w:pPr>
    </w:p>
    <w:p w14:paraId="0F4506AC">
      <w:pPr>
        <w:pStyle w:val="2"/>
        <w:spacing w:before="200" w:after="200" w:line="360" w:lineRule="auto"/>
        <w:jc w:val="center"/>
        <w:rPr>
          <w:rFonts w:ascii="Times New Roman" w:hAnsi="Times New Roman" w:eastAsia="宋体" w:cs="Times New Roman"/>
          <w:bCs/>
          <w:color w:val="auto"/>
          <w:sz w:val="32"/>
          <w:szCs w:val="44"/>
          <w:highlight w:val="none"/>
        </w:rPr>
      </w:pPr>
      <w:bookmarkStart w:id="95" w:name="_Toc24637"/>
      <w:r>
        <w:rPr>
          <w:rFonts w:ascii="Times New Roman" w:hAnsi="Times New Roman" w:eastAsia="宋体" w:cs="Times New Roman"/>
          <w:bCs/>
          <w:color w:val="auto"/>
          <w:sz w:val="32"/>
          <w:szCs w:val="44"/>
          <w:highlight w:val="none"/>
        </w:rPr>
        <w:t>第3章 矿山地质环境影响和土地损毁评估</w:t>
      </w:r>
      <w:bookmarkEnd w:id="95"/>
    </w:p>
    <w:p w14:paraId="06DA67E8">
      <w:pPr>
        <w:pStyle w:val="3"/>
        <w:rPr>
          <w:rFonts w:ascii="Times New Roman" w:hAnsi="Times New Roman" w:eastAsia="宋体" w:cs="Times New Roman"/>
          <w:color w:val="auto"/>
          <w:sz w:val="30"/>
          <w:szCs w:val="30"/>
          <w:highlight w:val="none"/>
        </w:rPr>
      </w:pPr>
      <w:bookmarkStart w:id="96" w:name="_Toc22121"/>
      <w:r>
        <w:rPr>
          <w:rFonts w:ascii="Times New Roman" w:hAnsi="Times New Roman" w:eastAsia="宋体" w:cs="Times New Roman"/>
          <w:color w:val="auto"/>
          <w:sz w:val="30"/>
          <w:szCs w:val="30"/>
          <w:highlight w:val="none"/>
        </w:rPr>
        <w:t>一、矿山地质环境与土地资源调查概述</w:t>
      </w:r>
      <w:bookmarkEnd w:id="96"/>
    </w:p>
    <w:p w14:paraId="69FDAC5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本次调查工作中，我们首先熟悉工作程序，确定工作重点，制定实施计划。在收集资料的基础上，开展矿山地质环境现状调查。在开展现场调查工作前，收集了《</w:t>
      </w:r>
      <w:r>
        <w:rPr>
          <w:rFonts w:hint="eastAsia" w:ascii="仿宋" w:hAnsi="仿宋" w:eastAsia="仿宋" w:cs="仿宋"/>
          <w:color w:val="auto"/>
          <w:sz w:val="28"/>
          <w:szCs w:val="28"/>
          <w:highlight w:val="none"/>
          <w:lang w:val="en-US" w:eastAsia="zh-CN"/>
        </w:rPr>
        <w:t>大英县蓬莱镇紫云村饰面用砂岩</w:t>
      </w:r>
      <w:r>
        <w:rPr>
          <w:rFonts w:hint="eastAsia" w:ascii="仿宋" w:hAnsi="仿宋" w:eastAsia="仿宋" w:cs="仿宋"/>
          <w:color w:val="auto"/>
          <w:sz w:val="28"/>
          <w:szCs w:val="28"/>
          <w:highlight w:val="none"/>
        </w:rPr>
        <w:t>矿矿资源开发利用方案》、《</w:t>
      </w:r>
      <w:r>
        <w:rPr>
          <w:rFonts w:hint="eastAsia" w:ascii="仿宋" w:hAnsi="仿宋" w:eastAsia="仿宋" w:cs="仿宋"/>
          <w:color w:val="auto"/>
          <w:sz w:val="28"/>
          <w:szCs w:val="28"/>
          <w:highlight w:val="none"/>
          <w:lang w:val="en-US" w:eastAsia="zh-CN"/>
        </w:rPr>
        <w:t>大英县蓬莱镇紫云村饰面用砂岩</w:t>
      </w:r>
      <w:r>
        <w:rPr>
          <w:rFonts w:hint="eastAsia" w:ascii="仿宋" w:hAnsi="仿宋" w:eastAsia="仿宋" w:cs="仿宋"/>
          <w:color w:val="auto"/>
          <w:sz w:val="28"/>
          <w:szCs w:val="28"/>
          <w:highlight w:val="none"/>
        </w:rPr>
        <w:t>矿</w:t>
      </w:r>
      <w:r>
        <w:rPr>
          <w:rFonts w:hint="eastAsia" w:ascii="仿宋" w:hAnsi="仿宋" w:eastAsia="仿宋" w:cs="仿宋"/>
          <w:color w:val="auto"/>
          <w:sz w:val="28"/>
          <w:szCs w:val="28"/>
          <w:highlight w:val="none"/>
          <w:lang w:val="en-US" w:eastAsia="zh-CN"/>
        </w:rPr>
        <w:t>勘查报告</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土地利用现状图》等资料，并进行了分析、整理，了解矿山地质环境条件，分析已有资料情况，确定补充资料内容和现场调查方法、调查路线及调查内容。</w:t>
      </w:r>
    </w:p>
    <w:p w14:paraId="1D43D0B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调查时间为202</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月，现场调查采用路线穿插，地质环境点重点追索的调查方法进行。做到了逢人必问、遇沟必看，访问调查与实际调查相结合。现场采用1：2000 地形图作为现场调查手图，调查点采用GPS和地形地物校核定位，对可能因采矿活动而受影响的范围进行重点调查，并对灾点和重要地质现象进行详细记录和拍照，保证了调查的质量。</w:t>
      </w:r>
    </w:p>
    <w:p w14:paraId="7BC51B6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矿山地质环境保护与恢复治理方案编制规范》（DZ/T223－2011）的规定：矿山地质环境调查范围为采矿登记范围和采矿活动可能影响到的范围，因此，现场调查范围以划定矿区范围为基础，根据矿山所处地理位置及周边环境特征，综合已有道路设施及设计采矿工程等设施场地完整性，矿山露天开采活动及其他矿业影响范围，确定调查范围面积。</w:t>
      </w:r>
    </w:p>
    <w:p w14:paraId="68D35B0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现场调查内容主要对现场调查内的地表重要建筑设施、村庄、居民饮用水、河流等进行了调查。主要对区内交通、矿山建设情况、居民饮用水井、村庄、河流、植被覆盖率、地形地貌景观、可能引发的地质灾害等进行了调查，基本查明了矿山开采影响范围内的矿山地质环境现状与土地利用现状问题。</w:t>
      </w:r>
    </w:p>
    <w:p w14:paraId="33D8F08A">
      <w:pPr>
        <w:pStyle w:val="3"/>
        <w:rPr>
          <w:rFonts w:ascii="Times New Roman" w:hAnsi="Times New Roman" w:eastAsia="宋体" w:cs="Times New Roman"/>
          <w:color w:val="auto"/>
          <w:sz w:val="30"/>
          <w:szCs w:val="30"/>
          <w:highlight w:val="none"/>
        </w:rPr>
      </w:pPr>
      <w:bookmarkStart w:id="97" w:name="_Toc9148"/>
      <w:r>
        <w:rPr>
          <w:rFonts w:ascii="Times New Roman" w:hAnsi="Times New Roman" w:eastAsia="宋体" w:cs="Times New Roman"/>
          <w:color w:val="auto"/>
          <w:sz w:val="30"/>
          <w:szCs w:val="30"/>
          <w:highlight w:val="none"/>
        </w:rPr>
        <w:t>二、矿山地质环境影响评估</w:t>
      </w:r>
      <w:bookmarkEnd w:id="97"/>
    </w:p>
    <w:p w14:paraId="6942F4C7">
      <w:pPr>
        <w:pStyle w:val="4"/>
        <w:rPr>
          <w:rFonts w:ascii="Times New Roman" w:hAnsi="Times New Roman" w:eastAsia="宋体" w:cs="Times New Roman"/>
          <w:color w:val="auto"/>
          <w:sz w:val="28"/>
          <w:szCs w:val="28"/>
          <w:highlight w:val="none"/>
        </w:rPr>
      </w:pPr>
      <w:bookmarkStart w:id="98" w:name="_Toc8492"/>
      <w:r>
        <w:rPr>
          <w:rFonts w:ascii="Times New Roman" w:hAnsi="Times New Roman" w:eastAsia="宋体" w:cs="Times New Roman"/>
          <w:color w:val="auto"/>
          <w:sz w:val="28"/>
          <w:szCs w:val="28"/>
          <w:highlight w:val="none"/>
        </w:rPr>
        <w:t>（一）评估范围和评估级别</w:t>
      </w:r>
      <w:bookmarkEnd w:id="98"/>
    </w:p>
    <w:p w14:paraId="596E6C5E">
      <w:pPr>
        <w:spacing w:line="360" w:lineRule="auto"/>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1、评估范围</w:t>
      </w:r>
    </w:p>
    <w:p w14:paraId="794E743A">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依据《矿山地质环境保护与恢复治理方案编制规范》(DZ/T 0223-2011)的有关要求，评估区范围应根据矿山地质环境调查情况确定。结合本矿山的特点，针对矿山开采对周边可能影响的范围,本矿山地质灾害和地质环境问题主要包括潜在地质灾害和土地资源破坏,确定本次方案编制的范围为矿山采矿活动最大的影响范围。依据开发利用方案，结合矿山地质环境综合调查成果分析研究，根据矿山分布范围及周边地质环境条件复杂程度，沟谷的分布及发育程度、矿山布局、采矿影响范围等向外扩展到有可能遭受影响的自然灾害，确定评估区范围。</w:t>
      </w:r>
    </w:p>
    <w:p w14:paraId="00CDF41A">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矿区面积为</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，方案评估范围在矿权范围的基础上外扩，结合矿体分布区域并参照分水岭及开发设计影响范围综合测定评估范围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评估区面积约</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。矿区基本包括了本次矿山地质环境调查范围内可能存在的地质环境问题及其影响区域，同时，矿业活动可能影响到的人居环境区域也</w:t>
      </w:r>
      <w:r>
        <w:rPr>
          <w:rFonts w:hint="eastAsia" w:ascii="仿宋" w:hAnsi="仿宋" w:eastAsia="仿宋" w:cs="仿宋"/>
          <w:color w:val="auto"/>
          <w:sz w:val="28"/>
          <w:szCs w:val="28"/>
          <w:highlight w:val="none"/>
          <w:lang w:val="en-US" w:eastAsia="zh-CN"/>
        </w:rPr>
        <w:t>涵盖</w:t>
      </w:r>
      <w:r>
        <w:rPr>
          <w:rFonts w:hint="eastAsia" w:ascii="仿宋" w:hAnsi="仿宋" w:eastAsia="仿宋" w:cs="仿宋"/>
          <w:color w:val="auto"/>
          <w:sz w:val="28"/>
          <w:szCs w:val="28"/>
          <w:highlight w:val="none"/>
        </w:rPr>
        <w:t>其中。</w:t>
      </w:r>
    </w:p>
    <w:p w14:paraId="20655712">
      <w:pPr>
        <w:spacing w:line="360" w:lineRule="auto"/>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2、评估级别</w:t>
      </w:r>
    </w:p>
    <w:p w14:paraId="70A2A2E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根据评估区重要程度、矿山生产建设规模、矿山地质环境复杂程度综合确定。</w:t>
      </w:r>
    </w:p>
    <w:p w14:paraId="7C6A056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（1）评估区重要程度</w:t>
      </w:r>
    </w:p>
    <w:p w14:paraId="12258881">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根据现场调查情况和收集的数据资料显示，矿区居民居住分散。评估区内无水系、重要交通要道或建筑设施；远离各级自然保护区及旅游景区；无水库、河流等较重要地表水体，评估区土地类型主要为旱地、乔木林地、</w:t>
      </w:r>
      <w:r>
        <w:rPr>
          <w:rFonts w:hint="eastAsia" w:ascii="仿宋" w:hAnsi="仿宋" w:eastAsia="仿宋" w:cs="仿宋"/>
          <w:color w:val="auto"/>
          <w:sz w:val="28"/>
          <w:szCs w:val="28"/>
          <w:highlight w:val="none"/>
          <w:lang w:val="en-US" w:eastAsia="zh-CN"/>
        </w:rPr>
        <w:t>草地</w:t>
      </w:r>
      <w:r>
        <w:rPr>
          <w:rFonts w:hint="eastAsia" w:ascii="仿宋" w:hAnsi="仿宋" w:eastAsia="仿宋" w:cs="仿宋"/>
          <w:color w:val="auto"/>
          <w:sz w:val="28"/>
          <w:szCs w:val="28"/>
          <w:highlight w:val="none"/>
        </w:rPr>
        <w:t>。评估区重要程度分级为</w:t>
      </w:r>
      <w:r>
        <w:rPr>
          <w:rFonts w:hint="eastAsia" w:ascii="仿宋" w:hAnsi="仿宋" w:eastAsia="仿宋" w:cs="仿宋"/>
          <w:b/>
          <w:bCs/>
          <w:color w:val="auto"/>
          <w:sz w:val="28"/>
          <w:szCs w:val="28"/>
          <w:highlight w:val="none"/>
        </w:rPr>
        <w:t>重要区</w:t>
      </w:r>
      <w:r>
        <w:rPr>
          <w:rFonts w:hint="eastAsia" w:ascii="仿宋" w:hAnsi="仿宋" w:eastAsia="仿宋" w:cs="仿宋"/>
          <w:color w:val="auto"/>
          <w:sz w:val="28"/>
          <w:szCs w:val="28"/>
          <w:highlight w:val="none"/>
        </w:rPr>
        <w:t>（见表3-2）</w:t>
      </w:r>
      <w:r>
        <w:rPr>
          <w:rFonts w:ascii="Times New Roman" w:hAnsi="Times New Roman" w:eastAsia="宋体" w:cs="Times New Roman"/>
          <w:color w:val="auto"/>
          <w:sz w:val="24"/>
          <w:szCs w:val="24"/>
          <w:highlight w:val="none"/>
        </w:rPr>
        <w:t>。</w:t>
      </w:r>
    </w:p>
    <w:p w14:paraId="06BD6A91">
      <w:pPr>
        <w:pStyle w:val="13"/>
        <w:rPr>
          <w:color w:val="auto"/>
        </w:rPr>
      </w:pPr>
    </w:p>
    <w:tbl>
      <w:tblPr>
        <w:tblStyle w:val="23"/>
        <w:tblW w:w="878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9"/>
        <w:gridCol w:w="2977"/>
        <w:gridCol w:w="2693"/>
      </w:tblGrid>
      <w:tr w14:paraId="26867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789" w:type="dxa"/>
            <w:gridSpan w:val="3"/>
            <w:tcBorders>
              <w:top w:val="nil"/>
              <w:left w:val="nil"/>
              <w:right w:val="nil"/>
            </w:tcBorders>
            <w:vAlign w:val="center"/>
          </w:tcPr>
          <w:p w14:paraId="3C73E3C3">
            <w:pPr>
              <w:adjustRightInd w:val="0"/>
              <w:snapToGrid w:val="0"/>
              <w:jc w:val="center"/>
              <w:rPr>
                <w:rFonts w:ascii="Times New Roman" w:hAnsi="Times New Roman" w:eastAsia="宋体" w:cs="Times New Roman"/>
                <w:bCs/>
                <w:color w:val="auto"/>
                <w:highlight w:val="none"/>
              </w:rPr>
            </w:pPr>
            <w:r>
              <w:rPr>
                <w:rFonts w:ascii="Times New Roman" w:hAnsi="Times New Roman" w:eastAsia="宋体" w:cs="Times New Roman"/>
                <w:b/>
                <w:color w:val="auto"/>
                <w:highlight w:val="none"/>
              </w:rPr>
              <w:t>表3-</w:t>
            </w:r>
            <w:r>
              <w:rPr>
                <w:rFonts w:hint="eastAsia" w:ascii="Times New Roman" w:hAnsi="Times New Roman" w:eastAsia="宋体" w:cs="Times New Roman"/>
                <w:b/>
                <w:color w:val="auto"/>
                <w:highlight w:val="none"/>
              </w:rPr>
              <w:t>2</w:t>
            </w:r>
            <w:r>
              <w:rPr>
                <w:rFonts w:ascii="Times New Roman" w:hAnsi="Times New Roman" w:eastAsia="宋体" w:cs="Times New Roman"/>
                <w:b/>
                <w:color w:val="auto"/>
                <w:highlight w:val="none"/>
              </w:rPr>
              <w:t xml:space="preserve"> 评估区重要程度分级</w:t>
            </w:r>
          </w:p>
        </w:tc>
      </w:tr>
      <w:tr w14:paraId="2A2A9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rPr>
        <w:tc>
          <w:tcPr>
            <w:tcW w:w="3119" w:type="dxa"/>
            <w:vAlign w:val="center"/>
          </w:tcPr>
          <w:p w14:paraId="2617A84B">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重要区√</w:t>
            </w:r>
          </w:p>
        </w:tc>
        <w:tc>
          <w:tcPr>
            <w:tcW w:w="2977" w:type="dxa"/>
            <w:vAlign w:val="center"/>
          </w:tcPr>
          <w:p w14:paraId="404442BD">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较重要区</w:t>
            </w:r>
          </w:p>
        </w:tc>
        <w:tc>
          <w:tcPr>
            <w:tcW w:w="2693" w:type="dxa"/>
            <w:vAlign w:val="center"/>
          </w:tcPr>
          <w:p w14:paraId="21629E74">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Cs/>
                <w:color w:val="auto"/>
                <w:highlight w:val="none"/>
              </w:rPr>
              <w:t>一般区</w:t>
            </w:r>
          </w:p>
        </w:tc>
      </w:tr>
      <w:tr w14:paraId="34F0B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vAlign w:val="center"/>
          </w:tcPr>
          <w:p w14:paraId="7D489FEF">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分布有500人以上的居民集中居住区</w:t>
            </w:r>
          </w:p>
        </w:tc>
        <w:tc>
          <w:tcPr>
            <w:tcW w:w="2977" w:type="dxa"/>
            <w:vAlign w:val="center"/>
          </w:tcPr>
          <w:p w14:paraId="07A0EE08">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分布有200～500人的居民集中居住区</w:t>
            </w:r>
          </w:p>
        </w:tc>
        <w:tc>
          <w:tcPr>
            <w:tcW w:w="2693" w:type="dxa"/>
            <w:vAlign w:val="center"/>
          </w:tcPr>
          <w:p w14:paraId="34301C64">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居民居住分散，居民集中居住区人口在200人以下√</w:t>
            </w:r>
          </w:p>
        </w:tc>
      </w:tr>
      <w:tr w14:paraId="3C019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vAlign w:val="center"/>
          </w:tcPr>
          <w:p w14:paraId="47808E81">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分布有高速公路、一级公路、铁路、中型以上水利、电力工程或其他重要建筑设施</w:t>
            </w:r>
          </w:p>
        </w:tc>
        <w:tc>
          <w:tcPr>
            <w:tcW w:w="2977" w:type="dxa"/>
            <w:vAlign w:val="center"/>
          </w:tcPr>
          <w:p w14:paraId="1FACC9D2">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分布有二级公路、小型水利、电力工程或其他较重要建筑设施</w:t>
            </w:r>
          </w:p>
        </w:tc>
        <w:tc>
          <w:tcPr>
            <w:tcW w:w="2693" w:type="dxa"/>
            <w:vAlign w:val="center"/>
          </w:tcPr>
          <w:p w14:paraId="7003E4AD">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无重要交通要道或建筑设施√</w:t>
            </w:r>
          </w:p>
        </w:tc>
      </w:tr>
      <w:tr w14:paraId="4876E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9" w:type="dxa"/>
            <w:vAlign w:val="center"/>
          </w:tcPr>
          <w:p w14:paraId="4AA869A8">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矿区紧邻国家级自然保护区（含地质公园、风景名胜区等）或重要旅游景区（点）</w:t>
            </w:r>
          </w:p>
        </w:tc>
        <w:tc>
          <w:tcPr>
            <w:tcW w:w="2977" w:type="dxa"/>
            <w:vAlign w:val="center"/>
          </w:tcPr>
          <w:p w14:paraId="49324CBB">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紧邻省级、县级自然保护区或较重要旅游景区（点）</w:t>
            </w:r>
          </w:p>
        </w:tc>
        <w:tc>
          <w:tcPr>
            <w:tcW w:w="2693" w:type="dxa"/>
            <w:vAlign w:val="center"/>
          </w:tcPr>
          <w:p w14:paraId="3DACFE81">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远离各级自然保护区及旅游景区（点）√</w:t>
            </w:r>
          </w:p>
        </w:tc>
      </w:tr>
      <w:tr w14:paraId="08B02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3119" w:type="dxa"/>
            <w:vAlign w:val="center"/>
          </w:tcPr>
          <w:p w14:paraId="4ECB2601">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有重要水源地</w:t>
            </w:r>
          </w:p>
        </w:tc>
        <w:tc>
          <w:tcPr>
            <w:tcW w:w="2977" w:type="dxa"/>
            <w:vAlign w:val="center"/>
          </w:tcPr>
          <w:p w14:paraId="0B815036">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有较重要水源地</w:t>
            </w:r>
          </w:p>
        </w:tc>
        <w:tc>
          <w:tcPr>
            <w:tcW w:w="2693" w:type="dxa"/>
            <w:vAlign w:val="center"/>
          </w:tcPr>
          <w:p w14:paraId="323F03AC">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无较重要水源地√</w:t>
            </w:r>
          </w:p>
        </w:tc>
      </w:tr>
      <w:tr w14:paraId="3E847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3119" w:type="dxa"/>
            <w:vAlign w:val="center"/>
          </w:tcPr>
          <w:p w14:paraId="122DF70E">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损毁耕地、园地√</w:t>
            </w:r>
          </w:p>
        </w:tc>
        <w:tc>
          <w:tcPr>
            <w:tcW w:w="2977" w:type="dxa"/>
            <w:vAlign w:val="center"/>
          </w:tcPr>
          <w:p w14:paraId="06C36E07">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损毁林地、草地</w:t>
            </w:r>
          </w:p>
        </w:tc>
        <w:tc>
          <w:tcPr>
            <w:tcW w:w="2693" w:type="dxa"/>
            <w:vAlign w:val="center"/>
          </w:tcPr>
          <w:p w14:paraId="465FF013">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损毁其他类型土地</w:t>
            </w:r>
          </w:p>
        </w:tc>
      </w:tr>
      <w:tr w14:paraId="35594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8789" w:type="dxa"/>
            <w:gridSpan w:val="3"/>
            <w:vAlign w:val="center"/>
          </w:tcPr>
          <w:p w14:paraId="5B3230FE">
            <w:pPr>
              <w:adjustRightInd w:val="0"/>
              <w:snapToGrid w:val="0"/>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注：评估区重要程度分级确定采取上一级别优先的原则，只要有一条符合者即为该级别。</w:t>
            </w:r>
          </w:p>
        </w:tc>
      </w:tr>
    </w:tbl>
    <w:p w14:paraId="4CBB376F">
      <w:pPr>
        <w:ind w:firstLine="480" w:firstLineChars="200"/>
        <w:rPr>
          <w:rFonts w:ascii="Times New Roman" w:hAnsi="Times New Roman" w:eastAsia="宋体" w:cs="Times New Roman"/>
          <w:color w:val="auto"/>
          <w:sz w:val="24"/>
          <w:szCs w:val="24"/>
          <w:highlight w:val="none"/>
        </w:rPr>
      </w:pPr>
    </w:p>
    <w:p w14:paraId="2C9CE0BD">
      <w:pPr>
        <w:pStyle w:val="68"/>
        <w:adjustRightInd w:val="0"/>
        <w:spacing w:line="360" w:lineRule="auto"/>
        <w:ind w:left="480" w:firstLine="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（2）矿山地质环境条件复杂程度</w:t>
      </w:r>
    </w:p>
    <w:p w14:paraId="62E9ECA4">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调查区采场位于地下水位以上，采场汇水面积小，与区域含水层和地表水联系不密切，采场基本无涌水，采矿和疏干排水不易导致矿区周围主要含水层的影响和破坏；矿床围岩以中到厚层状结构为主，软弱结构面、不良工程地质层不发育，残坡积层、基岩风化破碎带厚度小于5m、稳固性较好，岩层产状平缓，边坡基本不存在外倾软弱结构面或危岩，边坡较稳定；地质构造简单；断裂构造较不发育，现状条件下矿山地质环境问题类型少、危害小，采场面积及采坑深度小，地貌单元类型单一，微地貌形态简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地形坡度一般小于20°，相对高差较小，高坡方向岩层倾向与采坑斜坡多为反向坡。根据《矿山地质环境保护与恢复治理方案编制规范》中附录表C.2“露天开采矿山地质环境条件复杂程度分级表”（表3-3），评估区地质环境条件复杂程度为“</w:t>
      </w:r>
      <w:r>
        <w:rPr>
          <w:rFonts w:hint="eastAsia" w:ascii="仿宋" w:hAnsi="仿宋" w:eastAsia="仿宋" w:cs="仿宋"/>
          <w:color w:val="auto"/>
          <w:sz w:val="28"/>
          <w:szCs w:val="28"/>
          <w:highlight w:val="none"/>
          <w:lang w:val="en-US" w:eastAsia="zh-CN"/>
        </w:rPr>
        <w:t>简单</w:t>
      </w:r>
      <w:r>
        <w:rPr>
          <w:rFonts w:hint="eastAsia" w:ascii="仿宋" w:hAnsi="仿宋" w:eastAsia="仿宋" w:cs="仿宋"/>
          <w:color w:val="auto"/>
          <w:sz w:val="28"/>
          <w:szCs w:val="28"/>
          <w:highlight w:val="none"/>
        </w:rPr>
        <w:t>”。</w:t>
      </w:r>
    </w:p>
    <w:p w14:paraId="5136AC18">
      <w:pPr>
        <w:spacing w:line="276" w:lineRule="auto"/>
        <w:jc w:val="center"/>
        <w:rPr>
          <w:rFonts w:eastAsia="宋体"/>
          <w:color w:val="auto"/>
          <w:sz w:val="24"/>
          <w:highlight w:val="none"/>
        </w:rPr>
      </w:pPr>
      <w:r>
        <w:rPr>
          <w:rFonts w:eastAsia="宋体"/>
          <w:b/>
          <w:bCs/>
          <w:color w:val="auto"/>
          <w:sz w:val="24"/>
          <w:highlight w:val="none"/>
        </w:rPr>
        <w:t>表3-</w:t>
      </w:r>
      <w:r>
        <w:rPr>
          <w:rFonts w:hint="eastAsia" w:eastAsia="宋体"/>
          <w:b/>
          <w:bCs/>
          <w:color w:val="auto"/>
          <w:sz w:val="24"/>
          <w:highlight w:val="none"/>
        </w:rPr>
        <w:t>3</w:t>
      </w:r>
      <w:r>
        <w:rPr>
          <w:rFonts w:eastAsia="宋体"/>
          <w:b/>
          <w:bCs/>
          <w:color w:val="auto"/>
          <w:sz w:val="24"/>
          <w:highlight w:val="none"/>
        </w:rPr>
        <w:t xml:space="preserve">   露天开采矿山地质环境条件复杂程度分级表</w:t>
      </w:r>
    </w:p>
    <w:tbl>
      <w:tblPr>
        <w:tblStyle w:val="23"/>
        <w:tblW w:w="87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36"/>
        <w:gridCol w:w="2922"/>
        <w:gridCol w:w="2729"/>
      </w:tblGrid>
      <w:tr w14:paraId="2628F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3136" w:type="dxa"/>
            <w:tcBorders>
              <w:top w:val="single" w:color="auto" w:sz="8" w:space="0"/>
              <w:left w:val="single" w:color="auto" w:sz="8" w:space="0"/>
              <w:bottom w:val="single" w:color="auto" w:sz="4" w:space="0"/>
              <w:right w:val="single" w:color="auto" w:sz="4" w:space="0"/>
            </w:tcBorders>
            <w:vAlign w:val="center"/>
          </w:tcPr>
          <w:p w14:paraId="796AC050">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复  杂</w:t>
            </w:r>
          </w:p>
        </w:tc>
        <w:tc>
          <w:tcPr>
            <w:tcW w:w="2922" w:type="dxa"/>
            <w:tcBorders>
              <w:top w:val="single" w:color="auto" w:sz="8" w:space="0"/>
              <w:left w:val="single" w:color="auto" w:sz="4" w:space="0"/>
              <w:bottom w:val="single" w:color="auto" w:sz="4" w:space="0"/>
              <w:right w:val="single" w:color="auto" w:sz="4" w:space="0"/>
            </w:tcBorders>
            <w:vAlign w:val="center"/>
          </w:tcPr>
          <w:p w14:paraId="2F47BF62">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val="0"/>
                <w:bCs w:val="0"/>
                <w:color w:val="auto"/>
                <w:highlight w:val="none"/>
              </w:rPr>
              <w:t>中  等</w:t>
            </w:r>
          </w:p>
        </w:tc>
        <w:tc>
          <w:tcPr>
            <w:tcW w:w="2729" w:type="dxa"/>
            <w:tcBorders>
              <w:top w:val="single" w:color="auto" w:sz="8" w:space="0"/>
              <w:left w:val="single" w:color="auto" w:sz="4" w:space="0"/>
              <w:bottom w:val="single" w:color="auto" w:sz="4" w:space="0"/>
              <w:right w:val="single" w:color="auto" w:sz="8" w:space="0"/>
            </w:tcBorders>
            <w:vAlign w:val="center"/>
          </w:tcPr>
          <w:p w14:paraId="5570CDB2">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简   单√</w:t>
            </w:r>
          </w:p>
        </w:tc>
      </w:tr>
      <w:tr w14:paraId="1A4B2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57"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14:paraId="63644321">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采场矿层（体）位于地下水位以下，采场汇水面积大，采场进水边界条件复杂，与区域含水层或地表水联系密切，地下水补给、径流条件好，采场正常涌水量大于10000m3/d；采矿活动和疏干排水容易导致区域主要含水层破坏。</w:t>
            </w:r>
          </w:p>
        </w:tc>
        <w:tc>
          <w:tcPr>
            <w:tcW w:w="2922" w:type="dxa"/>
            <w:tcBorders>
              <w:top w:val="single" w:color="auto" w:sz="4" w:space="0"/>
              <w:left w:val="single" w:color="auto" w:sz="4" w:space="0"/>
              <w:bottom w:val="single" w:color="auto" w:sz="4" w:space="0"/>
              <w:right w:val="single" w:color="auto" w:sz="4" w:space="0"/>
            </w:tcBorders>
            <w:vAlign w:val="center"/>
          </w:tcPr>
          <w:p w14:paraId="58F84E05">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1、采场矿层（体）位于地下水位以下，采场汇水面积较大，与区域含水层或地表水联系较密切，采场涌水量3000—10000m3/d；采矿和疏干排水比较容易导致矿区周围主要含水层影响或破坏。</w:t>
            </w:r>
          </w:p>
        </w:tc>
        <w:tc>
          <w:tcPr>
            <w:tcW w:w="2729" w:type="dxa"/>
            <w:tcBorders>
              <w:top w:val="single" w:color="auto" w:sz="4" w:space="0"/>
              <w:left w:val="single" w:color="auto" w:sz="4" w:space="0"/>
              <w:bottom w:val="single" w:color="auto" w:sz="4" w:space="0"/>
              <w:right w:val="single" w:color="auto" w:sz="8" w:space="0"/>
            </w:tcBorders>
            <w:vAlign w:val="center"/>
          </w:tcPr>
          <w:p w14:paraId="2C06677E">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1、采场矿层（体）位于地下水位以上，采场汇水面积小，与区域含水层、或地表水联系不密切，采场正常涌水量小于3000 m3/d；采矿和疏干排水不易导致矿区周围主要含水层的影响或破坏。√</w:t>
            </w:r>
          </w:p>
        </w:tc>
      </w:tr>
      <w:tr w14:paraId="7F7D8B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8"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14:paraId="14292252">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2、矿床围岩岩体结构以碎裂结构、散体结构为主，软弱结构面、不良工程地质层发育，存在饱水软弱岩层或松散软弱岩层，含水砂层多，分布广，残坡积层、基岩风化破碎带厚度大于10 m、稳固性差，采场岩石边坡风化破碎或土层松软，边坡外倾软弱结构面或危岩发育，易导致边坡失稳。</w:t>
            </w:r>
          </w:p>
        </w:tc>
        <w:tc>
          <w:tcPr>
            <w:tcW w:w="2922" w:type="dxa"/>
            <w:tcBorders>
              <w:top w:val="single" w:color="auto" w:sz="4" w:space="0"/>
              <w:left w:val="single" w:color="auto" w:sz="4" w:space="0"/>
              <w:bottom w:val="single" w:color="auto" w:sz="4" w:space="0"/>
              <w:right w:val="single" w:color="auto" w:sz="4" w:space="0"/>
            </w:tcBorders>
            <w:vAlign w:val="center"/>
          </w:tcPr>
          <w:p w14:paraId="3F4BE3F1">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矿床围岩岩体结构以薄至厚层状结构为主，软弱结构面、不良工程地质层发育中等，存在饱水软弱岩层和含水砂层，残坡积层、基岩风化破碎带厚度5-10m，稳固性差，采场岩石边坡风化较破碎，边坡存在外倾软弱结构面或危岩，局部可能产生边坡失稳。</w:t>
            </w:r>
          </w:p>
        </w:tc>
        <w:tc>
          <w:tcPr>
            <w:tcW w:w="2729" w:type="dxa"/>
            <w:tcBorders>
              <w:top w:val="single" w:color="auto" w:sz="4" w:space="0"/>
              <w:left w:val="single" w:color="auto" w:sz="4" w:space="0"/>
              <w:bottom w:val="single" w:color="auto" w:sz="4" w:space="0"/>
              <w:right w:val="single" w:color="auto" w:sz="8" w:space="0"/>
            </w:tcBorders>
            <w:vAlign w:val="center"/>
          </w:tcPr>
          <w:p w14:paraId="7A92A9E4">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2、矿床围岩岩体结构以巨厚层状—块状整体结构为主，软弱结构面、不良工程地质层不发育，残坡积层、基岩风化破碎带厚度小于5m，稳固性较好，采场边坡岩石较完整—完整，土层薄，边坡基本不存在外倾软弱结构面或危岩，边坡较稳定。√</w:t>
            </w:r>
          </w:p>
        </w:tc>
      </w:tr>
      <w:tr w14:paraId="3D3A5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6"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14:paraId="02981BCE">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3、地质构造复杂。矿床围岩岩层产状变化大，断裂构造发育或有全新世活动断裂，导水断裂切割矿层（体）围岩、覆岩和主要含水层（带）或沟通地表水体，导水性强，对采场充水影响大。</w:t>
            </w:r>
          </w:p>
        </w:tc>
        <w:tc>
          <w:tcPr>
            <w:tcW w:w="2922" w:type="dxa"/>
            <w:tcBorders>
              <w:top w:val="single" w:color="auto" w:sz="4" w:space="0"/>
              <w:left w:val="single" w:color="auto" w:sz="4" w:space="0"/>
              <w:bottom w:val="single" w:color="auto" w:sz="4" w:space="0"/>
              <w:right w:val="single" w:color="auto" w:sz="4" w:space="0"/>
            </w:tcBorders>
            <w:vAlign w:val="center"/>
          </w:tcPr>
          <w:p w14:paraId="6B01908A">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3、地质构造较复杂。矿床围岩岩层产状变化较大，断裂构造较发育，切割矿层（体）围岩、覆岩和含水层（带），导水性差，对采场充水影响较大。</w:t>
            </w:r>
          </w:p>
        </w:tc>
        <w:tc>
          <w:tcPr>
            <w:tcW w:w="2729" w:type="dxa"/>
            <w:tcBorders>
              <w:top w:val="single" w:color="auto" w:sz="4" w:space="0"/>
              <w:left w:val="single" w:color="auto" w:sz="4" w:space="0"/>
              <w:bottom w:val="single" w:color="auto" w:sz="4" w:space="0"/>
              <w:right w:val="single" w:color="auto" w:sz="8" w:space="0"/>
            </w:tcBorders>
            <w:vAlign w:val="center"/>
          </w:tcPr>
          <w:p w14:paraId="3AE1EE35">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3、地质构造较简单。矿床围岩岩层产状变化小，断裂构造较不发育，断裂未切割矿层（体）围岩、覆岩，对采场充水影响小。√</w:t>
            </w:r>
          </w:p>
        </w:tc>
      </w:tr>
      <w:tr w14:paraId="666B5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4"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14:paraId="4944B3FE">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4、现状条件下原生地质灾害发育，或矿山地质环境问题的类型多、危害大。</w:t>
            </w:r>
          </w:p>
        </w:tc>
        <w:tc>
          <w:tcPr>
            <w:tcW w:w="2922" w:type="dxa"/>
            <w:tcBorders>
              <w:top w:val="single" w:color="auto" w:sz="4" w:space="0"/>
              <w:left w:val="single" w:color="auto" w:sz="4" w:space="0"/>
              <w:bottom w:val="single" w:color="auto" w:sz="4" w:space="0"/>
              <w:right w:val="single" w:color="auto" w:sz="4" w:space="0"/>
            </w:tcBorders>
            <w:vAlign w:val="center"/>
          </w:tcPr>
          <w:p w14:paraId="0881F8B3">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4、现状条件下，矿山地质环境问题的类型较多、危害较大。</w:t>
            </w:r>
          </w:p>
        </w:tc>
        <w:tc>
          <w:tcPr>
            <w:tcW w:w="2729" w:type="dxa"/>
            <w:tcBorders>
              <w:top w:val="single" w:color="auto" w:sz="4" w:space="0"/>
              <w:left w:val="single" w:color="auto" w:sz="4" w:space="0"/>
              <w:bottom w:val="single" w:color="auto" w:sz="4" w:space="0"/>
              <w:right w:val="single" w:color="auto" w:sz="8" w:space="0"/>
            </w:tcBorders>
            <w:vAlign w:val="center"/>
          </w:tcPr>
          <w:p w14:paraId="28E69E99">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4、现状条件下，矿山地质环境问题的类型少、危害小。√</w:t>
            </w:r>
          </w:p>
        </w:tc>
      </w:tr>
      <w:tr w14:paraId="3D2432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2"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14:paraId="0D2AB5CA">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5、采场面积及采坑深度大，边坡不稳定易产生地质灾害。</w:t>
            </w:r>
          </w:p>
        </w:tc>
        <w:tc>
          <w:tcPr>
            <w:tcW w:w="2922" w:type="dxa"/>
            <w:tcBorders>
              <w:top w:val="single" w:color="auto" w:sz="4" w:space="0"/>
              <w:left w:val="single" w:color="auto" w:sz="4" w:space="0"/>
              <w:bottom w:val="single" w:color="auto" w:sz="4" w:space="0"/>
              <w:right w:val="single" w:color="auto" w:sz="4" w:space="0"/>
            </w:tcBorders>
            <w:vAlign w:val="center"/>
          </w:tcPr>
          <w:p w14:paraId="07BC3507">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5、采场面积及采坑深度较大，边坡较不稳定，较易产生地质灾害。</w:t>
            </w:r>
          </w:p>
        </w:tc>
        <w:tc>
          <w:tcPr>
            <w:tcW w:w="2729" w:type="dxa"/>
            <w:tcBorders>
              <w:top w:val="single" w:color="auto" w:sz="4" w:space="0"/>
              <w:left w:val="single" w:color="auto" w:sz="4" w:space="0"/>
              <w:bottom w:val="single" w:color="auto" w:sz="4" w:space="0"/>
              <w:right w:val="single" w:color="auto" w:sz="8" w:space="0"/>
            </w:tcBorders>
            <w:vAlign w:val="center"/>
          </w:tcPr>
          <w:p w14:paraId="3FFD5827">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5、采场面积及采坑深度小，边坡较稳定，不易产生地质灾害。√</w:t>
            </w:r>
          </w:p>
        </w:tc>
      </w:tr>
      <w:tr w14:paraId="78FC2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6" w:hRule="atLeast"/>
          <w:jc w:val="center"/>
        </w:trPr>
        <w:tc>
          <w:tcPr>
            <w:tcW w:w="3136" w:type="dxa"/>
            <w:tcBorders>
              <w:top w:val="single" w:color="auto" w:sz="4" w:space="0"/>
              <w:left w:val="single" w:color="auto" w:sz="8" w:space="0"/>
              <w:bottom w:val="single" w:color="auto" w:sz="4" w:space="0"/>
              <w:right w:val="single" w:color="auto" w:sz="4" w:space="0"/>
            </w:tcBorders>
            <w:vAlign w:val="center"/>
          </w:tcPr>
          <w:p w14:paraId="2714B3B3">
            <w:pPr>
              <w:adjustRightInd w:val="0"/>
              <w:snapToGrid w:val="0"/>
              <w:jc w:val="center"/>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6、地貌单元类型多，微地貌形态复杂，地形起伏变化大，不利于自然排水，地形坡度一般大于35°，相对高差大，高坡方向岩层倾向与采坑斜坡多为同向。</w:t>
            </w:r>
          </w:p>
        </w:tc>
        <w:tc>
          <w:tcPr>
            <w:tcW w:w="2922" w:type="dxa"/>
            <w:tcBorders>
              <w:top w:val="single" w:color="auto" w:sz="4" w:space="0"/>
              <w:left w:val="single" w:color="auto" w:sz="4" w:space="0"/>
              <w:bottom w:val="single" w:color="auto" w:sz="4" w:space="0"/>
              <w:right w:val="single" w:color="auto" w:sz="4" w:space="0"/>
            </w:tcBorders>
            <w:vAlign w:val="center"/>
          </w:tcPr>
          <w:p w14:paraId="09507CD5">
            <w:pPr>
              <w:adjustRightInd w:val="0"/>
              <w:snapToGrid w:val="0"/>
              <w:jc w:val="center"/>
              <w:rPr>
                <w:rFonts w:ascii="Times New Roman" w:hAnsi="Times New Roman" w:eastAsia="宋体" w:cs="Times New Roman"/>
                <w:b w:val="0"/>
                <w:bCs w:val="0"/>
                <w:color w:val="auto"/>
                <w:highlight w:val="none"/>
              </w:rPr>
            </w:pPr>
            <w:r>
              <w:rPr>
                <w:rFonts w:ascii="Times New Roman" w:hAnsi="Times New Roman" w:eastAsia="宋体" w:cs="Times New Roman"/>
                <w:b w:val="0"/>
                <w:bCs w:val="0"/>
                <w:color w:val="auto"/>
                <w:highlight w:val="none"/>
              </w:rPr>
              <w:t>6、地貌单元类型较多，微地貌形态较复杂，地形起伏变化中等，自然排水条件一般，地形坡度一般20°～35°，相对高差较大，高坡方向岩层倾向与采坑斜坡多为斜交。</w:t>
            </w:r>
          </w:p>
        </w:tc>
        <w:tc>
          <w:tcPr>
            <w:tcW w:w="2729" w:type="dxa"/>
            <w:tcBorders>
              <w:top w:val="single" w:color="auto" w:sz="4" w:space="0"/>
              <w:left w:val="single" w:color="auto" w:sz="4" w:space="0"/>
              <w:bottom w:val="single" w:color="auto" w:sz="4" w:space="0"/>
              <w:right w:val="single" w:color="auto" w:sz="8" w:space="0"/>
            </w:tcBorders>
            <w:vAlign w:val="center"/>
          </w:tcPr>
          <w:p w14:paraId="614B317F">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6、地貌单元类型单一，微地貌形态简单，地形较平缓，有利于自然排水，地形坡度一般小于20°，相对高差较小，高坡方向岩层倾向与采坑斜坡多为反向坡。√</w:t>
            </w:r>
          </w:p>
        </w:tc>
      </w:tr>
      <w:tr w14:paraId="6D5D3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8787" w:type="dxa"/>
            <w:gridSpan w:val="3"/>
            <w:tcBorders>
              <w:top w:val="single" w:color="auto" w:sz="4" w:space="0"/>
              <w:left w:val="single" w:color="auto" w:sz="8" w:space="0"/>
              <w:bottom w:val="single" w:color="auto" w:sz="8" w:space="0"/>
              <w:right w:val="single" w:color="auto" w:sz="8" w:space="0"/>
            </w:tcBorders>
            <w:vAlign w:val="center"/>
          </w:tcPr>
          <w:p w14:paraId="04E06ADE">
            <w:pPr>
              <w:adjustRightInd w:val="0"/>
              <w:snapToGrid w:val="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注：采取就上原则，只要有一条满足某一级别，应定为该级别。</w:t>
            </w:r>
          </w:p>
        </w:tc>
      </w:tr>
    </w:tbl>
    <w:p w14:paraId="0A67C819">
      <w:pPr>
        <w:spacing w:line="360" w:lineRule="auto"/>
        <w:ind w:firstLine="480" w:firstLineChars="200"/>
        <w:rPr>
          <w:rFonts w:ascii="Times New Roman" w:hAnsi="Times New Roman" w:eastAsia="宋体" w:cs="Times New Roman"/>
          <w:color w:val="auto"/>
          <w:sz w:val="24"/>
          <w:szCs w:val="24"/>
          <w:highlight w:val="none"/>
        </w:rPr>
      </w:pPr>
    </w:p>
    <w:p w14:paraId="02F37F3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（3）矿山生产建设规模</w:t>
      </w:r>
    </w:p>
    <w:p w14:paraId="7708AAC4">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lang w:val="en-US" w:eastAsia="zh-CN"/>
        </w:rPr>
        <w:t>矿山开采矿种为饰面用砂岩矿，设计生产规模为1万立方米/年，参照《规范》（附录D），该矿山建设规模为小型。</w:t>
      </w:r>
    </w:p>
    <w:p w14:paraId="0E068C2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（4）评估级别</w:t>
      </w:r>
    </w:p>
    <w:p w14:paraId="37F04542">
      <w:pPr>
        <w:ind w:firstLine="480"/>
        <w:rPr>
          <w:rFonts w:hint="eastAsia" w:ascii="仿宋" w:hAnsi="仿宋" w:eastAsia="仿宋" w:cs="仿宋"/>
          <w:color w:val="auto"/>
          <w:sz w:val="28"/>
          <w:szCs w:val="28"/>
          <w:lang w:val="en-US" w:eastAsia="zh-CN"/>
        </w:rPr>
      </w:pPr>
      <w:r>
        <w:rPr>
          <w:rFonts w:hint="default" w:ascii="仿宋" w:hAnsi="仿宋" w:eastAsia="仿宋" w:cs="仿宋"/>
          <w:color w:val="auto"/>
          <w:sz w:val="28"/>
          <w:szCs w:val="28"/>
          <w:lang w:val="en-US" w:eastAsia="zh-CN"/>
        </w:rPr>
        <w:t>综上所述，评估区重要程度为重要区，地质环境条件复杂程度为中等，矿山开采规模属</w:t>
      </w:r>
      <w:r>
        <w:rPr>
          <w:rFonts w:hint="eastAsia" w:ascii="仿宋" w:hAnsi="仿宋" w:eastAsia="仿宋" w:cs="仿宋"/>
          <w:color w:val="auto"/>
          <w:sz w:val="28"/>
          <w:szCs w:val="28"/>
          <w:lang w:val="en-US" w:eastAsia="zh-CN"/>
        </w:rPr>
        <w:t>中</w:t>
      </w:r>
      <w:r>
        <w:rPr>
          <w:rFonts w:hint="default" w:ascii="仿宋" w:hAnsi="仿宋" w:eastAsia="仿宋" w:cs="仿宋"/>
          <w:color w:val="auto"/>
          <w:sz w:val="28"/>
          <w:szCs w:val="28"/>
          <w:lang w:val="en-US" w:eastAsia="zh-CN"/>
        </w:rPr>
        <w:t>型，参照《规范》（附录 A），矿山地质环境影响评估级别为一级，</w:t>
      </w:r>
      <w:r>
        <w:rPr>
          <w:rFonts w:hint="eastAsia" w:ascii="仿宋" w:hAnsi="仿宋" w:eastAsia="仿宋" w:cs="仿宋"/>
          <w:color w:val="auto"/>
          <w:sz w:val="28"/>
          <w:szCs w:val="28"/>
          <w:lang w:val="en-US" w:eastAsia="zh-CN"/>
        </w:rPr>
        <w:t>见表3-2-4。</w:t>
      </w:r>
    </w:p>
    <w:p w14:paraId="468CFC68">
      <w:pPr>
        <w:pStyle w:val="70"/>
        <w:jc w:val="center"/>
        <w:rPr>
          <w:color w:val="auto"/>
          <w:szCs w:val="21"/>
        </w:rPr>
      </w:pPr>
      <w:r>
        <w:rPr>
          <w:rFonts w:hint="eastAsia" w:ascii="宋体" w:hAnsi="宋体"/>
          <w:b/>
          <w:color w:val="auto"/>
          <w:kern w:val="2"/>
          <w:sz w:val="21"/>
          <w:szCs w:val="21"/>
        </w:rPr>
        <w:t xml:space="preserve">表3-2-3       矿山地质环境现状问题说明表 </w:t>
      </w:r>
      <w:r>
        <w:rPr>
          <w:rFonts w:hint="eastAsia"/>
          <w:color w:val="auto"/>
          <w:szCs w:val="21"/>
        </w:rPr>
        <w:t xml:space="preserve">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37"/>
        <w:gridCol w:w="1064"/>
        <w:gridCol w:w="785"/>
        <w:gridCol w:w="1274"/>
        <w:gridCol w:w="1622"/>
        <w:gridCol w:w="2162"/>
        <w:gridCol w:w="892"/>
      </w:tblGrid>
      <w:tr w14:paraId="65B3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jc w:val="center"/>
        </w:trPr>
        <w:tc>
          <w:tcPr>
            <w:tcW w:w="322" w:type="pct"/>
            <w:vAlign w:val="center"/>
          </w:tcPr>
          <w:p w14:paraId="0AB7A47B">
            <w:pPr>
              <w:widowControl/>
              <w:ind w:firstLine="0" w:firstLineChars="0"/>
              <w:jc w:val="center"/>
              <w:textAlignment w:val="center"/>
              <w:rPr>
                <w:rFonts w:ascii="宋体" w:hAnsi="宋体" w:cs="宋体"/>
                <w:b/>
                <w:bCs/>
                <w:color w:val="auto"/>
                <w:sz w:val="21"/>
              </w:rPr>
            </w:pPr>
            <w:r>
              <w:rPr>
                <w:rFonts w:hint="eastAsia" w:ascii="宋体" w:hAnsi="宋体" w:cs="宋体"/>
                <w:b/>
                <w:bCs/>
                <w:color w:val="auto"/>
                <w:kern w:val="0"/>
                <w:sz w:val="21"/>
                <w:lang w:bidi="ar"/>
              </w:rPr>
              <w:t>序号</w:t>
            </w:r>
          </w:p>
        </w:tc>
        <w:tc>
          <w:tcPr>
            <w:tcW w:w="638" w:type="pct"/>
            <w:vAlign w:val="center"/>
          </w:tcPr>
          <w:p w14:paraId="1C8513BF">
            <w:pPr>
              <w:widowControl/>
              <w:ind w:firstLine="0" w:firstLineChars="0"/>
              <w:jc w:val="center"/>
              <w:textAlignment w:val="center"/>
              <w:rPr>
                <w:rFonts w:ascii="宋体" w:hAnsi="宋体" w:cs="宋体"/>
                <w:b/>
                <w:bCs/>
                <w:color w:val="auto"/>
                <w:sz w:val="21"/>
              </w:rPr>
            </w:pPr>
            <w:r>
              <w:rPr>
                <w:rFonts w:hint="eastAsia" w:ascii="宋体" w:hAnsi="宋体" w:cs="宋体"/>
                <w:b/>
                <w:bCs/>
                <w:color w:val="auto"/>
                <w:kern w:val="0"/>
                <w:sz w:val="21"/>
                <w:lang w:bidi="ar"/>
              </w:rPr>
              <w:t>位置</w:t>
            </w:r>
          </w:p>
        </w:tc>
        <w:tc>
          <w:tcPr>
            <w:tcW w:w="471" w:type="pct"/>
            <w:vAlign w:val="center"/>
          </w:tcPr>
          <w:p w14:paraId="5CEFD13A">
            <w:pPr>
              <w:widowControl/>
              <w:ind w:firstLine="0" w:firstLineChars="0"/>
              <w:jc w:val="center"/>
              <w:textAlignment w:val="center"/>
              <w:rPr>
                <w:rFonts w:ascii="宋体" w:hAnsi="宋体" w:cs="宋体"/>
                <w:b/>
                <w:bCs/>
                <w:color w:val="auto"/>
                <w:sz w:val="21"/>
              </w:rPr>
            </w:pPr>
            <w:r>
              <w:rPr>
                <w:rFonts w:hint="eastAsia" w:ascii="宋体" w:hAnsi="宋体" w:cs="宋体"/>
                <w:b/>
                <w:bCs/>
                <w:color w:val="auto"/>
                <w:kern w:val="0"/>
                <w:sz w:val="21"/>
                <w:lang w:bidi="ar"/>
              </w:rPr>
              <w:t>类型</w:t>
            </w:r>
          </w:p>
        </w:tc>
        <w:tc>
          <w:tcPr>
            <w:tcW w:w="764" w:type="pct"/>
            <w:vAlign w:val="center"/>
          </w:tcPr>
          <w:p w14:paraId="735897FB">
            <w:pPr>
              <w:widowControl/>
              <w:ind w:firstLine="0" w:firstLineChars="0"/>
              <w:jc w:val="center"/>
              <w:textAlignment w:val="center"/>
              <w:rPr>
                <w:rFonts w:ascii="宋体" w:hAnsi="宋体" w:cs="宋体"/>
                <w:b/>
                <w:bCs/>
                <w:color w:val="auto"/>
                <w:sz w:val="21"/>
              </w:rPr>
            </w:pPr>
            <w:r>
              <w:rPr>
                <w:rFonts w:hint="eastAsia" w:ascii="宋体" w:hAnsi="宋体" w:cs="宋体"/>
                <w:b/>
                <w:bCs/>
                <w:color w:val="auto"/>
                <w:kern w:val="0"/>
                <w:sz w:val="21"/>
                <w:lang w:bidi="ar"/>
              </w:rPr>
              <w:t>形成条件</w:t>
            </w:r>
          </w:p>
        </w:tc>
        <w:tc>
          <w:tcPr>
            <w:tcW w:w="973" w:type="pct"/>
            <w:vAlign w:val="center"/>
          </w:tcPr>
          <w:p w14:paraId="080B676E">
            <w:pPr>
              <w:widowControl/>
              <w:ind w:firstLine="0" w:firstLineChars="0"/>
              <w:jc w:val="center"/>
              <w:textAlignment w:val="center"/>
              <w:rPr>
                <w:rFonts w:ascii="宋体" w:hAnsi="宋体" w:cs="宋体"/>
                <w:b/>
                <w:bCs/>
                <w:color w:val="auto"/>
                <w:sz w:val="21"/>
              </w:rPr>
            </w:pPr>
            <w:r>
              <w:rPr>
                <w:rFonts w:hint="eastAsia" w:ascii="宋体" w:hAnsi="宋体" w:cs="宋体"/>
                <w:b/>
                <w:bCs/>
                <w:color w:val="auto"/>
                <w:kern w:val="0"/>
                <w:sz w:val="21"/>
                <w:lang w:bidi="ar"/>
              </w:rPr>
              <w:t>矿区环境问题</w:t>
            </w:r>
          </w:p>
        </w:tc>
        <w:tc>
          <w:tcPr>
            <w:tcW w:w="1297" w:type="pct"/>
            <w:vAlign w:val="center"/>
          </w:tcPr>
          <w:p w14:paraId="37DCE6DF">
            <w:pPr>
              <w:widowControl/>
              <w:ind w:firstLine="0" w:firstLineChars="0"/>
              <w:jc w:val="center"/>
              <w:textAlignment w:val="center"/>
              <w:rPr>
                <w:rFonts w:ascii="宋体" w:hAnsi="宋体" w:cs="宋体"/>
                <w:b/>
                <w:color w:val="auto"/>
                <w:kern w:val="0"/>
                <w:sz w:val="21"/>
                <w:lang w:bidi="ar"/>
              </w:rPr>
            </w:pPr>
            <w:r>
              <w:rPr>
                <w:rFonts w:hint="eastAsia" w:ascii="宋体" w:hAnsi="宋体" w:cs="宋体"/>
                <w:b/>
                <w:color w:val="auto"/>
                <w:kern w:val="0"/>
                <w:sz w:val="21"/>
                <w:lang w:bidi="ar"/>
              </w:rPr>
              <w:t>危害对象</w:t>
            </w:r>
          </w:p>
        </w:tc>
        <w:tc>
          <w:tcPr>
            <w:tcW w:w="535" w:type="pct"/>
            <w:vAlign w:val="center"/>
          </w:tcPr>
          <w:p w14:paraId="596F40A3">
            <w:pPr>
              <w:widowControl/>
              <w:ind w:firstLine="0" w:firstLineChars="0"/>
              <w:jc w:val="center"/>
              <w:textAlignment w:val="center"/>
              <w:rPr>
                <w:rFonts w:ascii="宋体" w:hAnsi="宋体" w:cs="宋体"/>
                <w:b/>
                <w:color w:val="auto"/>
                <w:kern w:val="0"/>
                <w:sz w:val="21"/>
                <w:lang w:bidi="ar"/>
              </w:rPr>
            </w:pPr>
            <w:r>
              <w:rPr>
                <w:rFonts w:hint="eastAsia" w:ascii="宋体" w:hAnsi="宋体" w:cs="宋体"/>
                <w:b/>
                <w:color w:val="auto"/>
                <w:kern w:val="0"/>
                <w:sz w:val="21"/>
                <w:lang w:bidi="ar"/>
              </w:rPr>
              <w:t>危害程度</w:t>
            </w:r>
          </w:p>
        </w:tc>
      </w:tr>
      <w:tr w14:paraId="4983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26" w:hRule="atLeast"/>
          <w:jc w:val="center"/>
        </w:trPr>
        <w:tc>
          <w:tcPr>
            <w:tcW w:w="322" w:type="pct"/>
            <w:vAlign w:val="center"/>
          </w:tcPr>
          <w:p w14:paraId="7D19FF02">
            <w:pPr>
              <w:widowControl/>
              <w:spacing w:line="240" w:lineRule="auto"/>
              <w:ind w:firstLine="0" w:firstLineChars="0"/>
              <w:jc w:val="center"/>
              <w:textAlignment w:val="center"/>
              <w:rPr>
                <w:color w:val="auto"/>
                <w:sz w:val="21"/>
              </w:rPr>
            </w:pPr>
            <w:r>
              <w:rPr>
                <w:color w:val="auto"/>
                <w:kern w:val="0"/>
                <w:sz w:val="21"/>
                <w:lang w:bidi="ar"/>
              </w:rPr>
              <w:t>1</w:t>
            </w:r>
          </w:p>
        </w:tc>
        <w:tc>
          <w:tcPr>
            <w:tcW w:w="638" w:type="pct"/>
            <w:vAlign w:val="center"/>
          </w:tcPr>
          <w:p w14:paraId="6FE1A947">
            <w:pPr>
              <w:widowControl/>
              <w:spacing w:line="240" w:lineRule="auto"/>
              <w:ind w:firstLine="0" w:firstLineChars="0"/>
              <w:jc w:val="center"/>
              <w:textAlignment w:val="center"/>
              <w:rPr>
                <w:rFonts w:ascii="宋体" w:hAnsi="宋体" w:cs="宋体"/>
                <w:color w:val="auto"/>
                <w:sz w:val="21"/>
              </w:rPr>
            </w:pPr>
            <w:r>
              <w:rPr>
                <w:rFonts w:hint="eastAsia" w:ascii="宋体" w:hAnsi="宋体" w:cs="宋体"/>
                <w:color w:val="auto"/>
                <w:kern w:val="0"/>
                <w:sz w:val="21"/>
                <w:lang w:bidi="ar"/>
              </w:rPr>
              <w:t>露天采矿区</w:t>
            </w:r>
          </w:p>
        </w:tc>
        <w:tc>
          <w:tcPr>
            <w:tcW w:w="471" w:type="pct"/>
            <w:vAlign w:val="center"/>
          </w:tcPr>
          <w:p w14:paraId="3D65AF02">
            <w:pPr>
              <w:widowControl/>
              <w:spacing w:line="240" w:lineRule="auto"/>
              <w:ind w:firstLine="0" w:firstLineChars="0"/>
              <w:jc w:val="center"/>
              <w:textAlignment w:val="center"/>
              <w:rPr>
                <w:rFonts w:ascii="宋体" w:hAnsi="宋体" w:cs="宋体"/>
                <w:color w:val="auto"/>
                <w:sz w:val="21"/>
              </w:rPr>
            </w:pPr>
            <w:r>
              <w:rPr>
                <w:rFonts w:hint="eastAsia" w:ascii="宋体" w:hAnsi="宋体" w:cs="宋体"/>
                <w:color w:val="auto"/>
                <w:kern w:val="0"/>
                <w:sz w:val="21"/>
                <w:lang w:bidi="ar"/>
              </w:rPr>
              <w:t>露天开采</w:t>
            </w:r>
          </w:p>
        </w:tc>
        <w:tc>
          <w:tcPr>
            <w:tcW w:w="764" w:type="pct"/>
            <w:vAlign w:val="center"/>
          </w:tcPr>
          <w:p w14:paraId="65DB5372">
            <w:pPr>
              <w:widowControl/>
              <w:spacing w:line="240" w:lineRule="auto"/>
              <w:ind w:firstLine="0" w:firstLineChars="0"/>
              <w:jc w:val="center"/>
              <w:textAlignment w:val="center"/>
              <w:rPr>
                <w:rFonts w:ascii="宋体" w:hAnsi="宋体" w:cs="宋体"/>
                <w:color w:val="auto"/>
                <w:kern w:val="0"/>
                <w:sz w:val="21"/>
                <w:lang w:bidi="ar"/>
              </w:rPr>
            </w:pPr>
            <w:r>
              <w:rPr>
                <w:rFonts w:hint="eastAsia" w:ascii="宋体" w:hAnsi="宋体" w:cs="宋体"/>
                <w:color w:val="auto"/>
                <w:kern w:val="0"/>
                <w:sz w:val="21"/>
                <w:lang w:bidi="ar"/>
              </w:rPr>
              <w:t>地表剥离、岩石开采、堆放废弃土石</w:t>
            </w:r>
          </w:p>
        </w:tc>
        <w:tc>
          <w:tcPr>
            <w:tcW w:w="973" w:type="pct"/>
            <w:vAlign w:val="center"/>
          </w:tcPr>
          <w:p w14:paraId="757FB5EB">
            <w:pPr>
              <w:widowControl/>
              <w:spacing w:line="240" w:lineRule="auto"/>
              <w:ind w:firstLine="0" w:firstLineChars="0"/>
              <w:jc w:val="center"/>
              <w:textAlignment w:val="center"/>
              <w:rPr>
                <w:rFonts w:ascii="宋体" w:hAnsi="宋体" w:cs="宋体"/>
                <w:color w:val="auto"/>
                <w:kern w:val="0"/>
                <w:sz w:val="21"/>
                <w:lang w:bidi="ar"/>
              </w:rPr>
            </w:pPr>
            <w:r>
              <w:rPr>
                <w:rFonts w:hint="eastAsia" w:ascii="宋体" w:hAnsi="宋体" w:cs="宋体"/>
                <w:color w:val="auto"/>
                <w:kern w:val="0"/>
                <w:sz w:val="21"/>
                <w:lang w:bidi="ar"/>
              </w:rPr>
              <w:t>破坏土地、改变</w:t>
            </w:r>
          </w:p>
          <w:p w14:paraId="06A738AB">
            <w:pPr>
              <w:widowControl/>
              <w:spacing w:line="240" w:lineRule="auto"/>
              <w:ind w:firstLine="0" w:firstLineChars="0"/>
              <w:jc w:val="center"/>
              <w:textAlignment w:val="center"/>
              <w:rPr>
                <w:rFonts w:ascii="宋体" w:hAnsi="宋体" w:cs="宋体"/>
                <w:color w:val="auto"/>
                <w:sz w:val="21"/>
              </w:rPr>
            </w:pPr>
            <w:r>
              <w:rPr>
                <w:rFonts w:hint="eastAsia" w:ascii="宋体" w:hAnsi="宋体" w:cs="宋体"/>
                <w:color w:val="auto"/>
                <w:kern w:val="0"/>
                <w:sz w:val="21"/>
                <w:lang w:bidi="ar"/>
              </w:rPr>
              <w:t>地形地貌</w:t>
            </w:r>
          </w:p>
        </w:tc>
        <w:tc>
          <w:tcPr>
            <w:tcW w:w="1297" w:type="pct"/>
            <w:vAlign w:val="center"/>
          </w:tcPr>
          <w:p w14:paraId="22FDFEA9">
            <w:pPr>
              <w:widowControl/>
              <w:spacing w:line="240" w:lineRule="auto"/>
              <w:ind w:firstLine="0" w:firstLineChars="0"/>
              <w:jc w:val="center"/>
              <w:textAlignment w:val="center"/>
              <w:rPr>
                <w:rFonts w:ascii="宋体" w:hAnsi="宋体" w:cs="宋体"/>
                <w:color w:val="auto"/>
                <w:kern w:val="0"/>
                <w:sz w:val="21"/>
                <w:lang w:bidi="ar"/>
              </w:rPr>
            </w:pPr>
            <w:r>
              <w:rPr>
                <w:rFonts w:hint="eastAsia" w:ascii="宋体" w:hAnsi="宋体" w:cs="宋体"/>
                <w:color w:val="auto"/>
                <w:kern w:val="0"/>
                <w:sz w:val="21"/>
                <w:lang w:bidi="ar"/>
              </w:rPr>
              <w:t>可能会存在崩塌及岩质滑坡，危及开采设施和员工安全，改变地形地貌</w:t>
            </w:r>
          </w:p>
        </w:tc>
        <w:tc>
          <w:tcPr>
            <w:tcW w:w="535" w:type="pct"/>
            <w:vAlign w:val="center"/>
          </w:tcPr>
          <w:p w14:paraId="61DC6647">
            <w:pPr>
              <w:widowControl/>
              <w:spacing w:line="240" w:lineRule="auto"/>
              <w:ind w:firstLine="0" w:firstLineChars="0"/>
              <w:jc w:val="center"/>
              <w:textAlignment w:val="center"/>
              <w:rPr>
                <w:rFonts w:ascii="宋体" w:hAnsi="宋体" w:cs="宋体"/>
                <w:color w:val="auto"/>
                <w:kern w:val="0"/>
                <w:sz w:val="21"/>
                <w:lang w:bidi="ar"/>
              </w:rPr>
            </w:pPr>
            <w:r>
              <w:rPr>
                <w:rFonts w:hint="eastAsia" w:ascii="宋体" w:hAnsi="宋体" w:cs="宋体"/>
                <w:color w:val="auto"/>
                <w:kern w:val="0"/>
                <w:sz w:val="21"/>
                <w:lang w:bidi="ar"/>
              </w:rPr>
              <w:t>较大</w:t>
            </w:r>
          </w:p>
        </w:tc>
      </w:tr>
    </w:tbl>
    <w:p w14:paraId="15D0AAAC">
      <w:pPr>
        <w:pStyle w:val="70"/>
        <w:jc w:val="center"/>
        <w:rPr>
          <w:rFonts w:ascii="宋体" w:hAnsi="宋体" w:cs="宋体"/>
          <w:color w:val="auto"/>
        </w:rPr>
      </w:pPr>
      <w:r>
        <w:rPr>
          <w:rFonts w:hint="eastAsia" w:ascii="宋体" w:hAnsi="宋体"/>
          <w:b/>
          <w:color w:val="auto"/>
          <w:kern w:val="2"/>
          <w:sz w:val="21"/>
          <w:szCs w:val="21"/>
        </w:rPr>
        <w:t xml:space="preserve">表3-2-4 </w:t>
      </w:r>
      <w:r>
        <w:rPr>
          <w:rFonts w:hint="eastAsia"/>
          <w:color w:val="auto"/>
          <w:szCs w:val="21"/>
        </w:rPr>
        <w:t xml:space="preserve">      </w:t>
      </w:r>
      <w:r>
        <w:rPr>
          <w:rFonts w:hint="eastAsia" w:ascii="宋体" w:hAnsi="宋体"/>
          <w:b/>
          <w:color w:val="auto"/>
          <w:kern w:val="2"/>
          <w:sz w:val="21"/>
          <w:szCs w:val="21"/>
        </w:rPr>
        <w:t>矿山地质环境影响评估分级表</w:t>
      </w:r>
      <w:r>
        <w:rPr>
          <w:rFonts w:hint="eastAsia"/>
          <w:color w:val="auto"/>
          <w:szCs w:val="21"/>
        </w:rPr>
        <w:t xml:space="preserve">  </w:t>
      </w:r>
      <w:r>
        <w:rPr>
          <w:rFonts w:hint="eastAsia"/>
          <w:b/>
          <w:bCs/>
          <w:color w:val="auto"/>
          <w:szCs w:val="21"/>
        </w:rPr>
        <w:t xml:space="preserve"> </w:t>
      </w:r>
      <w:r>
        <w:rPr>
          <w:rFonts w:hint="eastAsia" w:ascii="宋体" w:hAnsi="宋体" w:cs="宋体"/>
          <w:color w:val="auto"/>
        </w:rPr>
        <w:t xml:space="preserve">       </w:t>
      </w:r>
    </w:p>
    <w:tbl>
      <w:tblPr>
        <w:tblStyle w:val="23"/>
        <w:tblW w:w="52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1751"/>
        <w:gridCol w:w="1751"/>
        <w:gridCol w:w="1751"/>
        <w:gridCol w:w="1745"/>
      </w:tblGrid>
      <w:tr w14:paraId="31E8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07" w:type="pct"/>
            <w:vMerge w:val="restart"/>
            <w:vAlign w:val="center"/>
          </w:tcPr>
          <w:p w14:paraId="7B7AF051">
            <w:pPr>
              <w:ind w:firstLine="0" w:firstLineChars="0"/>
              <w:jc w:val="center"/>
              <w:rPr>
                <w:rFonts w:ascii="宋体" w:hAnsi="宋体" w:cs="宋体"/>
                <w:color w:val="auto"/>
                <w:sz w:val="21"/>
              </w:rPr>
            </w:pPr>
            <w:r>
              <w:rPr>
                <w:rFonts w:hint="eastAsia" w:ascii="宋体" w:hAnsi="宋体" w:cs="宋体"/>
                <w:color w:val="auto"/>
                <w:sz w:val="21"/>
              </w:rPr>
              <w:t>评估区重要程度</w:t>
            </w:r>
            <w:r>
              <w:rPr>
                <w:rFonts w:hint="eastAsia" w:ascii="宋体" w:hAnsi="宋体" w:cs="宋体"/>
                <w:color w:val="auto"/>
                <w:sz w:val="21"/>
              </w:rPr>
              <mc:AlternateContent>
                <mc:Choice Requires="wps">
                  <w:drawing>
                    <wp:anchor distT="0" distB="0" distL="114300" distR="114300" simplePos="0" relativeHeight="251665408" behindDoc="0" locked="0" layoutInCell="1" allowOverlap="1">
                      <wp:simplePos x="0" y="0"/>
                      <wp:positionH relativeFrom="column">
                        <wp:posOffset>1851660</wp:posOffset>
                      </wp:positionH>
                      <wp:positionV relativeFrom="paragraph">
                        <wp:posOffset>1360170</wp:posOffset>
                      </wp:positionV>
                      <wp:extent cx="635" cy="0"/>
                      <wp:effectExtent l="0" t="4445" r="0" b="5080"/>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miter lim="800000"/>
                              </a:ln>
                            </wps:spPr>
                            <wps:bodyPr/>
                          </wps:wsp>
                        </a:graphicData>
                      </a:graphic>
                    </wp:anchor>
                  </w:drawing>
                </mc:Choice>
                <mc:Fallback>
                  <w:pict>
                    <v:line id="_x0000_s1026" o:spid="_x0000_s1026" o:spt="20" style="position:absolute;left:0pt;margin-left:145.8pt;margin-top:107.1pt;height:0pt;width:0.05pt;z-index:251665408;mso-width-relative:page;mso-height-relative:page;" filled="f" stroked="t" coordsize="21600,21600" o:gfxdata="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MZMfdgAAAALAQAADwAAAAAAAAABACAAAAAiAAAAZHJzL2Rvd25yZXYueG1sUEsBAhQAFAAAAAgA&#10;h07iQImgsRrsAQAAwAMAAA4AAAAAAAAAAQAgAAAAJwEAAGRycy9lMm9Eb2MueG1sUEsFBgAAAAAG&#10;AAYAWQEAAIUFAAAAAA==&#10;">
                      <v:fill on="f" focussize="0,0"/>
                      <v:stroke color="#000000" miterlimit="8" joinstyle="miter"/>
                      <v:imagedata o:title=""/>
                      <o:lock v:ext="edit" aspectratio="f"/>
                    </v:line>
                  </w:pict>
                </mc:Fallback>
              </mc:AlternateContent>
            </w:r>
          </w:p>
        </w:tc>
        <w:tc>
          <w:tcPr>
            <w:tcW w:w="974" w:type="pct"/>
            <w:vMerge w:val="restart"/>
            <w:vAlign w:val="center"/>
          </w:tcPr>
          <w:p w14:paraId="02738FF0">
            <w:pPr>
              <w:spacing w:line="240" w:lineRule="auto"/>
              <w:ind w:firstLine="0" w:firstLineChars="0"/>
              <w:jc w:val="center"/>
              <w:rPr>
                <w:rFonts w:ascii="宋体" w:hAnsi="宋体" w:cs="宋体"/>
                <w:color w:val="auto"/>
                <w:sz w:val="21"/>
              </w:rPr>
            </w:pPr>
            <w:r>
              <w:rPr>
                <w:rFonts w:hint="eastAsia" w:ascii="宋体" w:hAnsi="宋体" w:cs="宋体"/>
                <w:color w:val="auto"/>
                <w:sz w:val="21"/>
              </w:rPr>
              <w:t>矿山生产</w:t>
            </w:r>
          </w:p>
          <w:p w14:paraId="5307D0DA">
            <w:pPr>
              <w:spacing w:line="240" w:lineRule="auto"/>
              <w:ind w:firstLine="0" w:firstLineChars="0"/>
              <w:jc w:val="center"/>
              <w:rPr>
                <w:rFonts w:ascii="宋体" w:hAnsi="宋体" w:cs="宋体"/>
                <w:color w:val="auto"/>
                <w:sz w:val="21"/>
              </w:rPr>
            </w:pPr>
            <w:r>
              <w:rPr>
                <w:rFonts w:hint="eastAsia" w:ascii="宋体" w:hAnsi="宋体" w:cs="宋体"/>
                <w:color w:val="auto"/>
                <w:sz w:val="21"/>
              </w:rPr>
              <w:t>建设规模</w:t>
            </w:r>
          </w:p>
        </w:tc>
        <w:tc>
          <w:tcPr>
            <w:tcW w:w="2919" w:type="pct"/>
            <w:gridSpan w:val="3"/>
            <w:tcBorders>
              <w:bottom w:val="single" w:color="auto" w:sz="4" w:space="0"/>
            </w:tcBorders>
            <w:vAlign w:val="center"/>
          </w:tcPr>
          <w:p w14:paraId="4C9D154B">
            <w:pPr>
              <w:spacing w:line="240" w:lineRule="auto"/>
              <w:ind w:firstLine="0" w:firstLineChars="0"/>
              <w:jc w:val="center"/>
              <w:rPr>
                <w:rFonts w:ascii="宋体" w:hAnsi="宋体" w:cs="宋体"/>
                <w:color w:val="auto"/>
                <w:sz w:val="21"/>
              </w:rPr>
            </w:pPr>
            <w:r>
              <w:rPr>
                <w:rFonts w:hint="eastAsia" w:ascii="宋体" w:hAnsi="宋体" w:cs="宋体"/>
                <w:color w:val="auto"/>
                <w:sz w:val="21"/>
              </w:rPr>
              <w:t>地质环境复杂程度</w:t>
            </w:r>
          </w:p>
        </w:tc>
      </w:tr>
      <w:tr w14:paraId="26E0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07" w:type="pct"/>
            <w:vMerge w:val="continue"/>
            <w:tcBorders>
              <w:bottom w:val="single" w:color="auto" w:sz="4" w:space="0"/>
            </w:tcBorders>
            <w:vAlign w:val="center"/>
          </w:tcPr>
          <w:p w14:paraId="1BA7D4BA">
            <w:pPr>
              <w:spacing w:line="240" w:lineRule="auto"/>
              <w:ind w:firstLine="0" w:firstLineChars="0"/>
              <w:jc w:val="center"/>
              <w:rPr>
                <w:rFonts w:ascii="宋体" w:hAnsi="宋体" w:cs="宋体"/>
                <w:color w:val="auto"/>
                <w:sz w:val="21"/>
              </w:rPr>
            </w:pPr>
          </w:p>
        </w:tc>
        <w:tc>
          <w:tcPr>
            <w:tcW w:w="974" w:type="pct"/>
            <w:vMerge w:val="continue"/>
            <w:tcBorders>
              <w:bottom w:val="single" w:color="auto" w:sz="4" w:space="0"/>
            </w:tcBorders>
            <w:vAlign w:val="center"/>
          </w:tcPr>
          <w:p w14:paraId="5F2A2DD9">
            <w:pPr>
              <w:spacing w:line="240" w:lineRule="auto"/>
              <w:ind w:firstLine="0" w:firstLineChars="0"/>
              <w:jc w:val="center"/>
              <w:rPr>
                <w:rFonts w:ascii="宋体" w:hAnsi="宋体" w:cs="宋体"/>
                <w:color w:val="auto"/>
                <w:sz w:val="21"/>
              </w:rPr>
            </w:pPr>
          </w:p>
        </w:tc>
        <w:tc>
          <w:tcPr>
            <w:tcW w:w="974" w:type="pct"/>
            <w:tcBorders>
              <w:bottom w:val="single" w:color="auto" w:sz="4" w:space="0"/>
            </w:tcBorders>
            <w:vAlign w:val="center"/>
          </w:tcPr>
          <w:p w14:paraId="50EE2EBA">
            <w:pPr>
              <w:spacing w:line="240" w:lineRule="auto"/>
              <w:ind w:firstLine="0" w:firstLineChars="0"/>
              <w:jc w:val="center"/>
              <w:rPr>
                <w:rFonts w:ascii="宋体" w:hAnsi="宋体" w:cs="宋体"/>
                <w:color w:val="auto"/>
                <w:sz w:val="21"/>
              </w:rPr>
            </w:pPr>
            <w:r>
              <w:rPr>
                <w:rFonts w:hint="eastAsia" w:ascii="宋体" w:hAnsi="宋体" w:cs="宋体"/>
                <w:color w:val="auto"/>
                <w:sz w:val="21"/>
              </w:rPr>
              <w:t>复杂</w:t>
            </w:r>
          </w:p>
        </w:tc>
        <w:tc>
          <w:tcPr>
            <w:tcW w:w="974" w:type="pct"/>
            <w:tcBorders>
              <w:bottom w:val="single" w:color="auto" w:sz="4" w:space="0"/>
            </w:tcBorders>
            <w:vAlign w:val="center"/>
          </w:tcPr>
          <w:p w14:paraId="6F76D333">
            <w:pPr>
              <w:spacing w:line="240" w:lineRule="auto"/>
              <w:ind w:firstLine="0" w:firstLineChars="0"/>
              <w:jc w:val="center"/>
              <w:rPr>
                <w:rFonts w:ascii="宋体" w:hAnsi="宋体" w:cs="宋体"/>
                <w:color w:val="auto"/>
                <w:sz w:val="21"/>
              </w:rPr>
            </w:pPr>
            <w:r>
              <w:rPr>
                <w:rFonts w:hint="eastAsia" w:ascii="宋体" w:hAnsi="宋体" w:cs="宋体"/>
                <w:color w:val="auto"/>
                <w:sz w:val="21"/>
              </w:rPr>
              <w:t>中等</w:t>
            </w:r>
            <w:r>
              <w:rPr>
                <w:rFonts w:hint="eastAsia" w:ascii="宋体" w:hAnsi="宋体" w:cs="宋体"/>
                <w:b/>
                <w:color w:val="auto"/>
                <w:sz w:val="21"/>
              </w:rPr>
              <w:t>√</w:t>
            </w:r>
          </w:p>
        </w:tc>
        <w:tc>
          <w:tcPr>
            <w:tcW w:w="971" w:type="pct"/>
            <w:tcBorders>
              <w:bottom w:val="single" w:color="auto" w:sz="4" w:space="0"/>
            </w:tcBorders>
            <w:vAlign w:val="center"/>
          </w:tcPr>
          <w:p w14:paraId="044D2546">
            <w:pPr>
              <w:spacing w:line="240" w:lineRule="auto"/>
              <w:ind w:firstLine="0" w:firstLineChars="0"/>
              <w:jc w:val="center"/>
              <w:rPr>
                <w:rFonts w:ascii="宋体" w:hAnsi="宋体" w:cs="宋体"/>
                <w:color w:val="auto"/>
                <w:sz w:val="21"/>
              </w:rPr>
            </w:pPr>
            <w:r>
              <w:rPr>
                <w:rFonts w:hint="eastAsia" w:ascii="宋体" w:hAnsi="宋体" w:cs="宋体"/>
                <w:color w:val="auto"/>
                <w:sz w:val="21"/>
              </w:rPr>
              <w:t>简单</w:t>
            </w:r>
          </w:p>
        </w:tc>
      </w:tr>
      <w:tr w14:paraId="6F19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restart"/>
            <w:vAlign w:val="center"/>
          </w:tcPr>
          <w:p w14:paraId="197F857D">
            <w:pPr>
              <w:spacing w:line="240" w:lineRule="auto"/>
              <w:ind w:firstLine="0" w:firstLineChars="0"/>
              <w:jc w:val="center"/>
              <w:rPr>
                <w:rFonts w:ascii="宋体" w:hAnsi="宋体" w:cs="宋体"/>
                <w:color w:val="auto"/>
                <w:sz w:val="21"/>
              </w:rPr>
            </w:pPr>
            <w:r>
              <w:rPr>
                <w:rFonts w:hint="eastAsia" w:ascii="宋体" w:hAnsi="宋体" w:cs="宋体"/>
                <w:color w:val="auto"/>
                <w:sz w:val="21"/>
              </w:rPr>
              <w:t>重要区</w:t>
            </w:r>
            <w:r>
              <w:rPr>
                <w:rFonts w:hint="eastAsia" w:ascii="宋体" w:hAnsi="宋体"/>
                <w:b/>
                <w:color w:val="auto"/>
              </w:rPr>
              <w:t>√</w:t>
            </w:r>
          </w:p>
        </w:tc>
        <w:tc>
          <w:tcPr>
            <w:tcW w:w="974" w:type="pct"/>
            <w:vAlign w:val="center"/>
          </w:tcPr>
          <w:p w14:paraId="06B99295">
            <w:pPr>
              <w:spacing w:line="240" w:lineRule="auto"/>
              <w:ind w:firstLine="0" w:firstLineChars="0"/>
              <w:jc w:val="center"/>
              <w:rPr>
                <w:rFonts w:ascii="宋体" w:hAnsi="宋体" w:cs="宋体"/>
                <w:color w:val="auto"/>
                <w:sz w:val="21"/>
              </w:rPr>
            </w:pPr>
            <w:r>
              <w:rPr>
                <w:rFonts w:hint="eastAsia" w:ascii="宋体" w:hAnsi="宋体" w:cs="宋体"/>
                <w:color w:val="auto"/>
                <w:sz w:val="21"/>
              </w:rPr>
              <w:t>大  型</w:t>
            </w:r>
          </w:p>
        </w:tc>
        <w:tc>
          <w:tcPr>
            <w:tcW w:w="974" w:type="pct"/>
            <w:vAlign w:val="center"/>
          </w:tcPr>
          <w:p w14:paraId="37EFE8BC">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14:paraId="7B02E4D1">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1" w:type="pct"/>
            <w:vAlign w:val="center"/>
          </w:tcPr>
          <w:p w14:paraId="6E77AE94">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r>
      <w:tr w14:paraId="67E5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14:paraId="25C1A1CA">
            <w:pPr>
              <w:spacing w:line="240" w:lineRule="auto"/>
              <w:ind w:firstLine="0" w:firstLineChars="0"/>
              <w:jc w:val="center"/>
              <w:rPr>
                <w:rFonts w:ascii="宋体" w:hAnsi="宋体" w:cs="宋体"/>
                <w:color w:val="auto"/>
                <w:sz w:val="21"/>
              </w:rPr>
            </w:pPr>
          </w:p>
        </w:tc>
        <w:tc>
          <w:tcPr>
            <w:tcW w:w="974" w:type="pct"/>
            <w:vAlign w:val="center"/>
          </w:tcPr>
          <w:p w14:paraId="7A06745B">
            <w:pPr>
              <w:spacing w:line="240" w:lineRule="auto"/>
              <w:ind w:firstLine="0" w:firstLineChars="0"/>
              <w:jc w:val="center"/>
              <w:rPr>
                <w:rFonts w:ascii="宋体" w:hAnsi="宋体" w:cs="宋体"/>
                <w:color w:val="auto"/>
                <w:sz w:val="21"/>
              </w:rPr>
            </w:pPr>
            <w:r>
              <w:rPr>
                <w:rFonts w:hint="eastAsia" w:ascii="宋体" w:hAnsi="宋体" w:cs="宋体"/>
                <w:color w:val="auto"/>
                <w:sz w:val="21"/>
              </w:rPr>
              <w:t>中  型</w:t>
            </w:r>
          </w:p>
        </w:tc>
        <w:tc>
          <w:tcPr>
            <w:tcW w:w="974" w:type="pct"/>
            <w:vAlign w:val="center"/>
          </w:tcPr>
          <w:p w14:paraId="32F3B020">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14:paraId="09616C79">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1" w:type="pct"/>
            <w:vAlign w:val="center"/>
          </w:tcPr>
          <w:p w14:paraId="7FC9B8C6">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r>
      <w:tr w14:paraId="5232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14:paraId="472382D3">
            <w:pPr>
              <w:spacing w:line="240" w:lineRule="auto"/>
              <w:ind w:firstLine="0" w:firstLineChars="0"/>
              <w:jc w:val="center"/>
              <w:rPr>
                <w:rFonts w:ascii="宋体" w:hAnsi="宋体" w:cs="宋体"/>
                <w:color w:val="auto"/>
                <w:sz w:val="21"/>
              </w:rPr>
            </w:pPr>
          </w:p>
        </w:tc>
        <w:tc>
          <w:tcPr>
            <w:tcW w:w="974" w:type="pct"/>
            <w:vAlign w:val="center"/>
          </w:tcPr>
          <w:p w14:paraId="4F7911F7">
            <w:pPr>
              <w:spacing w:line="240" w:lineRule="auto"/>
              <w:ind w:firstLine="0" w:firstLineChars="0"/>
              <w:jc w:val="center"/>
              <w:rPr>
                <w:rFonts w:ascii="宋体" w:hAnsi="宋体" w:cs="宋体"/>
                <w:color w:val="auto"/>
                <w:sz w:val="21"/>
              </w:rPr>
            </w:pPr>
            <w:r>
              <w:rPr>
                <w:rFonts w:hint="eastAsia" w:ascii="宋体" w:hAnsi="宋体" w:cs="宋体"/>
                <w:color w:val="auto"/>
                <w:sz w:val="21"/>
              </w:rPr>
              <w:t>小  型</w:t>
            </w:r>
            <w:r>
              <w:rPr>
                <w:rFonts w:hint="eastAsia" w:ascii="宋体" w:hAnsi="宋体"/>
                <w:b/>
                <w:color w:val="auto"/>
              </w:rPr>
              <w:t>√</w:t>
            </w:r>
          </w:p>
        </w:tc>
        <w:tc>
          <w:tcPr>
            <w:tcW w:w="974" w:type="pct"/>
            <w:vAlign w:val="center"/>
          </w:tcPr>
          <w:p w14:paraId="284E557C">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14:paraId="02BBEAED">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r>
              <w:rPr>
                <w:rFonts w:hint="eastAsia" w:ascii="宋体" w:hAnsi="宋体"/>
                <w:b/>
                <w:color w:val="auto"/>
              </w:rPr>
              <w:t>√</w:t>
            </w:r>
          </w:p>
        </w:tc>
        <w:tc>
          <w:tcPr>
            <w:tcW w:w="971" w:type="pct"/>
            <w:vAlign w:val="center"/>
          </w:tcPr>
          <w:p w14:paraId="53C66F1D">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r>
      <w:tr w14:paraId="11CC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restart"/>
            <w:vAlign w:val="center"/>
          </w:tcPr>
          <w:p w14:paraId="20E02027">
            <w:pPr>
              <w:spacing w:line="240" w:lineRule="auto"/>
              <w:ind w:firstLine="0" w:firstLineChars="0"/>
              <w:jc w:val="center"/>
              <w:rPr>
                <w:rFonts w:ascii="宋体" w:hAnsi="宋体" w:cs="宋体"/>
                <w:color w:val="auto"/>
                <w:sz w:val="21"/>
              </w:rPr>
            </w:pPr>
            <w:r>
              <w:rPr>
                <w:rFonts w:hint="eastAsia" w:ascii="宋体" w:hAnsi="宋体" w:cs="宋体"/>
                <w:color w:val="auto"/>
                <w:sz w:val="21"/>
              </w:rPr>
              <w:t>较重要区</w:t>
            </w:r>
          </w:p>
        </w:tc>
        <w:tc>
          <w:tcPr>
            <w:tcW w:w="974" w:type="pct"/>
            <w:vAlign w:val="center"/>
          </w:tcPr>
          <w:p w14:paraId="4FEF4049">
            <w:pPr>
              <w:spacing w:line="240" w:lineRule="auto"/>
              <w:ind w:firstLine="0" w:firstLineChars="0"/>
              <w:jc w:val="center"/>
              <w:rPr>
                <w:rFonts w:ascii="宋体" w:hAnsi="宋体" w:cs="宋体"/>
                <w:color w:val="auto"/>
                <w:sz w:val="21"/>
              </w:rPr>
            </w:pPr>
            <w:r>
              <w:rPr>
                <w:rFonts w:hint="eastAsia" w:ascii="宋体" w:hAnsi="宋体" w:cs="宋体"/>
                <w:color w:val="auto"/>
                <w:sz w:val="21"/>
              </w:rPr>
              <w:t>大  型</w:t>
            </w:r>
          </w:p>
        </w:tc>
        <w:tc>
          <w:tcPr>
            <w:tcW w:w="974" w:type="pct"/>
            <w:vAlign w:val="center"/>
          </w:tcPr>
          <w:p w14:paraId="3C719DCA">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14:paraId="11B34B4B">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1" w:type="pct"/>
            <w:vAlign w:val="center"/>
          </w:tcPr>
          <w:p w14:paraId="2DB6108D">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r>
      <w:tr w14:paraId="16DE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14:paraId="0443A00C">
            <w:pPr>
              <w:spacing w:line="240" w:lineRule="auto"/>
              <w:ind w:firstLine="0" w:firstLineChars="0"/>
              <w:jc w:val="center"/>
              <w:rPr>
                <w:rFonts w:ascii="宋体" w:hAnsi="宋体" w:cs="宋体"/>
                <w:color w:val="auto"/>
                <w:sz w:val="21"/>
              </w:rPr>
            </w:pPr>
          </w:p>
        </w:tc>
        <w:tc>
          <w:tcPr>
            <w:tcW w:w="974" w:type="pct"/>
            <w:vAlign w:val="center"/>
          </w:tcPr>
          <w:p w14:paraId="7BCDDF19">
            <w:pPr>
              <w:spacing w:line="240" w:lineRule="auto"/>
              <w:ind w:firstLine="0" w:firstLineChars="0"/>
              <w:jc w:val="center"/>
              <w:rPr>
                <w:rFonts w:ascii="宋体" w:hAnsi="宋体" w:cs="宋体"/>
                <w:color w:val="auto"/>
                <w:sz w:val="21"/>
              </w:rPr>
            </w:pPr>
            <w:r>
              <w:rPr>
                <w:rFonts w:hint="eastAsia" w:ascii="宋体" w:hAnsi="宋体" w:cs="宋体"/>
                <w:color w:val="auto"/>
                <w:sz w:val="21"/>
              </w:rPr>
              <w:t>中  型</w:t>
            </w:r>
          </w:p>
        </w:tc>
        <w:tc>
          <w:tcPr>
            <w:tcW w:w="974" w:type="pct"/>
            <w:vAlign w:val="center"/>
          </w:tcPr>
          <w:p w14:paraId="1F6EFAF5">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14:paraId="191E8468">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c>
          <w:tcPr>
            <w:tcW w:w="971" w:type="pct"/>
            <w:vAlign w:val="center"/>
          </w:tcPr>
          <w:p w14:paraId="53B8EBBC">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r>
      <w:tr w14:paraId="0CF4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14:paraId="1FC0979C">
            <w:pPr>
              <w:spacing w:line="240" w:lineRule="auto"/>
              <w:ind w:firstLine="0" w:firstLineChars="0"/>
              <w:jc w:val="center"/>
              <w:rPr>
                <w:rFonts w:ascii="宋体" w:hAnsi="宋体" w:cs="宋体"/>
                <w:color w:val="auto"/>
                <w:sz w:val="21"/>
              </w:rPr>
            </w:pPr>
          </w:p>
        </w:tc>
        <w:tc>
          <w:tcPr>
            <w:tcW w:w="974" w:type="pct"/>
            <w:vAlign w:val="center"/>
          </w:tcPr>
          <w:p w14:paraId="6C8FFEEA">
            <w:pPr>
              <w:spacing w:line="240" w:lineRule="auto"/>
              <w:ind w:firstLine="0" w:firstLineChars="0"/>
              <w:jc w:val="center"/>
              <w:rPr>
                <w:rFonts w:ascii="宋体" w:hAnsi="宋体" w:cs="宋体"/>
                <w:color w:val="auto"/>
                <w:sz w:val="21"/>
              </w:rPr>
            </w:pPr>
            <w:r>
              <w:rPr>
                <w:rFonts w:hint="eastAsia" w:ascii="宋体" w:hAnsi="宋体" w:cs="宋体"/>
                <w:color w:val="auto"/>
                <w:sz w:val="21"/>
              </w:rPr>
              <w:t>小  型</w:t>
            </w:r>
          </w:p>
        </w:tc>
        <w:tc>
          <w:tcPr>
            <w:tcW w:w="974" w:type="pct"/>
            <w:vAlign w:val="center"/>
          </w:tcPr>
          <w:p w14:paraId="12F61988">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14:paraId="367EA280">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c>
          <w:tcPr>
            <w:tcW w:w="971" w:type="pct"/>
            <w:vAlign w:val="center"/>
          </w:tcPr>
          <w:p w14:paraId="4FFC9A40">
            <w:pPr>
              <w:spacing w:line="240" w:lineRule="auto"/>
              <w:ind w:firstLine="0" w:firstLineChars="0"/>
              <w:jc w:val="center"/>
              <w:rPr>
                <w:rFonts w:ascii="宋体" w:hAnsi="宋体" w:cs="宋体"/>
                <w:color w:val="auto"/>
                <w:sz w:val="21"/>
              </w:rPr>
            </w:pPr>
            <w:r>
              <w:rPr>
                <w:rFonts w:hint="eastAsia" w:ascii="宋体" w:hAnsi="宋体" w:cs="宋体"/>
                <w:color w:val="auto"/>
                <w:sz w:val="21"/>
              </w:rPr>
              <w:t>三级</w:t>
            </w:r>
          </w:p>
        </w:tc>
      </w:tr>
      <w:tr w14:paraId="6A75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restart"/>
            <w:vAlign w:val="center"/>
          </w:tcPr>
          <w:p w14:paraId="77DEEB11">
            <w:pPr>
              <w:spacing w:line="240" w:lineRule="auto"/>
              <w:ind w:firstLine="0" w:firstLineChars="0"/>
              <w:jc w:val="center"/>
              <w:rPr>
                <w:rFonts w:ascii="宋体" w:hAnsi="宋体" w:cs="宋体"/>
                <w:color w:val="auto"/>
                <w:sz w:val="21"/>
              </w:rPr>
            </w:pPr>
            <w:r>
              <w:rPr>
                <w:rFonts w:hint="eastAsia" w:ascii="宋体" w:hAnsi="宋体" w:cs="宋体"/>
                <w:color w:val="auto"/>
                <w:sz w:val="21"/>
              </w:rPr>
              <w:t>一般区</w:t>
            </w:r>
          </w:p>
        </w:tc>
        <w:tc>
          <w:tcPr>
            <w:tcW w:w="974" w:type="pct"/>
            <w:vAlign w:val="center"/>
          </w:tcPr>
          <w:p w14:paraId="5C1D575B">
            <w:pPr>
              <w:spacing w:line="240" w:lineRule="auto"/>
              <w:ind w:firstLine="0" w:firstLineChars="0"/>
              <w:jc w:val="center"/>
              <w:rPr>
                <w:rFonts w:ascii="宋体" w:hAnsi="宋体" w:cs="宋体"/>
                <w:color w:val="auto"/>
                <w:sz w:val="21"/>
              </w:rPr>
            </w:pPr>
            <w:r>
              <w:rPr>
                <w:rFonts w:hint="eastAsia" w:ascii="宋体" w:hAnsi="宋体" w:cs="宋体"/>
                <w:color w:val="auto"/>
                <w:sz w:val="21"/>
              </w:rPr>
              <w:t>大  型</w:t>
            </w:r>
          </w:p>
        </w:tc>
        <w:tc>
          <w:tcPr>
            <w:tcW w:w="974" w:type="pct"/>
            <w:vAlign w:val="center"/>
          </w:tcPr>
          <w:p w14:paraId="1EEA543B">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14:paraId="357C8259">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c>
          <w:tcPr>
            <w:tcW w:w="971" w:type="pct"/>
            <w:vAlign w:val="center"/>
          </w:tcPr>
          <w:p w14:paraId="48DFABD2">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r>
      <w:tr w14:paraId="7321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14:paraId="36DA1406">
            <w:pPr>
              <w:spacing w:line="240" w:lineRule="auto"/>
              <w:ind w:firstLine="0" w:firstLineChars="0"/>
              <w:jc w:val="center"/>
              <w:rPr>
                <w:rFonts w:ascii="宋体" w:hAnsi="宋体" w:cs="宋体"/>
                <w:color w:val="auto"/>
                <w:sz w:val="21"/>
              </w:rPr>
            </w:pPr>
          </w:p>
        </w:tc>
        <w:tc>
          <w:tcPr>
            <w:tcW w:w="974" w:type="pct"/>
            <w:vAlign w:val="center"/>
          </w:tcPr>
          <w:p w14:paraId="7A3B965B">
            <w:pPr>
              <w:spacing w:line="240" w:lineRule="auto"/>
              <w:ind w:firstLine="0" w:firstLineChars="0"/>
              <w:jc w:val="center"/>
              <w:rPr>
                <w:rFonts w:ascii="宋体" w:hAnsi="宋体" w:cs="宋体"/>
                <w:color w:val="auto"/>
                <w:sz w:val="21"/>
              </w:rPr>
            </w:pPr>
            <w:r>
              <w:rPr>
                <w:rFonts w:hint="eastAsia" w:ascii="宋体" w:hAnsi="宋体" w:cs="宋体"/>
                <w:color w:val="auto"/>
                <w:sz w:val="21"/>
              </w:rPr>
              <w:t>中  型</w:t>
            </w:r>
          </w:p>
        </w:tc>
        <w:tc>
          <w:tcPr>
            <w:tcW w:w="974" w:type="pct"/>
            <w:vAlign w:val="center"/>
          </w:tcPr>
          <w:p w14:paraId="5E590286">
            <w:pPr>
              <w:spacing w:line="240" w:lineRule="auto"/>
              <w:ind w:firstLine="0" w:firstLineChars="0"/>
              <w:jc w:val="center"/>
              <w:rPr>
                <w:rFonts w:ascii="宋体" w:hAnsi="宋体" w:cs="宋体"/>
                <w:color w:val="auto"/>
                <w:sz w:val="21"/>
              </w:rPr>
            </w:pPr>
            <w:r>
              <w:rPr>
                <w:rFonts w:hint="eastAsia" w:ascii="宋体" w:hAnsi="宋体" w:cs="宋体"/>
                <w:color w:val="auto"/>
                <w:sz w:val="21"/>
              </w:rPr>
              <w:t>一级</w:t>
            </w:r>
          </w:p>
        </w:tc>
        <w:tc>
          <w:tcPr>
            <w:tcW w:w="974" w:type="pct"/>
            <w:vAlign w:val="center"/>
          </w:tcPr>
          <w:p w14:paraId="09FE11F6">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c>
          <w:tcPr>
            <w:tcW w:w="971" w:type="pct"/>
            <w:vAlign w:val="center"/>
          </w:tcPr>
          <w:p w14:paraId="26461781">
            <w:pPr>
              <w:spacing w:line="240" w:lineRule="auto"/>
              <w:ind w:firstLine="0" w:firstLineChars="0"/>
              <w:jc w:val="center"/>
              <w:rPr>
                <w:rFonts w:ascii="宋体" w:hAnsi="宋体" w:cs="宋体"/>
                <w:color w:val="auto"/>
                <w:sz w:val="21"/>
              </w:rPr>
            </w:pPr>
            <w:r>
              <w:rPr>
                <w:rFonts w:hint="eastAsia" w:ascii="宋体" w:hAnsi="宋体" w:cs="宋体"/>
                <w:color w:val="auto"/>
                <w:sz w:val="21"/>
              </w:rPr>
              <w:t>三级</w:t>
            </w:r>
          </w:p>
        </w:tc>
      </w:tr>
      <w:tr w14:paraId="4E75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07" w:type="pct"/>
            <w:vMerge w:val="continue"/>
            <w:vAlign w:val="center"/>
          </w:tcPr>
          <w:p w14:paraId="49A214FC">
            <w:pPr>
              <w:spacing w:line="240" w:lineRule="auto"/>
              <w:ind w:firstLine="0" w:firstLineChars="0"/>
              <w:jc w:val="center"/>
              <w:rPr>
                <w:rFonts w:ascii="宋体" w:hAnsi="宋体" w:cs="宋体"/>
                <w:b/>
                <w:color w:val="auto"/>
                <w:sz w:val="21"/>
              </w:rPr>
            </w:pPr>
          </w:p>
        </w:tc>
        <w:tc>
          <w:tcPr>
            <w:tcW w:w="974" w:type="pct"/>
            <w:vAlign w:val="center"/>
          </w:tcPr>
          <w:p w14:paraId="31C3CC52">
            <w:pPr>
              <w:spacing w:line="240" w:lineRule="auto"/>
              <w:ind w:firstLine="0" w:firstLineChars="0"/>
              <w:jc w:val="center"/>
              <w:rPr>
                <w:rFonts w:ascii="宋体" w:hAnsi="宋体" w:cs="宋体"/>
                <w:color w:val="auto"/>
                <w:sz w:val="21"/>
              </w:rPr>
            </w:pPr>
            <w:r>
              <w:rPr>
                <w:rFonts w:hint="eastAsia" w:ascii="宋体" w:hAnsi="宋体" w:cs="宋体"/>
                <w:color w:val="auto"/>
                <w:sz w:val="21"/>
              </w:rPr>
              <w:t>小  型</w:t>
            </w:r>
          </w:p>
        </w:tc>
        <w:tc>
          <w:tcPr>
            <w:tcW w:w="974" w:type="pct"/>
            <w:vAlign w:val="center"/>
          </w:tcPr>
          <w:p w14:paraId="48BF5727">
            <w:pPr>
              <w:spacing w:line="240" w:lineRule="auto"/>
              <w:ind w:firstLine="0" w:firstLineChars="0"/>
              <w:jc w:val="center"/>
              <w:rPr>
                <w:rFonts w:ascii="宋体" w:hAnsi="宋体" w:cs="宋体"/>
                <w:color w:val="auto"/>
                <w:sz w:val="21"/>
              </w:rPr>
            </w:pPr>
            <w:r>
              <w:rPr>
                <w:rFonts w:hint="eastAsia" w:ascii="宋体" w:hAnsi="宋体" w:cs="宋体"/>
                <w:color w:val="auto"/>
                <w:sz w:val="21"/>
              </w:rPr>
              <w:t>二级</w:t>
            </w:r>
          </w:p>
        </w:tc>
        <w:tc>
          <w:tcPr>
            <w:tcW w:w="974" w:type="pct"/>
            <w:vAlign w:val="center"/>
          </w:tcPr>
          <w:p w14:paraId="1D51773A">
            <w:pPr>
              <w:spacing w:line="240" w:lineRule="auto"/>
              <w:ind w:firstLine="0" w:firstLineChars="0"/>
              <w:jc w:val="center"/>
              <w:rPr>
                <w:rFonts w:ascii="宋体" w:hAnsi="宋体" w:cs="宋体"/>
                <w:color w:val="auto"/>
                <w:sz w:val="21"/>
              </w:rPr>
            </w:pPr>
            <w:r>
              <w:rPr>
                <w:rFonts w:hint="eastAsia" w:ascii="宋体" w:hAnsi="宋体" w:cs="宋体"/>
                <w:color w:val="auto"/>
                <w:sz w:val="21"/>
              </w:rPr>
              <w:t>三级</w:t>
            </w:r>
          </w:p>
        </w:tc>
        <w:tc>
          <w:tcPr>
            <w:tcW w:w="971" w:type="pct"/>
            <w:vAlign w:val="center"/>
          </w:tcPr>
          <w:p w14:paraId="667462F0">
            <w:pPr>
              <w:spacing w:line="240" w:lineRule="auto"/>
              <w:ind w:firstLine="0" w:firstLineChars="0"/>
              <w:jc w:val="center"/>
              <w:rPr>
                <w:rFonts w:ascii="宋体" w:hAnsi="宋体" w:cs="宋体"/>
                <w:color w:val="auto"/>
                <w:sz w:val="21"/>
              </w:rPr>
            </w:pPr>
            <w:r>
              <w:rPr>
                <w:rFonts w:hint="eastAsia" w:ascii="宋体" w:hAnsi="宋体" w:cs="宋体"/>
                <w:bCs/>
                <w:color w:val="auto"/>
                <w:sz w:val="21"/>
              </w:rPr>
              <w:t>三级</w:t>
            </w:r>
          </w:p>
        </w:tc>
      </w:tr>
    </w:tbl>
    <w:p w14:paraId="60928439">
      <w:pPr>
        <w:rPr>
          <w:rFonts w:ascii="Times New Roman" w:hAnsi="Times New Roman" w:cs="Times New Roman"/>
          <w:color w:val="auto"/>
          <w:highlight w:val="none"/>
        </w:rPr>
      </w:pPr>
    </w:p>
    <w:p w14:paraId="7B0D73E1">
      <w:pPr>
        <w:pStyle w:val="4"/>
        <w:rPr>
          <w:rFonts w:ascii="Times New Roman" w:hAnsi="Times New Roman" w:eastAsia="宋体" w:cs="Times New Roman"/>
          <w:color w:val="auto"/>
          <w:sz w:val="28"/>
          <w:szCs w:val="28"/>
          <w:highlight w:val="none"/>
        </w:rPr>
      </w:pPr>
      <w:bookmarkStart w:id="99" w:name="_Toc23000"/>
      <w:r>
        <w:rPr>
          <w:rFonts w:ascii="Times New Roman" w:hAnsi="Times New Roman" w:eastAsia="宋体" w:cs="Times New Roman"/>
          <w:color w:val="auto"/>
          <w:sz w:val="28"/>
          <w:szCs w:val="28"/>
          <w:highlight w:val="none"/>
        </w:rPr>
        <w:t>（二）矿山地质灾害现状分析与预测</w:t>
      </w:r>
      <w:bookmarkEnd w:id="99"/>
    </w:p>
    <w:p w14:paraId="51B0285B">
      <w:pPr>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1、矿山地质灾害现状分析</w:t>
      </w:r>
    </w:p>
    <w:p w14:paraId="4ECD892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根据国务院 394 号令《地质灾害防治条例》，地质灾害包括自然因素或人为活动引发的危害人民生命和财产安全的山体崩塌、滑坡、泥石流、地面塌陷、地裂缝和地面沉降等与地质作用有关的灾害。根据国土资源部国土资发〔2004〕69 号文及附件《地质灾害危险性评估技术要求》，地质灾害危险性评估的灾种有崩塌、滑坡、泥石流、地面塌陷、地裂缝和地面沉降6种。</w:t>
      </w:r>
    </w:p>
    <w:p w14:paraId="5A5A3C9E">
      <w:pPr>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lang w:val="en-US" w:eastAsia="zh-CN"/>
        </w:rPr>
        <w:t>经实地调查，矿山设计为露天开采，为新建矿山。现状条件下，评估区矿区东部现状存在高陡边坡，现状为稳定。在降雨地震等不良因素下，易发生崩塌、滑塌等地质灾害</w:t>
      </w:r>
    </w:p>
    <w:p w14:paraId="38AB65C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依据《矿山地质环境保护与恢复治理方案编制规范》（DZ/T0223-2011）附录E，现状条件下地质灾害影响程度</w:t>
      </w:r>
      <w:r>
        <w:rPr>
          <w:rFonts w:hint="eastAsia" w:ascii="仿宋" w:hAnsi="仿宋" w:eastAsia="仿宋" w:cs="仿宋"/>
          <w:b/>
          <w:bCs/>
          <w:color w:val="auto"/>
          <w:sz w:val="28"/>
          <w:szCs w:val="28"/>
          <w:highlight w:val="none"/>
        </w:rPr>
        <w:t>较轻</w:t>
      </w:r>
      <w:r>
        <w:rPr>
          <w:rFonts w:hint="eastAsia" w:ascii="仿宋" w:hAnsi="仿宋" w:eastAsia="仿宋" w:cs="仿宋"/>
          <w:color w:val="auto"/>
          <w:sz w:val="28"/>
          <w:szCs w:val="28"/>
          <w:highlight w:val="none"/>
        </w:rPr>
        <w:t>。</w:t>
      </w:r>
    </w:p>
    <w:p w14:paraId="33BAF428">
      <w:pPr>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2、矿山地质灾害预测</w:t>
      </w:r>
    </w:p>
    <w:p w14:paraId="34DA9266">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（1）矿业活动加剧地质灾害的可能性及威胁目标</w:t>
      </w:r>
    </w:p>
    <w:p w14:paraId="29FDA08A">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本次对矿山地质环境调查发现，矿区地貌为低中山地貌，土质、岩质斜坡，地表水资源受降水影响较大，如果在采矿活动中严格控制废水处理、排放，对水环境影响较小。</w:t>
      </w:r>
    </w:p>
    <w:p w14:paraId="228D9507">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地表普遍有松散第四系不均匀堆积，矿体埋藏较浅，属半坚硬－坚硬工程地质岩组，工程力学性质条件一般。在露天采矿过程中，地表植被被破坏，在暴雨天气，易出现泥土、细砂流失等现象。</w:t>
      </w:r>
    </w:p>
    <w:p w14:paraId="11DF8271">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该矿山拟采用公路开拓、汽车运输，矿山基础设施建设主要依托于现有的开拓系统，矿山开采形成边坡最大高差小于30m，开采过程中由于卸荷可能发生岩块掉落，矿山开拓系统失稳导致的塌方、滑坡、泥石流等地质灾害。</w:t>
      </w:r>
    </w:p>
    <w:p w14:paraId="235932B7">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该矿山设计露天开采，在采区内易形成采坑，暴雨天气多形成洼地积水，对矿山矿业活动有一定安全隐患。</w:t>
      </w:r>
    </w:p>
    <w:p w14:paraId="3C4F1678">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综合分析发现，矿山在今后采矿活动中，可能会发生水土流失、崩塌、滑坡、泥石流等突发性地质灾害。地质灾害预测评价为一般危险。</w:t>
      </w:r>
    </w:p>
    <w:p w14:paraId="3645E570">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（2）矿业活动可能诱发地质灾害的可能性及威胁目标</w:t>
      </w:r>
    </w:p>
    <w:p w14:paraId="13E43293">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 1 \* GB3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①</w:t>
      </w:r>
      <w:r>
        <w:rPr>
          <w:rFonts w:hint="eastAsia" w:ascii="仿宋" w:hAnsi="仿宋" w:eastAsia="仿宋" w:cs="仿宋"/>
          <w:color w:val="auto"/>
          <w:sz w:val="28"/>
          <w:szCs w:val="28"/>
          <w:lang w:val="en-US" w:eastAsia="zh-CN"/>
        </w:rPr>
        <w:fldChar w:fldCharType="end"/>
      </w:r>
      <w:r>
        <w:rPr>
          <w:rFonts w:hint="eastAsia" w:ascii="仿宋" w:hAnsi="仿宋" w:eastAsia="仿宋" w:cs="仿宋"/>
          <w:color w:val="auto"/>
          <w:sz w:val="28"/>
          <w:szCs w:val="28"/>
          <w:lang w:val="en-US" w:eastAsia="zh-CN"/>
        </w:rPr>
        <w:t>采场边坡引发崩塌、滑坡地质灾害危险性预测</w:t>
      </w:r>
    </w:p>
    <w:p w14:paraId="568D9A5E">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根据现场调查结果分析，矿山矿体为砂泥岩，属于半坚硬岩组，岩体较为完成，易风化，边坡稳定性一般，风化后，极易发生垮塌等地质灾害，</w:t>
      </w:r>
    </w:p>
    <w:p w14:paraId="5C78CB97">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现状调查，目前拟设采矿权东侧已形成高陡边坡，斜坡近乎直立，矿体在风化作用下易形成凹腔，在矿山采矿活动及地震、暴雨等外力作用下，采场边坡产生小型崩塌或小型滑坡的可能性较大，威胁对象主要为采场工作人员、机器设施、过往人员、车辆等，预测其危险性和危害性小～中等。</w:t>
      </w:r>
    </w:p>
    <w:p w14:paraId="6AEA30F1">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在今后的开采过程中，要严格按照设计进行开采，保留合理边坡角和安全平台宽度，及时清理浮石，加强巡查，对易产生掉块、崩塌的地方进行及时处理和加强监测，防止边坡掉块、崩塌、滑坡的产生。</w:t>
      </w:r>
    </w:p>
    <w:p w14:paraId="461AB76A">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 2 \* GB3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②</w:t>
      </w:r>
      <w:r>
        <w:rPr>
          <w:rFonts w:hint="eastAsia" w:ascii="仿宋" w:hAnsi="仿宋" w:eastAsia="仿宋" w:cs="仿宋"/>
          <w:color w:val="auto"/>
          <w:sz w:val="28"/>
          <w:szCs w:val="28"/>
          <w:lang w:val="en-US" w:eastAsia="zh-CN"/>
        </w:rPr>
        <w:fldChar w:fldCharType="end"/>
      </w:r>
      <w:r>
        <w:rPr>
          <w:rFonts w:hint="eastAsia" w:ascii="仿宋" w:hAnsi="仿宋" w:eastAsia="仿宋" w:cs="仿宋"/>
          <w:color w:val="auto"/>
          <w:sz w:val="28"/>
          <w:szCs w:val="28"/>
          <w:lang w:val="en-US" w:eastAsia="zh-CN"/>
        </w:rPr>
        <w:t>引发滑坡、泥石流地质灾害危险性预测</w:t>
      </w:r>
    </w:p>
    <w:p w14:paraId="3134AAC7">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采场高陡边坡稳定性验算</w:t>
      </w:r>
    </w:p>
    <w:p w14:paraId="231BA7BA">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ⅰ）计算方法及坝体破坏模式</w:t>
      </w:r>
    </w:p>
    <w:p w14:paraId="4DCAE85E">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坝坡稳定计算按刚体极限平衡分析方法进行计算，强度指标采用有效应力法或总应力法。计算方法宜采用瑞典圆弧法，当坝基或坝体内存在软弱土层时，可采用改良圆弧法。稳定计算时选取坝高最大的断面作为计算剖面。计算剖面下部基岩为不可滑动体，对于地震情况的核算，抗震设防烈度为7度，设计地震分组为第三组，设计基本地震加速度值为0.10g。</w:t>
      </w:r>
    </w:p>
    <w:p w14:paraId="550E26C3">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ⅱ）荷载工况确定</w:t>
      </w:r>
    </w:p>
    <w:p w14:paraId="6BCF0396">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计算工况取正常运行期工况、洪水运行期工况及特殊运行期工况。</w:t>
      </w:r>
    </w:p>
    <w:p w14:paraId="0D11418E">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ⅲ）计算参数的确定</w:t>
      </w:r>
    </w:p>
    <w:p w14:paraId="7F3D7EF4">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有关地基各地层的参数取用大英县地质灾害勘查设计中的参数值。如下：</w:t>
      </w:r>
    </w:p>
    <w:p w14:paraId="4B818990">
      <w:pPr>
        <w:spacing w:line="240" w:lineRule="atLeast"/>
        <w:ind w:firstLine="0" w:firstLineChars="0"/>
        <w:jc w:val="center"/>
        <w:rPr>
          <w:rFonts w:ascii="宋体" w:hAnsi="宋体"/>
          <w:b/>
          <w:color w:val="auto"/>
          <w:sz w:val="21"/>
        </w:rPr>
      </w:pPr>
      <w:r>
        <w:rPr>
          <w:rFonts w:ascii="宋体" w:hAnsi="宋体"/>
          <w:b/>
          <w:color w:val="auto"/>
          <w:sz w:val="21"/>
        </w:rPr>
        <w:t>表</w:t>
      </w:r>
      <w:r>
        <w:rPr>
          <w:rFonts w:hint="eastAsia" w:ascii="宋体" w:hAnsi="宋体"/>
          <w:b/>
          <w:color w:val="auto"/>
          <w:sz w:val="21"/>
        </w:rPr>
        <w:t>3-2-5 各土层物理力学参数</w:t>
      </w:r>
    </w:p>
    <w:p w14:paraId="44E8B00D">
      <w:pPr>
        <w:ind w:firstLine="480"/>
        <w:jc w:val="center"/>
        <w:rPr>
          <w:rFonts w:ascii="宋体" w:hAnsi="宋体" w:cs="宋体"/>
          <w:color w:val="auto"/>
        </w:rPr>
      </w:pPr>
      <w:r>
        <w:rPr>
          <w:rFonts w:hint="eastAsia" w:ascii="宋体" w:hAnsi="宋体" w:cs="宋体"/>
          <w:color w:val="auto"/>
        </w:rPr>
        <w:drawing>
          <wp:inline distT="0" distB="0" distL="0" distR="0">
            <wp:extent cx="3835400" cy="1875790"/>
            <wp:effectExtent l="0" t="0" r="508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8986" cy="1892571"/>
                    </a:xfrm>
                    <a:prstGeom prst="rect">
                      <a:avLst/>
                    </a:prstGeom>
                  </pic:spPr>
                </pic:pic>
              </a:graphicData>
            </a:graphic>
          </wp:inline>
        </w:drawing>
      </w:r>
    </w:p>
    <w:p w14:paraId="2C24DEF4">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ⅳ）安全系数的确定</w:t>
      </w:r>
    </w:p>
    <w:p w14:paraId="176B8015">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有色金属排土场设计规范》（GB50421-2018）可知，当被保护对象为失事后使村镇或集中居民区遭受严重灾害时，Ks应取1.3；当被保护对象为失事后不致造成人员伤亡或者造成经济损失不大的次要建构筑物时，Ks应取1.2；当被保护对象为失事后损失轻微时，Ks 应取1.15。</w:t>
      </w:r>
    </w:p>
    <w:p w14:paraId="4BBBD905">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ⅴ）稳定性计算结果</w:t>
      </w:r>
    </w:p>
    <w:p w14:paraId="59E8BD25">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计算剖面选取排土场具有代表性的C-C’剖面及F-F’剖面，计算结果见表3-2-6及3-2-7。</w:t>
      </w:r>
    </w:p>
    <w:p w14:paraId="1B662E9A">
      <w:pPr>
        <w:spacing w:before="6" w:line="90" w:lineRule="exact"/>
        <w:ind w:firstLine="180"/>
        <w:rPr>
          <w:color w:val="auto"/>
          <w:sz w:val="9"/>
          <w:szCs w:val="9"/>
        </w:rPr>
      </w:pPr>
    </w:p>
    <w:p w14:paraId="11BB3CAD">
      <w:pPr>
        <w:ind w:firstLine="0" w:firstLineChars="0"/>
        <w:jc w:val="center"/>
        <w:rPr>
          <w:rFonts w:ascii="宋体" w:hAnsi="宋体"/>
          <w:b/>
          <w:color w:val="auto"/>
          <w:sz w:val="21"/>
        </w:rPr>
      </w:pPr>
      <w:r>
        <w:rPr>
          <w:rFonts w:ascii="宋体" w:hAnsi="宋体"/>
          <w:b/>
          <w:color w:val="auto"/>
          <w:sz w:val="21"/>
        </w:rPr>
        <w:t xml:space="preserve">表 </w:t>
      </w:r>
      <w:r>
        <w:rPr>
          <w:rFonts w:hint="eastAsia" w:ascii="宋体" w:hAnsi="宋体"/>
          <w:b/>
          <w:color w:val="auto"/>
          <w:sz w:val="21"/>
        </w:rPr>
        <w:t xml:space="preserve">3-2-6  </w:t>
      </w:r>
      <w:r>
        <w:rPr>
          <w:rFonts w:ascii="宋体" w:hAnsi="宋体"/>
          <w:b/>
          <w:color w:val="auto"/>
          <w:sz w:val="21"/>
        </w:rPr>
        <w:tab/>
      </w:r>
      <w:r>
        <w:rPr>
          <w:rFonts w:ascii="宋体" w:hAnsi="宋体"/>
          <w:b/>
          <w:color w:val="auto"/>
          <w:sz w:val="21"/>
        </w:rPr>
        <w:t>C-C’剖面各种工况下坝坡稳定性系数计算成果</w:t>
      </w:r>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4"/>
        <w:gridCol w:w="1302"/>
        <w:gridCol w:w="1658"/>
        <w:gridCol w:w="1234"/>
        <w:gridCol w:w="1234"/>
        <w:gridCol w:w="1714"/>
      </w:tblGrid>
      <w:tr w14:paraId="0DD9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exact"/>
          <w:jc w:val="center"/>
        </w:trPr>
        <w:tc>
          <w:tcPr>
            <w:tcW w:w="1489" w:type="pct"/>
            <w:gridSpan w:val="2"/>
            <w:vAlign w:val="center"/>
          </w:tcPr>
          <w:p w14:paraId="64AFC4A4">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滑弧圆心坐标</w:t>
            </w:r>
          </w:p>
        </w:tc>
        <w:tc>
          <w:tcPr>
            <w:tcW w:w="997" w:type="pct"/>
            <w:vMerge w:val="restart"/>
            <w:vAlign w:val="center"/>
          </w:tcPr>
          <w:p w14:paraId="3E731DA7">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滑弧半径</w:t>
            </w:r>
          </w:p>
          <w:p w14:paraId="36440AB5">
            <w:pPr>
              <w:pStyle w:val="69"/>
              <w:jc w:val="center"/>
              <w:rPr>
                <w:rFonts w:cs="Microsoft JhengHei" w:asciiTheme="minorEastAsia" w:hAnsiTheme="minorEastAsia"/>
                <w:color w:val="auto"/>
                <w:sz w:val="21"/>
                <w:szCs w:val="21"/>
              </w:rPr>
            </w:pPr>
            <w:r>
              <w:rPr>
                <w:rFonts w:cs="Times New Roman" w:asciiTheme="minorEastAsia" w:hAnsiTheme="minorEastAsia"/>
                <w:color w:val="auto"/>
                <w:sz w:val="21"/>
                <w:szCs w:val="21"/>
              </w:rPr>
              <w:t>R</w:t>
            </w:r>
            <w:r>
              <w:rPr>
                <w:rFonts w:cs="Microsoft JhengHei" w:asciiTheme="minorEastAsia" w:hAnsiTheme="minorEastAsia"/>
                <w:color w:val="auto"/>
                <w:sz w:val="21"/>
                <w:szCs w:val="21"/>
              </w:rPr>
              <w:t>（</w:t>
            </w:r>
            <w:r>
              <w:rPr>
                <w:rFonts w:cs="Times New Roman" w:asciiTheme="minorEastAsia" w:hAnsiTheme="minorEastAsia"/>
                <w:color w:val="auto"/>
                <w:sz w:val="21"/>
                <w:szCs w:val="21"/>
              </w:rPr>
              <w:t>m</w:t>
            </w:r>
            <w:r>
              <w:rPr>
                <w:rFonts w:cs="Microsoft JhengHei" w:asciiTheme="minorEastAsia" w:hAnsiTheme="minorEastAsia"/>
                <w:color w:val="auto"/>
                <w:sz w:val="21"/>
                <w:szCs w:val="21"/>
              </w:rPr>
              <w:t>）</w:t>
            </w:r>
          </w:p>
        </w:tc>
        <w:tc>
          <w:tcPr>
            <w:tcW w:w="2514" w:type="pct"/>
            <w:gridSpan w:val="3"/>
            <w:vAlign w:val="center"/>
          </w:tcPr>
          <w:p w14:paraId="1996583E">
            <w:pPr>
              <w:pStyle w:val="69"/>
              <w:jc w:val="center"/>
              <w:rPr>
                <w:rFonts w:cs="Times New Roman" w:asciiTheme="minorEastAsia" w:hAnsiTheme="minorEastAsia"/>
                <w:color w:val="auto"/>
                <w:sz w:val="21"/>
                <w:szCs w:val="21"/>
              </w:rPr>
            </w:pPr>
            <w:r>
              <w:rPr>
                <w:rFonts w:cs="Microsoft JhengHei" w:asciiTheme="minorEastAsia" w:hAnsiTheme="minorEastAsia"/>
                <w:color w:val="auto"/>
                <w:sz w:val="21"/>
                <w:szCs w:val="21"/>
              </w:rPr>
              <w:t>滑弧最小安全系数</w:t>
            </w:r>
            <w:r>
              <w:rPr>
                <w:rFonts w:cs="Microsoft JhengHei" w:asciiTheme="minorEastAsia" w:hAnsiTheme="minorEastAsia"/>
                <w:color w:val="auto"/>
                <w:spacing w:val="-3"/>
                <w:sz w:val="21"/>
                <w:szCs w:val="21"/>
              </w:rPr>
              <w:t xml:space="preserve"> </w:t>
            </w:r>
            <w:r>
              <w:rPr>
                <w:rFonts w:cs="Times New Roman" w:asciiTheme="minorEastAsia" w:hAnsiTheme="minorEastAsia"/>
                <w:color w:val="auto"/>
                <w:spacing w:val="-1"/>
                <w:sz w:val="21"/>
                <w:szCs w:val="21"/>
              </w:rPr>
              <w:t>K</w:t>
            </w:r>
            <w:r>
              <w:rPr>
                <w:rFonts w:cs="Times New Roman" w:asciiTheme="minorEastAsia" w:hAnsiTheme="minorEastAsia"/>
                <w:color w:val="auto"/>
                <w:sz w:val="21"/>
                <w:szCs w:val="21"/>
              </w:rPr>
              <w:t>min</w:t>
            </w:r>
          </w:p>
        </w:tc>
      </w:tr>
      <w:tr w14:paraId="438F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exact"/>
          <w:jc w:val="center"/>
        </w:trPr>
        <w:tc>
          <w:tcPr>
            <w:tcW w:w="706" w:type="pct"/>
            <w:vAlign w:val="center"/>
          </w:tcPr>
          <w:p w14:paraId="34690BEC">
            <w:pPr>
              <w:pStyle w:val="69"/>
              <w:jc w:val="center"/>
              <w:rPr>
                <w:rFonts w:cs="Microsoft JhengHei" w:asciiTheme="minorEastAsia" w:hAnsiTheme="minorEastAsia"/>
                <w:color w:val="auto"/>
                <w:sz w:val="21"/>
                <w:szCs w:val="21"/>
              </w:rPr>
            </w:pPr>
            <w:r>
              <w:rPr>
                <w:rFonts w:cs="Times New Roman" w:asciiTheme="minorEastAsia" w:hAnsiTheme="minorEastAsia"/>
                <w:color w:val="auto"/>
                <w:spacing w:val="-1"/>
                <w:sz w:val="21"/>
                <w:szCs w:val="21"/>
              </w:rPr>
              <w:t>X</w:t>
            </w:r>
            <w:r>
              <w:rPr>
                <w:rFonts w:cs="Microsoft JhengHei" w:asciiTheme="minorEastAsia" w:hAnsiTheme="minorEastAsia"/>
                <w:color w:val="auto"/>
                <w:sz w:val="21"/>
                <w:szCs w:val="21"/>
              </w:rPr>
              <w:t>（</w:t>
            </w:r>
            <w:r>
              <w:rPr>
                <w:rFonts w:cs="Times New Roman" w:asciiTheme="minorEastAsia" w:hAnsiTheme="minorEastAsia"/>
                <w:color w:val="auto"/>
                <w:sz w:val="21"/>
                <w:szCs w:val="21"/>
              </w:rPr>
              <w:t>m</w:t>
            </w:r>
            <w:r>
              <w:rPr>
                <w:rFonts w:cs="Microsoft JhengHei" w:asciiTheme="minorEastAsia" w:hAnsiTheme="minorEastAsia"/>
                <w:color w:val="auto"/>
                <w:sz w:val="21"/>
                <w:szCs w:val="21"/>
              </w:rPr>
              <w:t>）</w:t>
            </w:r>
          </w:p>
        </w:tc>
        <w:tc>
          <w:tcPr>
            <w:tcW w:w="783" w:type="pct"/>
            <w:vAlign w:val="center"/>
          </w:tcPr>
          <w:p w14:paraId="3C76DFB6">
            <w:pPr>
              <w:pStyle w:val="69"/>
              <w:jc w:val="center"/>
              <w:rPr>
                <w:rFonts w:cs="Microsoft JhengHei" w:asciiTheme="minorEastAsia" w:hAnsiTheme="minorEastAsia"/>
                <w:color w:val="auto"/>
                <w:sz w:val="21"/>
                <w:szCs w:val="21"/>
              </w:rPr>
            </w:pPr>
            <w:r>
              <w:rPr>
                <w:rFonts w:cs="Times New Roman" w:asciiTheme="minorEastAsia" w:hAnsiTheme="minorEastAsia"/>
                <w:color w:val="auto"/>
                <w:spacing w:val="-1"/>
                <w:sz w:val="21"/>
                <w:szCs w:val="21"/>
              </w:rPr>
              <w:t>Y</w:t>
            </w:r>
            <w:r>
              <w:rPr>
                <w:rFonts w:cs="Microsoft JhengHei" w:asciiTheme="minorEastAsia" w:hAnsiTheme="minorEastAsia"/>
                <w:color w:val="auto"/>
                <w:sz w:val="21"/>
                <w:szCs w:val="21"/>
              </w:rPr>
              <w:t>（</w:t>
            </w:r>
            <w:r>
              <w:rPr>
                <w:rFonts w:cs="Times New Roman" w:asciiTheme="minorEastAsia" w:hAnsiTheme="minorEastAsia"/>
                <w:color w:val="auto"/>
                <w:sz w:val="21"/>
                <w:szCs w:val="21"/>
              </w:rPr>
              <w:t>m</w:t>
            </w:r>
            <w:r>
              <w:rPr>
                <w:rFonts w:cs="Microsoft JhengHei" w:asciiTheme="minorEastAsia" w:hAnsiTheme="minorEastAsia"/>
                <w:color w:val="auto"/>
                <w:sz w:val="21"/>
                <w:szCs w:val="21"/>
              </w:rPr>
              <w:t>）</w:t>
            </w:r>
          </w:p>
        </w:tc>
        <w:tc>
          <w:tcPr>
            <w:tcW w:w="997" w:type="pct"/>
            <w:vMerge w:val="continue"/>
            <w:vAlign w:val="center"/>
          </w:tcPr>
          <w:p w14:paraId="75751F04">
            <w:pPr>
              <w:spacing w:line="240" w:lineRule="auto"/>
              <w:ind w:firstLine="0" w:firstLineChars="0"/>
              <w:jc w:val="center"/>
              <w:rPr>
                <w:rFonts w:asciiTheme="minorEastAsia" w:hAnsiTheme="minorEastAsia" w:eastAsiaTheme="minorEastAsia" w:cstheme="minorBidi"/>
                <w:color w:val="auto"/>
                <w:sz w:val="21"/>
                <w:lang w:eastAsia="en-US"/>
              </w:rPr>
            </w:pPr>
          </w:p>
        </w:tc>
        <w:tc>
          <w:tcPr>
            <w:tcW w:w="742" w:type="pct"/>
            <w:vAlign w:val="center"/>
          </w:tcPr>
          <w:p w14:paraId="075D6DDA">
            <w:pPr>
              <w:pStyle w:val="69"/>
              <w:jc w:val="center"/>
              <w:rPr>
                <w:rFonts w:cs="Times New Roman" w:asciiTheme="minorEastAsia" w:hAnsiTheme="minorEastAsia"/>
                <w:color w:val="auto"/>
                <w:sz w:val="21"/>
                <w:szCs w:val="21"/>
              </w:rPr>
            </w:pPr>
            <w:r>
              <w:rPr>
                <w:rFonts w:cs="Microsoft JhengHei" w:asciiTheme="minorEastAsia" w:hAnsiTheme="minorEastAsia"/>
                <w:color w:val="auto"/>
                <w:sz w:val="21"/>
                <w:szCs w:val="21"/>
              </w:rPr>
              <w:t xml:space="preserve">静力 </w:t>
            </w:r>
            <w:r>
              <w:rPr>
                <w:rFonts w:cs="Times New Roman" w:asciiTheme="minorEastAsia" w:hAnsiTheme="minorEastAsia"/>
                <w:color w:val="auto"/>
                <w:sz w:val="21"/>
                <w:szCs w:val="21"/>
              </w:rPr>
              <w:t>K</w:t>
            </w:r>
          </w:p>
        </w:tc>
        <w:tc>
          <w:tcPr>
            <w:tcW w:w="742" w:type="pct"/>
            <w:vAlign w:val="center"/>
          </w:tcPr>
          <w:p w14:paraId="5F03EDF0">
            <w:pPr>
              <w:pStyle w:val="69"/>
              <w:jc w:val="center"/>
              <w:rPr>
                <w:rFonts w:cs="Times New Roman" w:asciiTheme="minorEastAsia" w:hAnsiTheme="minorEastAsia"/>
                <w:color w:val="auto"/>
                <w:sz w:val="21"/>
                <w:szCs w:val="21"/>
              </w:rPr>
            </w:pPr>
            <w:r>
              <w:rPr>
                <w:rFonts w:cs="Microsoft JhengHei" w:asciiTheme="minorEastAsia" w:hAnsiTheme="minorEastAsia"/>
                <w:color w:val="auto"/>
                <w:sz w:val="21"/>
                <w:szCs w:val="21"/>
              </w:rPr>
              <w:t xml:space="preserve">洪水 </w:t>
            </w:r>
            <w:r>
              <w:rPr>
                <w:rFonts w:cs="Times New Roman" w:asciiTheme="minorEastAsia" w:hAnsiTheme="minorEastAsia"/>
                <w:color w:val="auto"/>
                <w:sz w:val="21"/>
                <w:szCs w:val="21"/>
              </w:rPr>
              <w:t>K</w:t>
            </w:r>
          </w:p>
        </w:tc>
        <w:tc>
          <w:tcPr>
            <w:tcW w:w="1030" w:type="pct"/>
            <w:vAlign w:val="center"/>
          </w:tcPr>
          <w:p w14:paraId="5F15D644">
            <w:pPr>
              <w:pStyle w:val="69"/>
              <w:jc w:val="center"/>
              <w:rPr>
                <w:rFonts w:cs="Times New Roman" w:asciiTheme="minorEastAsia" w:hAnsiTheme="minorEastAsia"/>
                <w:color w:val="auto"/>
                <w:sz w:val="21"/>
                <w:szCs w:val="21"/>
              </w:rPr>
            </w:pPr>
            <w:r>
              <w:rPr>
                <w:rFonts w:cs="Microsoft JhengHei" w:asciiTheme="minorEastAsia" w:hAnsiTheme="minorEastAsia"/>
                <w:color w:val="auto"/>
                <w:sz w:val="21"/>
                <w:szCs w:val="21"/>
              </w:rPr>
              <w:t xml:space="preserve">特殊情况 </w:t>
            </w:r>
            <w:r>
              <w:rPr>
                <w:rFonts w:cs="Times New Roman" w:asciiTheme="minorEastAsia" w:hAnsiTheme="minorEastAsia"/>
                <w:color w:val="auto"/>
                <w:sz w:val="21"/>
                <w:szCs w:val="21"/>
              </w:rPr>
              <w:t>K</w:t>
            </w:r>
          </w:p>
        </w:tc>
      </w:tr>
      <w:tr w14:paraId="3F7E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706" w:type="pct"/>
            <w:vAlign w:val="center"/>
          </w:tcPr>
          <w:p w14:paraId="6BEB352F">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11.448</w:t>
            </w:r>
          </w:p>
        </w:tc>
        <w:tc>
          <w:tcPr>
            <w:tcW w:w="783" w:type="pct"/>
            <w:vAlign w:val="center"/>
          </w:tcPr>
          <w:p w14:paraId="51BB1AA6">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49.679</w:t>
            </w:r>
          </w:p>
        </w:tc>
        <w:tc>
          <w:tcPr>
            <w:tcW w:w="997" w:type="pct"/>
            <w:vAlign w:val="center"/>
          </w:tcPr>
          <w:p w14:paraId="186D91EB">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50.207</w:t>
            </w:r>
          </w:p>
        </w:tc>
        <w:tc>
          <w:tcPr>
            <w:tcW w:w="742" w:type="pct"/>
            <w:vAlign w:val="center"/>
          </w:tcPr>
          <w:p w14:paraId="6D279F00">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1.408</w:t>
            </w:r>
          </w:p>
        </w:tc>
        <w:tc>
          <w:tcPr>
            <w:tcW w:w="742" w:type="pct"/>
            <w:vAlign w:val="center"/>
          </w:tcPr>
          <w:p w14:paraId="40503BE8">
            <w:pPr>
              <w:spacing w:line="240" w:lineRule="auto"/>
              <w:ind w:firstLine="0" w:firstLineChars="0"/>
              <w:jc w:val="center"/>
              <w:rPr>
                <w:rFonts w:asciiTheme="minorEastAsia" w:hAnsiTheme="minorEastAsia" w:eastAsiaTheme="minorEastAsia" w:cstheme="minorBidi"/>
                <w:color w:val="auto"/>
                <w:sz w:val="21"/>
                <w:lang w:eastAsia="en-US"/>
              </w:rPr>
            </w:pPr>
          </w:p>
        </w:tc>
        <w:tc>
          <w:tcPr>
            <w:tcW w:w="1030" w:type="pct"/>
            <w:vAlign w:val="center"/>
          </w:tcPr>
          <w:p w14:paraId="52461106">
            <w:pPr>
              <w:spacing w:line="240" w:lineRule="auto"/>
              <w:ind w:firstLine="0" w:firstLineChars="0"/>
              <w:jc w:val="center"/>
              <w:rPr>
                <w:rFonts w:asciiTheme="minorEastAsia" w:hAnsiTheme="minorEastAsia" w:eastAsiaTheme="minorEastAsia" w:cstheme="minorBidi"/>
                <w:color w:val="auto"/>
                <w:sz w:val="21"/>
                <w:lang w:eastAsia="en-US"/>
              </w:rPr>
            </w:pPr>
          </w:p>
        </w:tc>
      </w:tr>
      <w:tr w14:paraId="74A7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706" w:type="pct"/>
            <w:vAlign w:val="center"/>
          </w:tcPr>
          <w:p w14:paraId="4DB6CE5D">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18.835</w:t>
            </w:r>
          </w:p>
        </w:tc>
        <w:tc>
          <w:tcPr>
            <w:tcW w:w="783" w:type="pct"/>
            <w:vAlign w:val="center"/>
          </w:tcPr>
          <w:p w14:paraId="746DEFEA">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42.391</w:t>
            </w:r>
          </w:p>
        </w:tc>
        <w:tc>
          <w:tcPr>
            <w:tcW w:w="997" w:type="pct"/>
            <w:vAlign w:val="center"/>
          </w:tcPr>
          <w:p w14:paraId="18FB627D">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40.396</w:t>
            </w:r>
          </w:p>
        </w:tc>
        <w:tc>
          <w:tcPr>
            <w:tcW w:w="742" w:type="pct"/>
            <w:vAlign w:val="center"/>
          </w:tcPr>
          <w:p w14:paraId="1CE43FD8">
            <w:pPr>
              <w:spacing w:line="240" w:lineRule="auto"/>
              <w:ind w:firstLine="0" w:firstLineChars="0"/>
              <w:jc w:val="center"/>
              <w:rPr>
                <w:rFonts w:asciiTheme="minorEastAsia" w:hAnsiTheme="minorEastAsia" w:eastAsiaTheme="minorEastAsia" w:cstheme="minorBidi"/>
                <w:color w:val="auto"/>
                <w:sz w:val="21"/>
                <w:lang w:eastAsia="en-US"/>
              </w:rPr>
            </w:pPr>
          </w:p>
        </w:tc>
        <w:tc>
          <w:tcPr>
            <w:tcW w:w="742" w:type="pct"/>
            <w:vAlign w:val="center"/>
          </w:tcPr>
          <w:p w14:paraId="6160E68A">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1.290</w:t>
            </w:r>
          </w:p>
        </w:tc>
        <w:tc>
          <w:tcPr>
            <w:tcW w:w="1030" w:type="pct"/>
            <w:vAlign w:val="center"/>
          </w:tcPr>
          <w:p w14:paraId="3686BFE4">
            <w:pPr>
              <w:spacing w:line="240" w:lineRule="auto"/>
              <w:ind w:firstLine="0" w:firstLineChars="0"/>
              <w:jc w:val="center"/>
              <w:rPr>
                <w:rFonts w:asciiTheme="minorEastAsia" w:hAnsiTheme="minorEastAsia" w:eastAsiaTheme="minorEastAsia" w:cstheme="minorBidi"/>
                <w:color w:val="auto"/>
                <w:sz w:val="21"/>
                <w:lang w:eastAsia="en-US"/>
              </w:rPr>
            </w:pPr>
          </w:p>
        </w:tc>
      </w:tr>
      <w:tr w14:paraId="0F46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exact"/>
          <w:jc w:val="center"/>
        </w:trPr>
        <w:tc>
          <w:tcPr>
            <w:tcW w:w="706" w:type="pct"/>
            <w:vAlign w:val="center"/>
          </w:tcPr>
          <w:p w14:paraId="79DA3926">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18.835</w:t>
            </w:r>
          </w:p>
        </w:tc>
        <w:tc>
          <w:tcPr>
            <w:tcW w:w="783" w:type="pct"/>
            <w:vAlign w:val="center"/>
          </w:tcPr>
          <w:p w14:paraId="4FF7E3D8">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42.391</w:t>
            </w:r>
          </w:p>
        </w:tc>
        <w:tc>
          <w:tcPr>
            <w:tcW w:w="997" w:type="pct"/>
            <w:vAlign w:val="center"/>
          </w:tcPr>
          <w:p w14:paraId="41F3E11F">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40.396</w:t>
            </w:r>
          </w:p>
        </w:tc>
        <w:tc>
          <w:tcPr>
            <w:tcW w:w="742" w:type="pct"/>
            <w:vAlign w:val="center"/>
          </w:tcPr>
          <w:p w14:paraId="51ED6DD9">
            <w:pPr>
              <w:spacing w:line="240" w:lineRule="auto"/>
              <w:ind w:firstLine="0" w:firstLineChars="0"/>
              <w:jc w:val="center"/>
              <w:rPr>
                <w:rFonts w:asciiTheme="minorEastAsia" w:hAnsiTheme="minorEastAsia" w:eastAsiaTheme="minorEastAsia" w:cstheme="minorBidi"/>
                <w:color w:val="auto"/>
                <w:sz w:val="21"/>
                <w:lang w:eastAsia="en-US"/>
              </w:rPr>
            </w:pPr>
          </w:p>
        </w:tc>
        <w:tc>
          <w:tcPr>
            <w:tcW w:w="742" w:type="pct"/>
            <w:vAlign w:val="center"/>
          </w:tcPr>
          <w:p w14:paraId="3C0CA4DB">
            <w:pPr>
              <w:spacing w:line="240" w:lineRule="auto"/>
              <w:ind w:firstLine="0" w:firstLineChars="0"/>
              <w:jc w:val="center"/>
              <w:rPr>
                <w:rFonts w:asciiTheme="minorEastAsia" w:hAnsiTheme="minorEastAsia" w:eastAsiaTheme="minorEastAsia" w:cstheme="minorBidi"/>
                <w:color w:val="auto"/>
                <w:sz w:val="21"/>
                <w:lang w:eastAsia="en-US"/>
              </w:rPr>
            </w:pPr>
          </w:p>
        </w:tc>
        <w:tc>
          <w:tcPr>
            <w:tcW w:w="1030" w:type="pct"/>
            <w:vAlign w:val="center"/>
          </w:tcPr>
          <w:p w14:paraId="19E1D188">
            <w:pPr>
              <w:pStyle w:val="69"/>
              <w:jc w:val="center"/>
              <w:rPr>
                <w:rFonts w:cs="Times New Roman" w:asciiTheme="minorEastAsia" w:hAnsiTheme="minorEastAsia"/>
                <w:color w:val="auto"/>
                <w:sz w:val="21"/>
                <w:szCs w:val="21"/>
              </w:rPr>
            </w:pPr>
            <w:r>
              <w:rPr>
                <w:rFonts w:cs="Times New Roman" w:asciiTheme="minorEastAsia" w:hAnsiTheme="minorEastAsia"/>
                <w:color w:val="auto"/>
                <w:sz w:val="21"/>
                <w:szCs w:val="21"/>
              </w:rPr>
              <w:t>1.214</w:t>
            </w:r>
          </w:p>
        </w:tc>
      </w:tr>
    </w:tbl>
    <w:p w14:paraId="65E23512">
      <w:pPr>
        <w:ind w:firstLine="0" w:firstLineChars="0"/>
        <w:jc w:val="center"/>
        <w:rPr>
          <w:rFonts w:ascii="宋体" w:hAnsi="宋体"/>
          <w:b/>
          <w:color w:val="auto"/>
          <w:sz w:val="21"/>
        </w:rPr>
      </w:pPr>
      <w:r>
        <w:rPr>
          <w:rFonts w:ascii="宋体" w:hAnsi="宋体"/>
          <w:b/>
          <w:color w:val="auto"/>
          <w:sz w:val="21"/>
        </w:rPr>
        <w:t xml:space="preserve">表 </w:t>
      </w:r>
      <w:r>
        <w:rPr>
          <w:rFonts w:hint="eastAsia" w:ascii="宋体" w:hAnsi="宋体"/>
          <w:b/>
          <w:color w:val="auto"/>
          <w:sz w:val="21"/>
        </w:rPr>
        <w:t xml:space="preserve">3-2-7  </w:t>
      </w:r>
      <w:r>
        <w:rPr>
          <w:rFonts w:ascii="宋体" w:hAnsi="宋体"/>
          <w:b/>
          <w:color w:val="auto"/>
          <w:sz w:val="21"/>
        </w:rPr>
        <w:tab/>
      </w:r>
      <w:r>
        <w:rPr>
          <w:rFonts w:hint="eastAsia" w:ascii="宋体" w:hAnsi="宋体"/>
          <w:b/>
          <w:color w:val="auto"/>
          <w:sz w:val="21"/>
        </w:rPr>
        <w:t>H</w:t>
      </w:r>
      <w:r>
        <w:rPr>
          <w:rFonts w:ascii="宋体" w:hAnsi="宋体"/>
          <w:b/>
          <w:color w:val="auto"/>
          <w:sz w:val="21"/>
        </w:rPr>
        <w:t>-</w:t>
      </w:r>
      <w:r>
        <w:rPr>
          <w:rFonts w:hint="eastAsia" w:ascii="宋体" w:hAnsi="宋体"/>
          <w:b/>
          <w:color w:val="auto"/>
          <w:sz w:val="21"/>
        </w:rPr>
        <w:t>H</w:t>
      </w:r>
      <w:r>
        <w:rPr>
          <w:rFonts w:ascii="宋体" w:hAnsi="宋体"/>
          <w:b/>
          <w:color w:val="auto"/>
          <w:sz w:val="21"/>
        </w:rPr>
        <w:t>’剖面各种工况下坝坡稳定性系数计算成果</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4"/>
        <w:gridCol w:w="1302"/>
        <w:gridCol w:w="1658"/>
        <w:gridCol w:w="1234"/>
        <w:gridCol w:w="1234"/>
        <w:gridCol w:w="1714"/>
      </w:tblGrid>
      <w:tr w14:paraId="6BEF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exact"/>
        </w:trPr>
        <w:tc>
          <w:tcPr>
            <w:tcW w:w="1489" w:type="pct"/>
            <w:gridSpan w:val="2"/>
            <w:vAlign w:val="center"/>
          </w:tcPr>
          <w:p w14:paraId="3D2D7C01">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滑弧圆心坐标</w:t>
            </w:r>
          </w:p>
        </w:tc>
        <w:tc>
          <w:tcPr>
            <w:tcW w:w="997" w:type="pct"/>
            <w:vMerge w:val="restart"/>
            <w:vAlign w:val="center"/>
          </w:tcPr>
          <w:p w14:paraId="0F9070B6">
            <w:pPr>
              <w:pStyle w:val="69"/>
              <w:spacing w:before="43"/>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滑弧半径</w:t>
            </w:r>
          </w:p>
          <w:p w14:paraId="77016801">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R（m）</w:t>
            </w:r>
          </w:p>
        </w:tc>
        <w:tc>
          <w:tcPr>
            <w:tcW w:w="2514" w:type="pct"/>
            <w:gridSpan w:val="3"/>
            <w:vAlign w:val="center"/>
          </w:tcPr>
          <w:p w14:paraId="3989A5E5">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滑弧最小安全系数 Kmin</w:t>
            </w:r>
          </w:p>
        </w:tc>
      </w:tr>
      <w:tr w14:paraId="4D94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exact"/>
        </w:trPr>
        <w:tc>
          <w:tcPr>
            <w:tcW w:w="706" w:type="pct"/>
            <w:vAlign w:val="center"/>
          </w:tcPr>
          <w:p w14:paraId="4CF64400">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X（m）</w:t>
            </w:r>
          </w:p>
        </w:tc>
        <w:tc>
          <w:tcPr>
            <w:tcW w:w="783" w:type="pct"/>
            <w:vAlign w:val="center"/>
          </w:tcPr>
          <w:p w14:paraId="6A5BFA32">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Y（m）</w:t>
            </w:r>
          </w:p>
        </w:tc>
        <w:tc>
          <w:tcPr>
            <w:tcW w:w="997" w:type="pct"/>
            <w:vMerge w:val="continue"/>
            <w:vAlign w:val="center"/>
          </w:tcPr>
          <w:p w14:paraId="25D2238C">
            <w:pPr>
              <w:spacing w:line="240" w:lineRule="auto"/>
              <w:ind w:firstLine="420"/>
              <w:jc w:val="center"/>
              <w:rPr>
                <w:rFonts w:cs="Microsoft JhengHei" w:asciiTheme="minorEastAsia" w:hAnsiTheme="minorEastAsia" w:eastAsiaTheme="minorEastAsia"/>
                <w:color w:val="auto"/>
                <w:kern w:val="0"/>
                <w:sz w:val="21"/>
                <w:lang w:eastAsia="en-US"/>
              </w:rPr>
            </w:pPr>
          </w:p>
        </w:tc>
        <w:tc>
          <w:tcPr>
            <w:tcW w:w="742" w:type="pct"/>
            <w:vAlign w:val="center"/>
          </w:tcPr>
          <w:p w14:paraId="40D84E3F">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静力 K</w:t>
            </w:r>
          </w:p>
        </w:tc>
        <w:tc>
          <w:tcPr>
            <w:tcW w:w="742" w:type="pct"/>
            <w:vAlign w:val="center"/>
          </w:tcPr>
          <w:p w14:paraId="30653204">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洪水 K</w:t>
            </w:r>
          </w:p>
        </w:tc>
        <w:tc>
          <w:tcPr>
            <w:tcW w:w="1030" w:type="pct"/>
            <w:vAlign w:val="center"/>
          </w:tcPr>
          <w:p w14:paraId="54594381">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特殊情况 K</w:t>
            </w:r>
          </w:p>
        </w:tc>
      </w:tr>
      <w:tr w14:paraId="271D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06" w:type="pct"/>
            <w:vAlign w:val="center"/>
          </w:tcPr>
          <w:p w14:paraId="1630521F">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27.463</w:t>
            </w:r>
          </w:p>
        </w:tc>
        <w:tc>
          <w:tcPr>
            <w:tcW w:w="783" w:type="pct"/>
            <w:vAlign w:val="center"/>
          </w:tcPr>
          <w:p w14:paraId="295318EC">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78.845</w:t>
            </w:r>
          </w:p>
        </w:tc>
        <w:tc>
          <w:tcPr>
            <w:tcW w:w="997" w:type="pct"/>
            <w:vAlign w:val="center"/>
          </w:tcPr>
          <w:p w14:paraId="38089BEA">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79.239</w:t>
            </w:r>
          </w:p>
        </w:tc>
        <w:tc>
          <w:tcPr>
            <w:tcW w:w="742" w:type="pct"/>
            <w:vAlign w:val="center"/>
          </w:tcPr>
          <w:p w14:paraId="77CE708D">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1.418</w:t>
            </w:r>
          </w:p>
        </w:tc>
        <w:tc>
          <w:tcPr>
            <w:tcW w:w="742" w:type="pct"/>
            <w:vAlign w:val="center"/>
          </w:tcPr>
          <w:p w14:paraId="2ECC8014">
            <w:pPr>
              <w:ind w:firstLine="420"/>
              <w:jc w:val="center"/>
              <w:rPr>
                <w:rFonts w:cs="Microsoft JhengHei" w:asciiTheme="minorEastAsia" w:hAnsiTheme="minorEastAsia" w:eastAsiaTheme="minorEastAsia"/>
                <w:color w:val="auto"/>
                <w:kern w:val="0"/>
                <w:sz w:val="21"/>
                <w:lang w:eastAsia="en-US"/>
              </w:rPr>
            </w:pPr>
          </w:p>
        </w:tc>
        <w:tc>
          <w:tcPr>
            <w:tcW w:w="1030" w:type="pct"/>
            <w:vAlign w:val="center"/>
          </w:tcPr>
          <w:p w14:paraId="05C88AC9">
            <w:pPr>
              <w:ind w:firstLine="420"/>
              <w:jc w:val="center"/>
              <w:rPr>
                <w:rFonts w:cs="Microsoft JhengHei" w:asciiTheme="minorEastAsia" w:hAnsiTheme="minorEastAsia" w:eastAsiaTheme="minorEastAsia"/>
                <w:color w:val="auto"/>
                <w:kern w:val="0"/>
                <w:sz w:val="21"/>
                <w:lang w:eastAsia="en-US"/>
              </w:rPr>
            </w:pPr>
          </w:p>
        </w:tc>
      </w:tr>
      <w:tr w14:paraId="6C47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06" w:type="pct"/>
            <w:vAlign w:val="center"/>
          </w:tcPr>
          <w:p w14:paraId="55D2006D">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27.463</w:t>
            </w:r>
          </w:p>
        </w:tc>
        <w:tc>
          <w:tcPr>
            <w:tcW w:w="783" w:type="pct"/>
            <w:vAlign w:val="center"/>
          </w:tcPr>
          <w:p w14:paraId="6FB49C6E">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78.845</w:t>
            </w:r>
          </w:p>
        </w:tc>
        <w:tc>
          <w:tcPr>
            <w:tcW w:w="997" w:type="pct"/>
            <w:vAlign w:val="center"/>
          </w:tcPr>
          <w:p w14:paraId="080A4AA3">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79.239</w:t>
            </w:r>
          </w:p>
        </w:tc>
        <w:tc>
          <w:tcPr>
            <w:tcW w:w="742" w:type="pct"/>
            <w:vAlign w:val="center"/>
          </w:tcPr>
          <w:p w14:paraId="2AAF8847">
            <w:pPr>
              <w:ind w:firstLine="420"/>
              <w:jc w:val="center"/>
              <w:rPr>
                <w:rFonts w:cs="Microsoft JhengHei" w:asciiTheme="minorEastAsia" w:hAnsiTheme="minorEastAsia" w:eastAsiaTheme="minorEastAsia"/>
                <w:color w:val="auto"/>
                <w:kern w:val="0"/>
                <w:sz w:val="21"/>
                <w:lang w:eastAsia="en-US"/>
              </w:rPr>
            </w:pPr>
          </w:p>
        </w:tc>
        <w:tc>
          <w:tcPr>
            <w:tcW w:w="742" w:type="pct"/>
            <w:vAlign w:val="center"/>
          </w:tcPr>
          <w:p w14:paraId="7077A631">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1.233</w:t>
            </w:r>
          </w:p>
        </w:tc>
        <w:tc>
          <w:tcPr>
            <w:tcW w:w="1030" w:type="pct"/>
            <w:vAlign w:val="center"/>
          </w:tcPr>
          <w:p w14:paraId="2C5C1C1F">
            <w:pPr>
              <w:ind w:firstLine="420"/>
              <w:jc w:val="center"/>
              <w:rPr>
                <w:rFonts w:cs="Microsoft JhengHei" w:asciiTheme="minorEastAsia" w:hAnsiTheme="minorEastAsia" w:eastAsiaTheme="minorEastAsia"/>
                <w:color w:val="auto"/>
                <w:kern w:val="0"/>
                <w:sz w:val="21"/>
                <w:lang w:eastAsia="en-US"/>
              </w:rPr>
            </w:pPr>
          </w:p>
        </w:tc>
      </w:tr>
      <w:tr w14:paraId="76CD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exact"/>
        </w:trPr>
        <w:tc>
          <w:tcPr>
            <w:tcW w:w="706" w:type="pct"/>
            <w:vAlign w:val="center"/>
          </w:tcPr>
          <w:p w14:paraId="53114CBA">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27.976</w:t>
            </w:r>
          </w:p>
        </w:tc>
        <w:tc>
          <w:tcPr>
            <w:tcW w:w="783" w:type="pct"/>
            <w:vAlign w:val="center"/>
          </w:tcPr>
          <w:p w14:paraId="3799F865">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69.503</w:t>
            </w:r>
          </w:p>
        </w:tc>
        <w:tc>
          <w:tcPr>
            <w:tcW w:w="997" w:type="pct"/>
            <w:vAlign w:val="center"/>
          </w:tcPr>
          <w:p w14:paraId="15F9696F">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69.633</w:t>
            </w:r>
          </w:p>
        </w:tc>
        <w:tc>
          <w:tcPr>
            <w:tcW w:w="742" w:type="pct"/>
            <w:vAlign w:val="center"/>
          </w:tcPr>
          <w:p w14:paraId="635ED463">
            <w:pPr>
              <w:ind w:firstLine="420"/>
              <w:jc w:val="center"/>
              <w:rPr>
                <w:rFonts w:cs="Microsoft JhengHei" w:asciiTheme="minorEastAsia" w:hAnsiTheme="minorEastAsia" w:eastAsiaTheme="minorEastAsia"/>
                <w:color w:val="auto"/>
                <w:kern w:val="0"/>
                <w:sz w:val="21"/>
                <w:lang w:eastAsia="en-US"/>
              </w:rPr>
            </w:pPr>
          </w:p>
        </w:tc>
        <w:tc>
          <w:tcPr>
            <w:tcW w:w="742" w:type="pct"/>
            <w:vAlign w:val="center"/>
          </w:tcPr>
          <w:p w14:paraId="485B8C59">
            <w:pPr>
              <w:ind w:firstLine="420"/>
              <w:jc w:val="center"/>
              <w:rPr>
                <w:rFonts w:cs="Microsoft JhengHei" w:asciiTheme="minorEastAsia" w:hAnsiTheme="minorEastAsia" w:eastAsiaTheme="minorEastAsia"/>
                <w:color w:val="auto"/>
                <w:kern w:val="0"/>
                <w:sz w:val="21"/>
                <w:lang w:eastAsia="en-US"/>
              </w:rPr>
            </w:pPr>
          </w:p>
        </w:tc>
        <w:tc>
          <w:tcPr>
            <w:tcW w:w="1030" w:type="pct"/>
            <w:vAlign w:val="center"/>
          </w:tcPr>
          <w:p w14:paraId="270A3F87">
            <w:pPr>
              <w:pStyle w:val="69"/>
              <w:jc w:val="center"/>
              <w:rPr>
                <w:rFonts w:cs="Microsoft JhengHei" w:asciiTheme="minorEastAsia" w:hAnsiTheme="minorEastAsia"/>
                <w:color w:val="auto"/>
                <w:sz w:val="21"/>
                <w:szCs w:val="21"/>
              </w:rPr>
            </w:pPr>
            <w:r>
              <w:rPr>
                <w:rFonts w:cs="Microsoft JhengHei" w:asciiTheme="minorEastAsia" w:hAnsiTheme="minorEastAsia"/>
                <w:color w:val="auto"/>
                <w:sz w:val="21"/>
                <w:szCs w:val="21"/>
              </w:rPr>
              <w:t>1.185</w:t>
            </w:r>
          </w:p>
        </w:tc>
      </w:tr>
    </w:tbl>
    <w:p w14:paraId="7DBEE3DF">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通过计算分析，坝坡在各种工况下整体处于稳定状态。建议排土过程中应严格按设计要求进行分台阶排土，并做好监测工作。</w:t>
      </w:r>
    </w:p>
    <w:p w14:paraId="1B1C1B60">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 3 \* GB3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③</w:t>
      </w:r>
      <w:r>
        <w:rPr>
          <w:rFonts w:hint="eastAsia" w:ascii="仿宋" w:hAnsi="仿宋" w:eastAsia="仿宋" w:cs="仿宋"/>
          <w:color w:val="auto"/>
          <w:sz w:val="28"/>
          <w:szCs w:val="28"/>
          <w:lang w:val="en-US" w:eastAsia="zh-CN"/>
        </w:rPr>
        <w:fldChar w:fldCharType="end"/>
      </w:r>
      <w:r>
        <w:rPr>
          <w:rFonts w:hint="eastAsia" w:ascii="仿宋" w:hAnsi="仿宋" w:eastAsia="仿宋" w:cs="仿宋"/>
          <w:color w:val="auto"/>
          <w:sz w:val="28"/>
          <w:szCs w:val="28"/>
          <w:lang w:val="en-US" w:eastAsia="zh-CN"/>
        </w:rPr>
        <w:t>土建设施遭受地质灾害危险性预测</w:t>
      </w:r>
    </w:p>
    <w:p w14:paraId="39A4291F">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根据现场调查，矿山土建设施主要为开采区域，遭受地质灾害危害的可能性小。</w:t>
      </w:r>
    </w:p>
    <w:p w14:paraId="15D699B4">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fldChar w:fldCharType="begin"/>
      </w:r>
      <w:r>
        <w:rPr>
          <w:rFonts w:hint="eastAsia" w:ascii="仿宋" w:hAnsi="仿宋" w:eastAsia="仿宋" w:cs="仿宋"/>
          <w:color w:val="auto"/>
          <w:sz w:val="28"/>
          <w:szCs w:val="28"/>
          <w:lang w:val="en-US" w:eastAsia="zh-CN"/>
        </w:rPr>
        <w:instrText xml:space="preserve"> = 4 \* GB3 </w:instrText>
      </w:r>
      <w:r>
        <w:rPr>
          <w:rFonts w:hint="eastAsia" w:ascii="仿宋" w:hAnsi="仿宋" w:eastAsia="仿宋" w:cs="仿宋"/>
          <w:color w:val="auto"/>
          <w:sz w:val="28"/>
          <w:szCs w:val="28"/>
          <w:lang w:val="en-US" w:eastAsia="zh-CN"/>
        </w:rPr>
        <w:fldChar w:fldCharType="separate"/>
      </w:r>
      <w:r>
        <w:rPr>
          <w:rFonts w:hint="eastAsia" w:ascii="仿宋" w:hAnsi="仿宋" w:eastAsia="仿宋" w:cs="仿宋"/>
          <w:color w:val="auto"/>
          <w:sz w:val="28"/>
          <w:szCs w:val="28"/>
          <w:lang w:val="en-US" w:eastAsia="zh-CN"/>
        </w:rPr>
        <w:t>④</w:t>
      </w:r>
      <w:r>
        <w:rPr>
          <w:rFonts w:hint="eastAsia" w:ascii="仿宋" w:hAnsi="仿宋" w:eastAsia="仿宋" w:cs="仿宋"/>
          <w:color w:val="auto"/>
          <w:sz w:val="28"/>
          <w:szCs w:val="28"/>
          <w:lang w:val="en-US" w:eastAsia="zh-CN"/>
        </w:rPr>
        <w:fldChar w:fldCharType="end"/>
      </w:r>
      <w:r>
        <w:rPr>
          <w:rFonts w:hint="eastAsia" w:ascii="仿宋" w:hAnsi="仿宋" w:eastAsia="仿宋" w:cs="仿宋"/>
          <w:color w:val="auto"/>
          <w:sz w:val="28"/>
          <w:szCs w:val="28"/>
          <w:lang w:val="en-US" w:eastAsia="zh-CN"/>
        </w:rPr>
        <w:t>矿山公路遭受地质灾害危险性预测</w:t>
      </w:r>
    </w:p>
    <w:p w14:paraId="33007147">
      <w:pPr>
        <w:spacing w:line="360" w:lineRule="auto"/>
        <w:ind w:firstLine="560" w:firstLineChars="200"/>
        <w:rPr>
          <w:rFonts w:ascii="Times New Roman" w:hAnsi="Times New Roman" w:cs="Times New Roman"/>
          <w:color w:val="auto"/>
          <w:sz w:val="24"/>
          <w:szCs w:val="24"/>
          <w:highlight w:val="none"/>
        </w:rPr>
      </w:pPr>
      <w:r>
        <w:rPr>
          <w:rFonts w:hint="eastAsia" w:ascii="仿宋" w:hAnsi="仿宋" w:eastAsia="仿宋" w:cs="仿宋"/>
          <w:color w:val="auto"/>
          <w:sz w:val="28"/>
          <w:szCs w:val="28"/>
          <w:lang w:val="en-US" w:eastAsia="zh-CN"/>
        </w:rPr>
        <w:t>据现场调查，目前矿山开采为露天开采，开采边坡总体不高，对矿山公路影响不大。此次调查未发现公路沿线发育有地质灾害和地面沉降等地质环境问题，公路使用中失稳坍塌的可能性小，危险性小</w:t>
      </w:r>
      <w:r>
        <w:rPr>
          <w:rFonts w:ascii="Times New Roman" w:hAnsi="Times New Roman" w:cs="Times New Roman"/>
          <w:color w:val="auto"/>
          <w:sz w:val="24"/>
          <w:szCs w:val="24"/>
          <w:highlight w:val="none"/>
        </w:rPr>
        <w:t>。</w:t>
      </w:r>
    </w:p>
    <w:p w14:paraId="41F838E2">
      <w:pPr>
        <w:pStyle w:val="4"/>
        <w:rPr>
          <w:rFonts w:ascii="Times New Roman" w:hAnsi="Times New Roman" w:eastAsia="宋体" w:cs="Times New Roman"/>
          <w:color w:val="auto"/>
          <w:sz w:val="28"/>
          <w:szCs w:val="28"/>
          <w:highlight w:val="none"/>
        </w:rPr>
      </w:pPr>
      <w:bookmarkStart w:id="100" w:name="_Toc14670"/>
      <w:r>
        <w:rPr>
          <w:rFonts w:ascii="Times New Roman" w:hAnsi="Times New Roman" w:eastAsia="宋体" w:cs="Times New Roman"/>
          <w:color w:val="auto"/>
          <w:sz w:val="28"/>
          <w:szCs w:val="28"/>
          <w:highlight w:val="none"/>
        </w:rPr>
        <w:t>（三）矿区含水层损毁现状分析与预测</w:t>
      </w:r>
      <w:bookmarkEnd w:id="100"/>
    </w:p>
    <w:p w14:paraId="3E2A1103">
      <w:pPr>
        <w:adjustRightInd w:val="0"/>
        <w:spacing w:line="360" w:lineRule="auto"/>
        <w:ind w:firstLine="48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1、含水层破坏现状分析</w:t>
      </w:r>
    </w:p>
    <w:p w14:paraId="2B6CEBFA">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矿区内无大的地表水系，冲沟均为季节性冲沟, 区内地下水主要接受大气降水补给，补给区域较小，地下水径流较短，一般就近在沟谷及低洼处排泄。地形坡度较陡，植被发育一般，矿区开采标高远高于当地侵蚀基准面，利于地表水和地下水排泄。 </w:t>
      </w:r>
    </w:p>
    <w:p w14:paraId="5359047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lang w:val="en-US" w:eastAsia="zh-CN"/>
        </w:rPr>
        <w:t>根据矿山相关资料和实地调查得知，矿山开采的矿石无有毒有害元素，矿区未见地下水泉点出露，且区内无居民饮用水源，未影响矿山及周围生产生活用水。区内地下水埋藏较深，矿山开采未造成区域地下水位下降，矿山开采对含水层影响或破坏较轻。</w:t>
      </w:r>
    </w:p>
    <w:p w14:paraId="4C7A077E">
      <w:pPr>
        <w:pStyle w:val="9"/>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rPr>
        <w:t>依据（DZ/T0223-2011）表 E.1，矿业活动对含水层的影响预测评估为“</w:t>
      </w:r>
      <w:r>
        <w:rPr>
          <w:rFonts w:hint="eastAsia" w:ascii="仿宋" w:hAnsi="仿宋" w:eastAsia="仿宋" w:cs="仿宋"/>
          <w:b/>
          <w:color w:val="auto"/>
          <w:sz w:val="28"/>
          <w:szCs w:val="28"/>
          <w:highlight w:val="none"/>
        </w:rPr>
        <w:t>较轻”</w:t>
      </w:r>
      <w:r>
        <w:rPr>
          <w:rFonts w:hint="eastAsia" w:ascii="仿宋" w:hAnsi="仿宋" w:eastAsia="仿宋" w:cs="仿宋"/>
          <w:color w:val="auto"/>
          <w:kern w:val="0"/>
          <w:sz w:val="28"/>
          <w:szCs w:val="28"/>
          <w:highlight w:val="none"/>
        </w:rPr>
        <w:t>。</w:t>
      </w:r>
    </w:p>
    <w:p w14:paraId="5AA4E425">
      <w:pPr>
        <w:adjustRightInd w:val="0"/>
        <w:spacing w:line="360" w:lineRule="auto"/>
        <w:ind w:firstLine="48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2、含水层破坏预测分析</w:t>
      </w:r>
    </w:p>
    <w:p w14:paraId="1F4AEB3E">
      <w:pPr>
        <w:ind w:firstLine="48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矿山开采为山坡露天开采，不会形成露天封闭圈，且区内无大的地表水存在，雨季地表径流沿区内冲沟和排洪沟排泄，对水的径流排泄影响不大。矿区位于基岩山区的山坡上，汇水面积小，区内地下水主要接受大气降水补给，地下水沿孔隙、风化裂隙由高处向低处运移。根据地貌形态特征，工作区处于一个小的水文地质单元中地下水径流部位，属于迳流区。大气降水是影响矿床充水的主要因素，但其影响程度受季节性影响变化较大，加之区内岩体富水性弱，地下水埋深较大，矿山最低开采标高为310m，远高于地下含水层深度，故矿山开采造成区内地下水位下降的可能性小。矿区未见地下水泉点出露，且无居民饮用水源，不会影响矿山及周围生产生活用水。</w:t>
      </w:r>
    </w:p>
    <w:p w14:paraId="7B685243">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lang w:val="en-US" w:eastAsia="zh-CN"/>
        </w:rPr>
        <w:t>综上诉，预测矿山开采对地下含水层影响和破坏较轻。</w:t>
      </w:r>
    </w:p>
    <w:p w14:paraId="66AFDF8E">
      <w:pPr>
        <w:pStyle w:val="9"/>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sz w:val="28"/>
          <w:szCs w:val="28"/>
          <w:highlight w:val="none"/>
        </w:rPr>
        <w:t>依据（DZ/T0223-2011）表 E.1，矿业活动对含水层的影响预测评估为“</w:t>
      </w:r>
      <w:r>
        <w:rPr>
          <w:rFonts w:hint="eastAsia" w:ascii="仿宋" w:hAnsi="仿宋" w:eastAsia="仿宋" w:cs="仿宋"/>
          <w:b/>
          <w:color w:val="auto"/>
          <w:sz w:val="28"/>
          <w:szCs w:val="28"/>
          <w:highlight w:val="none"/>
        </w:rPr>
        <w:t>较轻”</w:t>
      </w:r>
      <w:r>
        <w:rPr>
          <w:rFonts w:hint="eastAsia" w:ascii="仿宋" w:hAnsi="仿宋" w:eastAsia="仿宋" w:cs="仿宋"/>
          <w:color w:val="auto"/>
          <w:kern w:val="0"/>
          <w:sz w:val="28"/>
          <w:szCs w:val="28"/>
          <w:highlight w:val="none"/>
        </w:rPr>
        <w:t>。</w:t>
      </w:r>
    </w:p>
    <w:p w14:paraId="0728DA7A">
      <w:pPr>
        <w:pStyle w:val="4"/>
        <w:rPr>
          <w:rFonts w:ascii="Times New Roman" w:hAnsi="Times New Roman" w:eastAsia="宋体" w:cs="Times New Roman"/>
          <w:color w:val="auto"/>
          <w:spacing w:val="-6"/>
          <w:sz w:val="28"/>
          <w:szCs w:val="28"/>
          <w:highlight w:val="none"/>
        </w:rPr>
      </w:pPr>
      <w:bookmarkStart w:id="101" w:name="_Toc26924"/>
      <w:r>
        <w:rPr>
          <w:rFonts w:ascii="Times New Roman" w:hAnsi="Times New Roman" w:eastAsia="宋体" w:cs="Times New Roman"/>
          <w:color w:val="auto"/>
          <w:sz w:val="28"/>
          <w:szCs w:val="28"/>
          <w:highlight w:val="none"/>
        </w:rPr>
        <w:t>（四）</w:t>
      </w:r>
      <w:r>
        <w:rPr>
          <w:rFonts w:ascii="Times New Roman" w:hAnsi="Times New Roman" w:eastAsia="宋体" w:cs="Times New Roman"/>
          <w:color w:val="auto"/>
          <w:spacing w:val="-6"/>
          <w:sz w:val="28"/>
          <w:szCs w:val="28"/>
          <w:highlight w:val="none"/>
        </w:rPr>
        <w:t>矿区地形地貌景观（地质遗迹、人文景观）损毁现状分析与预测</w:t>
      </w:r>
      <w:bookmarkEnd w:id="101"/>
    </w:p>
    <w:p w14:paraId="5AC7E1C6">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1、矿区地形地貌景观（地质遗迹、人文景观）破坏现状分析</w:t>
      </w:r>
    </w:p>
    <w:p w14:paraId="0F079319">
      <w:pPr>
        <w:spacing w:line="360" w:lineRule="auto"/>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区内及附近未见国家、省级、大英县级自然保护区、人文景观、旅游景区（点），无交通要道、无重要水源地，不存在此类影响或破坏问题。矿山为露天开采，经过常年开采已经对原始地形地貌造成破坏，现状矿山开采对地形地貌景观造成影响和破坏程度较严重。</w:t>
      </w:r>
    </w:p>
    <w:p w14:paraId="3FDEA12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根据《矿山地质环境保护与恢复治理方案编制规范》中附录表E.1“矿山地质环境影响程度分级表”，矿山地形地貌景观破坏程度“</w:t>
      </w:r>
      <w:r>
        <w:rPr>
          <w:rFonts w:hint="eastAsia" w:ascii="仿宋" w:hAnsi="仿宋" w:eastAsia="仿宋" w:cs="仿宋"/>
          <w:b/>
          <w:bCs/>
          <w:color w:val="auto"/>
          <w:sz w:val="28"/>
          <w:szCs w:val="28"/>
          <w:highlight w:val="none"/>
        </w:rPr>
        <w:t>较严重”</w:t>
      </w:r>
      <w:r>
        <w:rPr>
          <w:rFonts w:hint="eastAsia" w:ascii="仿宋" w:hAnsi="仿宋" w:eastAsia="仿宋" w:cs="仿宋"/>
          <w:color w:val="auto"/>
          <w:sz w:val="28"/>
          <w:szCs w:val="28"/>
          <w:highlight w:val="none"/>
        </w:rPr>
        <w:t>。</w:t>
      </w:r>
    </w:p>
    <w:p w14:paraId="4C1F5E79">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2、矿区地形地貌景观（地质遗迹、人文景观）破坏预测</w:t>
      </w:r>
    </w:p>
    <w:p w14:paraId="0828834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评估区无重要地质地貌景观保护区和地质遗迹、人文景观分布区。</w:t>
      </w:r>
    </w:p>
    <w:p w14:paraId="6442729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未来矿山继续开采将继续对土地造成压占损毁，同时预测采区对地貌景观挖损也产生较大破坏。预测矿山地形地貌景观破坏程度“</w:t>
      </w:r>
      <w:r>
        <w:rPr>
          <w:rFonts w:hint="eastAsia" w:ascii="仿宋" w:hAnsi="仿宋" w:eastAsia="仿宋" w:cs="仿宋"/>
          <w:b/>
          <w:bCs/>
          <w:color w:val="auto"/>
          <w:sz w:val="28"/>
          <w:szCs w:val="28"/>
          <w:highlight w:val="none"/>
        </w:rPr>
        <w:t>较严重</w:t>
      </w:r>
      <w:r>
        <w:rPr>
          <w:rFonts w:hint="eastAsia" w:ascii="仿宋" w:hAnsi="仿宋" w:eastAsia="仿宋" w:cs="仿宋"/>
          <w:color w:val="auto"/>
          <w:sz w:val="28"/>
          <w:szCs w:val="28"/>
          <w:highlight w:val="none"/>
        </w:rPr>
        <w:t>”。</w:t>
      </w:r>
    </w:p>
    <w:p w14:paraId="4A07CB44">
      <w:pPr>
        <w:pStyle w:val="4"/>
        <w:rPr>
          <w:rFonts w:ascii="Times New Roman" w:hAnsi="Times New Roman" w:eastAsia="宋体" w:cs="Times New Roman"/>
          <w:color w:val="auto"/>
          <w:sz w:val="28"/>
          <w:szCs w:val="28"/>
          <w:highlight w:val="none"/>
        </w:rPr>
      </w:pPr>
      <w:bookmarkStart w:id="102" w:name="_Toc28356"/>
      <w:r>
        <w:rPr>
          <w:rFonts w:ascii="Times New Roman" w:hAnsi="Times New Roman" w:eastAsia="宋体" w:cs="Times New Roman"/>
          <w:color w:val="auto"/>
          <w:sz w:val="28"/>
          <w:szCs w:val="28"/>
          <w:highlight w:val="none"/>
        </w:rPr>
        <w:t>（五）矿区水土环境污染现状分析与预测</w:t>
      </w:r>
      <w:bookmarkEnd w:id="102"/>
    </w:p>
    <w:p w14:paraId="47C9BDCB">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1、矿区水土环境污染现状分析</w:t>
      </w:r>
    </w:p>
    <w:p w14:paraId="2C45D22D">
      <w:p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本次调查矿山为新建矿山，矿区水土环境污染现状无影响。</w:t>
      </w:r>
    </w:p>
    <w:p w14:paraId="1D721759">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2、水土污染预测评估</w:t>
      </w:r>
    </w:p>
    <w:p w14:paraId="0123BC9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现状条件下矿山未发生水土环境污染情况，今后矿山开采页岩矿，虽矿石及废石中不含有毒有害成分，不会污染水体、土地，但机械设备及人员活动形成的漏油、生活污水等一定程度上存在对水土环境污染的可能；另外矿山对土地植被资源的影响和破坏主要为露天采场、排土场等的建设破坏。矿山开采在占用土地的同时对地表植被进行了破坏，根据现场调查，矿山开采最终将损毁或破坏土地及植被</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，但矿山只要做好环保设施设备的养护和更新，按照主管部门要求采取降尘、净化设施，做到达标排放，矿山今后开采对水土环境的污染轻微。由此预测矿山开采对水土环境污染较轻。</w:t>
      </w:r>
    </w:p>
    <w:p w14:paraId="3A9CFEF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因此，预测矿山水土环境污染程度“</w:t>
      </w:r>
      <w:r>
        <w:rPr>
          <w:rFonts w:hint="eastAsia" w:ascii="仿宋" w:hAnsi="仿宋" w:eastAsia="仿宋" w:cs="仿宋"/>
          <w:b/>
          <w:color w:val="auto"/>
          <w:sz w:val="28"/>
          <w:szCs w:val="28"/>
          <w:highlight w:val="none"/>
        </w:rPr>
        <w:t>较轻</w:t>
      </w:r>
      <w:r>
        <w:rPr>
          <w:rFonts w:hint="eastAsia" w:ascii="仿宋" w:hAnsi="仿宋" w:eastAsia="仿宋" w:cs="仿宋"/>
          <w:bCs/>
          <w:color w:val="auto"/>
          <w:sz w:val="28"/>
          <w:szCs w:val="28"/>
          <w:highlight w:val="none"/>
        </w:rPr>
        <w:t>”</w:t>
      </w:r>
      <w:r>
        <w:rPr>
          <w:rFonts w:hint="eastAsia" w:ascii="仿宋" w:hAnsi="仿宋" w:eastAsia="仿宋" w:cs="仿宋"/>
          <w:color w:val="auto"/>
          <w:sz w:val="28"/>
          <w:szCs w:val="28"/>
          <w:highlight w:val="none"/>
        </w:rPr>
        <w:t>。</w:t>
      </w:r>
    </w:p>
    <w:p w14:paraId="5718DCB6">
      <w:pPr>
        <w:tabs>
          <w:tab w:val="left" w:pos="3064"/>
        </w:tabs>
        <w:spacing w:line="360" w:lineRule="auto"/>
        <w:ind w:firstLine="464"/>
        <w:jc w:val="center"/>
        <w:rPr>
          <w:rFonts w:ascii="宋体" w:hAnsi="宋体" w:eastAsia="宋体"/>
          <w:b/>
          <w:color w:val="auto"/>
          <w:spacing w:val="-11"/>
          <w:w w:val="105"/>
          <w:sz w:val="24"/>
          <w:szCs w:val="24"/>
          <w:highlight w:val="none"/>
        </w:rPr>
      </w:pPr>
      <w:r>
        <w:rPr>
          <w:rFonts w:hint="eastAsia" w:ascii="宋体" w:hAnsi="宋体" w:eastAsia="宋体"/>
          <w:b/>
          <w:color w:val="auto"/>
          <w:spacing w:val="-11"/>
          <w:w w:val="105"/>
          <w:sz w:val="24"/>
          <w:szCs w:val="24"/>
          <w:highlight w:val="none"/>
        </w:rPr>
        <w:t>表3-6</w:t>
      </w:r>
      <w:r>
        <w:rPr>
          <w:rFonts w:ascii="宋体" w:hAnsi="宋体" w:eastAsia="宋体"/>
          <w:b/>
          <w:color w:val="auto"/>
          <w:spacing w:val="-11"/>
          <w:w w:val="105"/>
          <w:sz w:val="24"/>
          <w:szCs w:val="24"/>
          <w:highlight w:val="none"/>
        </w:rPr>
        <w:t xml:space="preserve"> </w:t>
      </w:r>
      <w:r>
        <w:rPr>
          <w:rFonts w:hint="eastAsia" w:ascii="宋体" w:hAnsi="宋体" w:eastAsia="宋体"/>
          <w:b/>
          <w:color w:val="auto"/>
          <w:spacing w:val="-11"/>
          <w:w w:val="105"/>
          <w:sz w:val="24"/>
          <w:szCs w:val="24"/>
          <w:highlight w:val="none"/>
        </w:rPr>
        <w:t>矿山地质环境影响程度分级表（预测评估）</w:t>
      </w:r>
    </w:p>
    <w:tbl>
      <w:tblPr>
        <w:tblStyle w:val="23"/>
        <w:tblW w:w="0" w:type="auto"/>
        <w:jc w:val="center"/>
        <w:tblLayout w:type="fixed"/>
        <w:tblCellMar>
          <w:top w:w="0" w:type="dxa"/>
          <w:left w:w="0" w:type="dxa"/>
          <w:bottom w:w="0" w:type="dxa"/>
          <w:right w:w="0" w:type="dxa"/>
        </w:tblCellMar>
      </w:tblPr>
      <w:tblGrid>
        <w:gridCol w:w="902"/>
        <w:gridCol w:w="2186"/>
        <w:gridCol w:w="2839"/>
        <w:gridCol w:w="2358"/>
        <w:gridCol w:w="1842"/>
      </w:tblGrid>
      <w:tr w14:paraId="6A971D8B">
        <w:tblPrEx>
          <w:tblCellMar>
            <w:top w:w="0" w:type="dxa"/>
            <w:left w:w="0" w:type="dxa"/>
            <w:bottom w:w="0" w:type="dxa"/>
            <w:right w:w="0" w:type="dxa"/>
          </w:tblCellMar>
        </w:tblPrEx>
        <w:trPr>
          <w:trHeight w:val="494" w:hRule="exact"/>
          <w:jc w:val="center"/>
        </w:trPr>
        <w:tc>
          <w:tcPr>
            <w:tcW w:w="902" w:type="dxa"/>
            <w:tcBorders>
              <w:top w:val="single" w:color="000000" w:sz="4" w:space="0"/>
              <w:left w:val="single" w:color="000000" w:sz="4" w:space="0"/>
              <w:bottom w:val="single" w:color="000000" w:sz="4" w:space="0"/>
              <w:right w:val="single" w:color="000000" w:sz="4" w:space="0"/>
            </w:tcBorders>
          </w:tcPr>
          <w:p w14:paraId="0024C953">
            <w:pPr>
              <w:pStyle w:val="69"/>
              <w:kinsoku w:val="0"/>
              <w:overflowPunct w:val="0"/>
              <w:spacing w:line="240" w:lineRule="exact"/>
              <w:ind w:left="110" w:right="109"/>
              <w:rPr>
                <w:rFonts w:ascii="宋体" w:hAnsi="宋体"/>
                <w:color w:val="auto"/>
                <w:sz w:val="21"/>
                <w:szCs w:val="21"/>
                <w:highlight w:val="none"/>
              </w:rPr>
            </w:pPr>
            <w:r>
              <w:rPr>
                <w:rFonts w:hint="eastAsia" w:ascii="宋体" w:hAnsi="宋体" w:cs="宋体"/>
                <w:color w:val="auto"/>
                <w:sz w:val="21"/>
                <w:szCs w:val="21"/>
                <w:highlight w:val="none"/>
              </w:rPr>
              <w:t>影响程</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度分级</w:t>
            </w:r>
          </w:p>
        </w:tc>
        <w:tc>
          <w:tcPr>
            <w:tcW w:w="2186" w:type="dxa"/>
            <w:tcBorders>
              <w:top w:val="single" w:color="000000" w:sz="4" w:space="0"/>
              <w:left w:val="single" w:color="000000" w:sz="4" w:space="0"/>
              <w:bottom w:val="single" w:color="000000" w:sz="4" w:space="0"/>
              <w:right w:val="single" w:color="000000" w:sz="4" w:space="0"/>
            </w:tcBorders>
          </w:tcPr>
          <w:p w14:paraId="1CF038A3">
            <w:pPr>
              <w:pStyle w:val="69"/>
              <w:kinsoku w:val="0"/>
              <w:overflowPunct w:val="0"/>
              <w:spacing w:before="78"/>
              <w:rPr>
                <w:rFonts w:ascii="宋体" w:hAnsi="宋体"/>
                <w:color w:val="auto"/>
                <w:sz w:val="21"/>
                <w:szCs w:val="21"/>
                <w:highlight w:val="none"/>
              </w:rPr>
            </w:pPr>
            <w:r>
              <w:rPr>
                <w:rFonts w:hint="eastAsia" w:ascii="宋体" w:hAnsi="宋体" w:cs="宋体"/>
                <w:color w:val="auto"/>
                <w:sz w:val="21"/>
                <w:szCs w:val="21"/>
                <w:highlight w:val="none"/>
              </w:rPr>
              <w:t>地质灾害</w:t>
            </w:r>
          </w:p>
        </w:tc>
        <w:tc>
          <w:tcPr>
            <w:tcW w:w="2839" w:type="dxa"/>
            <w:tcBorders>
              <w:top w:val="single" w:color="000000" w:sz="4" w:space="0"/>
              <w:left w:val="single" w:color="000000" w:sz="4" w:space="0"/>
              <w:bottom w:val="single" w:color="000000" w:sz="4" w:space="0"/>
              <w:right w:val="single" w:color="000000" w:sz="4" w:space="0"/>
            </w:tcBorders>
          </w:tcPr>
          <w:p w14:paraId="0BD50DEE">
            <w:pPr>
              <w:pStyle w:val="69"/>
              <w:kinsoku w:val="0"/>
              <w:overflowPunct w:val="0"/>
              <w:spacing w:before="78"/>
              <w:ind w:firstLine="400"/>
              <w:rPr>
                <w:rFonts w:ascii="宋体" w:hAnsi="宋体"/>
                <w:color w:val="auto"/>
                <w:sz w:val="21"/>
                <w:szCs w:val="21"/>
                <w:highlight w:val="none"/>
              </w:rPr>
            </w:pPr>
            <w:r>
              <w:rPr>
                <w:rFonts w:hint="eastAsia" w:ascii="宋体" w:hAnsi="宋体" w:cs="宋体"/>
                <w:color w:val="auto"/>
                <w:sz w:val="21"/>
                <w:szCs w:val="21"/>
                <w:highlight w:val="none"/>
              </w:rPr>
              <w:t>含水层</w:t>
            </w:r>
          </w:p>
        </w:tc>
        <w:tc>
          <w:tcPr>
            <w:tcW w:w="2358" w:type="dxa"/>
            <w:tcBorders>
              <w:top w:val="single" w:color="000000" w:sz="4" w:space="0"/>
              <w:left w:val="single" w:color="000000" w:sz="4" w:space="0"/>
              <w:bottom w:val="single" w:color="000000" w:sz="4" w:space="0"/>
              <w:right w:val="single" w:color="000000" w:sz="4" w:space="0"/>
            </w:tcBorders>
          </w:tcPr>
          <w:p w14:paraId="4639071A">
            <w:pPr>
              <w:pStyle w:val="69"/>
              <w:kinsoku w:val="0"/>
              <w:overflowPunct w:val="0"/>
              <w:spacing w:before="78"/>
              <w:rPr>
                <w:rFonts w:ascii="宋体" w:hAnsi="宋体"/>
                <w:color w:val="auto"/>
                <w:sz w:val="21"/>
                <w:szCs w:val="21"/>
                <w:highlight w:val="none"/>
              </w:rPr>
            </w:pPr>
            <w:r>
              <w:rPr>
                <w:rFonts w:hint="eastAsia" w:ascii="宋体" w:hAnsi="宋体" w:cs="宋体"/>
                <w:color w:val="auto"/>
                <w:sz w:val="21"/>
                <w:szCs w:val="21"/>
                <w:highlight w:val="none"/>
              </w:rPr>
              <w:t>地形地貌景观</w:t>
            </w:r>
          </w:p>
        </w:tc>
        <w:tc>
          <w:tcPr>
            <w:tcW w:w="1842" w:type="dxa"/>
            <w:tcBorders>
              <w:top w:val="single" w:color="000000" w:sz="4" w:space="0"/>
              <w:left w:val="single" w:color="000000" w:sz="4" w:space="0"/>
              <w:bottom w:val="single" w:color="000000" w:sz="4" w:space="0"/>
              <w:right w:val="single" w:color="000000" w:sz="4" w:space="0"/>
            </w:tcBorders>
          </w:tcPr>
          <w:p w14:paraId="337DF185">
            <w:pPr>
              <w:pStyle w:val="69"/>
              <w:kinsoku w:val="0"/>
              <w:overflowPunct w:val="0"/>
              <w:spacing w:before="78"/>
              <w:rPr>
                <w:rFonts w:ascii="宋体" w:hAnsi="宋体"/>
                <w:color w:val="auto"/>
                <w:sz w:val="21"/>
                <w:szCs w:val="21"/>
                <w:highlight w:val="none"/>
              </w:rPr>
            </w:pPr>
            <w:r>
              <w:rPr>
                <w:rFonts w:hint="eastAsia" w:ascii="宋体" w:hAnsi="宋体" w:cs="宋体"/>
                <w:color w:val="auto"/>
                <w:sz w:val="21"/>
                <w:szCs w:val="21"/>
                <w:highlight w:val="none"/>
              </w:rPr>
              <w:t>土地资源</w:t>
            </w:r>
          </w:p>
        </w:tc>
      </w:tr>
      <w:tr w14:paraId="76E17389">
        <w:tblPrEx>
          <w:tblCellMar>
            <w:top w:w="0" w:type="dxa"/>
            <w:left w:w="0" w:type="dxa"/>
            <w:bottom w:w="0" w:type="dxa"/>
            <w:right w:w="0" w:type="dxa"/>
          </w:tblCellMar>
        </w:tblPrEx>
        <w:trPr>
          <w:trHeight w:val="2433" w:hRule="exact"/>
          <w:jc w:val="center"/>
        </w:trPr>
        <w:tc>
          <w:tcPr>
            <w:tcW w:w="902" w:type="dxa"/>
            <w:tcBorders>
              <w:top w:val="single" w:color="000000" w:sz="4" w:space="0"/>
              <w:left w:val="single" w:color="000000" w:sz="4" w:space="0"/>
              <w:bottom w:val="single" w:color="000000" w:sz="4" w:space="0"/>
              <w:right w:val="single" w:color="000000" w:sz="4" w:space="0"/>
            </w:tcBorders>
            <w:textDirection w:val="tbRl"/>
          </w:tcPr>
          <w:p w14:paraId="410A1D5D">
            <w:pPr>
              <w:pStyle w:val="69"/>
              <w:kinsoku w:val="0"/>
              <w:overflowPunct w:val="0"/>
              <w:ind w:left="3" w:firstLine="386"/>
              <w:jc w:val="center"/>
              <w:rPr>
                <w:rFonts w:hint="eastAsia" w:ascii="宋体" w:hAnsi="宋体" w:cs="宋体"/>
                <w:color w:val="auto"/>
                <w:spacing w:val="-4"/>
                <w:sz w:val="21"/>
                <w:szCs w:val="21"/>
                <w:highlight w:val="none"/>
              </w:rPr>
            </w:pPr>
          </w:p>
          <w:p w14:paraId="2BB6840E">
            <w:pPr>
              <w:pStyle w:val="69"/>
              <w:kinsoku w:val="0"/>
              <w:overflowPunct w:val="0"/>
              <w:ind w:left="3" w:firstLine="386"/>
              <w:jc w:val="center"/>
              <w:rPr>
                <w:rFonts w:ascii="宋体" w:hAnsi="宋体"/>
                <w:b/>
                <w:bCs/>
                <w:color w:val="auto"/>
                <w:sz w:val="21"/>
                <w:szCs w:val="21"/>
                <w:highlight w:val="none"/>
              </w:rPr>
            </w:pPr>
            <w:bookmarkStart w:id="103" w:name="（三）矿区含水层破坏现状分析与预测"/>
            <w:bookmarkEnd w:id="103"/>
            <w:bookmarkStart w:id="104" w:name="bookmark37"/>
            <w:bookmarkEnd w:id="104"/>
            <w:r>
              <w:rPr>
                <w:rFonts w:hint="eastAsia" w:ascii="宋体" w:hAnsi="宋体" w:cs="宋体"/>
                <w:color w:val="auto"/>
                <w:spacing w:val="-4"/>
                <w:sz w:val="21"/>
                <w:szCs w:val="21"/>
                <w:highlight w:val="none"/>
              </w:rPr>
              <w:t>严重</w:t>
            </w:r>
          </w:p>
        </w:tc>
        <w:tc>
          <w:tcPr>
            <w:tcW w:w="2186" w:type="dxa"/>
            <w:tcBorders>
              <w:top w:val="single" w:color="000000" w:sz="4" w:space="0"/>
              <w:left w:val="single" w:color="000000" w:sz="4" w:space="0"/>
              <w:bottom w:val="single" w:color="000000" w:sz="4" w:space="0"/>
              <w:right w:val="single" w:color="000000" w:sz="4" w:space="0"/>
            </w:tcBorders>
            <w:vAlign w:val="top"/>
          </w:tcPr>
          <w:p w14:paraId="79E303D3">
            <w:pPr>
              <w:pStyle w:val="69"/>
              <w:kinsoku w:val="0"/>
              <w:overflowPunct w:val="0"/>
              <w:spacing w:before="1" w:line="240" w:lineRule="exact"/>
              <w:ind w:left="103" w:right="101"/>
              <w:jc w:val="both"/>
              <w:rPr>
                <w:rFonts w:ascii="宋体" w:hAnsi="宋体" w:cs="宋体"/>
                <w:color w:val="auto"/>
                <w:sz w:val="21"/>
                <w:szCs w:val="21"/>
                <w:highlight w:val="none"/>
              </w:rPr>
            </w:pPr>
            <w:r>
              <w:rPr>
                <w:rFonts w:hint="eastAsia" w:ascii="宋体" w:hAnsi="宋体" w:cs="宋体"/>
                <w:color w:val="auto"/>
                <w:sz w:val="21"/>
                <w:szCs w:val="21"/>
                <w:highlight w:val="none"/>
              </w:rPr>
              <w:t>地质灾害规模大，发生的可能性大；影响到城市、乡镇、重要行政村、重要交通干线、重要工程设施及各类保护区安全；造成或可能造成直接经</w:t>
            </w:r>
            <w:r>
              <w:rPr>
                <w:rFonts w:hint="eastAsia" w:ascii="宋体" w:hAnsi="宋体" w:cs="宋体"/>
                <w:color w:val="auto"/>
                <w:spacing w:val="12"/>
                <w:sz w:val="21"/>
                <w:szCs w:val="21"/>
                <w:highlight w:val="none"/>
              </w:rPr>
              <w:t>济损失大于</w:t>
            </w:r>
            <w:r>
              <w:rPr>
                <w:rFonts w:ascii="宋体" w:hAnsi="宋体"/>
                <w:color w:val="auto"/>
                <w:sz w:val="21"/>
                <w:szCs w:val="21"/>
                <w:highlight w:val="none"/>
              </w:rPr>
              <w:t>500</w:t>
            </w:r>
            <w:r>
              <w:rPr>
                <w:rFonts w:hint="eastAsia" w:ascii="宋体" w:hAnsi="宋体" w:cs="宋体"/>
                <w:color w:val="auto"/>
                <w:sz w:val="21"/>
                <w:szCs w:val="21"/>
                <w:highlight w:val="none"/>
              </w:rPr>
              <w:t>万元；受威胁人数大于</w:t>
            </w:r>
          </w:p>
          <w:p w14:paraId="4BA0FF57">
            <w:pPr>
              <w:pStyle w:val="69"/>
              <w:kinsoku w:val="0"/>
              <w:overflowPunct w:val="0"/>
              <w:spacing w:line="235" w:lineRule="exact"/>
              <w:jc w:val="both"/>
              <w:rPr>
                <w:rFonts w:ascii="宋体" w:hAnsi="宋体"/>
                <w:color w:val="auto"/>
                <w:sz w:val="21"/>
                <w:szCs w:val="21"/>
                <w:highlight w:val="none"/>
              </w:rPr>
            </w:pPr>
            <w:r>
              <w:rPr>
                <w:rFonts w:ascii="宋体" w:hAnsi="宋体"/>
                <w:color w:val="auto"/>
                <w:sz w:val="21"/>
                <w:szCs w:val="21"/>
                <w:highlight w:val="none"/>
              </w:rPr>
              <w:t>100</w:t>
            </w:r>
            <w:r>
              <w:rPr>
                <w:rFonts w:hint="eastAsia" w:ascii="宋体" w:hAnsi="宋体" w:cs="宋体"/>
                <w:color w:val="auto"/>
                <w:sz w:val="21"/>
                <w:szCs w:val="21"/>
                <w:highlight w:val="none"/>
              </w:rPr>
              <w:t>人</w:t>
            </w:r>
          </w:p>
        </w:tc>
        <w:tc>
          <w:tcPr>
            <w:tcW w:w="2839" w:type="dxa"/>
            <w:tcBorders>
              <w:top w:val="single" w:color="000000" w:sz="4" w:space="0"/>
              <w:left w:val="single" w:color="000000" w:sz="4" w:space="0"/>
              <w:bottom w:val="single" w:color="000000" w:sz="4" w:space="0"/>
              <w:right w:val="single" w:color="000000" w:sz="4" w:space="0"/>
            </w:tcBorders>
            <w:vAlign w:val="top"/>
          </w:tcPr>
          <w:p w14:paraId="0F82030A">
            <w:pPr>
              <w:pStyle w:val="69"/>
              <w:kinsoku w:val="0"/>
              <w:overflowPunct w:val="0"/>
              <w:spacing w:before="1" w:line="240" w:lineRule="exact"/>
              <w:ind w:left="103" w:leftChars="0" w:right="101" w:rightChars="0"/>
              <w:jc w:val="both"/>
              <w:rPr>
                <w:rFonts w:ascii="宋体" w:hAnsi="宋体"/>
                <w:color w:val="auto"/>
                <w:sz w:val="21"/>
                <w:szCs w:val="21"/>
                <w:highlight w:val="none"/>
              </w:rPr>
            </w:pPr>
            <w:r>
              <w:rPr>
                <w:rFonts w:hint="eastAsia" w:ascii="宋体" w:hAnsi="宋体" w:cs="宋体"/>
                <w:color w:val="auto"/>
                <w:sz w:val="21"/>
                <w:szCs w:val="21"/>
                <w:highlight w:val="none"/>
              </w:rPr>
              <w:t>矿床充水主要含水层结构破坏，产生导水通道；矿井正</w:t>
            </w:r>
            <w:r>
              <w:rPr>
                <w:rFonts w:hint="eastAsia" w:ascii="宋体" w:hAnsi="宋体" w:cs="宋体"/>
                <w:color w:val="auto"/>
                <w:spacing w:val="2"/>
                <w:sz w:val="21"/>
                <w:szCs w:val="21"/>
                <w:highlight w:val="none"/>
              </w:rPr>
              <w:t>常涌水量大于</w:t>
            </w:r>
            <w:r>
              <w:rPr>
                <w:rFonts w:ascii="宋体" w:hAnsi="宋体"/>
                <w:color w:val="auto"/>
                <w:sz w:val="21"/>
                <w:szCs w:val="21"/>
                <w:highlight w:val="none"/>
              </w:rPr>
              <w:t>10000m</w:t>
            </w:r>
            <w:r>
              <w:rPr>
                <w:rFonts w:hint="eastAsia" w:ascii="宋体" w:hAnsi="宋体" w:cs="宋体"/>
                <w:color w:val="auto"/>
                <w:sz w:val="21"/>
                <w:szCs w:val="21"/>
                <w:highlight w:val="none"/>
                <w:vertAlign w:val="superscript"/>
                <w:lang w:val="en-US" w:eastAsia="zh-CN"/>
              </w:rPr>
              <w:t>3</w:t>
            </w:r>
            <w:r>
              <w:rPr>
                <w:rFonts w:ascii="宋体" w:hAnsi="宋体"/>
                <w:color w:val="auto"/>
                <w:sz w:val="21"/>
                <w:szCs w:val="21"/>
                <w:highlight w:val="none"/>
              </w:rPr>
              <w:t>/d</w:t>
            </w:r>
            <w:r>
              <w:rPr>
                <w:rFonts w:hint="eastAsia" w:ascii="宋体" w:hAnsi="宋体" w:cs="宋体"/>
                <w:color w:val="auto"/>
                <w:sz w:val="21"/>
                <w:szCs w:val="21"/>
                <w:highlight w:val="none"/>
              </w:rPr>
              <w:t>；矿区地下水位下降；矿区周围主要含水层（带）水位大幅下降，或呈疏干状态，地表水体漏失严重；不同含水层（组）串通水质恶化；影响集中水源地供水，矿区及周围生产、生活供水困难</w:t>
            </w:r>
          </w:p>
        </w:tc>
        <w:tc>
          <w:tcPr>
            <w:tcW w:w="2358" w:type="dxa"/>
            <w:tcBorders>
              <w:top w:val="single" w:color="000000" w:sz="4" w:space="0"/>
              <w:left w:val="single" w:color="000000" w:sz="4" w:space="0"/>
              <w:bottom w:val="single" w:color="000000" w:sz="4" w:space="0"/>
              <w:right w:val="single" w:color="000000" w:sz="4" w:space="0"/>
            </w:tcBorders>
            <w:vAlign w:val="top"/>
          </w:tcPr>
          <w:p w14:paraId="7778AFF6">
            <w:pPr>
              <w:pStyle w:val="69"/>
              <w:kinsoku w:val="0"/>
              <w:overflowPunct w:val="0"/>
              <w:spacing w:line="240" w:lineRule="exact"/>
              <w:ind w:right="61" w:rightChars="0"/>
              <w:jc w:val="both"/>
              <w:rPr>
                <w:rFonts w:ascii="宋体" w:hAnsi="宋体"/>
                <w:color w:val="auto"/>
                <w:sz w:val="21"/>
                <w:szCs w:val="21"/>
                <w:highlight w:val="none"/>
              </w:rPr>
            </w:pPr>
            <w:r>
              <w:rPr>
                <w:rFonts w:hint="eastAsia" w:ascii="宋体" w:hAnsi="宋体" w:cs="宋体"/>
                <w:color w:val="auto"/>
                <w:spacing w:val="16"/>
                <w:sz w:val="21"/>
                <w:szCs w:val="21"/>
                <w:highlight w:val="none"/>
              </w:rPr>
              <w:t>对原生的地形地貌景</w:t>
            </w:r>
            <w:r>
              <w:rPr>
                <w:rFonts w:hint="eastAsia" w:ascii="宋体" w:hAnsi="宋体" w:cs="宋体"/>
                <w:color w:val="auto"/>
                <w:spacing w:val="-1"/>
                <w:sz w:val="21"/>
                <w:szCs w:val="21"/>
                <w:highlight w:val="none"/>
              </w:rPr>
              <w:t>观影响和破坏程度大；</w:t>
            </w:r>
            <w:r>
              <w:rPr>
                <w:rFonts w:hint="eastAsia" w:ascii="宋体" w:hAnsi="宋体" w:cs="宋体"/>
                <w:color w:val="auto"/>
                <w:spacing w:val="-5"/>
                <w:sz w:val="21"/>
                <w:szCs w:val="21"/>
                <w:highlight w:val="none"/>
              </w:rPr>
              <w:t>对各类自然保护区、人</w:t>
            </w:r>
            <w:r>
              <w:rPr>
                <w:rFonts w:hint="eastAsia" w:ascii="宋体" w:hAnsi="宋体" w:cs="宋体"/>
                <w:color w:val="auto"/>
                <w:spacing w:val="-1"/>
                <w:sz w:val="21"/>
                <w:szCs w:val="21"/>
                <w:highlight w:val="none"/>
              </w:rPr>
              <w:t>文景观、风景旅游区、</w:t>
            </w:r>
            <w:r>
              <w:rPr>
                <w:rFonts w:hint="eastAsia" w:ascii="宋体" w:hAnsi="宋体" w:cs="宋体"/>
                <w:color w:val="auto"/>
                <w:spacing w:val="-5"/>
                <w:sz w:val="21"/>
                <w:szCs w:val="21"/>
                <w:highlight w:val="none"/>
              </w:rPr>
              <w:t>城市周围、主要交通干</w:t>
            </w:r>
            <w:r>
              <w:rPr>
                <w:rFonts w:hint="eastAsia" w:ascii="宋体" w:hAnsi="宋体" w:cs="宋体"/>
                <w:color w:val="auto"/>
                <w:spacing w:val="16"/>
                <w:sz w:val="21"/>
                <w:szCs w:val="21"/>
                <w:highlight w:val="none"/>
              </w:rPr>
              <w:t>线两侧可视范围内地</w:t>
            </w:r>
            <w:r>
              <w:rPr>
                <w:rFonts w:hint="eastAsia" w:ascii="宋体" w:hAnsi="宋体" w:cs="宋体"/>
                <w:color w:val="auto"/>
                <w:sz w:val="21"/>
                <w:szCs w:val="21"/>
                <w:highlight w:val="none"/>
              </w:rPr>
              <w:t>形地貌景观影响严重</w:t>
            </w:r>
          </w:p>
        </w:tc>
        <w:tc>
          <w:tcPr>
            <w:tcW w:w="1842" w:type="dxa"/>
            <w:tcBorders>
              <w:top w:val="single" w:color="000000" w:sz="4" w:space="0"/>
              <w:left w:val="single" w:color="000000" w:sz="4" w:space="0"/>
              <w:bottom w:val="single" w:color="000000" w:sz="4" w:space="0"/>
              <w:right w:val="single" w:color="000000" w:sz="4" w:space="0"/>
            </w:tcBorders>
            <w:vAlign w:val="top"/>
          </w:tcPr>
          <w:p w14:paraId="20201FD5">
            <w:pPr>
              <w:pStyle w:val="69"/>
              <w:kinsoku w:val="0"/>
              <w:overflowPunct w:val="0"/>
              <w:spacing w:before="1" w:line="240" w:lineRule="exact"/>
              <w:ind w:left="103" w:leftChars="0" w:right="101" w:rightChars="0"/>
              <w:jc w:val="both"/>
              <w:rPr>
                <w:rFonts w:ascii="宋体" w:hAnsi="宋体"/>
                <w:color w:val="auto"/>
                <w:sz w:val="21"/>
                <w:szCs w:val="21"/>
                <w:highlight w:val="none"/>
              </w:rPr>
            </w:pPr>
            <w:r>
              <w:rPr>
                <w:rFonts w:hint="eastAsia" w:ascii="宋体" w:hAnsi="宋体" w:cs="宋体"/>
                <w:color w:val="auto"/>
                <w:sz w:val="21"/>
                <w:szCs w:val="21"/>
                <w:highlight w:val="none"/>
              </w:rPr>
              <w:t>破坏基本农田；破坏耕地大于2hm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；破坏林地或草地大于4hm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；破坏荒地或未开发利用土地大于20hm</w:t>
            </w:r>
            <w:r>
              <w:rPr>
                <w:rFonts w:hint="eastAsia" w:ascii="宋体" w:hAnsi="宋体" w:cs="宋体"/>
                <w:color w:val="auto"/>
                <w:sz w:val="21"/>
                <w:szCs w:val="21"/>
                <w:highlight w:val="none"/>
                <w:vertAlign w:val="superscript"/>
              </w:rPr>
              <w:t>2</w:t>
            </w:r>
          </w:p>
        </w:tc>
      </w:tr>
      <w:tr w14:paraId="6643A32B">
        <w:tblPrEx>
          <w:tblCellMar>
            <w:top w:w="0" w:type="dxa"/>
            <w:left w:w="0" w:type="dxa"/>
            <w:bottom w:w="0" w:type="dxa"/>
            <w:right w:w="0" w:type="dxa"/>
          </w:tblCellMar>
        </w:tblPrEx>
        <w:trPr>
          <w:trHeight w:val="2337" w:hRule="exact"/>
          <w:jc w:val="center"/>
        </w:trPr>
        <w:tc>
          <w:tcPr>
            <w:tcW w:w="902" w:type="dxa"/>
            <w:tcBorders>
              <w:top w:val="single" w:color="000000" w:sz="4" w:space="0"/>
              <w:left w:val="single" w:color="000000" w:sz="4" w:space="0"/>
              <w:bottom w:val="single" w:color="000000" w:sz="4" w:space="0"/>
              <w:right w:val="single" w:color="000000" w:sz="4" w:space="0"/>
            </w:tcBorders>
            <w:textDirection w:val="tbRl"/>
          </w:tcPr>
          <w:p w14:paraId="1C54919E">
            <w:pPr>
              <w:pStyle w:val="69"/>
              <w:kinsoku w:val="0"/>
              <w:overflowPunct w:val="0"/>
              <w:spacing w:before="11"/>
              <w:ind w:firstLine="400"/>
              <w:rPr>
                <w:rFonts w:ascii="宋体" w:hAnsi="宋体" w:cs="黑体"/>
                <w:color w:val="auto"/>
                <w:sz w:val="21"/>
                <w:szCs w:val="21"/>
                <w:highlight w:val="none"/>
              </w:rPr>
            </w:pPr>
          </w:p>
          <w:p w14:paraId="56A9D52B">
            <w:pPr>
              <w:pStyle w:val="69"/>
              <w:kinsoku w:val="0"/>
              <w:overflowPunct w:val="0"/>
              <w:ind w:left="3" w:firstLine="386"/>
              <w:jc w:val="center"/>
              <w:rPr>
                <w:rFonts w:ascii="宋体" w:hAnsi="宋体"/>
                <w:color w:val="auto"/>
                <w:sz w:val="21"/>
                <w:szCs w:val="21"/>
                <w:highlight w:val="none"/>
              </w:rPr>
            </w:pPr>
            <w:r>
              <w:rPr>
                <w:rFonts w:hint="eastAsia" w:ascii="宋体" w:hAnsi="宋体" w:cs="宋体"/>
                <w:color w:val="auto"/>
                <w:spacing w:val="-4"/>
                <w:sz w:val="21"/>
                <w:szCs w:val="21"/>
                <w:highlight w:val="none"/>
              </w:rPr>
              <w:t>较严</w:t>
            </w:r>
            <w:r>
              <w:rPr>
                <w:rFonts w:hint="eastAsia" w:ascii="宋体" w:hAnsi="宋体" w:cs="宋体"/>
                <w:color w:val="auto"/>
                <w:sz w:val="21"/>
                <w:szCs w:val="21"/>
                <w:highlight w:val="none"/>
              </w:rPr>
              <w:t>重</w:t>
            </w:r>
          </w:p>
        </w:tc>
        <w:tc>
          <w:tcPr>
            <w:tcW w:w="2186" w:type="dxa"/>
            <w:tcBorders>
              <w:top w:val="single" w:color="000000" w:sz="4" w:space="0"/>
              <w:left w:val="single" w:color="000000" w:sz="4" w:space="0"/>
              <w:bottom w:val="single" w:color="000000" w:sz="4" w:space="0"/>
              <w:right w:val="single" w:color="000000" w:sz="4" w:space="0"/>
            </w:tcBorders>
            <w:vAlign w:val="top"/>
          </w:tcPr>
          <w:p w14:paraId="75DF5B1C">
            <w:pPr>
              <w:pStyle w:val="69"/>
              <w:kinsoku w:val="0"/>
              <w:overflowPunct w:val="0"/>
              <w:spacing w:before="67" w:line="240" w:lineRule="exact"/>
              <w:ind w:left="103" w:leftChars="0" w:right="70" w:rightChars="0" w:firstLine="400" w:firstLineChars="0"/>
              <w:jc w:val="both"/>
              <w:rPr>
                <w:rFonts w:ascii="宋体" w:hAnsi="宋体"/>
                <w:color w:val="auto"/>
                <w:sz w:val="21"/>
                <w:szCs w:val="21"/>
                <w:highlight w:val="none"/>
              </w:rPr>
            </w:pPr>
            <w:r>
              <w:rPr>
                <w:rFonts w:hint="eastAsia" w:ascii="宋体" w:hAnsi="宋体" w:cs="宋体"/>
                <w:color w:val="auto"/>
                <w:sz w:val="21"/>
                <w:szCs w:val="21"/>
                <w:highlight w:val="none"/>
              </w:rPr>
              <w:t>地质灾害规模中等，发生的可能性较大；影响到村庄、居民聚居区、一般交通线和</w:t>
            </w:r>
            <w:r>
              <w:rPr>
                <w:rFonts w:hint="eastAsia" w:ascii="宋体" w:hAnsi="宋体" w:cs="宋体"/>
                <w:color w:val="auto"/>
                <w:spacing w:val="23"/>
                <w:sz w:val="21"/>
                <w:szCs w:val="21"/>
                <w:highlight w:val="none"/>
              </w:rPr>
              <w:t>较重要工程设施安</w:t>
            </w:r>
            <w:r>
              <w:rPr>
                <w:rFonts w:hint="eastAsia" w:ascii="宋体" w:hAnsi="宋体" w:cs="宋体"/>
                <w:color w:val="auto"/>
                <w:sz w:val="21"/>
                <w:szCs w:val="21"/>
                <w:highlight w:val="none"/>
              </w:rPr>
              <w:t>全；造成或可能造成直接经济损失</w:t>
            </w:r>
            <w:r>
              <w:rPr>
                <w:rFonts w:ascii="宋体" w:hAnsi="宋体"/>
                <w:color w:val="auto"/>
                <w:sz w:val="21"/>
                <w:szCs w:val="21"/>
                <w:highlight w:val="none"/>
              </w:rPr>
              <w:t>100</w:t>
            </w:r>
            <w:r>
              <w:rPr>
                <w:rFonts w:hint="eastAsia" w:ascii="宋体" w:hAnsi="宋体" w:cs="宋体"/>
                <w:color w:val="auto"/>
                <w:sz w:val="21"/>
                <w:szCs w:val="21"/>
                <w:highlight w:val="none"/>
              </w:rPr>
              <w:t>～</w:t>
            </w:r>
            <w:r>
              <w:rPr>
                <w:rFonts w:ascii="宋体" w:hAnsi="宋体"/>
                <w:color w:val="auto"/>
                <w:sz w:val="21"/>
                <w:szCs w:val="21"/>
                <w:highlight w:val="none"/>
              </w:rPr>
              <w:t>500</w:t>
            </w:r>
            <w:r>
              <w:rPr>
                <w:rFonts w:hint="eastAsia" w:ascii="宋体" w:hAnsi="宋体" w:cs="宋体"/>
                <w:color w:val="auto"/>
                <w:sz w:val="21"/>
                <w:szCs w:val="21"/>
                <w:highlight w:val="none"/>
              </w:rPr>
              <w:t>万元；受威胁人数</w:t>
            </w:r>
            <w:r>
              <w:rPr>
                <w:rFonts w:ascii="宋体" w:hAnsi="宋体"/>
                <w:color w:val="auto"/>
                <w:sz w:val="21"/>
                <w:szCs w:val="21"/>
                <w:highlight w:val="none"/>
              </w:rPr>
              <w:t>10</w:t>
            </w:r>
            <w:r>
              <w:rPr>
                <w:rFonts w:hint="eastAsia" w:ascii="宋体" w:hAnsi="宋体" w:cs="宋体"/>
                <w:color w:val="auto"/>
                <w:sz w:val="21"/>
                <w:szCs w:val="21"/>
                <w:highlight w:val="none"/>
              </w:rPr>
              <w:t>～</w:t>
            </w:r>
            <w:r>
              <w:rPr>
                <w:rFonts w:ascii="宋体" w:hAnsi="宋体"/>
                <w:color w:val="auto"/>
                <w:sz w:val="21"/>
                <w:szCs w:val="21"/>
                <w:highlight w:val="none"/>
              </w:rPr>
              <w:t>100</w:t>
            </w:r>
            <w:r>
              <w:rPr>
                <w:rFonts w:hint="eastAsia" w:ascii="宋体" w:hAnsi="宋体" w:cs="宋体"/>
                <w:color w:val="auto"/>
                <w:sz w:val="21"/>
                <w:szCs w:val="21"/>
                <w:highlight w:val="none"/>
              </w:rPr>
              <w:t>人</w:t>
            </w:r>
          </w:p>
        </w:tc>
        <w:tc>
          <w:tcPr>
            <w:tcW w:w="2839" w:type="dxa"/>
            <w:tcBorders>
              <w:top w:val="single" w:color="000000" w:sz="4" w:space="0"/>
              <w:left w:val="single" w:color="000000" w:sz="4" w:space="0"/>
              <w:bottom w:val="single" w:color="000000" w:sz="4" w:space="0"/>
              <w:right w:val="single" w:color="000000" w:sz="4" w:space="0"/>
            </w:tcBorders>
            <w:vAlign w:val="top"/>
          </w:tcPr>
          <w:p w14:paraId="7FB95149">
            <w:pPr>
              <w:pStyle w:val="69"/>
              <w:kinsoku w:val="0"/>
              <w:overflowPunct w:val="0"/>
              <w:spacing w:line="216" w:lineRule="auto"/>
              <w:rPr>
                <w:rFonts w:ascii="宋体" w:hAnsi="宋体"/>
                <w:color w:val="auto"/>
                <w:sz w:val="21"/>
                <w:szCs w:val="21"/>
                <w:highlight w:val="none"/>
              </w:rPr>
            </w:pPr>
            <w:r>
              <w:rPr>
                <w:rFonts w:hint="eastAsia" w:ascii="宋体" w:hAnsi="宋体" w:cs="宋体"/>
                <w:color w:val="auto"/>
                <w:spacing w:val="16"/>
                <w:sz w:val="21"/>
                <w:szCs w:val="21"/>
                <w:highlight w:val="none"/>
              </w:rPr>
              <w:t>矿井正常涌水量3000m</w:t>
            </w:r>
            <w:r>
              <w:rPr>
                <w:rFonts w:hint="eastAsia" w:ascii="宋体" w:hAnsi="宋体" w:cs="宋体"/>
                <w:color w:val="auto"/>
                <w:spacing w:val="16"/>
                <w:sz w:val="21"/>
                <w:szCs w:val="21"/>
                <w:highlight w:val="none"/>
                <w:vertAlign w:val="superscript"/>
              </w:rPr>
              <w:t>3</w:t>
            </w:r>
            <w:r>
              <w:rPr>
                <w:rFonts w:hint="eastAsia" w:ascii="宋体" w:hAnsi="宋体" w:cs="宋体"/>
                <w:color w:val="auto"/>
                <w:spacing w:val="16"/>
                <w:sz w:val="21"/>
                <w:szCs w:val="21"/>
                <w:highlight w:val="none"/>
              </w:rPr>
              <w:t>/d～ 10000m</w:t>
            </w:r>
            <w:r>
              <w:rPr>
                <w:rFonts w:hint="eastAsia" w:ascii="宋体" w:hAnsi="宋体" w:cs="宋体"/>
                <w:color w:val="auto"/>
                <w:spacing w:val="16"/>
                <w:sz w:val="21"/>
                <w:szCs w:val="21"/>
                <w:highlight w:val="none"/>
                <w:vertAlign w:val="superscript"/>
              </w:rPr>
              <w:t>3</w:t>
            </w:r>
            <w:r>
              <w:rPr>
                <w:rFonts w:hint="eastAsia" w:ascii="宋体" w:hAnsi="宋体" w:cs="宋体"/>
                <w:color w:val="auto"/>
                <w:spacing w:val="16"/>
                <w:sz w:val="21"/>
                <w:szCs w:val="21"/>
                <w:highlight w:val="none"/>
              </w:rPr>
              <w:t>/d；矿区及周围主要 含水层（带）水位下降幅度 较大，地下水呈半疏干状态；矿区及周围地表水体漏失较严重；影响矿区及周围部分生产生活供水</w:t>
            </w:r>
          </w:p>
        </w:tc>
        <w:tc>
          <w:tcPr>
            <w:tcW w:w="2358" w:type="dxa"/>
            <w:tcBorders>
              <w:top w:val="single" w:color="000000" w:sz="4" w:space="0"/>
              <w:left w:val="single" w:color="000000" w:sz="4" w:space="0"/>
              <w:bottom w:val="single" w:color="000000" w:sz="4" w:space="0"/>
              <w:right w:val="single" w:color="000000" w:sz="4" w:space="0"/>
            </w:tcBorders>
            <w:vAlign w:val="top"/>
          </w:tcPr>
          <w:p w14:paraId="4351FE99">
            <w:pPr>
              <w:pStyle w:val="69"/>
              <w:kinsoku w:val="0"/>
              <w:overflowPunct w:val="0"/>
              <w:spacing w:line="240" w:lineRule="exact"/>
              <w:ind w:left="103" w:leftChars="0" w:right="99" w:rightChars="0" w:firstLine="464" w:firstLineChars="0"/>
              <w:jc w:val="both"/>
              <w:rPr>
                <w:rFonts w:ascii="宋体" w:hAnsi="宋体"/>
                <w:color w:val="auto"/>
                <w:sz w:val="21"/>
                <w:szCs w:val="21"/>
                <w:highlight w:val="none"/>
              </w:rPr>
            </w:pPr>
            <w:r>
              <w:rPr>
                <w:rFonts w:hint="eastAsia" w:ascii="宋体" w:hAnsi="宋体" w:cs="宋体"/>
                <w:b/>
                <w:bCs/>
                <w:color w:val="auto"/>
                <w:sz w:val="21"/>
                <w:szCs w:val="21"/>
                <w:highlight w:val="none"/>
              </w:rPr>
              <w:t>（</w:t>
            </w:r>
            <w:r>
              <w:rPr>
                <w:rFonts w:ascii="宋体" w:hAnsi="宋体"/>
                <w:b/>
                <w:bCs/>
                <w:color w:val="auto"/>
                <w:sz w:val="21"/>
                <w:szCs w:val="21"/>
                <w:highlight w:val="none"/>
              </w:rPr>
              <w:t>√</w:t>
            </w:r>
            <w:r>
              <w:rPr>
                <w:rFonts w:hint="eastAsia" w:ascii="宋体" w:hAnsi="宋体" w:cs="宋体"/>
                <w:b/>
                <w:bCs/>
                <w:color w:val="auto"/>
                <w:sz w:val="21"/>
                <w:szCs w:val="21"/>
                <w:highlight w:val="none"/>
              </w:rPr>
              <w:t>）</w:t>
            </w:r>
            <w:r>
              <w:rPr>
                <w:rFonts w:hint="eastAsia" w:ascii="宋体" w:hAnsi="宋体" w:cs="宋体"/>
                <w:color w:val="auto"/>
                <w:spacing w:val="16"/>
                <w:sz w:val="21"/>
                <w:szCs w:val="21"/>
                <w:highlight w:val="none"/>
              </w:rPr>
              <w:t>对原生的地形地貌景观影响和破坏程度较大；对各类自然保护</w:t>
            </w:r>
            <w:r>
              <w:rPr>
                <w:rFonts w:hint="eastAsia" w:ascii="宋体" w:hAnsi="宋体" w:cs="宋体"/>
                <w:color w:val="auto"/>
                <w:spacing w:val="-5"/>
                <w:sz w:val="21"/>
                <w:szCs w:val="21"/>
                <w:highlight w:val="none"/>
              </w:rPr>
              <w:t>区、人文景观、风景旅游区、城市周围、主要</w:t>
            </w:r>
            <w:r>
              <w:rPr>
                <w:rFonts w:hint="eastAsia" w:ascii="宋体" w:hAnsi="宋体" w:cs="宋体"/>
                <w:color w:val="auto"/>
                <w:spacing w:val="16"/>
                <w:sz w:val="21"/>
                <w:szCs w:val="21"/>
                <w:highlight w:val="none"/>
              </w:rPr>
              <w:t>交通干线两侧可视范围内地形地貌景观影</w:t>
            </w:r>
            <w:r>
              <w:rPr>
                <w:rFonts w:hint="eastAsia" w:ascii="宋体" w:hAnsi="宋体" w:cs="宋体"/>
                <w:color w:val="auto"/>
                <w:sz w:val="21"/>
                <w:szCs w:val="21"/>
                <w:highlight w:val="none"/>
              </w:rPr>
              <w:t>响较重</w:t>
            </w:r>
          </w:p>
        </w:tc>
        <w:tc>
          <w:tcPr>
            <w:tcW w:w="1842" w:type="dxa"/>
            <w:tcBorders>
              <w:top w:val="single" w:color="000000" w:sz="4" w:space="0"/>
              <w:left w:val="single" w:color="000000" w:sz="4" w:space="0"/>
              <w:bottom w:val="single" w:color="000000" w:sz="4" w:space="0"/>
              <w:right w:val="single" w:color="000000" w:sz="4" w:space="0"/>
            </w:tcBorders>
            <w:vAlign w:val="top"/>
          </w:tcPr>
          <w:p w14:paraId="7A376425">
            <w:pPr>
              <w:pStyle w:val="69"/>
              <w:kinsoku w:val="0"/>
              <w:overflowPunct w:val="0"/>
              <w:spacing w:line="260" w:lineRule="exact"/>
              <w:ind w:firstLine="403" w:firstLineChars="0"/>
              <w:rPr>
                <w:rFonts w:ascii="宋体" w:hAnsi="宋体"/>
                <w:color w:val="auto"/>
                <w:sz w:val="21"/>
                <w:szCs w:val="21"/>
                <w:highlight w:val="none"/>
              </w:rPr>
            </w:pPr>
            <w:r>
              <w:rPr>
                <w:rFonts w:hint="eastAsia" w:ascii="宋体" w:hAnsi="宋体" w:cs="宋体"/>
                <w:b/>
                <w:bCs/>
                <w:color w:val="auto"/>
                <w:sz w:val="21"/>
                <w:szCs w:val="21"/>
                <w:highlight w:val="none"/>
              </w:rPr>
              <w:t>（</w:t>
            </w:r>
            <w:r>
              <w:rPr>
                <w:rFonts w:ascii="宋体" w:hAnsi="宋体"/>
                <w:b/>
                <w:bCs/>
                <w:color w:val="auto"/>
                <w:sz w:val="21"/>
                <w:szCs w:val="21"/>
                <w:highlight w:val="none"/>
              </w:rPr>
              <w:t>√</w:t>
            </w:r>
            <w:r>
              <w:rPr>
                <w:rFonts w:hint="eastAsia" w:ascii="宋体" w:hAnsi="宋体" w:cs="宋体"/>
                <w:b/>
                <w:bCs/>
                <w:color w:val="auto"/>
                <w:sz w:val="21"/>
                <w:szCs w:val="21"/>
                <w:highlight w:val="none"/>
              </w:rPr>
              <w:t>）</w:t>
            </w:r>
            <w:r>
              <w:rPr>
                <w:rFonts w:hint="eastAsia" w:ascii="宋体" w:hAnsi="宋体" w:cs="宋体"/>
                <w:color w:val="auto"/>
                <w:spacing w:val="12"/>
                <w:sz w:val="21"/>
                <w:szCs w:val="21"/>
                <w:highlight w:val="none"/>
              </w:rPr>
              <w:t>破坏耕地小于等</w:t>
            </w:r>
            <w:r>
              <w:rPr>
                <w:rFonts w:hint="eastAsia" w:ascii="宋体" w:hAnsi="宋体" w:cs="宋体"/>
                <w:color w:val="auto"/>
                <w:sz w:val="21"/>
                <w:szCs w:val="21"/>
                <w:highlight w:val="none"/>
              </w:rPr>
              <w:t>于</w:t>
            </w:r>
            <w:r>
              <w:rPr>
                <w:rFonts w:ascii="宋体" w:hAnsi="宋体" w:cs="宋体"/>
                <w:color w:val="auto"/>
                <w:spacing w:val="-39"/>
                <w:sz w:val="21"/>
                <w:szCs w:val="21"/>
                <w:highlight w:val="none"/>
              </w:rPr>
              <w:t xml:space="preserve"> </w:t>
            </w:r>
            <w:r>
              <w:rPr>
                <w:rFonts w:ascii="宋体" w:hAnsi="宋体"/>
                <w:color w:val="auto"/>
                <w:sz w:val="21"/>
                <w:szCs w:val="21"/>
                <w:highlight w:val="none"/>
              </w:rPr>
              <w:t>2hm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；破坏林地或草地</w:t>
            </w:r>
            <w:r>
              <w:rPr>
                <w:rFonts w:ascii="宋体" w:hAnsi="宋体"/>
                <w:color w:val="auto"/>
                <w:sz w:val="21"/>
                <w:szCs w:val="21"/>
                <w:highlight w:val="none"/>
              </w:rPr>
              <w:t>2hm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w:t>
            </w:r>
            <w:r>
              <w:rPr>
                <w:rFonts w:ascii="宋体" w:hAnsi="宋体"/>
                <w:color w:val="auto"/>
                <w:sz w:val="21"/>
                <w:szCs w:val="21"/>
                <w:highlight w:val="none"/>
              </w:rPr>
              <w:t>4hm</w:t>
            </w:r>
            <w:r>
              <w:rPr>
                <w:rFonts w:hint="eastAsia" w:ascii="宋体" w:hAnsi="宋体" w:cs="宋体"/>
                <w:color w:val="auto"/>
                <w:sz w:val="21"/>
                <w:szCs w:val="21"/>
                <w:highlight w:val="none"/>
                <w:vertAlign w:val="superscript"/>
              </w:rPr>
              <w:t>2</w:t>
            </w:r>
            <w:r>
              <w:rPr>
                <w:rFonts w:hint="eastAsia" w:ascii="宋体" w:hAnsi="宋体" w:cs="宋体"/>
                <w:color w:val="auto"/>
                <w:spacing w:val="9"/>
                <w:sz w:val="21"/>
                <w:szCs w:val="21"/>
                <w:highlight w:val="none"/>
              </w:rPr>
              <w:t>；破坏荒地</w:t>
            </w:r>
            <w:r>
              <w:rPr>
                <w:rFonts w:hint="eastAsia" w:ascii="宋体" w:hAnsi="宋体" w:cs="宋体"/>
                <w:color w:val="auto"/>
                <w:spacing w:val="10"/>
                <w:sz w:val="21"/>
                <w:szCs w:val="21"/>
                <w:highlight w:val="none"/>
              </w:rPr>
              <w:t>或未开发利用土</w:t>
            </w:r>
            <w:r>
              <w:rPr>
                <w:rFonts w:hint="eastAsia" w:ascii="宋体" w:hAnsi="宋体" w:cs="宋体"/>
                <w:color w:val="auto"/>
                <w:sz w:val="21"/>
                <w:szCs w:val="21"/>
                <w:highlight w:val="none"/>
              </w:rPr>
              <w:t>地大于</w:t>
            </w:r>
            <w:r>
              <w:rPr>
                <w:rFonts w:ascii="宋体" w:hAnsi="宋体"/>
                <w:color w:val="auto"/>
                <w:sz w:val="21"/>
                <w:szCs w:val="21"/>
                <w:highlight w:val="none"/>
              </w:rPr>
              <w:t>10hm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w:t>
            </w:r>
            <w:r>
              <w:rPr>
                <w:rFonts w:ascii="宋体" w:hAnsi="宋体"/>
                <w:color w:val="auto"/>
                <w:sz w:val="21"/>
                <w:szCs w:val="21"/>
                <w:highlight w:val="none"/>
              </w:rPr>
              <w:t>20hm</w:t>
            </w:r>
            <w:r>
              <w:rPr>
                <w:rFonts w:hint="eastAsia" w:ascii="宋体" w:hAnsi="宋体" w:cs="宋体"/>
                <w:color w:val="auto"/>
                <w:sz w:val="21"/>
                <w:szCs w:val="21"/>
                <w:highlight w:val="none"/>
                <w:vertAlign w:val="superscript"/>
              </w:rPr>
              <w:t>2</w:t>
            </w:r>
          </w:p>
        </w:tc>
      </w:tr>
      <w:tr w14:paraId="3E5874D7">
        <w:tblPrEx>
          <w:tblCellMar>
            <w:top w:w="0" w:type="dxa"/>
            <w:left w:w="0" w:type="dxa"/>
            <w:bottom w:w="0" w:type="dxa"/>
            <w:right w:w="0" w:type="dxa"/>
          </w:tblCellMar>
        </w:tblPrEx>
        <w:trPr>
          <w:trHeight w:val="2206" w:hRule="exact"/>
          <w:jc w:val="center"/>
        </w:trPr>
        <w:tc>
          <w:tcPr>
            <w:tcW w:w="902" w:type="dxa"/>
            <w:tcBorders>
              <w:top w:val="single" w:color="000000" w:sz="4" w:space="0"/>
              <w:left w:val="single" w:color="000000" w:sz="4" w:space="0"/>
              <w:bottom w:val="single" w:color="000000" w:sz="4" w:space="0"/>
              <w:right w:val="single" w:color="000000" w:sz="4" w:space="0"/>
            </w:tcBorders>
            <w:textDirection w:val="tbRl"/>
          </w:tcPr>
          <w:p w14:paraId="4971DBBB">
            <w:pPr>
              <w:pStyle w:val="69"/>
              <w:kinsoku w:val="0"/>
              <w:overflowPunct w:val="0"/>
              <w:spacing w:before="11"/>
              <w:ind w:firstLine="400"/>
              <w:rPr>
                <w:rFonts w:ascii="宋体" w:hAnsi="宋体" w:cs="黑体"/>
                <w:color w:val="auto"/>
                <w:sz w:val="21"/>
                <w:szCs w:val="21"/>
                <w:highlight w:val="none"/>
              </w:rPr>
            </w:pPr>
          </w:p>
          <w:p w14:paraId="7FC5552B">
            <w:pPr>
              <w:pStyle w:val="69"/>
              <w:kinsoku w:val="0"/>
              <w:overflowPunct w:val="0"/>
              <w:ind w:left="2" w:firstLine="400"/>
              <w:jc w:val="center"/>
              <w:rPr>
                <w:rFonts w:ascii="宋体" w:hAnsi="宋体"/>
                <w:color w:val="auto"/>
                <w:sz w:val="21"/>
                <w:szCs w:val="21"/>
                <w:highlight w:val="none"/>
              </w:rPr>
            </w:pPr>
            <w:r>
              <w:rPr>
                <w:rFonts w:hint="eastAsia" w:ascii="宋体" w:hAnsi="宋体" w:cs="宋体"/>
                <w:color w:val="auto"/>
                <w:sz w:val="21"/>
                <w:szCs w:val="21"/>
                <w:highlight w:val="none"/>
              </w:rPr>
              <w:t>较轻</w:t>
            </w:r>
          </w:p>
        </w:tc>
        <w:tc>
          <w:tcPr>
            <w:tcW w:w="2186" w:type="dxa"/>
            <w:tcBorders>
              <w:top w:val="single" w:color="000000" w:sz="4" w:space="0"/>
              <w:left w:val="single" w:color="000000" w:sz="4" w:space="0"/>
              <w:bottom w:val="single" w:color="000000" w:sz="4" w:space="0"/>
              <w:right w:val="single" w:color="000000" w:sz="4" w:space="0"/>
            </w:tcBorders>
            <w:vAlign w:val="top"/>
          </w:tcPr>
          <w:p w14:paraId="57890AC9">
            <w:pPr>
              <w:pStyle w:val="69"/>
              <w:kinsoku w:val="0"/>
              <w:overflowPunct w:val="0"/>
              <w:spacing w:before="8" w:line="240" w:lineRule="exact"/>
              <w:ind w:left="103" w:leftChars="0" w:right="70" w:rightChars="0" w:firstLine="402" w:firstLineChars="0"/>
              <w:rPr>
                <w:rFonts w:ascii="宋体" w:hAnsi="宋体"/>
                <w:color w:val="auto"/>
                <w:sz w:val="21"/>
                <w:szCs w:val="21"/>
                <w:highlight w:val="none"/>
              </w:rPr>
            </w:pPr>
            <w:r>
              <w:rPr>
                <w:rFonts w:hint="eastAsia" w:ascii="宋体" w:hAnsi="宋体" w:cs="宋体"/>
                <w:b/>
                <w:bCs/>
                <w:color w:val="auto"/>
                <w:sz w:val="21"/>
                <w:szCs w:val="21"/>
                <w:highlight w:val="none"/>
              </w:rPr>
              <w:t>（</w:t>
            </w:r>
            <w:r>
              <w:rPr>
                <w:rFonts w:ascii="宋体" w:hAnsi="宋体"/>
                <w:b/>
                <w:bCs/>
                <w:color w:val="auto"/>
                <w:sz w:val="21"/>
                <w:szCs w:val="21"/>
                <w:highlight w:val="none"/>
              </w:rPr>
              <w:t>√</w:t>
            </w:r>
            <w:r>
              <w:rPr>
                <w:rFonts w:hint="eastAsia" w:ascii="宋体" w:hAnsi="宋体" w:cs="宋体"/>
                <w:b/>
                <w:bCs/>
                <w:color w:val="auto"/>
                <w:sz w:val="21"/>
                <w:szCs w:val="21"/>
                <w:highlight w:val="none"/>
              </w:rPr>
              <w:t>）</w:t>
            </w:r>
            <w:r>
              <w:rPr>
                <w:rFonts w:hint="eastAsia" w:ascii="宋体" w:hAnsi="宋体" w:cs="宋体"/>
                <w:color w:val="auto"/>
                <w:sz w:val="21"/>
                <w:szCs w:val="21"/>
                <w:highlight w:val="none"/>
              </w:rPr>
              <w:t>地质灾害规模小，发生的可能性小；影响到分散性居民、一般</w:t>
            </w:r>
            <w:r>
              <w:rPr>
                <w:rFonts w:hint="eastAsia" w:ascii="宋体" w:hAnsi="宋体" w:cs="宋体"/>
                <w:color w:val="auto"/>
                <w:spacing w:val="23"/>
                <w:sz w:val="21"/>
                <w:szCs w:val="21"/>
                <w:highlight w:val="none"/>
              </w:rPr>
              <w:t>性小规模建筑及设</w:t>
            </w:r>
            <w:r>
              <w:rPr>
                <w:rFonts w:hint="eastAsia" w:ascii="宋体" w:hAnsi="宋体" w:cs="宋体"/>
                <w:color w:val="auto"/>
                <w:sz w:val="21"/>
                <w:szCs w:val="21"/>
                <w:highlight w:val="none"/>
              </w:rPr>
              <w:t>施；造成或可能造成</w:t>
            </w:r>
            <w:r>
              <w:rPr>
                <w:rFonts w:hint="eastAsia" w:ascii="宋体" w:hAnsi="宋体" w:cs="宋体"/>
                <w:color w:val="auto"/>
                <w:spacing w:val="23"/>
                <w:sz w:val="21"/>
                <w:szCs w:val="21"/>
                <w:highlight w:val="none"/>
              </w:rPr>
              <w:t>直接经济损失小于</w:t>
            </w:r>
            <w:r>
              <w:rPr>
                <w:rFonts w:ascii="宋体" w:hAnsi="宋体"/>
                <w:color w:val="auto"/>
                <w:sz w:val="21"/>
                <w:szCs w:val="21"/>
                <w:highlight w:val="none"/>
              </w:rPr>
              <w:t>100</w:t>
            </w:r>
            <w:r>
              <w:rPr>
                <w:rFonts w:hint="eastAsia" w:ascii="宋体" w:hAnsi="宋体" w:cs="宋体"/>
                <w:color w:val="auto"/>
                <w:sz w:val="21"/>
                <w:szCs w:val="21"/>
                <w:highlight w:val="none"/>
              </w:rPr>
              <w:t>万元；受威胁人数小于</w:t>
            </w:r>
            <w:r>
              <w:rPr>
                <w:rFonts w:ascii="宋体" w:hAnsi="宋体" w:cs="宋体"/>
                <w:color w:val="auto"/>
                <w:spacing w:val="-49"/>
                <w:sz w:val="21"/>
                <w:szCs w:val="21"/>
                <w:highlight w:val="none"/>
              </w:rPr>
              <w:t xml:space="preserve"> </w:t>
            </w:r>
            <w:r>
              <w:rPr>
                <w:rFonts w:ascii="宋体" w:hAnsi="宋体"/>
                <w:color w:val="auto"/>
                <w:sz w:val="21"/>
                <w:szCs w:val="21"/>
                <w:highlight w:val="none"/>
              </w:rPr>
              <w:t>10</w:t>
            </w:r>
            <w:r>
              <w:rPr>
                <w:rFonts w:hint="eastAsia" w:ascii="宋体" w:hAnsi="宋体" w:cs="宋体"/>
                <w:color w:val="auto"/>
                <w:sz w:val="21"/>
                <w:szCs w:val="21"/>
                <w:highlight w:val="none"/>
              </w:rPr>
              <w:t>人</w:t>
            </w:r>
          </w:p>
        </w:tc>
        <w:tc>
          <w:tcPr>
            <w:tcW w:w="2839" w:type="dxa"/>
            <w:tcBorders>
              <w:top w:val="single" w:color="000000" w:sz="4" w:space="0"/>
              <w:left w:val="single" w:color="000000" w:sz="4" w:space="0"/>
              <w:bottom w:val="single" w:color="000000" w:sz="4" w:space="0"/>
              <w:right w:val="single" w:color="000000" w:sz="4" w:space="0"/>
            </w:tcBorders>
            <w:vAlign w:val="top"/>
          </w:tcPr>
          <w:p w14:paraId="048ADAD8">
            <w:pPr>
              <w:pStyle w:val="69"/>
              <w:kinsoku w:val="0"/>
              <w:overflowPunct w:val="0"/>
              <w:spacing w:line="258" w:lineRule="exact"/>
              <w:ind w:right="1" w:rightChars="0" w:firstLine="402" w:firstLineChars="0"/>
              <w:rPr>
                <w:rFonts w:ascii="宋体" w:hAnsi="宋体"/>
                <w:color w:val="auto"/>
                <w:sz w:val="21"/>
                <w:szCs w:val="21"/>
                <w:highlight w:val="none"/>
              </w:rPr>
            </w:pPr>
            <w:r>
              <w:rPr>
                <w:rFonts w:hint="eastAsia" w:ascii="宋体" w:hAnsi="宋体" w:cs="宋体"/>
                <w:b/>
                <w:bCs/>
                <w:color w:val="auto"/>
                <w:sz w:val="21"/>
                <w:szCs w:val="21"/>
                <w:highlight w:val="none"/>
              </w:rPr>
              <w:t>（</w:t>
            </w:r>
            <w:r>
              <w:rPr>
                <w:rFonts w:ascii="宋体" w:hAnsi="宋体"/>
                <w:b/>
                <w:bCs/>
                <w:color w:val="auto"/>
                <w:sz w:val="21"/>
                <w:szCs w:val="21"/>
                <w:highlight w:val="none"/>
              </w:rPr>
              <w:t>√</w:t>
            </w:r>
            <w:r>
              <w:rPr>
                <w:rFonts w:hint="eastAsia" w:ascii="宋体" w:hAnsi="宋体" w:cs="宋体"/>
                <w:b/>
                <w:bCs/>
                <w:color w:val="auto"/>
                <w:sz w:val="21"/>
                <w:szCs w:val="21"/>
                <w:highlight w:val="none"/>
              </w:rPr>
              <w:t>）</w:t>
            </w:r>
            <w:r>
              <w:rPr>
                <w:rFonts w:hint="eastAsia" w:ascii="宋体" w:hAnsi="宋体" w:cs="宋体"/>
                <w:color w:val="auto"/>
                <w:spacing w:val="55"/>
                <w:sz w:val="21"/>
                <w:szCs w:val="21"/>
                <w:highlight w:val="none"/>
              </w:rPr>
              <w:t>矿井正常涌水量小</w:t>
            </w:r>
            <w:r>
              <w:rPr>
                <w:rFonts w:hint="eastAsia" w:ascii="宋体" w:hAnsi="宋体" w:cs="宋体"/>
                <w:color w:val="auto"/>
                <w:sz w:val="21"/>
                <w:szCs w:val="21"/>
                <w:highlight w:val="none"/>
              </w:rPr>
              <w:t>于</w:t>
            </w:r>
            <w:r>
              <w:rPr>
                <w:rFonts w:ascii="宋体" w:hAnsi="宋体"/>
                <w:color w:val="auto"/>
                <w:sz w:val="21"/>
                <w:szCs w:val="21"/>
                <w:highlight w:val="none"/>
              </w:rPr>
              <w:t>3000m</w:t>
            </w:r>
            <w:r>
              <w:rPr>
                <w:rFonts w:ascii="宋体" w:hAnsi="宋体"/>
                <w:color w:val="auto"/>
                <w:position w:val="7"/>
                <w:sz w:val="21"/>
                <w:szCs w:val="21"/>
                <w:highlight w:val="none"/>
              </w:rPr>
              <w:t>3</w:t>
            </w:r>
            <w:r>
              <w:rPr>
                <w:rFonts w:ascii="宋体" w:hAnsi="宋体"/>
                <w:color w:val="auto"/>
                <w:sz w:val="21"/>
                <w:szCs w:val="21"/>
                <w:highlight w:val="none"/>
              </w:rPr>
              <w:t>/d</w:t>
            </w:r>
            <w:r>
              <w:rPr>
                <w:rFonts w:hint="eastAsia" w:ascii="宋体" w:hAnsi="宋体" w:cs="宋体"/>
                <w:color w:val="auto"/>
                <w:sz w:val="21"/>
                <w:szCs w:val="21"/>
                <w:highlight w:val="none"/>
              </w:rPr>
              <w:t>；矿区及周围主要含水层（带）水位下降幅度小；矿区及周围地表水体未漏失；未影响矿区及周围部分生产生活供水</w:t>
            </w:r>
          </w:p>
        </w:tc>
        <w:tc>
          <w:tcPr>
            <w:tcW w:w="2358" w:type="dxa"/>
            <w:tcBorders>
              <w:top w:val="single" w:color="000000" w:sz="4" w:space="0"/>
              <w:left w:val="single" w:color="000000" w:sz="4" w:space="0"/>
              <w:bottom w:val="single" w:color="000000" w:sz="4" w:space="0"/>
              <w:right w:val="single" w:color="000000" w:sz="4" w:space="0"/>
            </w:tcBorders>
            <w:vAlign w:val="top"/>
          </w:tcPr>
          <w:p w14:paraId="0309C38D">
            <w:pPr>
              <w:pStyle w:val="69"/>
              <w:kinsoku w:val="0"/>
              <w:overflowPunct w:val="0"/>
              <w:spacing w:before="87" w:line="258" w:lineRule="exact"/>
              <w:ind w:right="1" w:rightChars="0" w:firstLine="402" w:firstLineChars="0"/>
              <w:rPr>
                <w:rFonts w:ascii="宋体" w:hAnsi="宋体"/>
                <w:color w:val="auto"/>
                <w:sz w:val="21"/>
                <w:szCs w:val="21"/>
                <w:highlight w:val="none"/>
              </w:rPr>
            </w:pPr>
            <w:r>
              <w:rPr>
                <w:rFonts w:hint="eastAsia" w:ascii="宋体" w:hAnsi="宋体" w:cs="宋体"/>
                <w:color w:val="auto"/>
                <w:spacing w:val="16"/>
                <w:sz w:val="21"/>
                <w:szCs w:val="21"/>
                <w:highlight w:val="none"/>
              </w:rPr>
              <w:t>对原生的地形地貌景</w:t>
            </w:r>
            <w:r>
              <w:rPr>
                <w:rFonts w:hint="eastAsia" w:ascii="宋体" w:hAnsi="宋体" w:cs="宋体"/>
                <w:color w:val="auto"/>
                <w:spacing w:val="-1"/>
                <w:sz w:val="21"/>
                <w:szCs w:val="21"/>
                <w:highlight w:val="none"/>
              </w:rPr>
              <w:t>观影响和破坏程度小；</w:t>
            </w:r>
            <w:r>
              <w:rPr>
                <w:rFonts w:ascii="宋体" w:hAnsi="宋体" w:cs="宋体"/>
                <w:color w:val="auto"/>
                <w:sz w:val="21"/>
                <w:szCs w:val="21"/>
                <w:highlight w:val="none"/>
              </w:rPr>
              <w:t xml:space="preserve"> </w:t>
            </w:r>
            <w:r>
              <w:rPr>
                <w:rFonts w:hint="eastAsia" w:ascii="宋体" w:hAnsi="宋体" w:cs="宋体"/>
                <w:color w:val="auto"/>
                <w:spacing w:val="-5"/>
                <w:sz w:val="21"/>
                <w:szCs w:val="21"/>
                <w:highlight w:val="none"/>
              </w:rPr>
              <w:t>对各类自然保护区、人</w:t>
            </w:r>
            <w:r>
              <w:rPr>
                <w:rFonts w:hint="eastAsia" w:ascii="宋体" w:hAnsi="宋体" w:cs="宋体"/>
                <w:color w:val="auto"/>
                <w:spacing w:val="-1"/>
                <w:sz w:val="21"/>
                <w:szCs w:val="21"/>
                <w:highlight w:val="none"/>
              </w:rPr>
              <w:t>文景观、风景旅游区、</w:t>
            </w:r>
            <w:r>
              <w:rPr>
                <w:rFonts w:hint="eastAsia" w:ascii="宋体" w:hAnsi="宋体" w:cs="宋体"/>
                <w:color w:val="auto"/>
                <w:spacing w:val="-5"/>
                <w:sz w:val="21"/>
                <w:szCs w:val="21"/>
                <w:highlight w:val="none"/>
              </w:rPr>
              <w:t>城市周围、主要交通干</w:t>
            </w:r>
            <w:r>
              <w:rPr>
                <w:rFonts w:hint="eastAsia" w:ascii="宋体" w:hAnsi="宋体" w:cs="宋体"/>
                <w:color w:val="auto"/>
                <w:spacing w:val="16"/>
                <w:sz w:val="21"/>
                <w:szCs w:val="21"/>
                <w:highlight w:val="none"/>
              </w:rPr>
              <w:t>线两侧可视范围内地</w:t>
            </w:r>
            <w:r>
              <w:rPr>
                <w:rFonts w:hint="eastAsia" w:ascii="宋体" w:hAnsi="宋体" w:cs="宋体"/>
                <w:color w:val="auto"/>
                <w:sz w:val="21"/>
                <w:szCs w:val="21"/>
                <w:highlight w:val="none"/>
              </w:rPr>
              <w:t>形地貌景观影响较轻</w:t>
            </w:r>
          </w:p>
        </w:tc>
        <w:tc>
          <w:tcPr>
            <w:tcW w:w="1842" w:type="dxa"/>
            <w:tcBorders>
              <w:top w:val="single" w:color="000000" w:sz="4" w:space="0"/>
              <w:left w:val="single" w:color="000000" w:sz="4" w:space="0"/>
              <w:bottom w:val="single" w:color="000000" w:sz="4" w:space="0"/>
              <w:right w:val="single" w:color="000000" w:sz="4" w:space="0"/>
            </w:tcBorders>
            <w:vAlign w:val="top"/>
          </w:tcPr>
          <w:p w14:paraId="65B9CA25">
            <w:pPr>
              <w:pStyle w:val="69"/>
              <w:kinsoku w:val="0"/>
              <w:overflowPunct w:val="0"/>
              <w:spacing w:line="216" w:lineRule="auto"/>
              <w:ind w:left="103" w:leftChars="0" w:right="99" w:rightChars="0" w:firstLine="440" w:firstLineChars="0"/>
              <w:jc w:val="both"/>
              <w:rPr>
                <w:rFonts w:ascii="宋体" w:hAnsi="宋体"/>
                <w:color w:val="auto"/>
                <w:sz w:val="21"/>
                <w:szCs w:val="21"/>
                <w:highlight w:val="none"/>
              </w:rPr>
            </w:pPr>
            <w:r>
              <w:rPr>
                <w:rFonts w:hint="eastAsia" w:ascii="宋体" w:hAnsi="宋体" w:cs="宋体"/>
                <w:color w:val="auto"/>
                <w:spacing w:val="-5"/>
                <w:sz w:val="21"/>
                <w:szCs w:val="21"/>
                <w:highlight w:val="none"/>
              </w:rPr>
              <w:t>破坏林地或草地小于等于2hm</w:t>
            </w:r>
            <w:r>
              <w:rPr>
                <w:rFonts w:hint="eastAsia" w:ascii="宋体" w:hAnsi="宋体" w:cs="宋体"/>
                <w:color w:val="auto"/>
                <w:spacing w:val="-5"/>
                <w:sz w:val="21"/>
                <w:szCs w:val="21"/>
                <w:highlight w:val="none"/>
                <w:vertAlign w:val="superscript"/>
              </w:rPr>
              <w:t>2</w:t>
            </w:r>
            <w:r>
              <w:rPr>
                <w:rFonts w:hint="eastAsia" w:ascii="宋体" w:hAnsi="宋体" w:cs="宋体"/>
                <w:color w:val="auto"/>
                <w:spacing w:val="-5"/>
                <w:sz w:val="21"/>
                <w:szCs w:val="21"/>
                <w:highlight w:val="none"/>
              </w:rPr>
              <w:t>；破坏荒地或未开发利用土地小于等于10hm</w:t>
            </w:r>
            <w:r>
              <w:rPr>
                <w:rFonts w:hint="eastAsia" w:ascii="宋体" w:hAnsi="宋体" w:cs="宋体"/>
                <w:color w:val="auto"/>
                <w:spacing w:val="-5"/>
                <w:sz w:val="21"/>
                <w:szCs w:val="21"/>
                <w:highlight w:val="none"/>
                <w:vertAlign w:val="superscript"/>
              </w:rPr>
              <w:t>2</w:t>
            </w:r>
          </w:p>
        </w:tc>
      </w:tr>
    </w:tbl>
    <w:p w14:paraId="7211F1FC">
      <w:pPr>
        <w:pStyle w:val="9"/>
        <w:kinsoku w:val="0"/>
        <w:overflowPunct w:val="0"/>
        <w:spacing w:line="317" w:lineRule="auto"/>
        <w:jc w:val="left"/>
        <w:rPr>
          <w:color w:val="auto"/>
          <w:highlight w:val="none"/>
        </w:rPr>
      </w:pPr>
      <w:r>
        <w:rPr>
          <w:rFonts w:hint="eastAsia" w:ascii="黑体" w:eastAsia="黑体" w:cs="黑体"/>
          <w:color w:val="auto"/>
          <w:spacing w:val="-4"/>
          <w:sz w:val="18"/>
          <w:szCs w:val="18"/>
          <w:highlight w:val="none"/>
        </w:rPr>
        <w:t>注：分级确定采取上一级别优先原则，只要有一项要素符合每一级别，就定为该级别；（√）表示评估区的</w:t>
      </w:r>
      <w:r>
        <w:rPr>
          <w:rFonts w:hint="eastAsia" w:ascii="黑体" w:eastAsia="黑体" w:cs="黑体"/>
          <w:color w:val="auto"/>
          <w:sz w:val="18"/>
          <w:szCs w:val="18"/>
          <w:highlight w:val="none"/>
        </w:rPr>
        <w:t>地质环境影响程度分级</w:t>
      </w:r>
    </w:p>
    <w:p w14:paraId="22511697">
      <w:pPr>
        <w:pStyle w:val="4"/>
        <w:rPr>
          <w:rFonts w:ascii="Times New Roman" w:hAnsi="Times New Roman" w:eastAsia="宋体" w:cs="Times New Roman"/>
          <w:color w:val="auto"/>
          <w:sz w:val="28"/>
          <w:szCs w:val="28"/>
          <w:highlight w:val="none"/>
        </w:rPr>
      </w:pPr>
      <w:bookmarkStart w:id="105" w:name="_Toc24214"/>
      <w:r>
        <w:rPr>
          <w:rFonts w:ascii="Times New Roman" w:hAnsi="Times New Roman" w:eastAsia="宋体" w:cs="Times New Roman"/>
          <w:color w:val="auto"/>
          <w:sz w:val="28"/>
          <w:szCs w:val="28"/>
          <w:highlight w:val="none"/>
        </w:rPr>
        <w:t>（六）矿区环境影响评估小结</w:t>
      </w:r>
      <w:bookmarkEnd w:id="105"/>
    </w:p>
    <w:p w14:paraId="5936B0F9">
      <w:pPr>
        <w:pStyle w:val="58"/>
        <w:spacing w:line="360" w:lineRule="auto"/>
        <w:ind w:firstLine="480"/>
        <w:rPr>
          <w:rFonts w:hint="eastAsia" w:ascii="仿宋" w:hAnsi="仿宋" w:eastAsia="仿宋" w:cs="仿宋"/>
          <w:b/>
          <w:color w:val="auto"/>
          <w:kern w:val="0"/>
          <w:sz w:val="28"/>
          <w:szCs w:val="28"/>
          <w:highlight w:val="none"/>
        </w:rPr>
      </w:pPr>
      <w:r>
        <w:rPr>
          <w:rFonts w:hint="eastAsia" w:ascii="仿宋" w:hAnsi="仿宋" w:eastAsia="仿宋" w:cs="仿宋"/>
          <w:bCs/>
          <w:color w:val="auto"/>
          <w:sz w:val="28"/>
          <w:szCs w:val="28"/>
          <w:highlight w:val="none"/>
        </w:rPr>
        <w:t>通过以上对</w:t>
      </w:r>
      <w:r>
        <w:rPr>
          <w:rFonts w:hint="eastAsia" w:ascii="仿宋" w:hAnsi="仿宋" w:eastAsia="仿宋" w:cs="仿宋"/>
          <w:color w:val="auto"/>
          <w:sz w:val="28"/>
          <w:szCs w:val="28"/>
          <w:highlight w:val="none"/>
          <w:lang w:val="en-US" w:eastAsia="zh-CN"/>
        </w:rPr>
        <w:t>大英县蓬莱镇紫云村饰面用砂岩</w:t>
      </w:r>
      <w:r>
        <w:rPr>
          <w:rFonts w:hint="eastAsia" w:ascii="仿宋" w:hAnsi="仿宋" w:eastAsia="仿宋" w:cs="仿宋"/>
          <w:color w:val="auto"/>
          <w:sz w:val="28"/>
          <w:szCs w:val="28"/>
          <w:highlight w:val="none"/>
        </w:rPr>
        <w:t>矿</w:t>
      </w:r>
      <w:r>
        <w:rPr>
          <w:rFonts w:hint="eastAsia" w:ascii="仿宋" w:hAnsi="仿宋" w:eastAsia="仿宋" w:cs="仿宋"/>
          <w:bCs/>
          <w:color w:val="auto"/>
          <w:sz w:val="28"/>
          <w:szCs w:val="28"/>
          <w:highlight w:val="none"/>
        </w:rPr>
        <w:t>矿山地质环境四个方面的现状分析与预测，按照就高不就低的原则，将矿山地质环境影响评估结果汇总见表3-7。</w:t>
      </w:r>
    </w:p>
    <w:p w14:paraId="447A874F">
      <w:pPr>
        <w:pStyle w:val="54"/>
        <w:spacing w:line="240" w:lineRule="auto"/>
        <w:rPr>
          <w:rFonts w:ascii="Times New Roman" w:hAnsi="Times New Roman" w:cs="Times New Roman"/>
          <w:color w:val="auto"/>
          <w:highlight w:val="none"/>
        </w:rPr>
      </w:pPr>
    </w:p>
    <w:p w14:paraId="3098A539">
      <w:pPr>
        <w:spacing w:line="276" w:lineRule="auto"/>
        <w:jc w:val="center"/>
        <w:rPr>
          <w:rFonts w:ascii="Times New Roman" w:hAnsi="Times New Roman" w:eastAsia="宋体" w:cs="Times New Roman"/>
          <w:b/>
          <w:color w:val="auto"/>
          <w:kern w:val="0"/>
          <w:sz w:val="24"/>
          <w:highlight w:val="none"/>
        </w:rPr>
      </w:pPr>
      <w:r>
        <w:rPr>
          <w:rFonts w:ascii="Times New Roman" w:hAnsi="Times New Roman" w:eastAsia="宋体" w:cs="Times New Roman"/>
          <w:b/>
          <w:color w:val="auto"/>
          <w:kern w:val="0"/>
          <w:sz w:val="24"/>
          <w:highlight w:val="none"/>
        </w:rPr>
        <w:t>表3-</w:t>
      </w:r>
      <w:r>
        <w:rPr>
          <w:rFonts w:hint="eastAsia" w:ascii="Times New Roman" w:hAnsi="Times New Roman" w:eastAsia="宋体" w:cs="Times New Roman"/>
          <w:b/>
          <w:color w:val="auto"/>
          <w:kern w:val="0"/>
          <w:sz w:val="24"/>
          <w:highlight w:val="none"/>
          <w:lang w:val="en-US" w:eastAsia="zh-CN"/>
        </w:rPr>
        <w:t>7</w:t>
      </w:r>
      <w:r>
        <w:rPr>
          <w:rFonts w:ascii="Times New Roman" w:hAnsi="Times New Roman" w:eastAsia="宋体" w:cs="Times New Roman"/>
          <w:b/>
          <w:color w:val="auto"/>
          <w:kern w:val="0"/>
          <w:sz w:val="24"/>
          <w:highlight w:val="none"/>
        </w:rPr>
        <w:t xml:space="preserve">  矿山地质环境影响预测评估汇总表</w:t>
      </w:r>
    </w:p>
    <w:tbl>
      <w:tblPr>
        <w:tblStyle w:val="23"/>
        <w:tblW w:w="5000" w:type="pct"/>
        <w:tblInd w:w="0" w:type="dxa"/>
        <w:tblLayout w:type="autofit"/>
        <w:tblCellMar>
          <w:top w:w="0" w:type="dxa"/>
          <w:left w:w="108" w:type="dxa"/>
          <w:bottom w:w="0" w:type="dxa"/>
          <w:right w:w="108" w:type="dxa"/>
        </w:tblCellMar>
      </w:tblPr>
      <w:tblGrid>
        <w:gridCol w:w="844"/>
        <w:gridCol w:w="1806"/>
        <w:gridCol w:w="1005"/>
        <w:gridCol w:w="1013"/>
        <w:gridCol w:w="846"/>
        <w:gridCol w:w="1003"/>
        <w:gridCol w:w="1114"/>
        <w:gridCol w:w="891"/>
      </w:tblGrid>
      <w:tr w14:paraId="790072F6">
        <w:tblPrEx>
          <w:tblCellMar>
            <w:top w:w="0" w:type="dxa"/>
            <w:left w:w="108" w:type="dxa"/>
            <w:bottom w:w="0" w:type="dxa"/>
            <w:right w:w="108" w:type="dxa"/>
          </w:tblCellMar>
        </w:tblPrEx>
        <w:trPr>
          <w:trHeight w:val="312" w:hRule="atLeast"/>
        </w:trPr>
        <w:tc>
          <w:tcPr>
            <w:tcW w:w="495" w:type="pct"/>
            <w:vMerge w:val="restart"/>
            <w:tcBorders>
              <w:top w:val="single" w:color="auto" w:sz="4" w:space="0"/>
              <w:left w:val="single" w:color="auto" w:sz="4" w:space="0"/>
              <w:bottom w:val="single" w:color="auto" w:sz="4" w:space="0"/>
              <w:right w:val="single" w:color="auto" w:sz="4" w:space="0"/>
            </w:tcBorders>
            <w:noWrap/>
            <w:vAlign w:val="center"/>
          </w:tcPr>
          <w:p w14:paraId="3FF75C02">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序号</w:t>
            </w:r>
          </w:p>
        </w:tc>
        <w:tc>
          <w:tcPr>
            <w:tcW w:w="1059" w:type="pct"/>
            <w:vMerge w:val="restart"/>
            <w:tcBorders>
              <w:top w:val="single" w:color="auto" w:sz="4" w:space="0"/>
              <w:left w:val="single" w:color="auto" w:sz="4" w:space="0"/>
              <w:bottom w:val="single" w:color="auto" w:sz="4" w:space="0"/>
              <w:right w:val="single" w:color="auto" w:sz="4" w:space="0"/>
            </w:tcBorders>
            <w:noWrap/>
            <w:vAlign w:val="center"/>
          </w:tcPr>
          <w:p w14:paraId="3E98647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评估对象</w:t>
            </w:r>
          </w:p>
        </w:tc>
        <w:tc>
          <w:tcPr>
            <w:tcW w:w="589" w:type="pct"/>
            <w:vMerge w:val="restart"/>
            <w:tcBorders>
              <w:top w:val="single" w:color="auto" w:sz="4" w:space="0"/>
              <w:left w:val="single" w:color="auto" w:sz="4" w:space="0"/>
              <w:bottom w:val="single" w:color="auto" w:sz="4" w:space="0"/>
              <w:right w:val="single" w:color="auto" w:sz="4" w:space="0"/>
            </w:tcBorders>
            <w:vAlign w:val="center"/>
          </w:tcPr>
          <w:p w14:paraId="7AB4024C">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面积（hm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p>
        </w:tc>
        <w:tc>
          <w:tcPr>
            <w:tcW w:w="594" w:type="pct"/>
            <w:vMerge w:val="restart"/>
            <w:tcBorders>
              <w:top w:val="single" w:color="auto" w:sz="4" w:space="0"/>
              <w:left w:val="single" w:color="auto" w:sz="4" w:space="0"/>
              <w:bottom w:val="single" w:color="000000" w:sz="4" w:space="0"/>
              <w:right w:val="single" w:color="auto" w:sz="4" w:space="0"/>
            </w:tcBorders>
            <w:vAlign w:val="center"/>
          </w:tcPr>
          <w:p w14:paraId="1042ABEC">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地质灾害</w:t>
            </w:r>
          </w:p>
        </w:tc>
        <w:tc>
          <w:tcPr>
            <w:tcW w:w="496" w:type="pct"/>
            <w:vMerge w:val="restart"/>
            <w:tcBorders>
              <w:top w:val="single" w:color="auto" w:sz="4" w:space="0"/>
              <w:left w:val="single" w:color="auto" w:sz="4" w:space="0"/>
              <w:bottom w:val="single" w:color="auto" w:sz="4" w:space="0"/>
              <w:right w:val="single" w:color="auto" w:sz="4" w:space="0"/>
            </w:tcBorders>
            <w:noWrap/>
            <w:vAlign w:val="center"/>
          </w:tcPr>
          <w:p w14:paraId="2743C856">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含水层</w:t>
            </w:r>
          </w:p>
        </w:tc>
        <w:tc>
          <w:tcPr>
            <w:tcW w:w="588" w:type="pct"/>
            <w:vMerge w:val="restart"/>
            <w:tcBorders>
              <w:top w:val="single" w:color="auto" w:sz="4" w:space="0"/>
              <w:left w:val="single" w:color="auto" w:sz="4" w:space="0"/>
              <w:bottom w:val="single" w:color="000000" w:sz="4" w:space="0"/>
              <w:right w:val="single" w:color="auto" w:sz="4" w:space="0"/>
            </w:tcBorders>
            <w:vAlign w:val="center"/>
          </w:tcPr>
          <w:p w14:paraId="74D54C03">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地形地貌景观</w:t>
            </w:r>
          </w:p>
        </w:tc>
        <w:tc>
          <w:tcPr>
            <w:tcW w:w="653" w:type="pct"/>
            <w:vMerge w:val="restart"/>
            <w:tcBorders>
              <w:top w:val="single" w:color="auto" w:sz="4" w:space="0"/>
              <w:left w:val="single" w:color="auto" w:sz="4" w:space="0"/>
              <w:bottom w:val="single" w:color="000000" w:sz="4" w:space="0"/>
              <w:right w:val="single" w:color="auto" w:sz="4" w:space="0"/>
            </w:tcBorders>
            <w:vAlign w:val="center"/>
          </w:tcPr>
          <w:p w14:paraId="09AA6E63">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水土环境污染</w:t>
            </w:r>
          </w:p>
        </w:tc>
        <w:tc>
          <w:tcPr>
            <w:tcW w:w="522" w:type="pct"/>
            <w:vMerge w:val="restart"/>
            <w:tcBorders>
              <w:top w:val="single" w:color="auto" w:sz="4" w:space="0"/>
              <w:left w:val="single" w:color="auto" w:sz="4" w:space="0"/>
              <w:bottom w:val="single" w:color="auto" w:sz="4" w:space="0"/>
              <w:right w:val="single" w:color="auto" w:sz="4" w:space="0"/>
            </w:tcBorders>
            <w:noWrap/>
            <w:vAlign w:val="center"/>
          </w:tcPr>
          <w:p w14:paraId="4D4BF6FC">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总评</w:t>
            </w:r>
          </w:p>
        </w:tc>
      </w:tr>
      <w:tr w14:paraId="31D4408E">
        <w:tblPrEx>
          <w:tblCellMar>
            <w:top w:w="0" w:type="dxa"/>
            <w:left w:w="108" w:type="dxa"/>
            <w:bottom w:w="0" w:type="dxa"/>
            <w:right w:w="108" w:type="dxa"/>
          </w:tblCellMar>
        </w:tblPrEx>
        <w:trPr>
          <w:trHeight w:val="312" w:hRule="atLeast"/>
        </w:trPr>
        <w:tc>
          <w:tcPr>
            <w:tcW w:w="495" w:type="pct"/>
            <w:vMerge w:val="continue"/>
            <w:tcBorders>
              <w:top w:val="single" w:color="auto" w:sz="4" w:space="0"/>
              <w:left w:val="single" w:color="auto" w:sz="4" w:space="0"/>
              <w:bottom w:val="single" w:color="auto" w:sz="4" w:space="0"/>
              <w:right w:val="single" w:color="auto" w:sz="4" w:space="0"/>
            </w:tcBorders>
            <w:vAlign w:val="center"/>
          </w:tcPr>
          <w:p w14:paraId="172AC2E9">
            <w:pPr>
              <w:widowControl/>
              <w:jc w:val="left"/>
              <w:rPr>
                <w:rFonts w:ascii="Times New Roman" w:hAnsi="Times New Roman" w:eastAsia="宋体" w:cs="Times New Roman"/>
                <w:color w:val="auto"/>
                <w:kern w:val="0"/>
                <w:highlight w:val="none"/>
              </w:rPr>
            </w:pPr>
          </w:p>
        </w:tc>
        <w:tc>
          <w:tcPr>
            <w:tcW w:w="1059" w:type="pct"/>
            <w:vMerge w:val="continue"/>
            <w:tcBorders>
              <w:top w:val="single" w:color="auto" w:sz="4" w:space="0"/>
              <w:left w:val="single" w:color="auto" w:sz="4" w:space="0"/>
              <w:bottom w:val="single" w:color="auto" w:sz="4" w:space="0"/>
              <w:right w:val="single" w:color="auto" w:sz="4" w:space="0"/>
            </w:tcBorders>
            <w:vAlign w:val="center"/>
          </w:tcPr>
          <w:p w14:paraId="2406F343">
            <w:pPr>
              <w:widowControl/>
              <w:jc w:val="left"/>
              <w:rPr>
                <w:rFonts w:ascii="Times New Roman" w:hAnsi="Times New Roman" w:eastAsia="宋体" w:cs="Times New Roman"/>
                <w:color w:val="auto"/>
                <w:kern w:val="0"/>
                <w:highlight w:val="none"/>
              </w:rPr>
            </w:pPr>
          </w:p>
        </w:tc>
        <w:tc>
          <w:tcPr>
            <w:tcW w:w="589" w:type="pct"/>
            <w:vMerge w:val="continue"/>
            <w:tcBorders>
              <w:top w:val="single" w:color="auto" w:sz="4" w:space="0"/>
              <w:left w:val="single" w:color="auto" w:sz="4" w:space="0"/>
              <w:bottom w:val="single" w:color="auto" w:sz="4" w:space="0"/>
              <w:right w:val="single" w:color="auto" w:sz="4" w:space="0"/>
            </w:tcBorders>
            <w:vAlign w:val="center"/>
          </w:tcPr>
          <w:p w14:paraId="191C5964">
            <w:pPr>
              <w:widowControl/>
              <w:jc w:val="left"/>
              <w:rPr>
                <w:rFonts w:ascii="Times New Roman" w:hAnsi="Times New Roman" w:eastAsia="宋体" w:cs="Times New Roman"/>
                <w:color w:val="auto"/>
                <w:kern w:val="0"/>
                <w:highlight w:val="none"/>
              </w:rPr>
            </w:pPr>
          </w:p>
        </w:tc>
        <w:tc>
          <w:tcPr>
            <w:tcW w:w="594" w:type="pct"/>
            <w:vMerge w:val="continue"/>
            <w:tcBorders>
              <w:top w:val="single" w:color="auto" w:sz="4" w:space="0"/>
              <w:left w:val="single" w:color="auto" w:sz="4" w:space="0"/>
              <w:bottom w:val="single" w:color="000000" w:sz="4" w:space="0"/>
              <w:right w:val="single" w:color="auto" w:sz="4" w:space="0"/>
            </w:tcBorders>
            <w:vAlign w:val="center"/>
          </w:tcPr>
          <w:p w14:paraId="7141626A">
            <w:pPr>
              <w:widowControl/>
              <w:jc w:val="left"/>
              <w:rPr>
                <w:rFonts w:ascii="Times New Roman" w:hAnsi="Times New Roman" w:eastAsia="宋体" w:cs="Times New Roman"/>
                <w:color w:val="auto"/>
                <w:kern w:val="0"/>
                <w:highlight w:val="none"/>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14:paraId="26714A8A">
            <w:pPr>
              <w:widowControl/>
              <w:jc w:val="left"/>
              <w:rPr>
                <w:rFonts w:ascii="Times New Roman" w:hAnsi="Times New Roman" w:eastAsia="宋体" w:cs="Times New Roman"/>
                <w:color w:val="auto"/>
                <w:kern w:val="0"/>
                <w:highlight w:val="none"/>
              </w:rPr>
            </w:pPr>
          </w:p>
        </w:tc>
        <w:tc>
          <w:tcPr>
            <w:tcW w:w="588" w:type="pct"/>
            <w:vMerge w:val="continue"/>
            <w:tcBorders>
              <w:top w:val="single" w:color="auto" w:sz="4" w:space="0"/>
              <w:left w:val="single" w:color="auto" w:sz="4" w:space="0"/>
              <w:bottom w:val="single" w:color="000000" w:sz="4" w:space="0"/>
              <w:right w:val="single" w:color="auto" w:sz="4" w:space="0"/>
            </w:tcBorders>
            <w:vAlign w:val="center"/>
          </w:tcPr>
          <w:p w14:paraId="1184CAFE">
            <w:pPr>
              <w:widowControl/>
              <w:jc w:val="left"/>
              <w:rPr>
                <w:rFonts w:ascii="Times New Roman" w:hAnsi="Times New Roman" w:eastAsia="宋体" w:cs="Times New Roman"/>
                <w:color w:val="auto"/>
                <w:kern w:val="0"/>
                <w:highlight w:val="none"/>
              </w:rPr>
            </w:pPr>
          </w:p>
        </w:tc>
        <w:tc>
          <w:tcPr>
            <w:tcW w:w="653" w:type="pct"/>
            <w:vMerge w:val="continue"/>
            <w:tcBorders>
              <w:top w:val="single" w:color="auto" w:sz="4" w:space="0"/>
              <w:left w:val="single" w:color="auto" w:sz="4" w:space="0"/>
              <w:bottom w:val="single" w:color="000000" w:sz="4" w:space="0"/>
              <w:right w:val="single" w:color="auto" w:sz="4" w:space="0"/>
            </w:tcBorders>
            <w:vAlign w:val="center"/>
          </w:tcPr>
          <w:p w14:paraId="19B255B6">
            <w:pPr>
              <w:widowControl/>
              <w:jc w:val="left"/>
              <w:rPr>
                <w:rFonts w:ascii="Times New Roman" w:hAnsi="Times New Roman" w:eastAsia="宋体" w:cs="Times New Roman"/>
                <w:color w:val="auto"/>
                <w:kern w:val="0"/>
                <w:highlight w:val="none"/>
              </w:rPr>
            </w:pPr>
          </w:p>
        </w:tc>
        <w:tc>
          <w:tcPr>
            <w:tcW w:w="522" w:type="pct"/>
            <w:vMerge w:val="continue"/>
            <w:tcBorders>
              <w:top w:val="single" w:color="auto" w:sz="4" w:space="0"/>
              <w:left w:val="single" w:color="auto" w:sz="4" w:space="0"/>
              <w:bottom w:val="single" w:color="auto" w:sz="4" w:space="0"/>
              <w:right w:val="single" w:color="auto" w:sz="4" w:space="0"/>
            </w:tcBorders>
            <w:vAlign w:val="center"/>
          </w:tcPr>
          <w:p w14:paraId="59A2F431">
            <w:pPr>
              <w:widowControl/>
              <w:jc w:val="left"/>
              <w:rPr>
                <w:rFonts w:ascii="Times New Roman" w:hAnsi="Times New Roman" w:eastAsia="宋体" w:cs="Times New Roman"/>
                <w:color w:val="auto"/>
                <w:kern w:val="0"/>
                <w:highlight w:val="none"/>
              </w:rPr>
            </w:pPr>
          </w:p>
        </w:tc>
      </w:tr>
      <w:tr w14:paraId="307FF1CF">
        <w:tblPrEx>
          <w:tblCellMar>
            <w:top w:w="0" w:type="dxa"/>
            <w:left w:w="108" w:type="dxa"/>
            <w:bottom w:w="0" w:type="dxa"/>
            <w:right w:w="108" w:type="dxa"/>
          </w:tblCellMar>
        </w:tblPrEx>
        <w:trPr>
          <w:trHeight w:val="288" w:hRule="atLeast"/>
        </w:trPr>
        <w:tc>
          <w:tcPr>
            <w:tcW w:w="495" w:type="pct"/>
            <w:vMerge w:val="continue"/>
            <w:tcBorders>
              <w:top w:val="single" w:color="auto" w:sz="4" w:space="0"/>
              <w:left w:val="single" w:color="auto" w:sz="4" w:space="0"/>
              <w:bottom w:val="single" w:color="auto" w:sz="4" w:space="0"/>
              <w:right w:val="single" w:color="auto" w:sz="4" w:space="0"/>
            </w:tcBorders>
            <w:vAlign w:val="center"/>
          </w:tcPr>
          <w:p w14:paraId="15859C71">
            <w:pPr>
              <w:widowControl/>
              <w:jc w:val="left"/>
              <w:rPr>
                <w:rFonts w:ascii="Times New Roman" w:hAnsi="Times New Roman" w:eastAsia="宋体" w:cs="Times New Roman"/>
                <w:color w:val="auto"/>
                <w:kern w:val="0"/>
                <w:highlight w:val="none"/>
              </w:rPr>
            </w:pPr>
          </w:p>
        </w:tc>
        <w:tc>
          <w:tcPr>
            <w:tcW w:w="1059" w:type="pct"/>
            <w:vMerge w:val="continue"/>
            <w:tcBorders>
              <w:top w:val="single" w:color="auto" w:sz="4" w:space="0"/>
              <w:left w:val="single" w:color="auto" w:sz="4" w:space="0"/>
              <w:bottom w:val="single" w:color="auto" w:sz="4" w:space="0"/>
              <w:right w:val="single" w:color="auto" w:sz="4" w:space="0"/>
            </w:tcBorders>
            <w:vAlign w:val="center"/>
          </w:tcPr>
          <w:p w14:paraId="1359F13B">
            <w:pPr>
              <w:widowControl/>
              <w:jc w:val="left"/>
              <w:rPr>
                <w:rFonts w:ascii="Times New Roman" w:hAnsi="Times New Roman" w:eastAsia="宋体" w:cs="Times New Roman"/>
                <w:color w:val="auto"/>
                <w:kern w:val="0"/>
                <w:highlight w:val="none"/>
              </w:rPr>
            </w:pPr>
          </w:p>
        </w:tc>
        <w:tc>
          <w:tcPr>
            <w:tcW w:w="589" w:type="pct"/>
            <w:vMerge w:val="continue"/>
            <w:tcBorders>
              <w:top w:val="single" w:color="auto" w:sz="4" w:space="0"/>
              <w:left w:val="single" w:color="auto" w:sz="4" w:space="0"/>
              <w:bottom w:val="single" w:color="auto" w:sz="4" w:space="0"/>
              <w:right w:val="single" w:color="auto" w:sz="4" w:space="0"/>
            </w:tcBorders>
            <w:vAlign w:val="center"/>
          </w:tcPr>
          <w:p w14:paraId="181E1ED2">
            <w:pPr>
              <w:widowControl/>
              <w:jc w:val="left"/>
              <w:rPr>
                <w:rFonts w:ascii="Times New Roman" w:hAnsi="Times New Roman" w:eastAsia="宋体" w:cs="Times New Roman"/>
                <w:color w:val="auto"/>
                <w:kern w:val="0"/>
                <w:highlight w:val="none"/>
              </w:rPr>
            </w:pPr>
          </w:p>
        </w:tc>
        <w:tc>
          <w:tcPr>
            <w:tcW w:w="594" w:type="pct"/>
            <w:tcBorders>
              <w:top w:val="nil"/>
              <w:left w:val="nil"/>
              <w:bottom w:val="single" w:color="auto" w:sz="4" w:space="0"/>
              <w:right w:val="single" w:color="auto" w:sz="4" w:space="0"/>
            </w:tcBorders>
            <w:noWrap/>
            <w:vAlign w:val="center"/>
          </w:tcPr>
          <w:p w14:paraId="7DBD5CBE">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预测</w:t>
            </w:r>
          </w:p>
        </w:tc>
        <w:tc>
          <w:tcPr>
            <w:tcW w:w="496" w:type="pct"/>
            <w:tcBorders>
              <w:top w:val="nil"/>
              <w:left w:val="nil"/>
              <w:bottom w:val="single" w:color="auto" w:sz="4" w:space="0"/>
              <w:right w:val="single" w:color="auto" w:sz="4" w:space="0"/>
            </w:tcBorders>
            <w:noWrap/>
            <w:vAlign w:val="center"/>
          </w:tcPr>
          <w:p w14:paraId="10EF49E7">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预测</w:t>
            </w:r>
          </w:p>
        </w:tc>
        <w:tc>
          <w:tcPr>
            <w:tcW w:w="588" w:type="pct"/>
            <w:tcBorders>
              <w:top w:val="nil"/>
              <w:left w:val="nil"/>
              <w:bottom w:val="single" w:color="auto" w:sz="4" w:space="0"/>
              <w:right w:val="single" w:color="auto" w:sz="4" w:space="0"/>
            </w:tcBorders>
            <w:noWrap/>
            <w:vAlign w:val="center"/>
          </w:tcPr>
          <w:p w14:paraId="7CBBCC29">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预测</w:t>
            </w:r>
          </w:p>
        </w:tc>
        <w:tc>
          <w:tcPr>
            <w:tcW w:w="653" w:type="pct"/>
            <w:tcBorders>
              <w:top w:val="nil"/>
              <w:left w:val="nil"/>
              <w:bottom w:val="single" w:color="auto" w:sz="4" w:space="0"/>
              <w:right w:val="single" w:color="auto" w:sz="4" w:space="0"/>
            </w:tcBorders>
            <w:noWrap/>
            <w:vAlign w:val="center"/>
          </w:tcPr>
          <w:p w14:paraId="6F9F47D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预测</w:t>
            </w:r>
          </w:p>
        </w:tc>
        <w:tc>
          <w:tcPr>
            <w:tcW w:w="522" w:type="pct"/>
            <w:vMerge w:val="continue"/>
            <w:tcBorders>
              <w:top w:val="single" w:color="auto" w:sz="4" w:space="0"/>
              <w:left w:val="single" w:color="auto" w:sz="4" w:space="0"/>
              <w:bottom w:val="single" w:color="auto" w:sz="4" w:space="0"/>
              <w:right w:val="single" w:color="auto" w:sz="4" w:space="0"/>
            </w:tcBorders>
            <w:vAlign w:val="center"/>
          </w:tcPr>
          <w:p w14:paraId="2D4F114A">
            <w:pPr>
              <w:widowControl/>
              <w:jc w:val="left"/>
              <w:rPr>
                <w:rFonts w:ascii="Times New Roman" w:hAnsi="Times New Roman" w:eastAsia="宋体" w:cs="Times New Roman"/>
                <w:color w:val="auto"/>
                <w:kern w:val="0"/>
                <w:highlight w:val="none"/>
              </w:rPr>
            </w:pPr>
          </w:p>
        </w:tc>
      </w:tr>
      <w:tr w14:paraId="5F4E94FF">
        <w:tblPrEx>
          <w:tblCellMar>
            <w:top w:w="0" w:type="dxa"/>
            <w:left w:w="108" w:type="dxa"/>
            <w:bottom w:w="0" w:type="dxa"/>
            <w:right w:w="108" w:type="dxa"/>
          </w:tblCellMar>
        </w:tblPrEx>
        <w:trPr>
          <w:trHeight w:val="288" w:hRule="atLeast"/>
        </w:trPr>
        <w:tc>
          <w:tcPr>
            <w:tcW w:w="495" w:type="pct"/>
            <w:tcBorders>
              <w:top w:val="nil"/>
              <w:left w:val="single" w:color="auto" w:sz="4" w:space="0"/>
              <w:bottom w:val="single" w:color="auto" w:sz="4" w:space="0"/>
              <w:right w:val="single" w:color="auto" w:sz="4" w:space="0"/>
            </w:tcBorders>
            <w:noWrap/>
            <w:vAlign w:val="center"/>
          </w:tcPr>
          <w:p w14:paraId="4CD04177">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w:t>
            </w:r>
          </w:p>
        </w:tc>
        <w:tc>
          <w:tcPr>
            <w:tcW w:w="1059" w:type="pct"/>
            <w:tcBorders>
              <w:top w:val="nil"/>
              <w:left w:val="nil"/>
              <w:bottom w:val="single" w:color="auto" w:sz="4" w:space="0"/>
              <w:right w:val="single" w:color="auto" w:sz="4" w:space="0"/>
            </w:tcBorders>
            <w:noWrap/>
            <w:vAlign w:val="center"/>
          </w:tcPr>
          <w:p w14:paraId="69D73324">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终采平台区</w:t>
            </w:r>
          </w:p>
        </w:tc>
        <w:tc>
          <w:tcPr>
            <w:tcW w:w="589" w:type="pct"/>
            <w:tcBorders>
              <w:top w:val="nil"/>
              <w:left w:val="nil"/>
              <w:bottom w:val="single" w:color="auto" w:sz="4" w:space="0"/>
              <w:right w:val="single" w:color="auto" w:sz="4" w:space="0"/>
            </w:tcBorders>
            <w:noWrap/>
            <w:vAlign w:val="center"/>
          </w:tcPr>
          <w:p w14:paraId="50D5FC6B">
            <w:pPr>
              <w:widowControl/>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等线" w:cs="Times New Roman"/>
                <w:color w:val="auto"/>
                <w:highlight w:val="none"/>
                <w:lang w:val="en-US" w:eastAsia="zh-CN"/>
              </w:rPr>
              <w:t>0.6</w:t>
            </w:r>
          </w:p>
        </w:tc>
        <w:tc>
          <w:tcPr>
            <w:tcW w:w="594" w:type="pct"/>
            <w:tcBorders>
              <w:top w:val="nil"/>
              <w:left w:val="nil"/>
              <w:bottom w:val="single" w:color="auto" w:sz="4" w:space="0"/>
              <w:right w:val="single" w:color="auto" w:sz="4" w:space="0"/>
            </w:tcBorders>
            <w:noWrap/>
            <w:vAlign w:val="center"/>
          </w:tcPr>
          <w:p w14:paraId="3D9C9EC7">
            <w:pPr>
              <w:widowControl/>
              <w:jc w:val="center"/>
              <w:rPr>
                <w:rFonts w:hint="eastAsia" w:ascii="Times New Roman" w:hAnsi="Times New Roman" w:eastAsia="宋体" w:cs="Times New Roman"/>
                <w:color w:val="auto"/>
                <w:kern w:val="0"/>
                <w:highlight w:val="none"/>
                <w:lang w:eastAsia="zh-CN"/>
              </w:rPr>
            </w:pPr>
            <w:r>
              <w:rPr>
                <w:rFonts w:hint="eastAsia" w:ascii="Times New Roman" w:hAnsi="Times New Roman" w:eastAsia="宋体" w:cs="Times New Roman"/>
                <w:color w:val="auto"/>
                <w:kern w:val="0"/>
                <w:highlight w:val="none"/>
                <w:lang w:val="en-US" w:eastAsia="zh-CN"/>
              </w:rPr>
              <w:t>较轻</w:t>
            </w:r>
          </w:p>
        </w:tc>
        <w:tc>
          <w:tcPr>
            <w:tcW w:w="496" w:type="pct"/>
            <w:tcBorders>
              <w:top w:val="nil"/>
              <w:left w:val="nil"/>
              <w:bottom w:val="single" w:color="auto" w:sz="4" w:space="0"/>
              <w:right w:val="single" w:color="auto" w:sz="4" w:space="0"/>
            </w:tcBorders>
            <w:noWrap/>
            <w:vAlign w:val="center"/>
          </w:tcPr>
          <w:p w14:paraId="128B5799">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588" w:type="pct"/>
            <w:tcBorders>
              <w:top w:val="nil"/>
              <w:left w:val="nil"/>
              <w:bottom w:val="single" w:color="auto" w:sz="4" w:space="0"/>
              <w:right w:val="single" w:color="auto" w:sz="4" w:space="0"/>
            </w:tcBorders>
            <w:noWrap/>
            <w:vAlign w:val="center"/>
          </w:tcPr>
          <w:p w14:paraId="3D0AD89D">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c>
          <w:tcPr>
            <w:tcW w:w="653" w:type="pct"/>
            <w:tcBorders>
              <w:top w:val="nil"/>
              <w:left w:val="nil"/>
              <w:bottom w:val="single" w:color="auto" w:sz="4" w:space="0"/>
              <w:right w:val="single" w:color="auto" w:sz="4" w:space="0"/>
            </w:tcBorders>
            <w:noWrap/>
            <w:vAlign w:val="center"/>
          </w:tcPr>
          <w:p w14:paraId="166BAC81">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较轻</w:t>
            </w:r>
          </w:p>
        </w:tc>
        <w:tc>
          <w:tcPr>
            <w:tcW w:w="522" w:type="pct"/>
            <w:tcBorders>
              <w:top w:val="nil"/>
              <w:left w:val="nil"/>
              <w:bottom w:val="single" w:color="auto" w:sz="4" w:space="0"/>
              <w:right w:val="single" w:color="auto" w:sz="4" w:space="0"/>
            </w:tcBorders>
            <w:noWrap/>
            <w:vAlign w:val="center"/>
          </w:tcPr>
          <w:p w14:paraId="31CD9889">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r>
      <w:tr w14:paraId="4C56D78D">
        <w:tblPrEx>
          <w:tblCellMar>
            <w:top w:w="0" w:type="dxa"/>
            <w:left w:w="108" w:type="dxa"/>
            <w:bottom w:w="0" w:type="dxa"/>
            <w:right w:w="108" w:type="dxa"/>
          </w:tblCellMar>
        </w:tblPrEx>
        <w:trPr>
          <w:trHeight w:val="324" w:hRule="atLeast"/>
        </w:trPr>
        <w:tc>
          <w:tcPr>
            <w:tcW w:w="495" w:type="pct"/>
            <w:tcBorders>
              <w:top w:val="nil"/>
              <w:left w:val="single" w:color="auto" w:sz="4" w:space="0"/>
              <w:bottom w:val="single" w:color="auto" w:sz="4" w:space="0"/>
              <w:right w:val="single" w:color="auto" w:sz="4" w:space="0"/>
            </w:tcBorders>
            <w:noWrap/>
            <w:vAlign w:val="center"/>
          </w:tcPr>
          <w:p w14:paraId="3E690141">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p>
        </w:tc>
        <w:tc>
          <w:tcPr>
            <w:tcW w:w="1059" w:type="pct"/>
            <w:tcBorders>
              <w:top w:val="nil"/>
              <w:left w:val="nil"/>
              <w:bottom w:val="single" w:color="auto" w:sz="4" w:space="0"/>
              <w:right w:val="single" w:color="auto" w:sz="4" w:space="0"/>
            </w:tcBorders>
            <w:noWrap/>
            <w:vAlign w:val="center"/>
          </w:tcPr>
          <w:p w14:paraId="1CB65AF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终采边坡区</w:t>
            </w:r>
          </w:p>
        </w:tc>
        <w:tc>
          <w:tcPr>
            <w:tcW w:w="589" w:type="pct"/>
            <w:tcBorders>
              <w:top w:val="nil"/>
              <w:left w:val="nil"/>
              <w:bottom w:val="single" w:color="auto" w:sz="4" w:space="0"/>
              <w:right w:val="single" w:color="auto" w:sz="4" w:space="0"/>
            </w:tcBorders>
            <w:noWrap/>
            <w:vAlign w:val="center"/>
          </w:tcPr>
          <w:p w14:paraId="6869720F">
            <w:pPr>
              <w:widowControl/>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等线" w:cs="Times New Roman"/>
                <w:color w:val="auto"/>
                <w:highlight w:val="none"/>
                <w:lang w:val="en-US" w:eastAsia="zh-CN"/>
              </w:rPr>
              <w:t>0.2</w:t>
            </w:r>
          </w:p>
        </w:tc>
        <w:tc>
          <w:tcPr>
            <w:tcW w:w="594" w:type="pct"/>
            <w:tcBorders>
              <w:top w:val="nil"/>
              <w:left w:val="nil"/>
              <w:bottom w:val="single" w:color="auto" w:sz="4" w:space="0"/>
              <w:right w:val="single" w:color="auto" w:sz="4" w:space="0"/>
            </w:tcBorders>
            <w:noWrap/>
            <w:vAlign w:val="center"/>
          </w:tcPr>
          <w:p w14:paraId="1965DE06">
            <w:pPr>
              <w:widowControl/>
              <w:jc w:val="center"/>
              <w:rPr>
                <w:rFonts w:hint="eastAsia" w:ascii="Times New Roman" w:hAnsi="Times New Roman" w:eastAsia="宋体" w:cs="Times New Roman"/>
                <w:color w:val="auto"/>
                <w:kern w:val="0"/>
                <w:highlight w:val="none"/>
                <w:lang w:eastAsia="zh-CN"/>
              </w:rPr>
            </w:pPr>
            <w:r>
              <w:rPr>
                <w:rFonts w:hint="eastAsia" w:ascii="Times New Roman" w:hAnsi="Times New Roman" w:eastAsia="宋体" w:cs="Times New Roman"/>
                <w:color w:val="auto"/>
                <w:kern w:val="0"/>
                <w:highlight w:val="none"/>
                <w:lang w:val="en-US" w:eastAsia="zh-CN"/>
              </w:rPr>
              <w:t>较轻</w:t>
            </w:r>
          </w:p>
        </w:tc>
        <w:tc>
          <w:tcPr>
            <w:tcW w:w="496" w:type="pct"/>
            <w:tcBorders>
              <w:top w:val="nil"/>
              <w:left w:val="nil"/>
              <w:bottom w:val="single" w:color="auto" w:sz="4" w:space="0"/>
              <w:right w:val="single" w:color="auto" w:sz="4" w:space="0"/>
            </w:tcBorders>
            <w:noWrap/>
            <w:vAlign w:val="center"/>
          </w:tcPr>
          <w:p w14:paraId="511BE9D8">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588" w:type="pct"/>
            <w:tcBorders>
              <w:top w:val="nil"/>
              <w:left w:val="nil"/>
              <w:bottom w:val="single" w:color="auto" w:sz="4" w:space="0"/>
              <w:right w:val="single" w:color="auto" w:sz="4" w:space="0"/>
            </w:tcBorders>
            <w:noWrap/>
            <w:vAlign w:val="center"/>
          </w:tcPr>
          <w:p w14:paraId="5010BFB5">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c>
          <w:tcPr>
            <w:tcW w:w="653" w:type="pct"/>
            <w:tcBorders>
              <w:top w:val="nil"/>
              <w:left w:val="nil"/>
              <w:bottom w:val="single" w:color="auto" w:sz="4" w:space="0"/>
              <w:right w:val="single" w:color="auto" w:sz="4" w:space="0"/>
            </w:tcBorders>
            <w:noWrap/>
            <w:vAlign w:val="center"/>
          </w:tcPr>
          <w:p w14:paraId="1315533C">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较轻</w:t>
            </w:r>
          </w:p>
        </w:tc>
        <w:tc>
          <w:tcPr>
            <w:tcW w:w="522" w:type="pct"/>
            <w:tcBorders>
              <w:top w:val="nil"/>
              <w:left w:val="nil"/>
              <w:bottom w:val="single" w:color="auto" w:sz="4" w:space="0"/>
              <w:right w:val="single" w:color="auto" w:sz="4" w:space="0"/>
            </w:tcBorders>
            <w:noWrap/>
            <w:vAlign w:val="center"/>
          </w:tcPr>
          <w:p w14:paraId="12DA7A09">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r>
      <w:tr w14:paraId="4E90B4C4">
        <w:tblPrEx>
          <w:tblCellMar>
            <w:top w:w="0" w:type="dxa"/>
            <w:left w:w="108" w:type="dxa"/>
            <w:bottom w:w="0" w:type="dxa"/>
            <w:right w:w="108" w:type="dxa"/>
          </w:tblCellMar>
        </w:tblPrEx>
        <w:trPr>
          <w:trHeight w:val="288" w:hRule="atLeast"/>
        </w:trPr>
        <w:tc>
          <w:tcPr>
            <w:tcW w:w="495" w:type="pct"/>
            <w:tcBorders>
              <w:top w:val="nil"/>
              <w:left w:val="single" w:color="auto" w:sz="4" w:space="0"/>
              <w:bottom w:val="single" w:color="auto" w:sz="4" w:space="0"/>
              <w:right w:val="single" w:color="auto" w:sz="4" w:space="0"/>
            </w:tcBorders>
            <w:noWrap/>
            <w:vAlign w:val="center"/>
          </w:tcPr>
          <w:p w14:paraId="32DDB743">
            <w:pPr>
              <w:widowControl/>
              <w:jc w:val="center"/>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合计</w:t>
            </w:r>
          </w:p>
        </w:tc>
        <w:tc>
          <w:tcPr>
            <w:tcW w:w="1059" w:type="pct"/>
            <w:tcBorders>
              <w:top w:val="nil"/>
              <w:left w:val="nil"/>
              <w:bottom w:val="single" w:color="auto" w:sz="4" w:space="0"/>
              <w:right w:val="single" w:color="auto" w:sz="4" w:space="0"/>
            </w:tcBorders>
            <w:noWrap/>
            <w:vAlign w:val="center"/>
          </w:tcPr>
          <w:p w14:paraId="7B3546D7">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c>
          <w:tcPr>
            <w:tcW w:w="589" w:type="pct"/>
            <w:tcBorders>
              <w:top w:val="nil"/>
              <w:left w:val="nil"/>
              <w:bottom w:val="single" w:color="auto" w:sz="4" w:space="0"/>
              <w:right w:val="single" w:color="auto" w:sz="4" w:space="0"/>
            </w:tcBorders>
            <w:noWrap/>
            <w:vAlign w:val="center"/>
          </w:tcPr>
          <w:p w14:paraId="7E6A8AF1">
            <w:pPr>
              <w:widowControl/>
              <w:jc w:val="center"/>
              <w:rPr>
                <w:rFonts w:hint="default" w:ascii="Times New Roman" w:hAnsi="Times New Roman" w:eastAsia="等线" w:cs="Times New Roman"/>
                <w:color w:val="auto"/>
                <w:kern w:val="0"/>
                <w:highlight w:val="none"/>
                <w:lang w:val="en-US" w:eastAsia="zh-CN"/>
              </w:rPr>
            </w:pPr>
            <w:r>
              <w:rPr>
                <w:rFonts w:hint="eastAsia" w:ascii="Times New Roman" w:hAnsi="Times New Roman" w:eastAsia="等线" w:cs="Times New Roman"/>
                <w:color w:val="auto"/>
                <w:highlight w:val="none"/>
                <w:lang w:val="en-US" w:eastAsia="zh-CN"/>
              </w:rPr>
              <w:t>0.8</w:t>
            </w:r>
          </w:p>
        </w:tc>
        <w:tc>
          <w:tcPr>
            <w:tcW w:w="594" w:type="pct"/>
            <w:tcBorders>
              <w:top w:val="nil"/>
              <w:left w:val="nil"/>
              <w:bottom w:val="single" w:color="auto" w:sz="4" w:space="0"/>
              <w:right w:val="single" w:color="auto" w:sz="4" w:space="0"/>
            </w:tcBorders>
            <w:noWrap/>
            <w:vAlign w:val="center"/>
          </w:tcPr>
          <w:p w14:paraId="0D04D5DD">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c>
          <w:tcPr>
            <w:tcW w:w="496" w:type="pct"/>
            <w:tcBorders>
              <w:top w:val="nil"/>
              <w:left w:val="nil"/>
              <w:bottom w:val="single" w:color="auto" w:sz="4" w:space="0"/>
              <w:right w:val="single" w:color="auto" w:sz="4" w:space="0"/>
            </w:tcBorders>
            <w:noWrap/>
            <w:vAlign w:val="center"/>
          </w:tcPr>
          <w:p w14:paraId="0F953153">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c>
          <w:tcPr>
            <w:tcW w:w="588" w:type="pct"/>
            <w:tcBorders>
              <w:top w:val="nil"/>
              <w:left w:val="nil"/>
              <w:bottom w:val="single" w:color="auto" w:sz="4" w:space="0"/>
              <w:right w:val="single" w:color="auto" w:sz="4" w:space="0"/>
            </w:tcBorders>
            <w:noWrap/>
            <w:vAlign w:val="center"/>
          </w:tcPr>
          <w:p w14:paraId="249BAA00">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c>
          <w:tcPr>
            <w:tcW w:w="653" w:type="pct"/>
            <w:tcBorders>
              <w:top w:val="nil"/>
              <w:left w:val="nil"/>
              <w:bottom w:val="single" w:color="auto" w:sz="4" w:space="0"/>
              <w:right w:val="single" w:color="auto" w:sz="4" w:space="0"/>
            </w:tcBorders>
            <w:noWrap/>
            <w:vAlign w:val="center"/>
          </w:tcPr>
          <w:p w14:paraId="273B270A">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c>
          <w:tcPr>
            <w:tcW w:w="522" w:type="pct"/>
            <w:tcBorders>
              <w:top w:val="nil"/>
              <w:left w:val="nil"/>
              <w:bottom w:val="single" w:color="auto" w:sz="4" w:space="0"/>
              <w:right w:val="single" w:color="auto" w:sz="4" w:space="0"/>
            </w:tcBorders>
            <w:noWrap/>
            <w:vAlign w:val="center"/>
          </w:tcPr>
          <w:p w14:paraId="6874348F">
            <w:pPr>
              <w:widowControl/>
              <w:jc w:val="left"/>
              <w:rPr>
                <w:rFonts w:ascii="Times New Roman" w:hAnsi="Times New Roman" w:eastAsia="宋体" w:cs="Times New Roman"/>
                <w:color w:val="auto"/>
                <w:kern w:val="0"/>
                <w:sz w:val="22"/>
                <w:szCs w:val="22"/>
                <w:highlight w:val="none"/>
              </w:rPr>
            </w:pPr>
            <w:r>
              <w:rPr>
                <w:rFonts w:ascii="Times New Roman" w:hAnsi="Times New Roman" w:eastAsia="宋体" w:cs="Times New Roman"/>
                <w:color w:val="auto"/>
                <w:kern w:val="0"/>
                <w:sz w:val="22"/>
                <w:szCs w:val="22"/>
                <w:highlight w:val="none"/>
              </w:rPr>
              <w:t>　</w:t>
            </w:r>
          </w:p>
        </w:tc>
      </w:tr>
    </w:tbl>
    <w:p w14:paraId="7AF79E0D">
      <w:pPr>
        <w:pStyle w:val="3"/>
        <w:rPr>
          <w:rFonts w:ascii="Times New Roman" w:hAnsi="Times New Roman" w:eastAsia="宋体" w:cs="Times New Roman"/>
          <w:color w:val="auto"/>
          <w:sz w:val="30"/>
          <w:szCs w:val="30"/>
          <w:highlight w:val="none"/>
        </w:rPr>
      </w:pPr>
      <w:bookmarkStart w:id="106" w:name="_Toc3269"/>
      <w:r>
        <w:rPr>
          <w:rFonts w:ascii="Times New Roman" w:hAnsi="Times New Roman" w:eastAsia="宋体" w:cs="Times New Roman"/>
          <w:color w:val="auto"/>
          <w:sz w:val="30"/>
          <w:szCs w:val="30"/>
          <w:highlight w:val="none"/>
        </w:rPr>
        <w:t>三、矿山土地损毁预测与评估</w:t>
      </w:r>
      <w:bookmarkEnd w:id="106"/>
    </w:p>
    <w:p w14:paraId="493DA68E">
      <w:pPr>
        <w:pStyle w:val="4"/>
        <w:rPr>
          <w:rFonts w:ascii="Times New Roman" w:hAnsi="Times New Roman" w:eastAsia="宋体" w:cs="Times New Roman"/>
          <w:color w:val="auto"/>
          <w:sz w:val="28"/>
          <w:szCs w:val="28"/>
          <w:highlight w:val="none"/>
        </w:rPr>
      </w:pPr>
      <w:bookmarkStart w:id="107" w:name="_Toc19194"/>
      <w:r>
        <w:rPr>
          <w:rFonts w:ascii="Times New Roman" w:hAnsi="Times New Roman" w:eastAsia="宋体" w:cs="Times New Roman"/>
          <w:color w:val="auto"/>
          <w:sz w:val="28"/>
          <w:szCs w:val="28"/>
          <w:highlight w:val="none"/>
        </w:rPr>
        <w:t>（一）土地损毁环节与时序</w:t>
      </w:r>
      <w:bookmarkEnd w:id="107"/>
    </w:p>
    <w:p w14:paraId="6C5B340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1、土地损毁环节</w:t>
      </w:r>
    </w:p>
    <w:p w14:paraId="6ECE522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露天采场：矿山在开采过程中受挖机等重型机械的破坏，同时对土地的碾压，致使土壤板结、理化性状发生改变，破坏类型属挖损。</w:t>
      </w:r>
    </w:p>
    <w:p w14:paraId="086B8DE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场地：矿山工业广场等地面设施的修建，对地面先挖损后压占，同时矿山修建建筑、临时矿石堆置、临时表土堆场等对场地造成压占。</w:t>
      </w:r>
    </w:p>
    <w:p w14:paraId="4F67D29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2、土地损毁时序</w:t>
      </w:r>
    </w:p>
    <w:p w14:paraId="51FBA76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土地损毁预测主要包括土地的挖损和压占。</w:t>
      </w:r>
    </w:p>
    <w:p w14:paraId="17074BE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根据矿山矿石开采的特性和本工程的施工、运行情况，工程建设期和运行期可能造成土地损毁的活动主要有工程挖损和压占等，将使地表受到不同程度的扰动和损坏，现分述如下：</w:t>
      </w:r>
    </w:p>
    <w:p w14:paraId="7221B2C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1）工程占地对土地的损毁</w:t>
      </w:r>
    </w:p>
    <w:p w14:paraId="2BC6D18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各类占地将改变、压埋或损坏原有植被、地貌，将不同程度地对原有土地造成损坏。</w:t>
      </w:r>
    </w:p>
    <w:p w14:paraId="3C95FD3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2）矿区开挖对土地的损毁</w:t>
      </w:r>
    </w:p>
    <w:p w14:paraId="71DF6A7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施工开挖和填筑将使原地表植被、地面组成物质以及地形地貌受到扰动和损毁，造成表层土壤裸露或形成松散的堆积体，失去原有植被的防冲、固土能力，也使其自然稳定状态受到损毁，在降雨和地表径流作用下可能发生冲刷、垮塌现象，增加新的水土流失。</w:t>
      </w:r>
    </w:p>
    <w:p w14:paraId="663E640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3）矿山工业广场对土地的影响</w:t>
      </w:r>
    </w:p>
    <w:p w14:paraId="6F0A4BF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本工程在完成建设期将对施工迹地进行复耕，考虑运距、费用等因素，覆土来源主要采用</w:t>
      </w:r>
      <w:r>
        <w:rPr>
          <w:rFonts w:hint="eastAsia" w:ascii="仿宋" w:hAnsi="仿宋" w:eastAsia="仿宋" w:cs="仿宋"/>
          <w:color w:val="auto"/>
          <w:sz w:val="28"/>
          <w:szCs w:val="28"/>
          <w:highlight w:val="none"/>
          <w:lang w:val="en-US" w:eastAsia="zh-CN"/>
        </w:rPr>
        <w:t>拟损毁土地剥离</w:t>
      </w:r>
      <w:r>
        <w:rPr>
          <w:rFonts w:hint="eastAsia" w:ascii="仿宋" w:hAnsi="仿宋" w:eastAsia="仿宋" w:cs="仿宋"/>
          <w:color w:val="auto"/>
          <w:sz w:val="28"/>
          <w:szCs w:val="28"/>
          <w:highlight w:val="none"/>
        </w:rPr>
        <w:t>表土</w:t>
      </w:r>
      <w:r>
        <w:rPr>
          <w:rFonts w:hint="eastAsia" w:ascii="仿宋" w:hAnsi="仿宋" w:eastAsia="仿宋" w:cs="仿宋"/>
          <w:color w:val="auto"/>
          <w:sz w:val="28"/>
          <w:szCs w:val="28"/>
          <w:highlight w:val="none"/>
          <w:lang w:val="en-US" w:eastAsia="zh-CN"/>
        </w:rPr>
        <w:t>及客土</w:t>
      </w:r>
      <w:r>
        <w:rPr>
          <w:rFonts w:hint="eastAsia" w:ascii="仿宋" w:hAnsi="仿宋" w:eastAsia="仿宋" w:cs="仿宋"/>
          <w:color w:val="auto"/>
          <w:sz w:val="28"/>
          <w:szCs w:val="28"/>
          <w:highlight w:val="none"/>
        </w:rPr>
        <w:t>，堆放地位于</w:t>
      </w:r>
      <w:r>
        <w:rPr>
          <w:rFonts w:hint="eastAsia" w:ascii="仿宋" w:hAnsi="仿宋" w:eastAsia="仿宋" w:cs="仿宋"/>
          <w:color w:val="auto"/>
          <w:sz w:val="28"/>
          <w:szCs w:val="28"/>
          <w:highlight w:val="none"/>
          <w:lang w:val="en-US" w:eastAsia="zh-CN"/>
        </w:rPr>
        <w:t>拟设采矿权东部范围内，</w:t>
      </w:r>
      <w:r>
        <w:rPr>
          <w:rFonts w:hint="eastAsia" w:ascii="仿宋" w:hAnsi="仿宋" w:eastAsia="仿宋" w:cs="仿宋"/>
          <w:color w:val="auto"/>
          <w:sz w:val="28"/>
          <w:szCs w:val="28"/>
          <w:highlight w:val="none"/>
        </w:rPr>
        <w:t>表层土的临时堆放将形成松散堆积体，如不采取临时防护措施，形成的不稳定土质边坡极易被降水等外界因素所干扰而发生流失。</w:t>
      </w:r>
    </w:p>
    <w:p w14:paraId="52FBD1E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前期准备阶段：在正式开工前，前期准备主要逐步完成租地和开辟场地等工作，损毁土地的方式主要为挖毁、压占等。</w:t>
      </w:r>
    </w:p>
    <w:p w14:paraId="42DE689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生产阶段：生产开始后，首先剥离表层，表土剥离后对项目区内的页岩矿进行露天开采，土地损毁的形式主要为挖损。</w:t>
      </w:r>
    </w:p>
    <w:p w14:paraId="4141F49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生产后阶段：该阶段主要完成对前期构筑物和施工器械的拆除搬运，该阶段不会新增损毁土地资源；拆除搬运完后进行复垦，恢复其生态环境。</w:t>
      </w:r>
    </w:p>
    <w:p w14:paraId="31D66316">
      <w:pPr>
        <w:pStyle w:val="4"/>
        <w:rPr>
          <w:rFonts w:ascii="Times New Roman" w:hAnsi="Times New Roman" w:eastAsia="宋体" w:cs="Times New Roman"/>
          <w:color w:val="auto"/>
          <w:sz w:val="28"/>
          <w:szCs w:val="28"/>
          <w:highlight w:val="none"/>
        </w:rPr>
      </w:pPr>
      <w:bookmarkStart w:id="108" w:name="_Toc12548"/>
      <w:r>
        <w:rPr>
          <w:rFonts w:ascii="Times New Roman" w:hAnsi="Times New Roman" w:eastAsia="宋体" w:cs="Times New Roman"/>
          <w:color w:val="auto"/>
          <w:sz w:val="28"/>
          <w:szCs w:val="28"/>
          <w:highlight w:val="none"/>
        </w:rPr>
        <w:t>（</w:t>
      </w:r>
      <w:r>
        <w:rPr>
          <w:rFonts w:hint="eastAsia" w:ascii="Times New Roman" w:hAnsi="Times New Roman" w:eastAsia="宋体" w:cs="Times New Roman"/>
          <w:color w:val="auto"/>
          <w:sz w:val="28"/>
          <w:szCs w:val="28"/>
          <w:highlight w:val="none"/>
          <w:lang w:val="en-US" w:eastAsia="zh-CN"/>
        </w:rPr>
        <w:t>二</w:t>
      </w:r>
      <w:r>
        <w:rPr>
          <w:rFonts w:ascii="Times New Roman" w:hAnsi="Times New Roman" w:eastAsia="宋体" w:cs="Times New Roman"/>
          <w:color w:val="auto"/>
          <w:sz w:val="28"/>
          <w:szCs w:val="28"/>
          <w:highlight w:val="none"/>
        </w:rPr>
        <w:t>）拟损毁土地预测与评估</w:t>
      </w:r>
      <w:bookmarkEnd w:id="108"/>
    </w:p>
    <w:p w14:paraId="059144B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1、预测依据</w:t>
      </w:r>
    </w:p>
    <w:p w14:paraId="1F98920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露天开采建设与生产过程中对土地的损毁为直接损毁。直接损毁主要发生在生产期，其表现形式为土地直接压占，地面大规模开挖与碾压，地表形态和功能发生根本改变，如采场、工业广场等。损毁范围可以通过现场勘测及征地协议对其进行确定。</w:t>
      </w:r>
    </w:p>
    <w:p w14:paraId="5F8A575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本矿山为</w:t>
      </w:r>
      <w:r>
        <w:rPr>
          <w:rFonts w:hint="eastAsia" w:ascii="仿宋" w:hAnsi="仿宋" w:eastAsia="仿宋" w:cs="仿宋"/>
          <w:color w:val="auto"/>
          <w:sz w:val="28"/>
          <w:szCs w:val="28"/>
          <w:highlight w:val="none"/>
          <w:lang w:val="en-US" w:eastAsia="zh-CN"/>
        </w:rPr>
        <w:t>新建</w:t>
      </w:r>
      <w:r>
        <w:rPr>
          <w:rFonts w:hint="eastAsia" w:ascii="仿宋" w:hAnsi="仿宋" w:eastAsia="仿宋" w:cs="仿宋"/>
          <w:color w:val="auto"/>
          <w:sz w:val="28"/>
          <w:szCs w:val="28"/>
          <w:highlight w:val="none"/>
        </w:rPr>
        <w:t>矿山，未来矿山对土地的损毁，主要是随着开采范围的扩大而变化。</w:t>
      </w:r>
    </w:p>
    <w:p w14:paraId="657CEA4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2、预测单元及预测时段</w:t>
      </w:r>
    </w:p>
    <w:p w14:paraId="3E5841E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（1）预测单元划分</w:t>
      </w:r>
    </w:p>
    <w:p w14:paraId="5C251B5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根据矿产开采特点和开采时序，结合当地自然环境概况、社会经济概况和土地复垦方向，将矿区划分为一个预测单元。预测单元的划分，要遵循以下原则：</w:t>
      </w:r>
    </w:p>
    <w:p w14:paraId="18C8FF8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1）地形地貌及土地利用现状相似原则；</w:t>
      </w:r>
    </w:p>
    <w:p w14:paraId="350F64D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2）工程破坏、占压土地方式一致性原则；</w:t>
      </w:r>
    </w:p>
    <w:p w14:paraId="64B37D5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3）原始土地立地条件相似性原则；</w:t>
      </w:r>
    </w:p>
    <w:p w14:paraId="070880B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4）复垦方向一致性原则；</w:t>
      </w:r>
    </w:p>
    <w:p w14:paraId="6A038DA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5）便于复垦措施统筹安排，分区整体性原则。</w:t>
      </w:r>
    </w:p>
    <w:p w14:paraId="650F4D0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根据以上原则，将矿区分为露天采场终采平台区、露天采场终采平台区共</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个区域。</w:t>
      </w:r>
    </w:p>
    <w:p w14:paraId="21F5198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（2）预测时段</w:t>
      </w:r>
    </w:p>
    <w:p w14:paraId="76FE708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根据开采过程中损毁土地资源的特点，将预测时段分为开采期和自然恢复期两个时段。</w:t>
      </w:r>
    </w:p>
    <w:p w14:paraId="15886AB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开采期：开采期由于矿山开采等活动的存在，形成开采矿渣、人工固体堆积物、不稳定斜坡，不可避免地会破坏、占压、挖损土地，是破坏土地的高发期。因此，开采期是土地破坏预测的重点时段。</w:t>
      </w:r>
    </w:p>
    <w:p w14:paraId="776DC5E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恢复期：恢复期不存在新的损毁，土地损毁仅是开采期破坏的土地通过各类水土流失形式的扩展，随着各项土地复垦措施和水土保持措施的实施，土地破坏将逐步得到扼制，矿区的土地生态环境将得到恢复和改善，直至达到新的平衡状态。</w:t>
      </w:r>
    </w:p>
    <w:p w14:paraId="551FFEA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3、预测内容及方法</w:t>
      </w:r>
    </w:p>
    <w:p w14:paraId="05D74BC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（1）预测内容</w:t>
      </w:r>
    </w:p>
    <w:p w14:paraId="2BDD052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根据编制指南的要求，结合开发利用方案及安全设施设计，土地破坏预测内容包括以下几项内容：</w:t>
      </w:r>
    </w:p>
    <w:p w14:paraId="593A06A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1）各预测时段和预测分区土地破坏的方式；</w:t>
      </w:r>
    </w:p>
    <w:p w14:paraId="655E4E8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2）各预测时段和预测分区破坏土地的面积；</w:t>
      </w:r>
    </w:p>
    <w:p w14:paraId="4073BEC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3）各预测时段和预测分区破坏土地类型；</w:t>
      </w:r>
    </w:p>
    <w:p w14:paraId="6F54051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4）各预测时段和预测分区土地破坏程度。</w:t>
      </w:r>
    </w:p>
    <w:p w14:paraId="61D70EB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（2）预测方法</w:t>
      </w:r>
    </w:p>
    <w:p w14:paraId="2BAFB2D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矿区地形中等复杂，土地破坏类型较单一，土地破坏预测采用定量统计和定性描述相结合的方法进行，具体叙述如下：</w:t>
      </w:r>
    </w:p>
    <w:p w14:paraId="442DEED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1）土地破坏方式预测方法：根据工程特点，土地破坏方式表现多样性，除工程建设引起的挖损和压占两种显而易见的方式外，还有由于矿山开采水土流失引起的土地破坏等，预测方法采用定性描述的方法进行。</w:t>
      </w:r>
    </w:p>
    <w:p w14:paraId="61B9EE5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2）破坏土地的面积预测方法：通过对各预测分区占地的分析和统计，结合土地破坏方式采用定量统计的方法进行。</w:t>
      </w:r>
    </w:p>
    <w:p w14:paraId="0E84EC0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3）破坏土地类型预测方法：根据《土地利用现状分类》（GB/T 21010-2017）对土地类型的分类，结合现场调查资料，确定由于加工区建设造成破坏的土地类型。</w:t>
      </w:r>
    </w:p>
    <w:p w14:paraId="021246E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土地破坏程度预测方法：矿山开采对土地的破坏因用地目的不同，破坏程度不同，直接改变了土地利用方向，土地破坏以后具有不可恢复性，对地面的扰动比较强烈。开采区土地破坏方式主要由挖损为主，土地复垦难度较大，土地破坏程度相对比较大。</w:t>
      </w:r>
    </w:p>
    <w:p w14:paraId="55F4315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4、分区预测结果</w:t>
      </w:r>
    </w:p>
    <w:p w14:paraId="1F4119D6">
      <w:pPr>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根据开发利用方案及现场调查得知，矿山</w:t>
      </w:r>
      <w:r>
        <w:rPr>
          <w:rFonts w:hint="eastAsia" w:ascii="仿宋" w:hAnsi="仿宋" w:eastAsia="仿宋" w:cs="仿宋"/>
          <w:color w:val="auto"/>
          <w:sz w:val="28"/>
          <w:szCs w:val="28"/>
          <w:highlight w:val="none"/>
          <w:lang w:val="en-US" w:eastAsia="zh-CN"/>
        </w:rPr>
        <w:t>投产后</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拟损毁土地面积为</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，其中乔木林地</w:t>
      </w:r>
      <w:r>
        <w:rPr>
          <w:rFonts w:hint="eastAsia" w:ascii="仿宋" w:hAnsi="仿宋" w:eastAsia="仿宋" w:cs="仿宋"/>
          <w:color w:val="auto"/>
          <w:sz w:val="28"/>
          <w:szCs w:val="28"/>
          <w:highlight w:val="none"/>
          <w:lang w:val="en-US" w:eastAsia="zh-CN"/>
        </w:rPr>
        <w:t>0.65</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其他草地0.05</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旱地0.1</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。拟损毁土地利用现状详见下表3-10。</w:t>
      </w:r>
    </w:p>
    <w:p w14:paraId="34130857">
      <w:pPr>
        <w:spacing w:line="360"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表3-1</w:t>
      </w:r>
      <w:r>
        <w:rPr>
          <w:rFonts w:hint="eastAsia" w:ascii="Times New Roman" w:hAnsi="Times New Roman" w:eastAsia="宋体" w:cs="Times New Roman"/>
          <w:b/>
          <w:color w:val="auto"/>
          <w:kern w:val="0"/>
          <w:highlight w:val="none"/>
        </w:rPr>
        <w:t>0</w:t>
      </w:r>
      <w:r>
        <w:rPr>
          <w:rFonts w:ascii="Times New Roman" w:hAnsi="Times New Roman" w:eastAsia="宋体" w:cs="Times New Roman"/>
          <w:b/>
          <w:color w:val="auto"/>
          <w:kern w:val="0"/>
          <w:highlight w:val="none"/>
        </w:rPr>
        <w:t xml:space="preserve">   拟损毁土地利用现状统计表</w:t>
      </w:r>
    </w:p>
    <w:p w14:paraId="2E0E8892">
      <w:pPr>
        <w:pStyle w:val="13"/>
        <w:rPr>
          <w:color w:val="auto"/>
        </w:rPr>
      </w:pPr>
    </w:p>
    <w:tbl>
      <w:tblPr>
        <w:tblStyle w:val="23"/>
        <w:tblW w:w="8652" w:type="dxa"/>
        <w:jc w:val="center"/>
        <w:tblLayout w:type="autofit"/>
        <w:tblCellMar>
          <w:top w:w="0" w:type="dxa"/>
          <w:left w:w="108" w:type="dxa"/>
          <w:bottom w:w="0" w:type="dxa"/>
          <w:right w:w="108" w:type="dxa"/>
        </w:tblCellMar>
      </w:tblPr>
      <w:tblGrid>
        <w:gridCol w:w="1103"/>
        <w:gridCol w:w="1147"/>
        <w:gridCol w:w="676"/>
        <w:gridCol w:w="1157"/>
        <w:gridCol w:w="695"/>
        <w:gridCol w:w="1337"/>
        <w:gridCol w:w="1147"/>
        <w:gridCol w:w="1390"/>
      </w:tblGrid>
      <w:tr w14:paraId="2BC7FF7A">
        <w:tblPrEx>
          <w:tblCellMar>
            <w:top w:w="0" w:type="dxa"/>
            <w:left w:w="108" w:type="dxa"/>
            <w:bottom w:w="0" w:type="dxa"/>
            <w:right w:w="108" w:type="dxa"/>
          </w:tblCellMar>
        </w:tblPrEx>
        <w:trPr>
          <w:trHeight w:val="472" w:hRule="atLeast"/>
          <w:jc w:val="center"/>
        </w:trPr>
        <w:tc>
          <w:tcPr>
            <w:tcW w:w="1103" w:type="dxa"/>
            <w:vMerge w:val="restart"/>
            <w:tcBorders>
              <w:top w:val="single" w:color="auto" w:sz="4" w:space="0"/>
              <w:left w:val="single" w:color="auto" w:sz="4" w:space="0"/>
              <w:bottom w:val="single" w:color="auto" w:sz="4" w:space="0"/>
              <w:right w:val="single" w:color="auto" w:sz="4" w:space="0"/>
            </w:tcBorders>
            <w:noWrap/>
            <w:vAlign w:val="center"/>
          </w:tcPr>
          <w:p w14:paraId="1E869CFE">
            <w:pPr>
              <w:widowControl/>
              <w:jc w:val="center"/>
              <w:rPr>
                <w:rFonts w:eastAsia="宋体"/>
                <w:color w:val="auto"/>
                <w:highlight w:val="none"/>
              </w:rPr>
            </w:pPr>
            <w:r>
              <w:rPr>
                <w:rFonts w:hint="eastAsia" w:eastAsia="宋体"/>
                <w:color w:val="auto"/>
                <w:highlight w:val="none"/>
              </w:rPr>
              <w:t>损毁单元</w:t>
            </w:r>
          </w:p>
        </w:tc>
        <w:tc>
          <w:tcPr>
            <w:tcW w:w="1147" w:type="dxa"/>
            <w:vMerge w:val="restart"/>
            <w:tcBorders>
              <w:top w:val="single" w:color="auto" w:sz="4" w:space="0"/>
              <w:left w:val="single" w:color="auto" w:sz="4" w:space="0"/>
              <w:bottom w:val="single" w:color="auto" w:sz="4" w:space="0"/>
              <w:right w:val="single" w:color="auto" w:sz="4" w:space="0"/>
            </w:tcBorders>
            <w:noWrap/>
            <w:vAlign w:val="center"/>
          </w:tcPr>
          <w:p w14:paraId="448C8E9E">
            <w:pPr>
              <w:widowControl/>
              <w:jc w:val="center"/>
              <w:rPr>
                <w:rFonts w:eastAsia="宋体"/>
                <w:color w:val="auto"/>
                <w:highlight w:val="none"/>
              </w:rPr>
            </w:pPr>
            <w:r>
              <w:rPr>
                <w:rFonts w:hint="eastAsia" w:eastAsia="宋体"/>
                <w:color w:val="auto"/>
                <w:highlight w:val="none"/>
              </w:rPr>
              <w:t>损毁类型</w:t>
            </w:r>
          </w:p>
        </w:tc>
        <w:tc>
          <w:tcPr>
            <w:tcW w:w="1833" w:type="dxa"/>
            <w:gridSpan w:val="2"/>
            <w:tcBorders>
              <w:top w:val="single" w:color="auto" w:sz="4" w:space="0"/>
              <w:left w:val="nil"/>
              <w:bottom w:val="single" w:color="auto" w:sz="4" w:space="0"/>
              <w:right w:val="single" w:color="auto" w:sz="4" w:space="0"/>
            </w:tcBorders>
            <w:noWrap/>
            <w:vAlign w:val="center"/>
          </w:tcPr>
          <w:p w14:paraId="69D0AB97">
            <w:pPr>
              <w:widowControl/>
              <w:jc w:val="center"/>
              <w:rPr>
                <w:rFonts w:eastAsia="宋体"/>
                <w:color w:val="auto"/>
                <w:highlight w:val="none"/>
              </w:rPr>
            </w:pPr>
            <w:r>
              <w:rPr>
                <w:rFonts w:hint="eastAsia" w:eastAsia="宋体"/>
                <w:color w:val="auto"/>
                <w:highlight w:val="none"/>
              </w:rPr>
              <w:t>一级地类</w:t>
            </w:r>
          </w:p>
        </w:tc>
        <w:tc>
          <w:tcPr>
            <w:tcW w:w="2032" w:type="dxa"/>
            <w:gridSpan w:val="2"/>
            <w:tcBorders>
              <w:top w:val="single" w:color="auto" w:sz="4" w:space="0"/>
              <w:left w:val="nil"/>
              <w:bottom w:val="single" w:color="auto" w:sz="4" w:space="0"/>
              <w:right w:val="single" w:color="auto" w:sz="4" w:space="0"/>
            </w:tcBorders>
            <w:noWrap/>
            <w:vAlign w:val="center"/>
          </w:tcPr>
          <w:p w14:paraId="7B527DBE">
            <w:pPr>
              <w:widowControl/>
              <w:jc w:val="center"/>
              <w:rPr>
                <w:rFonts w:eastAsia="宋体"/>
                <w:color w:val="auto"/>
                <w:highlight w:val="none"/>
              </w:rPr>
            </w:pPr>
            <w:r>
              <w:rPr>
                <w:rFonts w:hint="eastAsia" w:eastAsia="宋体"/>
                <w:color w:val="auto"/>
                <w:highlight w:val="none"/>
              </w:rPr>
              <w:t>二级地类</w:t>
            </w:r>
          </w:p>
        </w:tc>
        <w:tc>
          <w:tcPr>
            <w:tcW w:w="1147" w:type="dxa"/>
            <w:tcBorders>
              <w:top w:val="single" w:color="auto" w:sz="4" w:space="0"/>
              <w:left w:val="nil"/>
              <w:bottom w:val="single" w:color="auto" w:sz="4" w:space="0"/>
              <w:right w:val="single" w:color="auto" w:sz="4" w:space="0"/>
            </w:tcBorders>
            <w:noWrap/>
            <w:vAlign w:val="center"/>
          </w:tcPr>
          <w:p w14:paraId="080627D3">
            <w:pPr>
              <w:widowControl/>
              <w:jc w:val="center"/>
              <w:rPr>
                <w:rFonts w:eastAsia="宋体"/>
                <w:color w:val="auto"/>
                <w:highlight w:val="none"/>
              </w:rPr>
            </w:pPr>
            <w:r>
              <w:rPr>
                <w:rFonts w:hint="eastAsia" w:eastAsia="宋体"/>
                <w:color w:val="auto"/>
                <w:highlight w:val="none"/>
              </w:rPr>
              <w:t>面积</w:t>
            </w:r>
          </w:p>
        </w:tc>
        <w:tc>
          <w:tcPr>
            <w:tcW w:w="1390" w:type="dxa"/>
            <w:vMerge w:val="restart"/>
            <w:tcBorders>
              <w:top w:val="single" w:color="auto" w:sz="4" w:space="0"/>
              <w:left w:val="single" w:color="auto" w:sz="4" w:space="0"/>
              <w:right w:val="single" w:color="auto" w:sz="4" w:space="0"/>
            </w:tcBorders>
            <w:vAlign w:val="center"/>
          </w:tcPr>
          <w:p w14:paraId="50FD4195">
            <w:pPr>
              <w:widowControl/>
              <w:jc w:val="center"/>
              <w:rPr>
                <w:rFonts w:eastAsia="宋体"/>
                <w:color w:val="auto"/>
                <w:highlight w:val="none"/>
              </w:rPr>
            </w:pPr>
            <w:r>
              <w:rPr>
                <w:rFonts w:hint="eastAsia" w:eastAsia="宋体"/>
                <w:color w:val="auto"/>
                <w:highlight w:val="none"/>
              </w:rPr>
              <w:t>占总面积比例(%)</w:t>
            </w:r>
          </w:p>
        </w:tc>
      </w:tr>
      <w:tr w14:paraId="09DC608F">
        <w:tblPrEx>
          <w:tblCellMar>
            <w:top w:w="0" w:type="dxa"/>
            <w:left w:w="108" w:type="dxa"/>
            <w:bottom w:w="0" w:type="dxa"/>
            <w:right w:w="108" w:type="dxa"/>
          </w:tblCellMar>
        </w:tblPrEx>
        <w:trPr>
          <w:trHeight w:val="352" w:hRule="atLeast"/>
          <w:jc w:val="center"/>
        </w:trPr>
        <w:tc>
          <w:tcPr>
            <w:tcW w:w="1103" w:type="dxa"/>
            <w:vMerge w:val="continue"/>
            <w:tcBorders>
              <w:top w:val="single" w:color="auto" w:sz="4" w:space="0"/>
              <w:left w:val="single" w:color="auto" w:sz="4" w:space="0"/>
              <w:bottom w:val="single" w:color="auto" w:sz="4" w:space="0"/>
              <w:right w:val="single" w:color="auto" w:sz="4" w:space="0"/>
            </w:tcBorders>
            <w:vAlign w:val="center"/>
          </w:tcPr>
          <w:p w14:paraId="7FF652B0">
            <w:pPr>
              <w:widowControl/>
              <w:jc w:val="left"/>
              <w:rPr>
                <w:rFonts w:eastAsia="宋体"/>
                <w:color w:val="auto"/>
                <w:highlight w:val="none"/>
              </w:rPr>
            </w:pPr>
          </w:p>
        </w:tc>
        <w:tc>
          <w:tcPr>
            <w:tcW w:w="1147" w:type="dxa"/>
            <w:vMerge w:val="continue"/>
            <w:tcBorders>
              <w:top w:val="single" w:color="auto" w:sz="4" w:space="0"/>
              <w:left w:val="single" w:color="auto" w:sz="4" w:space="0"/>
              <w:bottom w:val="single" w:color="auto" w:sz="4" w:space="0"/>
              <w:right w:val="single" w:color="auto" w:sz="4" w:space="0"/>
            </w:tcBorders>
            <w:vAlign w:val="center"/>
          </w:tcPr>
          <w:p w14:paraId="6071FD4A">
            <w:pPr>
              <w:widowControl/>
              <w:jc w:val="left"/>
              <w:rPr>
                <w:rFonts w:eastAsia="宋体"/>
                <w:color w:val="auto"/>
                <w:highlight w:val="none"/>
              </w:rPr>
            </w:pPr>
          </w:p>
        </w:tc>
        <w:tc>
          <w:tcPr>
            <w:tcW w:w="676" w:type="dxa"/>
            <w:tcBorders>
              <w:top w:val="nil"/>
              <w:left w:val="nil"/>
              <w:bottom w:val="single" w:color="auto" w:sz="4" w:space="0"/>
              <w:right w:val="single" w:color="auto" w:sz="4" w:space="0"/>
            </w:tcBorders>
            <w:noWrap/>
            <w:vAlign w:val="center"/>
          </w:tcPr>
          <w:p w14:paraId="333BC8BC">
            <w:pPr>
              <w:widowControl/>
              <w:jc w:val="center"/>
              <w:rPr>
                <w:rFonts w:eastAsia="宋体"/>
                <w:color w:val="auto"/>
                <w:highlight w:val="none"/>
              </w:rPr>
            </w:pPr>
            <w:r>
              <w:rPr>
                <w:rFonts w:hint="eastAsia" w:eastAsia="宋体"/>
                <w:color w:val="auto"/>
                <w:highlight w:val="none"/>
              </w:rPr>
              <w:t>编码</w:t>
            </w:r>
          </w:p>
        </w:tc>
        <w:tc>
          <w:tcPr>
            <w:tcW w:w="1157" w:type="dxa"/>
            <w:tcBorders>
              <w:top w:val="nil"/>
              <w:left w:val="nil"/>
              <w:bottom w:val="single" w:color="auto" w:sz="4" w:space="0"/>
              <w:right w:val="single" w:color="auto" w:sz="4" w:space="0"/>
            </w:tcBorders>
            <w:noWrap/>
            <w:vAlign w:val="center"/>
          </w:tcPr>
          <w:p w14:paraId="61593A89">
            <w:pPr>
              <w:widowControl/>
              <w:jc w:val="center"/>
              <w:rPr>
                <w:rFonts w:eastAsia="宋体"/>
                <w:color w:val="auto"/>
                <w:highlight w:val="none"/>
              </w:rPr>
            </w:pPr>
            <w:r>
              <w:rPr>
                <w:rFonts w:hint="eastAsia" w:eastAsia="宋体"/>
                <w:color w:val="auto"/>
                <w:highlight w:val="none"/>
              </w:rPr>
              <w:t>名称</w:t>
            </w:r>
          </w:p>
        </w:tc>
        <w:tc>
          <w:tcPr>
            <w:tcW w:w="695" w:type="dxa"/>
            <w:tcBorders>
              <w:top w:val="nil"/>
              <w:left w:val="nil"/>
              <w:bottom w:val="single" w:color="auto" w:sz="4" w:space="0"/>
              <w:right w:val="single" w:color="auto" w:sz="4" w:space="0"/>
            </w:tcBorders>
            <w:noWrap/>
            <w:vAlign w:val="center"/>
          </w:tcPr>
          <w:p w14:paraId="3D2986BD">
            <w:pPr>
              <w:widowControl/>
              <w:jc w:val="center"/>
              <w:rPr>
                <w:rFonts w:eastAsia="宋体"/>
                <w:color w:val="auto"/>
                <w:highlight w:val="none"/>
              </w:rPr>
            </w:pPr>
            <w:r>
              <w:rPr>
                <w:rFonts w:hint="eastAsia" w:eastAsia="宋体"/>
                <w:color w:val="auto"/>
                <w:highlight w:val="none"/>
              </w:rPr>
              <w:t>编码</w:t>
            </w:r>
          </w:p>
        </w:tc>
        <w:tc>
          <w:tcPr>
            <w:tcW w:w="1337" w:type="dxa"/>
            <w:tcBorders>
              <w:top w:val="nil"/>
              <w:left w:val="nil"/>
              <w:bottom w:val="single" w:color="auto" w:sz="4" w:space="0"/>
              <w:right w:val="single" w:color="auto" w:sz="4" w:space="0"/>
            </w:tcBorders>
            <w:noWrap/>
            <w:vAlign w:val="center"/>
          </w:tcPr>
          <w:p w14:paraId="1C71401A">
            <w:pPr>
              <w:widowControl/>
              <w:jc w:val="center"/>
              <w:rPr>
                <w:rFonts w:eastAsia="宋体"/>
                <w:color w:val="auto"/>
                <w:highlight w:val="none"/>
              </w:rPr>
            </w:pPr>
            <w:r>
              <w:rPr>
                <w:rFonts w:hint="eastAsia" w:eastAsia="宋体"/>
                <w:color w:val="auto"/>
                <w:highlight w:val="none"/>
              </w:rPr>
              <w:t>名称</w:t>
            </w:r>
          </w:p>
        </w:tc>
        <w:tc>
          <w:tcPr>
            <w:tcW w:w="1147" w:type="dxa"/>
            <w:tcBorders>
              <w:top w:val="nil"/>
              <w:left w:val="nil"/>
              <w:bottom w:val="single" w:color="auto" w:sz="4" w:space="0"/>
              <w:right w:val="single" w:color="auto" w:sz="4" w:space="0"/>
            </w:tcBorders>
            <w:noWrap/>
            <w:vAlign w:val="center"/>
          </w:tcPr>
          <w:p w14:paraId="016A8B4F">
            <w:pPr>
              <w:widowControl/>
              <w:jc w:val="center"/>
              <w:rPr>
                <w:rFonts w:eastAsia="宋体"/>
                <w:color w:val="auto"/>
                <w:highlight w:val="none"/>
              </w:rPr>
            </w:pPr>
            <w:r>
              <w:rPr>
                <w:rFonts w:hint="eastAsia" w:eastAsia="宋体"/>
                <w:color w:val="auto"/>
                <w:highlight w:val="none"/>
              </w:rPr>
              <w:t>hm</w:t>
            </w:r>
            <w:r>
              <w:rPr>
                <w:rFonts w:hint="eastAsia" w:eastAsia="宋体"/>
                <w:color w:val="auto"/>
                <w:highlight w:val="none"/>
                <w:vertAlign w:val="superscript"/>
              </w:rPr>
              <w:t>2</w:t>
            </w:r>
          </w:p>
        </w:tc>
        <w:tc>
          <w:tcPr>
            <w:tcW w:w="1390" w:type="dxa"/>
            <w:vMerge w:val="continue"/>
            <w:tcBorders>
              <w:left w:val="single" w:color="auto" w:sz="4" w:space="0"/>
              <w:bottom w:val="single" w:color="auto" w:sz="4" w:space="0"/>
              <w:right w:val="single" w:color="auto" w:sz="4" w:space="0"/>
            </w:tcBorders>
            <w:vAlign w:val="center"/>
          </w:tcPr>
          <w:p w14:paraId="403D4430">
            <w:pPr>
              <w:widowControl/>
              <w:jc w:val="left"/>
              <w:rPr>
                <w:rFonts w:eastAsia="宋体"/>
                <w:color w:val="auto"/>
                <w:highlight w:val="none"/>
              </w:rPr>
            </w:pPr>
          </w:p>
        </w:tc>
      </w:tr>
      <w:tr w14:paraId="4908F006">
        <w:tblPrEx>
          <w:tblCellMar>
            <w:top w:w="0" w:type="dxa"/>
            <w:left w:w="108" w:type="dxa"/>
            <w:bottom w:w="0" w:type="dxa"/>
            <w:right w:w="108" w:type="dxa"/>
          </w:tblCellMar>
        </w:tblPrEx>
        <w:trPr>
          <w:trHeight w:val="321" w:hRule="atLeast"/>
          <w:jc w:val="center"/>
        </w:trPr>
        <w:tc>
          <w:tcPr>
            <w:tcW w:w="1103" w:type="dxa"/>
            <w:vMerge w:val="restart"/>
            <w:tcBorders>
              <w:top w:val="nil"/>
              <w:left w:val="single" w:color="auto" w:sz="4" w:space="0"/>
              <w:right w:val="single" w:color="auto" w:sz="4" w:space="0"/>
            </w:tcBorders>
            <w:vAlign w:val="center"/>
          </w:tcPr>
          <w:p w14:paraId="2709E8CB">
            <w:pPr>
              <w:widowControl/>
              <w:jc w:val="center"/>
              <w:rPr>
                <w:rFonts w:eastAsia="宋体"/>
                <w:color w:val="auto"/>
                <w:highlight w:val="none"/>
              </w:rPr>
            </w:pPr>
            <w:r>
              <w:rPr>
                <w:rFonts w:hint="eastAsia" w:eastAsia="宋体"/>
                <w:color w:val="auto"/>
                <w:highlight w:val="none"/>
              </w:rPr>
              <w:t>露天采场（预计开采区）</w:t>
            </w:r>
          </w:p>
        </w:tc>
        <w:tc>
          <w:tcPr>
            <w:tcW w:w="1147" w:type="dxa"/>
            <w:vMerge w:val="restart"/>
            <w:tcBorders>
              <w:top w:val="nil"/>
              <w:left w:val="single" w:color="auto" w:sz="4" w:space="0"/>
              <w:right w:val="single" w:color="auto" w:sz="4" w:space="0"/>
            </w:tcBorders>
            <w:noWrap/>
            <w:vAlign w:val="center"/>
          </w:tcPr>
          <w:p w14:paraId="0662F71F">
            <w:pPr>
              <w:widowControl/>
              <w:jc w:val="center"/>
              <w:rPr>
                <w:rFonts w:eastAsia="宋体"/>
                <w:color w:val="auto"/>
                <w:highlight w:val="none"/>
              </w:rPr>
            </w:pPr>
            <w:r>
              <w:rPr>
                <w:rFonts w:hint="eastAsia" w:eastAsia="宋体"/>
                <w:color w:val="auto"/>
                <w:highlight w:val="none"/>
              </w:rPr>
              <w:t>挖损</w:t>
            </w:r>
          </w:p>
        </w:tc>
        <w:tc>
          <w:tcPr>
            <w:tcW w:w="676" w:type="dxa"/>
            <w:tcBorders>
              <w:top w:val="nil"/>
              <w:left w:val="single" w:color="auto" w:sz="4" w:space="0"/>
              <w:bottom w:val="single" w:color="auto" w:sz="4" w:space="0"/>
              <w:right w:val="single" w:color="auto" w:sz="4" w:space="0"/>
            </w:tcBorders>
            <w:noWrap/>
            <w:vAlign w:val="center"/>
          </w:tcPr>
          <w:p w14:paraId="317CAE84">
            <w:pPr>
              <w:widowControl/>
              <w:spacing w:line="240" w:lineRule="auto"/>
              <w:ind w:firstLine="0" w:firstLineChars="0"/>
              <w:jc w:val="center"/>
              <w:rPr>
                <w:rFonts w:hint="eastAsia" w:cs="宋体" w:asciiTheme="minorEastAsia" w:hAnsiTheme="minorEastAsia"/>
                <w:color w:val="auto"/>
                <w:kern w:val="0"/>
                <w:sz w:val="21"/>
                <w:lang w:val="en-US" w:eastAsia="zh-CN"/>
              </w:rPr>
            </w:pPr>
            <w:r>
              <w:rPr>
                <w:rFonts w:hint="eastAsia" w:cs="宋体" w:asciiTheme="minorEastAsia" w:hAnsiTheme="minorEastAsia"/>
                <w:color w:val="auto"/>
                <w:kern w:val="0"/>
                <w:sz w:val="21"/>
                <w:lang w:val="en-US" w:eastAsia="zh-CN"/>
              </w:rPr>
              <w:t>03</w:t>
            </w:r>
          </w:p>
        </w:tc>
        <w:tc>
          <w:tcPr>
            <w:tcW w:w="1157" w:type="dxa"/>
            <w:tcBorders>
              <w:top w:val="nil"/>
              <w:left w:val="single" w:color="auto" w:sz="4" w:space="0"/>
              <w:bottom w:val="single" w:color="auto" w:sz="4" w:space="0"/>
              <w:right w:val="single" w:color="auto" w:sz="4" w:space="0"/>
            </w:tcBorders>
            <w:noWrap/>
            <w:vAlign w:val="center"/>
          </w:tcPr>
          <w:p w14:paraId="539C7E99">
            <w:pPr>
              <w:widowControl/>
              <w:spacing w:line="240" w:lineRule="auto"/>
              <w:ind w:firstLine="0" w:firstLineChars="0"/>
              <w:jc w:val="center"/>
              <w:rPr>
                <w:rFonts w:hint="eastAsia" w:cs="宋体" w:asciiTheme="minorEastAsia" w:hAnsiTheme="minorEastAsia"/>
                <w:color w:val="auto"/>
                <w:kern w:val="0"/>
                <w:sz w:val="21"/>
                <w:lang w:val="en-US" w:eastAsia="zh-CN"/>
              </w:rPr>
            </w:pPr>
            <w:r>
              <w:rPr>
                <w:rFonts w:hint="eastAsia" w:cs="宋体" w:asciiTheme="minorEastAsia" w:hAnsiTheme="minorEastAsia"/>
                <w:color w:val="auto"/>
                <w:kern w:val="0"/>
                <w:sz w:val="21"/>
                <w:lang w:val="en-US" w:eastAsia="zh-CN"/>
              </w:rPr>
              <w:t>林地</w:t>
            </w:r>
          </w:p>
        </w:tc>
        <w:tc>
          <w:tcPr>
            <w:tcW w:w="695" w:type="dxa"/>
            <w:tcBorders>
              <w:top w:val="nil"/>
              <w:left w:val="nil"/>
              <w:bottom w:val="single" w:color="auto" w:sz="4" w:space="0"/>
              <w:right w:val="single" w:color="auto" w:sz="4" w:space="0"/>
            </w:tcBorders>
            <w:noWrap/>
            <w:vAlign w:val="center"/>
          </w:tcPr>
          <w:p w14:paraId="0372A756">
            <w:pPr>
              <w:widowControl/>
              <w:spacing w:line="240" w:lineRule="auto"/>
              <w:ind w:firstLine="0" w:firstLineChars="0"/>
              <w:jc w:val="center"/>
              <w:rPr>
                <w:rFonts w:hint="eastAsia" w:cs="宋体" w:asciiTheme="minorEastAsia" w:hAnsiTheme="minorEastAsia"/>
                <w:color w:val="auto"/>
                <w:kern w:val="0"/>
                <w:sz w:val="21"/>
                <w:lang w:val="en-US" w:eastAsia="zh-CN"/>
              </w:rPr>
            </w:pPr>
            <w:r>
              <w:rPr>
                <w:rFonts w:hint="eastAsia" w:cs="宋体" w:asciiTheme="minorEastAsia" w:hAnsiTheme="minorEastAsia"/>
                <w:color w:val="auto"/>
                <w:kern w:val="0"/>
                <w:sz w:val="21"/>
                <w:lang w:val="en-US" w:eastAsia="zh-CN"/>
              </w:rPr>
              <w:t>0301</w:t>
            </w:r>
          </w:p>
        </w:tc>
        <w:tc>
          <w:tcPr>
            <w:tcW w:w="1337" w:type="dxa"/>
            <w:tcBorders>
              <w:top w:val="nil"/>
              <w:left w:val="nil"/>
              <w:bottom w:val="single" w:color="auto" w:sz="4" w:space="0"/>
              <w:right w:val="single" w:color="auto" w:sz="4" w:space="0"/>
            </w:tcBorders>
            <w:noWrap/>
            <w:vAlign w:val="center"/>
          </w:tcPr>
          <w:p w14:paraId="6FC0E6E3">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rPr>
              <w:t>乔木林地</w:t>
            </w:r>
          </w:p>
        </w:tc>
        <w:tc>
          <w:tcPr>
            <w:tcW w:w="1147" w:type="dxa"/>
            <w:tcBorders>
              <w:top w:val="nil"/>
              <w:left w:val="nil"/>
              <w:bottom w:val="single" w:color="auto" w:sz="4" w:space="0"/>
              <w:right w:val="single" w:color="auto" w:sz="4" w:space="0"/>
            </w:tcBorders>
            <w:noWrap/>
            <w:vAlign w:val="center"/>
          </w:tcPr>
          <w:p w14:paraId="772CE33F">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lang w:val="en-US" w:eastAsia="zh-CN"/>
              </w:rPr>
              <w:t>0.65</w:t>
            </w:r>
          </w:p>
        </w:tc>
        <w:tc>
          <w:tcPr>
            <w:tcW w:w="1390" w:type="dxa"/>
            <w:tcBorders>
              <w:top w:val="nil"/>
              <w:left w:val="nil"/>
              <w:bottom w:val="single" w:color="auto" w:sz="4" w:space="0"/>
              <w:right w:val="single" w:color="auto" w:sz="4" w:space="0"/>
            </w:tcBorders>
            <w:vAlign w:val="center"/>
          </w:tcPr>
          <w:p w14:paraId="2364EC63">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lang w:val="en-US" w:eastAsia="zh-CN"/>
              </w:rPr>
              <w:t>81.25</w:t>
            </w:r>
          </w:p>
        </w:tc>
      </w:tr>
      <w:tr w14:paraId="3E6B617D">
        <w:tblPrEx>
          <w:tblCellMar>
            <w:top w:w="0" w:type="dxa"/>
            <w:left w:w="108" w:type="dxa"/>
            <w:bottom w:w="0" w:type="dxa"/>
            <w:right w:w="108" w:type="dxa"/>
          </w:tblCellMar>
        </w:tblPrEx>
        <w:trPr>
          <w:trHeight w:val="328" w:hRule="atLeast"/>
          <w:jc w:val="center"/>
        </w:trPr>
        <w:tc>
          <w:tcPr>
            <w:tcW w:w="1103" w:type="dxa"/>
            <w:vMerge w:val="continue"/>
            <w:tcBorders>
              <w:left w:val="single" w:color="auto" w:sz="4" w:space="0"/>
              <w:right w:val="single" w:color="auto" w:sz="4" w:space="0"/>
            </w:tcBorders>
            <w:vAlign w:val="center"/>
          </w:tcPr>
          <w:p w14:paraId="6A5FA3A3">
            <w:pPr>
              <w:widowControl/>
              <w:jc w:val="center"/>
              <w:rPr>
                <w:rFonts w:eastAsia="宋体"/>
                <w:color w:val="auto"/>
                <w:highlight w:val="none"/>
              </w:rPr>
            </w:pPr>
          </w:p>
        </w:tc>
        <w:tc>
          <w:tcPr>
            <w:tcW w:w="1147" w:type="dxa"/>
            <w:vMerge w:val="continue"/>
            <w:tcBorders>
              <w:left w:val="single" w:color="auto" w:sz="4" w:space="0"/>
              <w:right w:val="single" w:color="auto" w:sz="4" w:space="0"/>
            </w:tcBorders>
            <w:noWrap/>
            <w:vAlign w:val="center"/>
          </w:tcPr>
          <w:p w14:paraId="381606B3">
            <w:pPr>
              <w:widowControl/>
              <w:jc w:val="center"/>
              <w:rPr>
                <w:rFonts w:eastAsia="宋体"/>
                <w:color w:val="auto"/>
                <w:highlight w:val="none"/>
              </w:rPr>
            </w:pPr>
          </w:p>
        </w:tc>
        <w:tc>
          <w:tcPr>
            <w:tcW w:w="676" w:type="dxa"/>
            <w:tcBorders>
              <w:top w:val="nil"/>
              <w:left w:val="single" w:color="auto" w:sz="4" w:space="0"/>
              <w:bottom w:val="single" w:color="auto" w:sz="4" w:space="0"/>
              <w:right w:val="single" w:color="auto" w:sz="4" w:space="0"/>
            </w:tcBorders>
            <w:noWrap/>
            <w:vAlign w:val="center"/>
          </w:tcPr>
          <w:p w14:paraId="470339DF">
            <w:pPr>
              <w:widowControl/>
              <w:spacing w:line="240" w:lineRule="auto"/>
              <w:ind w:firstLine="0" w:firstLineChars="0"/>
              <w:jc w:val="center"/>
              <w:rPr>
                <w:rFonts w:hint="eastAsia" w:cs="宋体" w:asciiTheme="minorEastAsia" w:hAnsiTheme="minorEastAsia"/>
                <w:color w:val="auto"/>
                <w:kern w:val="0"/>
                <w:sz w:val="21"/>
                <w:lang w:val="en-US" w:eastAsia="zh-CN"/>
              </w:rPr>
            </w:pPr>
            <w:r>
              <w:rPr>
                <w:rFonts w:hint="eastAsia" w:cs="宋体" w:asciiTheme="minorEastAsia" w:hAnsiTheme="minorEastAsia"/>
                <w:color w:val="auto"/>
                <w:kern w:val="0"/>
                <w:sz w:val="21"/>
                <w:lang w:val="en-US" w:eastAsia="zh-CN"/>
              </w:rPr>
              <w:t>04</w:t>
            </w:r>
          </w:p>
        </w:tc>
        <w:tc>
          <w:tcPr>
            <w:tcW w:w="1157" w:type="dxa"/>
            <w:tcBorders>
              <w:top w:val="nil"/>
              <w:left w:val="single" w:color="auto" w:sz="4" w:space="0"/>
              <w:bottom w:val="single" w:color="auto" w:sz="4" w:space="0"/>
              <w:right w:val="single" w:color="auto" w:sz="4" w:space="0"/>
            </w:tcBorders>
            <w:noWrap/>
            <w:vAlign w:val="center"/>
          </w:tcPr>
          <w:p w14:paraId="2E783D02">
            <w:pPr>
              <w:widowControl/>
              <w:spacing w:line="240" w:lineRule="auto"/>
              <w:ind w:firstLine="0" w:firstLineChars="0"/>
              <w:jc w:val="center"/>
              <w:rPr>
                <w:rFonts w:hint="eastAsia" w:cs="宋体" w:asciiTheme="minorEastAsia" w:hAnsiTheme="minorEastAsia"/>
                <w:color w:val="auto"/>
                <w:kern w:val="0"/>
                <w:sz w:val="21"/>
                <w:lang w:val="en-US" w:eastAsia="zh-CN"/>
              </w:rPr>
            </w:pPr>
            <w:r>
              <w:rPr>
                <w:rFonts w:hint="eastAsia" w:cs="宋体" w:asciiTheme="minorEastAsia" w:hAnsiTheme="minorEastAsia"/>
                <w:color w:val="auto"/>
                <w:kern w:val="0"/>
                <w:sz w:val="21"/>
                <w:lang w:val="en-US" w:eastAsia="zh-CN"/>
              </w:rPr>
              <w:t>草地</w:t>
            </w:r>
          </w:p>
        </w:tc>
        <w:tc>
          <w:tcPr>
            <w:tcW w:w="695" w:type="dxa"/>
            <w:tcBorders>
              <w:top w:val="nil"/>
              <w:left w:val="nil"/>
              <w:bottom w:val="single" w:color="auto" w:sz="4" w:space="0"/>
              <w:right w:val="single" w:color="auto" w:sz="4" w:space="0"/>
            </w:tcBorders>
            <w:noWrap/>
            <w:vAlign w:val="center"/>
          </w:tcPr>
          <w:p w14:paraId="23EFDDB2">
            <w:pPr>
              <w:widowControl/>
              <w:spacing w:line="240" w:lineRule="auto"/>
              <w:ind w:firstLine="0" w:firstLineChars="0"/>
              <w:jc w:val="center"/>
              <w:rPr>
                <w:rFonts w:hint="eastAsia" w:cs="宋体" w:asciiTheme="minorEastAsia" w:hAnsiTheme="minorEastAsia"/>
                <w:color w:val="auto"/>
                <w:kern w:val="0"/>
                <w:sz w:val="21"/>
                <w:lang w:val="en-US" w:eastAsia="zh-CN"/>
              </w:rPr>
            </w:pPr>
            <w:r>
              <w:rPr>
                <w:rFonts w:hint="eastAsia" w:cs="宋体" w:asciiTheme="minorEastAsia" w:hAnsiTheme="minorEastAsia"/>
                <w:color w:val="auto"/>
                <w:kern w:val="0"/>
                <w:sz w:val="21"/>
                <w:lang w:val="en-US" w:eastAsia="zh-CN"/>
              </w:rPr>
              <w:t>0404</w:t>
            </w:r>
          </w:p>
        </w:tc>
        <w:tc>
          <w:tcPr>
            <w:tcW w:w="1337" w:type="dxa"/>
            <w:tcBorders>
              <w:top w:val="nil"/>
              <w:left w:val="nil"/>
              <w:bottom w:val="single" w:color="auto" w:sz="4" w:space="0"/>
              <w:right w:val="single" w:color="auto" w:sz="4" w:space="0"/>
            </w:tcBorders>
            <w:noWrap/>
            <w:vAlign w:val="center"/>
          </w:tcPr>
          <w:p w14:paraId="4F2E2EB7">
            <w:pPr>
              <w:widowControl/>
              <w:spacing w:line="240" w:lineRule="auto"/>
              <w:ind w:firstLine="0" w:firstLineChars="0"/>
              <w:jc w:val="center"/>
              <w:rPr>
                <w:rFonts w:eastAsia="宋体"/>
                <w:color w:val="auto"/>
                <w:highlight w:val="none"/>
              </w:rPr>
            </w:pPr>
            <w:r>
              <w:rPr>
                <w:rFonts w:hint="eastAsia" w:cs="宋体" w:asciiTheme="minorEastAsia" w:hAnsiTheme="minorEastAsia" w:eastAsiaTheme="minorEastAsia"/>
                <w:color w:val="auto"/>
                <w:kern w:val="0"/>
                <w:sz w:val="21"/>
              </w:rPr>
              <w:t>其他林地</w:t>
            </w:r>
          </w:p>
        </w:tc>
        <w:tc>
          <w:tcPr>
            <w:tcW w:w="1147" w:type="dxa"/>
            <w:tcBorders>
              <w:top w:val="nil"/>
              <w:left w:val="nil"/>
              <w:bottom w:val="single" w:color="auto" w:sz="4" w:space="0"/>
              <w:right w:val="single" w:color="auto" w:sz="4" w:space="0"/>
            </w:tcBorders>
            <w:noWrap/>
            <w:vAlign w:val="center"/>
          </w:tcPr>
          <w:p w14:paraId="5DD55ADA">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lang w:val="en-US" w:eastAsia="zh-CN"/>
              </w:rPr>
              <w:t>0.05</w:t>
            </w:r>
          </w:p>
        </w:tc>
        <w:tc>
          <w:tcPr>
            <w:tcW w:w="1390" w:type="dxa"/>
            <w:tcBorders>
              <w:top w:val="nil"/>
              <w:left w:val="nil"/>
              <w:bottom w:val="single" w:color="auto" w:sz="4" w:space="0"/>
              <w:right w:val="single" w:color="auto" w:sz="4" w:space="0"/>
            </w:tcBorders>
            <w:vAlign w:val="center"/>
          </w:tcPr>
          <w:p w14:paraId="15C88033">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lang w:val="en-US" w:eastAsia="zh-CN"/>
              </w:rPr>
              <w:t>6.25</w:t>
            </w:r>
          </w:p>
        </w:tc>
      </w:tr>
      <w:tr w14:paraId="721C4FD3">
        <w:tblPrEx>
          <w:tblCellMar>
            <w:top w:w="0" w:type="dxa"/>
            <w:left w:w="108" w:type="dxa"/>
            <w:bottom w:w="0" w:type="dxa"/>
            <w:right w:w="108" w:type="dxa"/>
          </w:tblCellMar>
        </w:tblPrEx>
        <w:trPr>
          <w:trHeight w:val="328" w:hRule="atLeast"/>
          <w:jc w:val="center"/>
        </w:trPr>
        <w:tc>
          <w:tcPr>
            <w:tcW w:w="1103" w:type="dxa"/>
            <w:vMerge w:val="continue"/>
            <w:tcBorders>
              <w:left w:val="single" w:color="auto" w:sz="4" w:space="0"/>
              <w:bottom w:val="single" w:color="000000" w:sz="4" w:space="0"/>
              <w:right w:val="single" w:color="auto" w:sz="4" w:space="0"/>
            </w:tcBorders>
            <w:vAlign w:val="center"/>
          </w:tcPr>
          <w:p w14:paraId="7267EFFB">
            <w:pPr>
              <w:widowControl/>
              <w:jc w:val="center"/>
              <w:rPr>
                <w:rFonts w:eastAsia="宋体"/>
                <w:color w:val="auto"/>
                <w:highlight w:val="none"/>
              </w:rPr>
            </w:pPr>
          </w:p>
        </w:tc>
        <w:tc>
          <w:tcPr>
            <w:tcW w:w="1147" w:type="dxa"/>
            <w:vMerge w:val="continue"/>
            <w:tcBorders>
              <w:left w:val="single" w:color="auto" w:sz="4" w:space="0"/>
              <w:bottom w:val="single" w:color="000000" w:sz="4" w:space="0"/>
              <w:right w:val="single" w:color="auto" w:sz="4" w:space="0"/>
            </w:tcBorders>
            <w:noWrap/>
            <w:vAlign w:val="center"/>
          </w:tcPr>
          <w:p w14:paraId="133F27F6">
            <w:pPr>
              <w:widowControl/>
              <w:jc w:val="center"/>
              <w:rPr>
                <w:rFonts w:eastAsia="宋体"/>
                <w:color w:val="auto"/>
                <w:highlight w:val="none"/>
              </w:rPr>
            </w:pPr>
          </w:p>
        </w:tc>
        <w:tc>
          <w:tcPr>
            <w:tcW w:w="676" w:type="dxa"/>
            <w:tcBorders>
              <w:top w:val="nil"/>
              <w:left w:val="single" w:color="auto" w:sz="4" w:space="0"/>
              <w:bottom w:val="single" w:color="auto" w:sz="4" w:space="0"/>
              <w:right w:val="single" w:color="auto" w:sz="4" w:space="0"/>
            </w:tcBorders>
            <w:noWrap/>
            <w:vAlign w:val="center"/>
          </w:tcPr>
          <w:p w14:paraId="7EDF0448">
            <w:pPr>
              <w:widowControl/>
              <w:spacing w:line="240" w:lineRule="auto"/>
              <w:ind w:firstLine="0" w:firstLineChars="0"/>
              <w:jc w:val="center"/>
              <w:rPr>
                <w:rFonts w:hint="eastAsia" w:cs="宋体" w:asciiTheme="minorEastAsia" w:hAnsiTheme="minorEastAsia"/>
                <w:color w:val="auto"/>
                <w:kern w:val="0"/>
                <w:sz w:val="21"/>
                <w:lang w:val="en-US" w:eastAsia="zh-CN"/>
              </w:rPr>
            </w:pPr>
            <w:r>
              <w:rPr>
                <w:rFonts w:hint="eastAsia" w:cs="宋体" w:asciiTheme="minorEastAsia" w:hAnsiTheme="minorEastAsia"/>
                <w:color w:val="auto"/>
                <w:kern w:val="0"/>
                <w:sz w:val="21"/>
                <w:lang w:val="en-US" w:eastAsia="zh-CN"/>
              </w:rPr>
              <w:t>01</w:t>
            </w:r>
          </w:p>
        </w:tc>
        <w:tc>
          <w:tcPr>
            <w:tcW w:w="1157" w:type="dxa"/>
            <w:tcBorders>
              <w:top w:val="nil"/>
              <w:left w:val="single" w:color="auto" w:sz="4" w:space="0"/>
              <w:bottom w:val="single" w:color="auto" w:sz="4" w:space="0"/>
              <w:right w:val="single" w:color="auto" w:sz="4" w:space="0"/>
            </w:tcBorders>
            <w:noWrap/>
            <w:vAlign w:val="center"/>
          </w:tcPr>
          <w:p w14:paraId="6059F0A9">
            <w:pPr>
              <w:widowControl/>
              <w:spacing w:line="240" w:lineRule="auto"/>
              <w:ind w:firstLine="0" w:firstLineChars="0"/>
              <w:jc w:val="center"/>
              <w:rPr>
                <w:rFonts w:hint="eastAsia" w:cs="宋体" w:asciiTheme="minorEastAsia" w:hAnsiTheme="minorEastAsia"/>
                <w:color w:val="auto"/>
                <w:kern w:val="0"/>
                <w:sz w:val="21"/>
                <w:lang w:val="en-US" w:eastAsia="zh-CN"/>
              </w:rPr>
            </w:pPr>
            <w:r>
              <w:rPr>
                <w:rFonts w:hint="eastAsia" w:cs="宋体" w:asciiTheme="minorEastAsia" w:hAnsiTheme="minorEastAsia"/>
                <w:color w:val="auto"/>
                <w:kern w:val="0"/>
                <w:sz w:val="21"/>
                <w:lang w:val="en-US" w:eastAsia="zh-CN"/>
              </w:rPr>
              <w:t>耕地</w:t>
            </w:r>
          </w:p>
        </w:tc>
        <w:tc>
          <w:tcPr>
            <w:tcW w:w="695" w:type="dxa"/>
            <w:tcBorders>
              <w:top w:val="nil"/>
              <w:left w:val="nil"/>
              <w:bottom w:val="single" w:color="auto" w:sz="4" w:space="0"/>
              <w:right w:val="single" w:color="auto" w:sz="4" w:space="0"/>
            </w:tcBorders>
            <w:noWrap/>
            <w:vAlign w:val="center"/>
          </w:tcPr>
          <w:p w14:paraId="3F758ECB">
            <w:pPr>
              <w:widowControl/>
              <w:spacing w:line="240" w:lineRule="auto"/>
              <w:ind w:firstLine="0" w:firstLineChars="0"/>
              <w:jc w:val="center"/>
              <w:rPr>
                <w:rFonts w:hint="eastAsia" w:cs="宋体" w:asciiTheme="minorEastAsia" w:hAnsiTheme="minorEastAsia"/>
                <w:color w:val="auto"/>
                <w:kern w:val="0"/>
                <w:sz w:val="21"/>
                <w:lang w:val="en-US" w:eastAsia="zh-CN"/>
              </w:rPr>
            </w:pPr>
            <w:r>
              <w:rPr>
                <w:rFonts w:hint="eastAsia" w:cs="宋体" w:asciiTheme="minorEastAsia" w:hAnsiTheme="minorEastAsia"/>
                <w:color w:val="auto"/>
                <w:kern w:val="0"/>
                <w:sz w:val="21"/>
                <w:lang w:val="en-US" w:eastAsia="zh-CN"/>
              </w:rPr>
              <w:t>0103</w:t>
            </w:r>
          </w:p>
        </w:tc>
        <w:tc>
          <w:tcPr>
            <w:tcW w:w="1337" w:type="dxa"/>
            <w:tcBorders>
              <w:top w:val="nil"/>
              <w:left w:val="nil"/>
              <w:bottom w:val="single" w:color="auto" w:sz="4" w:space="0"/>
              <w:right w:val="single" w:color="auto" w:sz="4" w:space="0"/>
            </w:tcBorders>
            <w:noWrap/>
            <w:vAlign w:val="center"/>
          </w:tcPr>
          <w:p w14:paraId="7344CB4C">
            <w:pPr>
              <w:widowControl/>
              <w:spacing w:line="240" w:lineRule="auto"/>
              <w:ind w:firstLine="0" w:firstLineChars="0"/>
              <w:jc w:val="center"/>
              <w:rPr>
                <w:rFonts w:hint="eastAsia" w:ascii="Times New Roman" w:hAnsi="Times New Roman" w:cs="Times New Roman" w:eastAsiaTheme="minorEastAsia"/>
                <w:color w:val="auto"/>
                <w:highlight w:val="none"/>
                <w:lang w:eastAsia="zh-CN"/>
              </w:rPr>
            </w:pPr>
            <w:r>
              <w:rPr>
                <w:rFonts w:hint="eastAsia" w:cs="宋体" w:asciiTheme="minorEastAsia" w:hAnsiTheme="minorEastAsia"/>
                <w:color w:val="auto"/>
                <w:kern w:val="0"/>
                <w:sz w:val="21"/>
                <w:lang w:val="en-US" w:eastAsia="zh-CN"/>
              </w:rPr>
              <w:t>旱地</w:t>
            </w:r>
          </w:p>
        </w:tc>
        <w:tc>
          <w:tcPr>
            <w:tcW w:w="1147" w:type="dxa"/>
            <w:tcBorders>
              <w:top w:val="nil"/>
              <w:left w:val="nil"/>
              <w:bottom w:val="single" w:color="auto" w:sz="4" w:space="0"/>
              <w:right w:val="single" w:color="auto" w:sz="4" w:space="0"/>
            </w:tcBorders>
            <w:noWrap/>
            <w:vAlign w:val="center"/>
          </w:tcPr>
          <w:p w14:paraId="6075B4A1">
            <w:pPr>
              <w:widowControl/>
              <w:spacing w:line="240" w:lineRule="auto"/>
              <w:ind w:firstLine="0" w:firstLineChars="0"/>
              <w:jc w:val="center"/>
              <w:rPr>
                <w:rFonts w:hint="eastAsia" w:eastAsiaTheme="minorEastAsia"/>
                <w:color w:val="auto"/>
                <w:highlight w:val="none"/>
                <w:lang w:eastAsia="zh-CN"/>
              </w:rPr>
            </w:pPr>
            <w:r>
              <w:rPr>
                <w:rFonts w:hint="eastAsia" w:ascii="仿宋" w:hAnsi="仿宋" w:eastAsia="仿宋" w:cs="仿宋"/>
                <w:color w:val="auto"/>
                <w:kern w:val="0"/>
                <w:sz w:val="21"/>
                <w:szCs w:val="21"/>
                <w:lang w:val="en-US" w:eastAsia="zh-CN"/>
              </w:rPr>
              <w:t>0.1</w:t>
            </w:r>
          </w:p>
        </w:tc>
        <w:tc>
          <w:tcPr>
            <w:tcW w:w="1390" w:type="dxa"/>
            <w:tcBorders>
              <w:top w:val="nil"/>
              <w:left w:val="nil"/>
              <w:bottom w:val="single" w:color="auto" w:sz="4" w:space="0"/>
              <w:right w:val="single" w:color="auto" w:sz="4" w:space="0"/>
            </w:tcBorders>
            <w:vAlign w:val="center"/>
          </w:tcPr>
          <w:p w14:paraId="6CBF1119">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lang w:val="en-US" w:eastAsia="zh-CN"/>
              </w:rPr>
              <w:t>12.5</w:t>
            </w:r>
          </w:p>
        </w:tc>
      </w:tr>
      <w:tr w14:paraId="4107DA2C">
        <w:tblPrEx>
          <w:tblCellMar>
            <w:top w:w="0" w:type="dxa"/>
            <w:left w:w="108" w:type="dxa"/>
            <w:bottom w:w="0" w:type="dxa"/>
            <w:right w:w="108" w:type="dxa"/>
          </w:tblCellMar>
        </w:tblPrEx>
        <w:trPr>
          <w:trHeight w:val="328" w:hRule="atLeast"/>
          <w:jc w:val="center"/>
        </w:trPr>
        <w:tc>
          <w:tcPr>
            <w:tcW w:w="4083" w:type="dxa"/>
            <w:gridSpan w:val="4"/>
            <w:tcBorders>
              <w:top w:val="single" w:color="auto" w:sz="4" w:space="0"/>
              <w:left w:val="single" w:color="auto" w:sz="4" w:space="0"/>
              <w:bottom w:val="single" w:color="auto" w:sz="4" w:space="0"/>
              <w:right w:val="single" w:color="auto" w:sz="4" w:space="0"/>
            </w:tcBorders>
            <w:noWrap/>
            <w:vAlign w:val="center"/>
          </w:tcPr>
          <w:p w14:paraId="5755D183">
            <w:pPr>
              <w:widowControl/>
              <w:jc w:val="center"/>
              <w:rPr>
                <w:rFonts w:eastAsia="宋体"/>
                <w:color w:val="auto"/>
                <w:highlight w:val="none"/>
              </w:rPr>
            </w:pPr>
            <w:r>
              <w:rPr>
                <w:rFonts w:hint="eastAsia" w:eastAsia="宋体"/>
                <w:color w:val="auto"/>
                <w:highlight w:val="none"/>
              </w:rPr>
              <w:t>合计</w:t>
            </w:r>
          </w:p>
        </w:tc>
        <w:tc>
          <w:tcPr>
            <w:tcW w:w="695" w:type="dxa"/>
            <w:tcBorders>
              <w:top w:val="nil"/>
              <w:left w:val="nil"/>
              <w:bottom w:val="single" w:color="auto" w:sz="4" w:space="0"/>
              <w:right w:val="single" w:color="auto" w:sz="4" w:space="0"/>
            </w:tcBorders>
            <w:noWrap/>
            <w:vAlign w:val="center"/>
          </w:tcPr>
          <w:p w14:paraId="10A08FA0">
            <w:pPr>
              <w:widowControl/>
              <w:jc w:val="center"/>
              <w:rPr>
                <w:rFonts w:eastAsia="宋体"/>
                <w:color w:val="auto"/>
                <w:highlight w:val="none"/>
              </w:rPr>
            </w:pPr>
            <w:r>
              <w:rPr>
                <w:rFonts w:hint="eastAsia" w:eastAsia="宋体"/>
                <w:color w:val="auto"/>
                <w:highlight w:val="none"/>
              </w:rPr>
              <w:t>—</w:t>
            </w:r>
          </w:p>
        </w:tc>
        <w:tc>
          <w:tcPr>
            <w:tcW w:w="1337" w:type="dxa"/>
            <w:tcBorders>
              <w:top w:val="nil"/>
              <w:left w:val="nil"/>
              <w:bottom w:val="single" w:color="auto" w:sz="4" w:space="0"/>
              <w:right w:val="single" w:color="auto" w:sz="4" w:space="0"/>
            </w:tcBorders>
            <w:noWrap/>
            <w:vAlign w:val="center"/>
          </w:tcPr>
          <w:p w14:paraId="5C825F3C">
            <w:pPr>
              <w:widowControl/>
              <w:jc w:val="center"/>
              <w:rPr>
                <w:rFonts w:eastAsia="宋体"/>
                <w:color w:val="auto"/>
                <w:highlight w:val="none"/>
              </w:rPr>
            </w:pPr>
            <w:r>
              <w:rPr>
                <w:rFonts w:hint="eastAsia" w:eastAsia="宋体"/>
                <w:color w:val="auto"/>
                <w:highlight w:val="none"/>
              </w:rPr>
              <w:t>—</w:t>
            </w:r>
          </w:p>
        </w:tc>
        <w:tc>
          <w:tcPr>
            <w:tcW w:w="1147" w:type="dxa"/>
            <w:tcBorders>
              <w:top w:val="nil"/>
              <w:left w:val="nil"/>
              <w:bottom w:val="single" w:color="auto" w:sz="4" w:space="0"/>
              <w:right w:val="single" w:color="auto" w:sz="4" w:space="0"/>
            </w:tcBorders>
            <w:noWrap/>
            <w:vAlign w:val="center"/>
          </w:tcPr>
          <w:p w14:paraId="0D37519F">
            <w:pPr>
              <w:widowControl/>
              <w:spacing w:line="240" w:lineRule="auto"/>
              <w:ind w:firstLine="0" w:firstLineChars="0"/>
              <w:jc w:val="center"/>
              <w:rPr>
                <w:rFonts w:hint="default" w:eastAsia="宋体"/>
                <w:color w:val="auto"/>
                <w:highlight w:val="none"/>
                <w:lang w:val="en-US" w:eastAsia="zh-CN"/>
              </w:rPr>
            </w:pPr>
            <w:r>
              <w:rPr>
                <w:rFonts w:hint="eastAsia" w:ascii="仿宋" w:hAnsi="仿宋" w:eastAsia="仿宋" w:cs="仿宋"/>
                <w:color w:val="auto"/>
                <w:kern w:val="0"/>
                <w:sz w:val="21"/>
                <w:szCs w:val="21"/>
                <w:lang w:val="en-US" w:eastAsia="zh-CN"/>
              </w:rPr>
              <w:t>0.8</w:t>
            </w:r>
          </w:p>
        </w:tc>
        <w:tc>
          <w:tcPr>
            <w:tcW w:w="1390" w:type="dxa"/>
            <w:tcBorders>
              <w:top w:val="nil"/>
              <w:left w:val="nil"/>
              <w:bottom w:val="single" w:color="auto" w:sz="4" w:space="0"/>
              <w:right w:val="single" w:color="auto" w:sz="4" w:space="0"/>
            </w:tcBorders>
            <w:noWrap/>
            <w:vAlign w:val="center"/>
          </w:tcPr>
          <w:p w14:paraId="105E7315">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rPr>
              <w:t>100</w:t>
            </w:r>
          </w:p>
        </w:tc>
      </w:tr>
    </w:tbl>
    <w:p w14:paraId="226F3A06">
      <w:pPr>
        <w:pStyle w:val="22"/>
        <w:ind w:firstLine="0" w:firstLineChars="0"/>
        <w:rPr>
          <w:rFonts w:ascii="Times New Roman" w:hAnsi="Times New Roman" w:eastAsia="宋体" w:cs="Times New Roman"/>
          <w:b/>
          <w:color w:val="auto"/>
          <w:kern w:val="0"/>
          <w:sz w:val="21"/>
          <w:highlight w:val="none"/>
        </w:rPr>
      </w:pPr>
    </w:p>
    <w:p w14:paraId="3E4075FD">
      <w:pPr>
        <w:pStyle w:val="4"/>
        <w:rPr>
          <w:rFonts w:ascii="Times New Roman" w:hAnsi="Times New Roman" w:eastAsia="宋体" w:cs="Times New Roman"/>
          <w:color w:val="auto"/>
          <w:highlight w:val="none"/>
        </w:rPr>
      </w:pPr>
      <w:bookmarkStart w:id="109" w:name="_Toc27670"/>
      <w:r>
        <w:rPr>
          <w:rFonts w:ascii="Times New Roman" w:hAnsi="Times New Roman" w:eastAsia="宋体" w:cs="Times New Roman"/>
          <w:color w:val="auto"/>
          <w:highlight w:val="none"/>
        </w:rPr>
        <w:t>（四）土地损毁程度</w:t>
      </w:r>
      <w:bookmarkEnd w:id="109"/>
    </w:p>
    <w:p w14:paraId="1671D50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土地破坏程度分析揭示了土地利用范围及可利用的能力，矿山土地的破坏表现在矿山开发活动，引起矿山土地质量控制因素指标在矿山原始土地质量背景值基础上，向不利于土地利用的方向变化。这包含了两个方面：</w:t>
      </w:r>
    </w:p>
    <w:p w14:paraId="7CA5150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一是矿山土地破坏是相对于开发活动之前土地质量原始背景值的变化；二是矿山土地质量的变化是矿山开发活动直接或间接引起的。</w:t>
      </w:r>
    </w:p>
    <w:p w14:paraId="68FD1E8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土地破坏程度评价实际上是矿山开发活动引起的矿山土地质量变化程度的评价。根据《中华人民共和国土地管理法》和国务院颁布的《土地复垦规定》，把土地破坏程度预测等级数确定为3级标准，分别定为：一级（轻度破坏）、二级（中度破坏）、三级（重度破坏）。评价要素的具体等级标准目前国内外尚无精确的划分值，方案是根据类似工程的土地破坏要素调查情况，参考各相关学科的实际经验数据，采用主导要素法进行评价及划分等级。具体标准见表3-11和3-12。</w:t>
      </w:r>
    </w:p>
    <w:p w14:paraId="382264BD">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表3-1</w:t>
      </w:r>
      <w:r>
        <w:rPr>
          <w:rFonts w:hint="eastAsia" w:ascii="Times New Roman" w:hAnsi="Times New Roman" w:eastAsia="宋体" w:cs="Times New Roman"/>
          <w:b/>
          <w:color w:val="auto"/>
          <w:kern w:val="0"/>
          <w:highlight w:val="none"/>
        </w:rPr>
        <w:t>1</w:t>
      </w:r>
      <w:r>
        <w:rPr>
          <w:rFonts w:ascii="Times New Roman" w:hAnsi="Times New Roman" w:eastAsia="宋体" w:cs="Times New Roman"/>
          <w:b/>
          <w:color w:val="auto"/>
          <w:kern w:val="0"/>
          <w:highlight w:val="none"/>
        </w:rPr>
        <w:t xml:space="preserve">  挖损地破坏程度评价要素及等级标准表</w:t>
      </w:r>
    </w:p>
    <w:tbl>
      <w:tblPr>
        <w:tblStyle w:val="23"/>
        <w:tblW w:w="8787" w:type="dxa"/>
        <w:jc w:val="center"/>
        <w:tblLayout w:type="fixed"/>
        <w:tblCellMar>
          <w:top w:w="0" w:type="dxa"/>
          <w:left w:w="0" w:type="dxa"/>
          <w:bottom w:w="0" w:type="dxa"/>
          <w:right w:w="0" w:type="dxa"/>
        </w:tblCellMar>
      </w:tblPr>
      <w:tblGrid>
        <w:gridCol w:w="1541"/>
        <w:gridCol w:w="1541"/>
        <w:gridCol w:w="1728"/>
        <w:gridCol w:w="2251"/>
        <w:gridCol w:w="1726"/>
      </w:tblGrid>
      <w:tr w14:paraId="7E18F189">
        <w:tblPrEx>
          <w:tblCellMar>
            <w:top w:w="0" w:type="dxa"/>
            <w:left w:w="0" w:type="dxa"/>
            <w:bottom w:w="0" w:type="dxa"/>
            <w:right w:w="0" w:type="dxa"/>
          </w:tblCellMar>
        </w:tblPrEx>
        <w:trPr>
          <w:trHeight w:val="285" w:hRule="atLeast"/>
          <w:jc w:val="center"/>
        </w:trPr>
        <w:tc>
          <w:tcPr>
            <w:tcW w:w="877" w:type="pct"/>
            <w:vMerge w:val="restart"/>
            <w:tcBorders>
              <w:top w:val="single" w:color="auto" w:sz="4" w:space="0"/>
              <w:left w:val="single" w:color="auto" w:sz="4" w:space="0"/>
              <w:bottom w:val="single" w:color="auto" w:sz="4" w:space="0"/>
              <w:right w:val="single" w:color="auto" w:sz="4" w:space="0"/>
            </w:tcBorders>
            <w:noWrap/>
            <w:vAlign w:val="center"/>
          </w:tcPr>
          <w:p w14:paraId="3E57CB5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评价要素</w:t>
            </w:r>
          </w:p>
        </w:tc>
        <w:tc>
          <w:tcPr>
            <w:tcW w:w="877" w:type="pct"/>
            <w:vMerge w:val="restart"/>
            <w:tcBorders>
              <w:top w:val="single" w:color="auto" w:sz="4" w:space="0"/>
              <w:left w:val="single" w:color="auto" w:sz="4" w:space="0"/>
              <w:bottom w:val="single" w:color="auto" w:sz="4" w:space="0"/>
              <w:right w:val="single" w:color="auto" w:sz="4" w:space="0"/>
            </w:tcBorders>
            <w:noWrap/>
            <w:vAlign w:val="center"/>
          </w:tcPr>
          <w:p w14:paraId="6EF4A8E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评价因子</w:t>
            </w:r>
          </w:p>
        </w:tc>
        <w:tc>
          <w:tcPr>
            <w:tcW w:w="3246" w:type="pct"/>
            <w:gridSpan w:val="3"/>
            <w:tcBorders>
              <w:top w:val="single" w:color="auto" w:sz="4" w:space="0"/>
              <w:left w:val="nil"/>
              <w:bottom w:val="single" w:color="auto" w:sz="4" w:space="0"/>
              <w:right w:val="single" w:color="auto" w:sz="4" w:space="0"/>
            </w:tcBorders>
            <w:noWrap/>
            <w:vAlign w:val="center"/>
          </w:tcPr>
          <w:p w14:paraId="663B1DF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评价等级</w:t>
            </w:r>
          </w:p>
        </w:tc>
      </w:tr>
      <w:tr w14:paraId="75993625">
        <w:tblPrEx>
          <w:tblCellMar>
            <w:top w:w="0" w:type="dxa"/>
            <w:left w:w="0" w:type="dxa"/>
            <w:bottom w:w="0" w:type="dxa"/>
            <w:right w:w="0" w:type="dxa"/>
          </w:tblCellMar>
        </w:tblPrEx>
        <w:trPr>
          <w:trHeight w:val="285" w:hRule="atLeast"/>
          <w:jc w:val="center"/>
        </w:trPr>
        <w:tc>
          <w:tcPr>
            <w:tcW w:w="877" w:type="pct"/>
            <w:vMerge w:val="continue"/>
            <w:tcBorders>
              <w:top w:val="single" w:color="auto" w:sz="4" w:space="0"/>
              <w:left w:val="single" w:color="auto" w:sz="4" w:space="0"/>
              <w:bottom w:val="single" w:color="auto" w:sz="4" w:space="0"/>
              <w:right w:val="single" w:color="auto" w:sz="4" w:space="0"/>
            </w:tcBorders>
            <w:vAlign w:val="center"/>
          </w:tcPr>
          <w:p w14:paraId="73ABC6AC">
            <w:pPr>
              <w:jc w:val="center"/>
              <w:rPr>
                <w:rFonts w:ascii="Times New Roman" w:hAnsi="Times New Roman" w:eastAsia="宋体" w:cs="Times New Roman"/>
                <w:color w:val="auto"/>
                <w:highlight w:val="none"/>
              </w:rPr>
            </w:pPr>
          </w:p>
        </w:tc>
        <w:tc>
          <w:tcPr>
            <w:tcW w:w="877" w:type="pct"/>
            <w:vMerge w:val="continue"/>
            <w:tcBorders>
              <w:top w:val="single" w:color="auto" w:sz="4" w:space="0"/>
              <w:left w:val="single" w:color="auto" w:sz="4" w:space="0"/>
              <w:bottom w:val="single" w:color="auto" w:sz="4" w:space="0"/>
              <w:right w:val="single" w:color="auto" w:sz="4" w:space="0"/>
            </w:tcBorders>
            <w:vAlign w:val="center"/>
          </w:tcPr>
          <w:p w14:paraId="5B0C8EA6">
            <w:pPr>
              <w:jc w:val="center"/>
              <w:rPr>
                <w:rFonts w:ascii="Times New Roman" w:hAnsi="Times New Roman" w:eastAsia="宋体" w:cs="Times New Roman"/>
                <w:color w:val="auto"/>
                <w:highlight w:val="none"/>
              </w:rPr>
            </w:pPr>
          </w:p>
        </w:tc>
        <w:tc>
          <w:tcPr>
            <w:tcW w:w="983" w:type="pct"/>
            <w:tcBorders>
              <w:top w:val="nil"/>
              <w:left w:val="nil"/>
              <w:bottom w:val="single" w:color="auto" w:sz="4" w:space="0"/>
              <w:right w:val="single" w:color="auto" w:sz="4" w:space="0"/>
            </w:tcBorders>
            <w:noWrap/>
            <w:vAlign w:val="center"/>
          </w:tcPr>
          <w:p w14:paraId="5BC9CB7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轻度破坏</w:t>
            </w:r>
          </w:p>
        </w:tc>
        <w:tc>
          <w:tcPr>
            <w:tcW w:w="1281" w:type="pct"/>
            <w:tcBorders>
              <w:top w:val="nil"/>
              <w:left w:val="nil"/>
              <w:bottom w:val="single" w:color="auto" w:sz="4" w:space="0"/>
              <w:right w:val="single" w:color="auto" w:sz="4" w:space="0"/>
            </w:tcBorders>
            <w:noWrap/>
            <w:vAlign w:val="center"/>
          </w:tcPr>
          <w:p w14:paraId="7D86D0A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中度破坏</w:t>
            </w:r>
          </w:p>
        </w:tc>
        <w:tc>
          <w:tcPr>
            <w:tcW w:w="982" w:type="pct"/>
            <w:tcBorders>
              <w:top w:val="nil"/>
              <w:left w:val="nil"/>
              <w:bottom w:val="single" w:color="auto" w:sz="4" w:space="0"/>
              <w:right w:val="single" w:color="auto" w:sz="4" w:space="0"/>
            </w:tcBorders>
            <w:noWrap/>
            <w:vAlign w:val="center"/>
          </w:tcPr>
          <w:p w14:paraId="7C78D47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重度破坏</w:t>
            </w:r>
          </w:p>
        </w:tc>
      </w:tr>
      <w:tr w14:paraId="5C3EFC2E">
        <w:tblPrEx>
          <w:tblCellMar>
            <w:top w:w="0" w:type="dxa"/>
            <w:left w:w="0" w:type="dxa"/>
            <w:bottom w:w="0" w:type="dxa"/>
            <w:right w:w="0" w:type="dxa"/>
          </w:tblCellMar>
        </w:tblPrEx>
        <w:trPr>
          <w:trHeight w:val="315" w:hRule="atLeast"/>
          <w:jc w:val="center"/>
        </w:trPr>
        <w:tc>
          <w:tcPr>
            <w:tcW w:w="877" w:type="pct"/>
            <w:vMerge w:val="restart"/>
            <w:tcBorders>
              <w:top w:val="nil"/>
              <w:left w:val="single" w:color="auto" w:sz="4" w:space="0"/>
              <w:bottom w:val="single" w:color="auto" w:sz="4" w:space="0"/>
              <w:right w:val="single" w:color="auto" w:sz="4" w:space="0"/>
            </w:tcBorders>
            <w:noWrap/>
            <w:vAlign w:val="center"/>
          </w:tcPr>
          <w:p w14:paraId="035260F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地表变形</w:t>
            </w:r>
          </w:p>
        </w:tc>
        <w:tc>
          <w:tcPr>
            <w:tcW w:w="877" w:type="pct"/>
            <w:tcBorders>
              <w:top w:val="nil"/>
              <w:left w:val="nil"/>
              <w:bottom w:val="single" w:color="auto" w:sz="4" w:space="0"/>
              <w:right w:val="single" w:color="auto" w:sz="4" w:space="0"/>
            </w:tcBorders>
            <w:noWrap/>
            <w:vAlign w:val="center"/>
          </w:tcPr>
          <w:p w14:paraId="5B68E75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挖掘深度</w:t>
            </w:r>
          </w:p>
        </w:tc>
        <w:tc>
          <w:tcPr>
            <w:tcW w:w="983" w:type="pct"/>
            <w:tcBorders>
              <w:top w:val="nil"/>
              <w:left w:val="nil"/>
              <w:bottom w:val="single" w:color="auto" w:sz="4" w:space="0"/>
              <w:right w:val="single" w:color="auto" w:sz="4" w:space="0"/>
            </w:tcBorders>
            <w:noWrap/>
            <w:vAlign w:val="center"/>
          </w:tcPr>
          <w:p w14:paraId="407E248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&lt;6米</w:t>
            </w:r>
          </w:p>
        </w:tc>
        <w:tc>
          <w:tcPr>
            <w:tcW w:w="1281" w:type="pct"/>
            <w:tcBorders>
              <w:top w:val="nil"/>
              <w:left w:val="nil"/>
              <w:bottom w:val="single" w:color="auto" w:sz="4" w:space="0"/>
              <w:right w:val="single" w:color="auto" w:sz="4" w:space="0"/>
            </w:tcBorders>
            <w:noWrap/>
            <w:vAlign w:val="center"/>
          </w:tcPr>
          <w:p w14:paraId="1B8EE56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6-10米</w:t>
            </w:r>
          </w:p>
        </w:tc>
        <w:tc>
          <w:tcPr>
            <w:tcW w:w="982" w:type="pct"/>
            <w:tcBorders>
              <w:top w:val="nil"/>
              <w:left w:val="nil"/>
              <w:bottom w:val="single" w:color="auto" w:sz="4" w:space="0"/>
              <w:right w:val="single" w:color="auto" w:sz="4" w:space="0"/>
            </w:tcBorders>
            <w:noWrap/>
            <w:vAlign w:val="center"/>
          </w:tcPr>
          <w:p w14:paraId="6250F9F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&gt;10米</w:t>
            </w:r>
          </w:p>
        </w:tc>
      </w:tr>
      <w:tr w14:paraId="42B16C82">
        <w:tblPrEx>
          <w:tblCellMar>
            <w:top w:w="0" w:type="dxa"/>
            <w:left w:w="0" w:type="dxa"/>
            <w:bottom w:w="0" w:type="dxa"/>
            <w:right w:w="0" w:type="dxa"/>
          </w:tblCellMar>
        </w:tblPrEx>
        <w:trPr>
          <w:trHeight w:val="315" w:hRule="atLeast"/>
          <w:jc w:val="center"/>
        </w:trPr>
        <w:tc>
          <w:tcPr>
            <w:tcW w:w="877" w:type="pct"/>
            <w:vMerge w:val="continue"/>
            <w:tcBorders>
              <w:top w:val="nil"/>
              <w:left w:val="single" w:color="auto" w:sz="4" w:space="0"/>
              <w:bottom w:val="single" w:color="auto" w:sz="4" w:space="0"/>
              <w:right w:val="single" w:color="auto" w:sz="4" w:space="0"/>
            </w:tcBorders>
            <w:vAlign w:val="center"/>
          </w:tcPr>
          <w:p w14:paraId="46910BFE">
            <w:pPr>
              <w:jc w:val="center"/>
              <w:rPr>
                <w:rFonts w:ascii="Times New Roman" w:hAnsi="Times New Roman" w:eastAsia="宋体" w:cs="Times New Roman"/>
                <w:color w:val="auto"/>
                <w:highlight w:val="none"/>
              </w:rPr>
            </w:pPr>
          </w:p>
        </w:tc>
        <w:tc>
          <w:tcPr>
            <w:tcW w:w="877" w:type="pct"/>
            <w:tcBorders>
              <w:top w:val="nil"/>
              <w:left w:val="nil"/>
              <w:bottom w:val="single" w:color="auto" w:sz="4" w:space="0"/>
              <w:right w:val="single" w:color="auto" w:sz="4" w:space="0"/>
            </w:tcBorders>
            <w:noWrap/>
            <w:vAlign w:val="center"/>
          </w:tcPr>
          <w:p w14:paraId="2C665D6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挖掘面积</w:t>
            </w:r>
          </w:p>
        </w:tc>
        <w:tc>
          <w:tcPr>
            <w:tcW w:w="983" w:type="pct"/>
            <w:tcBorders>
              <w:top w:val="nil"/>
              <w:left w:val="nil"/>
              <w:bottom w:val="single" w:color="auto" w:sz="4" w:space="0"/>
              <w:right w:val="single" w:color="auto" w:sz="4" w:space="0"/>
            </w:tcBorders>
            <w:noWrap/>
            <w:vAlign w:val="center"/>
          </w:tcPr>
          <w:p w14:paraId="1F3DC4C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&lt;100hm</w:t>
            </w:r>
            <w:r>
              <w:rPr>
                <w:rFonts w:ascii="Times New Roman" w:hAnsi="Times New Roman" w:eastAsia="宋体" w:cs="Times New Roman"/>
                <w:color w:val="auto"/>
                <w:highlight w:val="none"/>
                <w:vertAlign w:val="superscript"/>
              </w:rPr>
              <w:t>2</w:t>
            </w:r>
          </w:p>
        </w:tc>
        <w:tc>
          <w:tcPr>
            <w:tcW w:w="1281" w:type="pct"/>
            <w:tcBorders>
              <w:top w:val="nil"/>
              <w:left w:val="nil"/>
              <w:bottom w:val="single" w:color="auto" w:sz="4" w:space="0"/>
              <w:right w:val="single" w:color="auto" w:sz="4" w:space="0"/>
            </w:tcBorders>
            <w:noWrap/>
            <w:vAlign w:val="center"/>
          </w:tcPr>
          <w:p w14:paraId="61AC175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100-1000hm</w:t>
            </w:r>
            <w:r>
              <w:rPr>
                <w:rFonts w:ascii="Times New Roman" w:hAnsi="Times New Roman" w:eastAsia="宋体" w:cs="Times New Roman"/>
                <w:color w:val="auto"/>
                <w:highlight w:val="none"/>
                <w:vertAlign w:val="superscript"/>
              </w:rPr>
              <w:t>2</w:t>
            </w:r>
          </w:p>
        </w:tc>
        <w:tc>
          <w:tcPr>
            <w:tcW w:w="982" w:type="pct"/>
            <w:tcBorders>
              <w:top w:val="nil"/>
              <w:left w:val="nil"/>
              <w:bottom w:val="single" w:color="auto" w:sz="4" w:space="0"/>
              <w:right w:val="single" w:color="auto" w:sz="4" w:space="0"/>
            </w:tcBorders>
            <w:noWrap/>
            <w:vAlign w:val="center"/>
          </w:tcPr>
          <w:p w14:paraId="0DBD3D5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&gt;1000hm</w:t>
            </w:r>
            <w:r>
              <w:rPr>
                <w:rFonts w:ascii="Times New Roman" w:hAnsi="Times New Roman" w:eastAsia="宋体" w:cs="Times New Roman"/>
                <w:color w:val="auto"/>
                <w:highlight w:val="none"/>
                <w:vertAlign w:val="superscript"/>
              </w:rPr>
              <w:t>2</w:t>
            </w:r>
          </w:p>
        </w:tc>
      </w:tr>
    </w:tbl>
    <w:p w14:paraId="6CB15C1E">
      <w:pPr>
        <w:rPr>
          <w:rFonts w:ascii="Times New Roman" w:hAnsi="Times New Roman" w:cs="Times New Roman"/>
          <w:color w:val="auto"/>
          <w:highlight w:val="none"/>
        </w:rPr>
      </w:pPr>
    </w:p>
    <w:p w14:paraId="463865FF">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表3-1</w:t>
      </w:r>
      <w:r>
        <w:rPr>
          <w:rFonts w:hint="eastAsia" w:ascii="Times New Roman" w:hAnsi="Times New Roman" w:eastAsia="宋体" w:cs="Times New Roman"/>
          <w:b/>
          <w:color w:val="auto"/>
          <w:kern w:val="0"/>
          <w:highlight w:val="none"/>
        </w:rPr>
        <w:t>2</w:t>
      </w:r>
      <w:r>
        <w:rPr>
          <w:rFonts w:ascii="Times New Roman" w:hAnsi="Times New Roman" w:eastAsia="宋体" w:cs="Times New Roman"/>
          <w:b/>
          <w:color w:val="auto"/>
          <w:kern w:val="0"/>
          <w:highlight w:val="none"/>
        </w:rPr>
        <w:t xml:space="preserve">  压占地破坏程度评价要素及等级标准表</w:t>
      </w:r>
    </w:p>
    <w:tbl>
      <w:tblPr>
        <w:tblStyle w:val="23"/>
        <w:tblW w:w="5000" w:type="pct"/>
        <w:tblInd w:w="0" w:type="dxa"/>
        <w:tblLayout w:type="fixed"/>
        <w:tblCellMar>
          <w:top w:w="0" w:type="dxa"/>
          <w:left w:w="0" w:type="dxa"/>
          <w:bottom w:w="0" w:type="dxa"/>
          <w:right w:w="0" w:type="dxa"/>
        </w:tblCellMar>
      </w:tblPr>
      <w:tblGrid>
        <w:gridCol w:w="1458"/>
        <w:gridCol w:w="1459"/>
        <w:gridCol w:w="1765"/>
        <w:gridCol w:w="1871"/>
        <w:gridCol w:w="1763"/>
      </w:tblGrid>
      <w:tr w14:paraId="4DD16C90">
        <w:tblPrEx>
          <w:tblCellMar>
            <w:top w:w="0" w:type="dxa"/>
            <w:left w:w="0" w:type="dxa"/>
            <w:bottom w:w="0" w:type="dxa"/>
            <w:right w:w="0" w:type="dxa"/>
          </w:tblCellMar>
        </w:tblPrEx>
        <w:trPr>
          <w:trHeight w:val="315" w:hRule="atLeast"/>
        </w:trPr>
        <w:tc>
          <w:tcPr>
            <w:tcW w:w="877" w:type="pct"/>
            <w:vMerge w:val="restart"/>
            <w:tcBorders>
              <w:top w:val="single" w:color="auto" w:sz="4" w:space="0"/>
              <w:left w:val="single" w:color="auto" w:sz="4" w:space="0"/>
              <w:bottom w:val="single" w:color="auto" w:sz="4" w:space="0"/>
              <w:right w:val="single" w:color="auto" w:sz="4" w:space="0"/>
            </w:tcBorders>
            <w:noWrap/>
            <w:vAlign w:val="center"/>
          </w:tcPr>
          <w:p w14:paraId="2BD15F0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评价要素</w:t>
            </w:r>
          </w:p>
        </w:tc>
        <w:tc>
          <w:tcPr>
            <w:tcW w:w="877" w:type="pct"/>
            <w:vMerge w:val="restart"/>
            <w:tcBorders>
              <w:top w:val="single" w:color="auto" w:sz="4" w:space="0"/>
              <w:left w:val="single" w:color="auto" w:sz="4" w:space="0"/>
              <w:bottom w:val="single" w:color="auto" w:sz="4" w:space="0"/>
              <w:right w:val="single" w:color="auto" w:sz="4" w:space="0"/>
            </w:tcBorders>
            <w:noWrap/>
            <w:vAlign w:val="center"/>
          </w:tcPr>
          <w:p w14:paraId="2D3E44E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评价因子</w:t>
            </w:r>
          </w:p>
        </w:tc>
        <w:tc>
          <w:tcPr>
            <w:tcW w:w="3247" w:type="pct"/>
            <w:gridSpan w:val="3"/>
            <w:tcBorders>
              <w:top w:val="single" w:color="auto" w:sz="4" w:space="0"/>
              <w:left w:val="nil"/>
              <w:bottom w:val="single" w:color="auto" w:sz="4" w:space="0"/>
              <w:right w:val="single" w:color="auto" w:sz="4" w:space="0"/>
            </w:tcBorders>
            <w:noWrap/>
            <w:vAlign w:val="center"/>
          </w:tcPr>
          <w:p w14:paraId="690D34F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评价等级</w:t>
            </w:r>
          </w:p>
        </w:tc>
      </w:tr>
      <w:tr w14:paraId="7C74D824">
        <w:tblPrEx>
          <w:tblCellMar>
            <w:top w:w="0" w:type="dxa"/>
            <w:left w:w="0" w:type="dxa"/>
            <w:bottom w:w="0" w:type="dxa"/>
            <w:right w:w="0" w:type="dxa"/>
          </w:tblCellMar>
        </w:tblPrEx>
        <w:trPr>
          <w:trHeight w:val="285" w:hRule="atLeast"/>
        </w:trPr>
        <w:tc>
          <w:tcPr>
            <w:tcW w:w="877" w:type="pct"/>
            <w:vMerge w:val="continue"/>
            <w:tcBorders>
              <w:top w:val="single" w:color="auto" w:sz="4" w:space="0"/>
              <w:left w:val="single" w:color="auto" w:sz="4" w:space="0"/>
              <w:bottom w:val="single" w:color="auto" w:sz="4" w:space="0"/>
              <w:right w:val="single" w:color="auto" w:sz="4" w:space="0"/>
            </w:tcBorders>
            <w:vAlign w:val="center"/>
          </w:tcPr>
          <w:p w14:paraId="5CE5EC68">
            <w:pPr>
              <w:jc w:val="center"/>
              <w:rPr>
                <w:rFonts w:ascii="Times New Roman" w:hAnsi="Times New Roman" w:eastAsia="宋体" w:cs="Times New Roman"/>
                <w:color w:val="auto"/>
                <w:highlight w:val="none"/>
              </w:rPr>
            </w:pPr>
          </w:p>
        </w:tc>
        <w:tc>
          <w:tcPr>
            <w:tcW w:w="877" w:type="pct"/>
            <w:vMerge w:val="continue"/>
            <w:tcBorders>
              <w:top w:val="single" w:color="auto" w:sz="4" w:space="0"/>
              <w:left w:val="single" w:color="auto" w:sz="4" w:space="0"/>
              <w:bottom w:val="single" w:color="auto" w:sz="4" w:space="0"/>
              <w:right w:val="single" w:color="auto" w:sz="4" w:space="0"/>
            </w:tcBorders>
            <w:vAlign w:val="center"/>
          </w:tcPr>
          <w:p w14:paraId="1C6A48E7">
            <w:pPr>
              <w:jc w:val="center"/>
              <w:rPr>
                <w:rFonts w:ascii="Times New Roman" w:hAnsi="Times New Roman" w:eastAsia="宋体" w:cs="Times New Roman"/>
                <w:color w:val="auto"/>
                <w:highlight w:val="none"/>
              </w:rPr>
            </w:pPr>
          </w:p>
        </w:tc>
        <w:tc>
          <w:tcPr>
            <w:tcW w:w="1061" w:type="pct"/>
            <w:tcBorders>
              <w:top w:val="nil"/>
              <w:left w:val="nil"/>
              <w:bottom w:val="single" w:color="auto" w:sz="4" w:space="0"/>
              <w:right w:val="single" w:color="auto" w:sz="4" w:space="0"/>
            </w:tcBorders>
            <w:noWrap/>
            <w:vAlign w:val="center"/>
          </w:tcPr>
          <w:p w14:paraId="1D2031E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轻度破坏</w:t>
            </w:r>
          </w:p>
        </w:tc>
        <w:tc>
          <w:tcPr>
            <w:tcW w:w="1125" w:type="pct"/>
            <w:tcBorders>
              <w:top w:val="nil"/>
              <w:left w:val="nil"/>
              <w:bottom w:val="single" w:color="auto" w:sz="4" w:space="0"/>
              <w:right w:val="single" w:color="auto" w:sz="4" w:space="0"/>
            </w:tcBorders>
            <w:noWrap/>
            <w:vAlign w:val="center"/>
          </w:tcPr>
          <w:p w14:paraId="28D88B4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中度破坏</w:t>
            </w:r>
          </w:p>
        </w:tc>
        <w:tc>
          <w:tcPr>
            <w:tcW w:w="1061" w:type="pct"/>
            <w:tcBorders>
              <w:top w:val="nil"/>
              <w:left w:val="nil"/>
              <w:bottom w:val="single" w:color="auto" w:sz="4" w:space="0"/>
              <w:right w:val="single" w:color="auto" w:sz="4" w:space="0"/>
            </w:tcBorders>
            <w:noWrap/>
            <w:vAlign w:val="center"/>
          </w:tcPr>
          <w:p w14:paraId="26DAFAA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重度破坏</w:t>
            </w:r>
          </w:p>
        </w:tc>
      </w:tr>
      <w:tr w14:paraId="7772457C">
        <w:tblPrEx>
          <w:tblCellMar>
            <w:top w:w="0" w:type="dxa"/>
            <w:left w:w="0" w:type="dxa"/>
            <w:bottom w:w="0" w:type="dxa"/>
            <w:right w:w="0" w:type="dxa"/>
          </w:tblCellMar>
        </w:tblPrEx>
        <w:trPr>
          <w:trHeight w:val="315" w:hRule="atLeast"/>
        </w:trPr>
        <w:tc>
          <w:tcPr>
            <w:tcW w:w="877" w:type="pct"/>
            <w:vMerge w:val="restart"/>
            <w:tcBorders>
              <w:top w:val="nil"/>
              <w:left w:val="single" w:color="auto" w:sz="4" w:space="0"/>
              <w:bottom w:val="single" w:color="auto" w:sz="4" w:space="0"/>
              <w:right w:val="single" w:color="auto" w:sz="4" w:space="0"/>
            </w:tcBorders>
            <w:noWrap/>
            <w:vAlign w:val="center"/>
          </w:tcPr>
          <w:p w14:paraId="6A774FD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地表变形</w:t>
            </w:r>
          </w:p>
        </w:tc>
        <w:tc>
          <w:tcPr>
            <w:tcW w:w="877" w:type="pct"/>
            <w:tcBorders>
              <w:top w:val="nil"/>
              <w:left w:val="nil"/>
              <w:bottom w:val="single" w:color="auto" w:sz="4" w:space="0"/>
              <w:right w:val="single" w:color="auto" w:sz="4" w:space="0"/>
            </w:tcBorders>
            <w:noWrap/>
            <w:vAlign w:val="center"/>
          </w:tcPr>
          <w:p w14:paraId="0CE71E7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压占面积</w:t>
            </w:r>
          </w:p>
        </w:tc>
        <w:tc>
          <w:tcPr>
            <w:tcW w:w="1061" w:type="pct"/>
            <w:tcBorders>
              <w:top w:val="nil"/>
              <w:left w:val="nil"/>
              <w:bottom w:val="single" w:color="auto" w:sz="4" w:space="0"/>
              <w:right w:val="single" w:color="auto" w:sz="4" w:space="0"/>
            </w:tcBorders>
            <w:noWrap/>
            <w:vAlign w:val="center"/>
          </w:tcPr>
          <w:p w14:paraId="5FE8A42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&lt;10hm</w:t>
            </w:r>
            <w:r>
              <w:rPr>
                <w:rFonts w:ascii="Times New Roman" w:hAnsi="Times New Roman" w:eastAsia="宋体" w:cs="Times New Roman"/>
                <w:color w:val="auto"/>
                <w:highlight w:val="none"/>
                <w:vertAlign w:val="superscript"/>
              </w:rPr>
              <w:t>2</w:t>
            </w:r>
          </w:p>
        </w:tc>
        <w:tc>
          <w:tcPr>
            <w:tcW w:w="1125" w:type="pct"/>
            <w:tcBorders>
              <w:top w:val="nil"/>
              <w:left w:val="nil"/>
              <w:bottom w:val="single" w:color="auto" w:sz="4" w:space="0"/>
              <w:right w:val="single" w:color="auto" w:sz="4" w:space="0"/>
            </w:tcBorders>
            <w:noWrap/>
            <w:vAlign w:val="center"/>
          </w:tcPr>
          <w:p w14:paraId="30F7930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10-100hm</w:t>
            </w:r>
            <w:r>
              <w:rPr>
                <w:rFonts w:ascii="Times New Roman" w:hAnsi="Times New Roman" w:eastAsia="宋体" w:cs="Times New Roman"/>
                <w:color w:val="auto"/>
                <w:highlight w:val="none"/>
                <w:vertAlign w:val="superscript"/>
              </w:rPr>
              <w:t>2</w:t>
            </w:r>
          </w:p>
        </w:tc>
        <w:tc>
          <w:tcPr>
            <w:tcW w:w="1061" w:type="pct"/>
            <w:tcBorders>
              <w:top w:val="nil"/>
              <w:left w:val="nil"/>
              <w:bottom w:val="single" w:color="auto" w:sz="4" w:space="0"/>
              <w:right w:val="single" w:color="auto" w:sz="4" w:space="0"/>
            </w:tcBorders>
            <w:noWrap/>
            <w:vAlign w:val="center"/>
          </w:tcPr>
          <w:p w14:paraId="1C1B367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&gt;100hm</w:t>
            </w:r>
            <w:r>
              <w:rPr>
                <w:rFonts w:ascii="Times New Roman" w:hAnsi="Times New Roman" w:eastAsia="宋体" w:cs="Times New Roman"/>
                <w:color w:val="auto"/>
                <w:highlight w:val="none"/>
                <w:vertAlign w:val="superscript"/>
              </w:rPr>
              <w:t>2</w:t>
            </w:r>
          </w:p>
        </w:tc>
      </w:tr>
      <w:tr w14:paraId="54427A3C">
        <w:tblPrEx>
          <w:tblCellMar>
            <w:top w:w="0" w:type="dxa"/>
            <w:left w:w="0" w:type="dxa"/>
            <w:bottom w:w="0" w:type="dxa"/>
            <w:right w:w="0" w:type="dxa"/>
          </w:tblCellMar>
        </w:tblPrEx>
        <w:trPr>
          <w:trHeight w:val="315" w:hRule="atLeast"/>
        </w:trPr>
        <w:tc>
          <w:tcPr>
            <w:tcW w:w="877" w:type="pct"/>
            <w:vMerge w:val="continue"/>
            <w:tcBorders>
              <w:top w:val="nil"/>
              <w:left w:val="single" w:color="auto" w:sz="4" w:space="0"/>
              <w:bottom w:val="single" w:color="auto" w:sz="4" w:space="0"/>
              <w:right w:val="single" w:color="auto" w:sz="4" w:space="0"/>
            </w:tcBorders>
            <w:vAlign w:val="center"/>
          </w:tcPr>
          <w:p w14:paraId="78BC3CB1">
            <w:pPr>
              <w:jc w:val="center"/>
              <w:rPr>
                <w:rFonts w:ascii="Times New Roman" w:hAnsi="Times New Roman" w:eastAsia="宋体" w:cs="Times New Roman"/>
                <w:color w:val="auto"/>
                <w:highlight w:val="none"/>
              </w:rPr>
            </w:pPr>
          </w:p>
        </w:tc>
        <w:tc>
          <w:tcPr>
            <w:tcW w:w="877" w:type="pct"/>
            <w:tcBorders>
              <w:top w:val="nil"/>
              <w:left w:val="nil"/>
              <w:bottom w:val="single" w:color="auto" w:sz="4" w:space="0"/>
              <w:right w:val="single" w:color="auto" w:sz="4" w:space="0"/>
            </w:tcBorders>
            <w:noWrap/>
            <w:vAlign w:val="center"/>
          </w:tcPr>
          <w:p w14:paraId="3FA96F8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排土高度</w:t>
            </w:r>
          </w:p>
        </w:tc>
        <w:tc>
          <w:tcPr>
            <w:tcW w:w="1061" w:type="pct"/>
            <w:tcBorders>
              <w:top w:val="nil"/>
              <w:left w:val="nil"/>
              <w:bottom w:val="single" w:color="auto" w:sz="4" w:space="0"/>
              <w:right w:val="single" w:color="auto" w:sz="4" w:space="0"/>
            </w:tcBorders>
            <w:noWrap/>
            <w:vAlign w:val="center"/>
          </w:tcPr>
          <w:p w14:paraId="18D328C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&lt;10米</w:t>
            </w:r>
          </w:p>
        </w:tc>
        <w:tc>
          <w:tcPr>
            <w:tcW w:w="1125" w:type="pct"/>
            <w:tcBorders>
              <w:top w:val="nil"/>
              <w:left w:val="nil"/>
              <w:bottom w:val="single" w:color="auto" w:sz="4" w:space="0"/>
              <w:right w:val="single" w:color="auto" w:sz="4" w:space="0"/>
            </w:tcBorders>
            <w:noWrap/>
            <w:vAlign w:val="center"/>
          </w:tcPr>
          <w:p w14:paraId="58E5AE1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10-30米</w:t>
            </w:r>
          </w:p>
        </w:tc>
        <w:tc>
          <w:tcPr>
            <w:tcW w:w="1061" w:type="pct"/>
            <w:tcBorders>
              <w:top w:val="nil"/>
              <w:left w:val="nil"/>
              <w:bottom w:val="single" w:color="auto" w:sz="4" w:space="0"/>
              <w:right w:val="single" w:color="auto" w:sz="4" w:space="0"/>
            </w:tcBorders>
            <w:noWrap/>
            <w:vAlign w:val="center"/>
          </w:tcPr>
          <w:p w14:paraId="23A1253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&gt;30米</w:t>
            </w:r>
          </w:p>
        </w:tc>
      </w:tr>
    </w:tbl>
    <w:p w14:paraId="4C92AC30">
      <w:pPr>
        <w:ind w:firstLine="480" w:firstLineChars="200"/>
        <w:rPr>
          <w:rFonts w:ascii="Times New Roman" w:hAnsi="Times New Roman" w:eastAsia="宋体" w:cs="Times New Roman"/>
          <w:color w:val="auto"/>
          <w:sz w:val="24"/>
          <w:highlight w:val="none"/>
        </w:rPr>
      </w:pPr>
    </w:p>
    <w:p w14:paraId="25DCE51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根据前文拟损毁土地预测分析，损毁土地共计</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，参照以上评价指标体系，其评价结果见表3-13和3-14。</w:t>
      </w:r>
    </w:p>
    <w:p w14:paraId="3E6F6906">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w:t>
      </w:r>
      <w:r>
        <w:rPr>
          <w:rFonts w:hint="eastAsia" w:ascii="Times New Roman" w:hAnsi="Times New Roman" w:eastAsia="宋体" w:cs="Times New Roman"/>
          <w:b/>
          <w:color w:val="auto"/>
          <w:kern w:val="0"/>
          <w:highlight w:val="none"/>
        </w:rPr>
        <w:t>13</w:t>
      </w:r>
      <w:r>
        <w:rPr>
          <w:rFonts w:ascii="Times New Roman" w:hAnsi="Times New Roman" w:eastAsia="宋体" w:cs="Times New Roman"/>
          <w:b/>
          <w:color w:val="auto"/>
          <w:kern w:val="0"/>
          <w:highlight w:val="none"/>
        </w:rPr>
        <w:t xml:space="preserve">  土地损毁程度分析预测表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794"/>
        <w:gridCol w:w="1432"/>
        <w:gridCol w:w="1562"/>
        <w:gridCol w:w="1434"/>
        <w:gridCol w:w="1427"/>
      </w:tblGrid>
      <w:tr w14:paraId="2E5B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12" w:type="pct"/>
            <w:vMerge w:val="restart"/>
            <w:shd w:val="clear" w:color="000000" w:fill="FFFFFF"/>
            <w:noWrap/>
            <w:vAlign w:val="center"/>
          </w:tcPr>
          <w:p w14:paraId="7C2D712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1052" w:type="pct"/>
            <w:vMerge w:val="restart"/>
            <w:shd w:val="clear" w:color="000000" w:fill="FFFFFF"/>
            <w:noWrap/>
            <w:vAlign w:val="center"/>
          </w:tcPr>
          <w:p w14:paraId="0DBAEF6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功能区块</w:t>
            </w:r>
          </w:p>
        </w:tc>
        <w:tc>
          <w:tcPr>
            <w:tcW w:w="840" w:type="pct"/>
            <w:vMerge w:val="restart"/>
            <w:shd w:val="clear" w:color="000000" w:fill="FFFFFF"/>
            <w:vAlign w:val="center"/>
          </w:tcPr>
          <w:p w14:paraId="5BD6580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损毁方式</w:t>
            </w:r>
          </w:p>
        </w:tc>
        <w:tc>
          <w:tcPr>
            <w:tcW w:w="1757" w:type="pct"/>
            <w:gridSpan w:val="2"/>
            <w:noWrap/>
            <w:vAlign w:val="center"/>
          </w:tcPr>
          <w:p w14:paraId="2CFAD42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评价要素</w:t>
            </w:r>
          </w:p>
        </w:tc>
        <w:tc>
          <w:tcPr>
            <w:tcW w:w="837" w:type="pct"/>
            <w:vMerge w:val="restart"/>
            <w:noWrap/>
            <w:vAlign w:val="center"/>
          </w:tcPr>
          <w:p w14:paraId="0159B81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损毁程度</w:t>
            </w:r>
          </w:p>
        </w:tc>
      </w:tr>
      <w:tr w14:paraId="32A4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vMerge w:val="continue"/>
            <w:vAlign w:val="center"/>
          </w:tcPr>
          <w:p w14:paraId="46A5BD0D">
            <w:pPr>
              <w:jc w:val="center"/>
              <w:rPr>
                <w:rFonts w:ascii="Times New Roman" w:hAnsi="Times New Roman" w:eastAsia="宋体" w:cs="Times New Roman"/>
                <w:color w:val="auto"/>
                <w:highlight w:val="none"/>
              </w:rPr>
            </w:pPr>
          </w:p>
        </w:tc>
        <w:tc>
          <w:tcPr>
            <w:tcW w:w="1052" w:type="pct"/>
            <w:vMerge w:val="continue"/>
            <w:vAlign w:val="center"/>
          </w:tcPr>
          <w:p w14:paraId="333BC65A">
            <w:pPr>
              <w:jc w:val="center"/>
              <w:rPr>
                <w:rFonts w:ascii="Times New Roman" w:hAnsi="Times New Roman" w:eastAsia="宋体" w:cs="Times New Roman"/>
                <w:color w:val="auto"/>
                <w:highlight w:val="none"/>
              </w:rPr>
            </w:pPr>
          </w:p>
        </w:tc>
        <w:tc>
          <w:tcPr>
            <w:tcW w:w="840" w:type="pct"/>
            <w:vMerge w:val="continue"/>
            <w:vAlign w:val="center"/>
          </w:tcPr>
          <w:p w14:paraId="08C02EAD">
            <w:pPr>
              <w:jc w:val="center"/>
              <w:rPr>
                <w:rFonts w:ascii="Times New Roman" w:hAnsi="Times New Roman" w:eastAsia="宋体" w:cs="Times New Roman"/>
                <w:color w:val="auto"/>
                <w:highlight w:val="none"/>
              </w:rPr>
            </w:pPr>
          </w:p>
        </w:tc>
        <w:tc>
          <w:tcPr>
            <w:tcW w:w="916" w:type="pct"/>
            <w:noWrap/>
            <w:vAlign w:val="center"/>
          </w:tcPr>
          <w:p w14:paraId="28D2FE1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挖掘面积</w:t>
            </w:r>
          </w:p>
        </w:tc>
        <w:tc>
          <w:tcPr>
            <w:tcW w:w="840" w:type="pct"/>
            <w:noWrap/>
            <w:vAlign w:val="center"/>
          </w:tcPr>
          <w:p w14:paraId="4D2996D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挖掘深度</w:t>
            </w:r>
          </w:p>
        </w:tc>
        <w:tc>
          <w:tcPr>
            <w:tcW w:w="837" w:type="pct"/>
            <w:vMerge w:val="continue"/>
            <w:vAlign w:val="center"/>
          </w:tcPr>
          <w:p w14:paraId="72780A96">
            <w:pPr>
              <w:jc w:val="center"/>
              <w:rPr>
                <w:rFonts w:ascii="Times New Roman" w:hAnsi="Times New Roman" w:eastAsia="宋体" w:cs="Times New Roman"/>
                <w:color w:val="auto"/>
                <w:highlight w:val="none"/>
              </w:rPr>
            </w:pPr>
          </w:p>
        </w:tc>
      </w:tr>
      <w:tr w14:paraId="1FF6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2" w:type="pct"/>
            <w:vMerge w:val="continue"/>
            <w:vAlign w:val="center"/>
          </w:tcPr>
          <w:p w14:paraId="056E590E">
            <w:pPr>
              <w:jc w:val="center"/>
              <w:rPr>
                <w:rFonts w:ascii="Times New Roman" w:hAnsi="Times New Roman" w:eastAsia="宋体" w:cs="Times New Roman"/>
                <w:color w:val="auto"/>
                <w:highlight w:val="none"/>
              </w:rPr>
            </w:pPr>
          </w:p>
        </w:tc>
        <w:tc>
          <w:tcPr>
            <w:tcW w:w="1052" w:type="pct"/>
            <w:vMerge w:val="continue"/>
            <w:vAlign w:val="center"/>
          </w:tcPr>
          <w:p w14:paraId="0E01B7A2">
            <w:pPr>
              <w:jc w:val="center"/>
              <w:rPr>
                <w:rFonts w:ascii="Times New Roman" w:hAnsi="Times New Roman" w:eastAsia="宋体" w:cs="Times New Roman"/>
                <w:color w:val="auto"/>
                <w:highlight w:val="none"/>
              </w:rPr>
            </w:pPr>
          </w:p>
        </w:tc>
        <w:tc>
          <w:tcPr>
            <w:tcW w:w="840" w:type="pct"/>
            <w:vMerge w:val="continue"/>
            <w:vAlign w:val="center"/>
          </w:tcPr>
          <w:p w14:paraId="7DFBA887">
            <w:pPr>
              <w:jc w:val="center"/>
              <w:rPr>
                <w:rFonts w:ascii="Times New Roman" w:hAnsi="Times New Roman" w:eastAsia="宋体" w:cs="Times New Roman"/>
                <w:color w:val="auto"/>
                <w:highlight w:val="none"/>
              </w:rPr>
            </w:pPr>
          </w:p>
        </w:tc>
        <w:tc>
          <w:tcPr>
            <w:tcW w:w="916" w:type="pct"/>
            <w:noWrap/>
            <w:vAlign w:val="center"/>
          </w:tcPr>
          <w:p w14:paraId="46416B5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排土面积</w:t>
            </w:r>
          </w:p>
        </w:tc>
        <w:tc>
          <w:tcPr>
            <w:tcW w:w="840" w:type="pct"/>
            <w:noWrap/>
            <w:vAlign w:val="center"/>
          </w:tcPr>
          <w:p w14:paraId="1C1DB15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排土高度</w:t>
            </w:r>
          </w:p>
        </w:tc>
        <w:tc>
          <w:tcPr>
            <w:tcW w:w="837" w:type="pct"/>
            <w:vMerge w:val="continue"/>
            <w:vAlign w:val="center"/>
          </w:tcPr>
          <w:p w14:paraId="44AA0E06">
            <w:pPr>
              <w:jc w:val="center"/>
              <w:rPr>
                <w:rFonts w:ascii="Times New Roman" w:hAnsi="Times New Roman" w:eastAsia="宋体" w:cs="Times New Roman"/>
                <w:color w:val="auto"/>
                <w:highlight w:val="none"/>
              </w:rPr>
            </w:pPr>
          </w:p>
        </w:tc>
      </w:tr>
      <w:tr w14:paraId="4100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2" w:type="pct"/>
            <w:shd w:val="clear" w:color="000000" w:fill="FFFFFF"/>
            <w:noWrap/>
            <w:vAlign w:val="center"/>
          </w:tcPr>
          <w:p w14:paraId="45EAB08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1052" w:type="pct"/>
            <w:shd w:val="clear" w:color="000000" w:fill="FFFFFF"/>
            <w:noWrap/>
            <w:vAlign w:val="center"/>
          </w:tcPr>
          <w:p w14:paraId="4AB1F9D5">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p>
        </w:tc>
        <w:tc>
          <w:tcPr>
            <w:tcW w:w="840" w:type="pct"/>
            <w:shd w:val="clear" w:color="000000" w:fill="FFFFFF"/>
            <w:noWrap/>
            <w:vAlign w:val="center"/>
          </w:tcPr>
          <w:p w14:paraId="6A4C704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挖损</w:t>
            </w:r>
          </w:p>
        </w:tc>
        <w:tc>
          <w:tcPr>
            <w:tcW w:w="916" w:type="pct"/>
            <w:noWrap/>
            <w:vAlign w:val="center"/>
          </w:tcPr>
          <w:p w14:paraId="542EEDC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hm</w:t>
            </w:r>
            <w:r>
              <w:rPr>
                <w:rFonts w:ascii="Times New Roman" w:hAnsi="Times New Roman" w:eastAsia="宋体" w:cs="Times New Roman"/>
                <w:color w:val="auto"/>
                <w:highlight w:val="none"/>
                <w:vertAlign w:val="superscript"/>
              </w:rPr>
              <w:t>2</w:t>
            </w:r>
          </w:p>
        </w:tc>
        <w:tc>
          <w:tcPr>
            <w:tcW w:w="840" w:type="pct"/>
            <w:noWrap/>
            <w:vAlign w:val="center"/>
          </w:tcPr>
          <w:p w14:paraId="577B91A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＞10米</w:t>
            </w:r>
          </w:p>
        </w:tc>
        <w:tc>
          <w:tcPr>
            <w:tcW w:w="837" w:type="pct"/>
            <w:noWrap/>
            <w:vAlign w:val="center"/>
          </w:tcPr>
          <w:p w14:paraId="55ACD70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重度损毁</w:t>
            </w:r>
          </w:p>
        </w:tc>
      </w:tr>
      <w:tr w14:paraId="3F30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2" w:type="pct"/>
            <w:shd w:val="clear" w:color="000000" w:fill="FFFFFF"/>
            <w:noWrap/>
            <w:vAlign w:val="center"/>
          </w:tcPr>
          <w:p w14:paraId="006742C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1052" w:type="pct"/>
            <w:shd w:val="clear" w:color="000000" w:fill="FFFFFF"/>
            <w:noWrap/>
            <w:vAlign w:val="center"/>
          </w:tcPr>
          <w:p w14:paraId="6CCB8653">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工业广场</w:t>
            </w:r>
          </w:p>
        </w:tc>
        <w:tc>
          <w:tcPr>
            <w:tcW w:w="840" w:type="pct"/>
            <w:shd w:val="clear" w:color="000000" w:fill="FFFFFF"/>
            <w:noWrap/>
            <w:vAlign w:val="center"/>
          </w:tcPr>
          <w:p w14:paraId="619C3605">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压占</w:t>
            </w:r>
          </w:p>
        </w:tc>
        <w:tc>
          <w:tcPr>
            <w:tcW w:w="916" w:type="pct"/>
            <w:noWrap/>
            <w:vAlign w:val="center"/>
          </w:tcPr>
          <w:p w14:paraId="3E5EDEA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&lt;10hm</w:t>
            </w:r>
            <w:r>
              <w:rPr>
                <w:rFonts w:ascii="Times New Roman" w:hAnsi="Times New Roman" w:eastAsia="宋体" w:cs="Times New Roman"/>
                <w:color w:val="auto"/>
                <w:highlight w:val="none"/>
                <w:vertAlign w:val="superscript"/>
              </w:rPr>
              <w:t>2</w:t>
            </w:r>
          </w:p>
        </w:tc>
        <w:tc>
          <w:tcPr>
            <w:tcW w:w="840" w:type="pct"/>
            <w:noWrap/>
            <w:vAlign w:val="center"/>
          </w:tcPr>
          <w:p w14:paraId="1003B53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＞10米</w:t>
            </w:r>
          </w:p>
        </w:tc>
        <w:tc>
          <w:tcPr>
            <w:tcW w:w="837" w:type="pct"/>
            <w:noWrap/>
            <w:vAlign w:val="center"/>
          </w:tcPr>
          <w:p w14:paraId="3DA42FA3">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中</w:t>
            </w:r>
            <w:r>
              <w:rPr>
                <w:rFonts w:ascii="Times New Roman" w:hAnsi="Times New Roman" w:eastAsia="宋体" w:cs="Times New Roman"/>
                <w:color w:val="auto"/>
                <w:highlight w:val="none"/>
              </w:rPr>
              <w:t>度损毁</w:t>
            </w:r>
          </w:p>
        </w:tc>
      </w:tr>
      <w:tr w14:paraId="1CA7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2" w:type="pct"/>
            <w:shd w:val="clear" w:color="000000" w:fill="FFFFFF"/>
            <w:noWrap/>
            <w:vAlign w:val="center"/>
          </w:tcPr>
          <w:p w14:paraId="7B62E3A9">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p>
        </w:tc>
        <w:tc>
          <w:tcPr>
            <w:tcW w:w="1052" w:type="pct"/>
            <w:shd w:val="clear" w:color="000000" w:fill="FFFFFF"/>
            <w:noWrap/>
            <w:vAlign w:val="center"/>
          </w:tcPr>
          <w:p w14:paraId="48DD7471">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老采区</w:t>
            </w:r>
          </w:p>
        </w:tc>
        <w:tc>
          <w:tcPr>
            <w:tcW w:w="840" w:type="pct"/>
            <w:shd w:val="clear" w:color="000000" w:fill="FFFFFF"/>
            <w:noWrap/>
            <w:vAlign w:val="center"/>
          </w:tcPr>
          <w:p w14:paraId="7D7A81C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挖损</w:t>
            </w:r>
          </w:p>
        </w:tc>
        <w:tc>
          <w:tcPr>
            <w:tcW w:w="916" w:type="pct"/>
            <w:noWrap/>
            <w:vAlign w:val="center"/>
          </w:tcPr>
          <w:p w14:paraId="71E8258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hm</w:t>
            </w:r>
            <w:r>
              <w:rPr>
                <w:rFonts w:ascii="Times New Roman" w:hAnsi="Times New Roman" w:eastAsia="宋体" w:cs="Times New Roman"/>
                <w:color w:val="auto"/>
                <w:highlight w:val="none"/>
                <w:vertAlign w:val="superscript"/>
              </w:rPr>
              <w:t>2</w:t>
            </w:r>
          </w:p>
        </w:tc>
        <w:tc>
          <w:tcPr>
            <w:tcW w:w="840" w:type="pct"/>
            <w:noWrap/>
            <w:vAlign w:val="center"/>
          </w:tcPr>
          <w:p w14:paraId="02B0226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＞10米</w:t>
            </w:r>
          </w:p>
        </w:tc>
        <w:tc>
          <w:tcPr>
            <w:tcW w:w="837" w:type="pct"/>
            <w:noWrap/>
            <w:vAlign w:val="center"/>
          </w:tcPr>
          <w:p w14:paraId="71219B5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重度损毁</w:t>
            </w:r>
          </w:p>
        </w:tc>
      </w:tr>
      <w:tr w14:paraId="4F57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12" w:type="pct"/>
            <w:shd w:val="clear" w:color="000000" w:fill="FFFFFF"/>
            <w:noWrap/>
            <w:vAlign w:val="center"/>
          </w:tcPr>
          <w:p w14:paraId="07294ECF">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4</w:t>
            </w:r>
          </w:p>
        </w:tc>
        <w:tc>
          <w:tcPr>
            <w:tcW w:w="1052" w:type="pct"/>
            <w:shd w:val="clear" w:color="000000" w:fill="FFFFFF"/>
            <w:noWrap/>
            <w:vAlign w:val="center"/>
          </w:tcPr>
          <w:p w14:paraId="7D55486E">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上山公路区</w:t>
            </w:r>
          </w:p>
        </w:tc>
        <w:tc>
          <w:tcPr>
            <w:tcW w:w="840" w:type="pct"/>
            <w:shd w:val="clear" w:color="000000" w:fill="FFFFFF"/>
            <w:noWrap/>
            <w:vAlign w:val="center"/>
          </w:tcPr>
          <w:p w14:paraId="60BD9EC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挖损</w:t>
            </w:r>
          </w:p>
        </w:tc>
        <w:tc>
          <w:tcPr>
            <w:tcW w:w="916" w:type="pct"/>
            <w:noWrap/>
            <w:vAlign w:val="center"/>
          </w:tcPr>
          <w:p w14:paraId="6541D70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&lt;10</w:t>
            </w:r>
            <w:r>
              <w:rPr>
                <w:rFonts w:hint="eastAsia" w:ascii="Times New Roman" w:hAnsi="Times New Roman" w:eastAsia="宋体" w:cs="Times New Roman"/>
                <w:color w:val="auto"/>
                <w:highlight w:val="none"/>
              </w:rPr>
              <w:t>0</w:t>
            </w:r>
            <w:r>
              <w:rPr>
                <w:rFonts w:ascii="Times New Roman" w:hAnsi="Times New Roman" w:eastAsia="宋体" w:cs="Times New Roman"/>
                <w:color w:val="auto"/>
                <w:highlight w:val="none"/>
              </w:rPr>
              <w:t>hm</w:t>
            </w:r>
            <w:r>
              <w:rPr>
                <w:rFonts w:ascii="Times New Roman" w:hAnsi="Times New Roman" w:eastAsia="宋体" w:cs="Times New Roman"/>
                <w:color w:val="auto"/>
                <w:highlight w:val="none"/>
                <w:vertAlign w:val="superscript"/>
              </w:rPr>
              <w:t>2</w:t>
            </w:r>
          </w:p>
        </w:tc>
        <w:tc>
          <w:tcPr>
            <w:tcW w:w="840" w:type="pct"/>
            <w:noWrap/>
            <w:vAlign w:val="center"/>
          </w:tcPr>
          <w:p w14:paraId="21713C5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6-10米</w:t>
            </w:r>
          </w:p>
        </w:tc>
        <w:tc>
          <w:tcPr>
            <w:tcW w:w="837" w:type="pct"/>
            <w:noWrap/>
            <w:vAlign w:val="center"/>
          </w:tcPr>
          <w:p w14:paraId="618E10AE">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中</w:t>
            </w:r>
            <w:r>
              <w:rPr>
                <w:rFonts w:ascii="Times New Roman" w:hAnsi="Times New Roman" w:eastAsia="宋体" w:cs="Times New Roman"/>
                <w:color w:val="auto"/>
                <w:highlight w:val="none"/>
              </w:rPr>
              <w:t>度损毁</w:t>
            </w:r>
          </w:p>
        </w:tc>
      </w:tr>
    </w:tbl>
    <w:p w14:paraId="11F8472A">
      <w:pPr>
        <w:spacing w:line="276" w:lineRule="auto"/>
        <w:jc w:val="center"/>
        <w:rPr>
          <w:rFonts w:ascii="Times New Roman" w:hAnsi="Times New Roman" w:eastAsia="宋体" w:cs="Times New Roman"/>
          <w:b/>
          <w:color w:val="auto"/>
          <w:kern w:val="0"/>
          <w:sz w:val="24"/>
          <w:highlight w:val="none"/>
        </w:rPr>
      </w:pPr>
    </w:p>
    <w:p w14:paraId="7F514E91">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w:t>
      </w:r>
      <w:r>
        <w:rPr>
          <w:rFonts w:hint="eastAsia" w:ascii="Times New Roman" w:hAnsi="Times New Roman" w:eastAsia="宋体" w:cs="Times New Roman"/>
          <w:b/>
          <w:color w:val="auto"/>
          <w:kern w:val="0"/>
          <w:highlight w:val="none"/>
        </w:rPr>
        <w:t>14</w:t>
      </w:r>
      <w:r>
        <w:rPr>
          <w:rFonts w:ascii="Times New Roman" w:hAnsi="Times New Roman" w:eastAsia="宋体" w:cs="Times New Roman"/>
          <w:b/>
          <w:color w:val="auto"/>
          <w:kern w:val="0"/>
          <w:highlight w:val="none"/>
        </w:rPr>
        <w:t xml:space="preserve">  损毁土地总面积表</w:t>
      </w:r>
    </w:p>
    <w:tbl>
      <w:tblPr>
        <w:tblStyle w:val="23"/>
        <w:tblW w:w="8837" w:type="dxa"/>
        <w:jc w:val="center"/>
        <w:tblLayout w:type="fixed"/>
        <w:tblCellMar>
          <w:top w:w="0" w:type="dxa"/>
          <w:left w:w="108" w:type="dxa"/>
          <w:bottom w:w="0" w:type="dxa"/>
          <w:right w:w="108" w:type="dxa"/>
        </w:tblCellMar>
      </w:tblPr>
      <w:tblGrid>
        <w:gridCol w:w="3815"/>
        <w:gridCol w:w="1943"/>
        <w:gridCol w:w="1815"/>
        <w:gridCol w:w="1264"/>
      </w:tblGrid>
      <w:tr w14:paraId="2EB101BC">
        <w:tblPrEx>
          <w:tblCellMar>
            <w:top w:w="0" w:type="dxa"/>
            <w:left w:w="108" w:type="dxa"/>
            <w:bottom w:w="0" w:type="dxa"/>
            <w:right w:w="108" w:type="dxa"/>
          </w:tblCellMar>
        </w:tblPrEx>
        <w:trPr>
          <w:trHeight w:val="187" w:hRule="atLeast"/>
          <w:jc w:val="center"/>
        </w:trPr>
        <w:tc>
          <w:tcPr>
            <w:tcW w:w="2158" w:type="pct"/>
            <w:tcBorders>
              <w:top w:val="single" w:color="auto" w:sz="4" w:space="0"/>
              <w:left w:val="single" w:color="auto" w:sz="4" w:space="0"/>
              <w:bottom w:val="single" w:color="auto" w:sz="4" w:space="0"/>
              <w:right w:val="single" w:color="auto" w:sz="4" w:space="0"/>
            </w:tcBorders>
            <w:noWrap/>
            <w:vAlign w:val="center"/>
          </w:tcPr>
          <w:p w14:paraId="5EA0B115">
            <w:pPr>
              <w:jc w:val="center"/>
              <w:rPr>
                <w:rFonts w:eastAsia="宋体"/>
                <w:color w:val="auto"/>
                <w:highlight w:val="none"/>
              </w:rPr>
            </w:pPr>
            <w:r>
              <w:rPr>
                <w:rFonts w:eastAsia="宋体"/>
                <w:color w:val="auto"/>
                <w:highlight w:val="none"/>
              </w:rPr>
              <w:t>项目名称</w:t>
            </w:r>
          </w:p>
        </w:tc>
        <w:tc>
          <w:tcPr>
            <w:tcW w:w="1099" w:type="pct"/>
            <w:tcBorders>
              <w:top w:val="single" w:color="auto" w:sz="4" w:space="0"/>
              <w:left w:val="single" w:color="auto" w:sz="4" w:space="0"/>
              <w:bottom w:val="single" w:color="auto" w:sz="4" w:space="0"/>
              <w:right w:val="single" w:color="auto" w:sz="4" w:space="0"/>
            </w:tcBorders>
            <w:noWrap/>
            <w:vAlign w:val="center"/>
          </w:tcPr>
          <w:p w14:paraId="0331578D">
            <w:pPr>
              <w:jc w:val="center"/>
              <w:rPr>
                <w:rFonts w:eastAsia="宋体"/>
                <w:color w:val="auto"/>
                <w:highlight w:val="none"/>
              </w:rPr>
            </w:pPr>
            <w:r>
              <w:rPr>
                <w:rFonts w:eastAsia="宋体"/>
                <w:color w:val="auto"/>
                <w:highlight w:val="none"/>
              </w:rPr>
              <w:t>土地损毁程度</w:t>
            </w:r>
          </w:p>
        </w:tc>
        <w:tc>
          <w:tcPr>
            <w:tcW w:w="1026" w:type="pct"/>
            <w:tcBorders>
              <w:top w:val="single" w:color="auto" w:sz="4" w:space="0"/>
              <w:left w:val="single" w:color="auto" w:sz="4" w:space="0"/>
              <w:bottom w:val="single" w:color="auto" w:sz="4" w:space="0"/>
              <w:right w:val="single" w:color="auto" w:sz="4" w:space="0"/>
            </w:tcBorders>
            <w:noWrap/>
            <w:vAlign w:val="center"/>
          </w:tcPr>
          <w:p w14:paraId="624BFEC4">
            <w:pPr>
              <w:jc w:val="center"/>
              <w:rPr>
                <w:rFonts w:eastAsia="宋体"/>
                <w:color w:val="auto"/>
                <w:highlight w:val="none"/>
              </w:rPr>
            </w:pPr>
            <w:r>
              <w:rPr>
                <w:rFonts w:eastAsia="宋体"/>
                <w:color w:val="auto"/>
                <w:highlight w:val="none"/>
              </w:rPr>
              <w:t>损毁面积（hm</w:t>
            </w:r>
            <w:r>
              <w:rPr>
                <w:rFonts w:eastAsia="宋体"/>
                <w:color w:val="auto"/>
                <w:highlight w:val="none"/>
                <w:vertAlign w:val="superscript"/>
              </w:rPr>
              <w:t>2</w:t>
            </w:r>
            <w:r>
              <w:rPr>
                <w:rFonts w:eastAsia="宋体"/>
                <w:color w:val="auto"/>
                <w:highlight w:val="none"/>
              </w:rPr>
              <w:t>）</w:t>
            </w:r>
          </w:p>
        </w:tc>
        <w:tc>
          <w:tcPr>
            <w:tcW w:w="715" w:type="pct"/>
            <w:tcBorders>
              <w:top w:val="single" w:color="auto" w:sz="4" w:space="0"/>
              <w:left w:val="single" w:color="auto" w:sz="4" w:space="0"/>
              <w:bottom w:val="single" w:color="auto" w:sz="4" w:space="0"/>
              <w:right w:val="single" w:color="auto" w:sz="4" w:space="0"/>
            </w:tcBorders>
            <w:noWrap/>
            <w:vAlign w:val="center"/>
          </w:tcPr>
          <w:p w14:paraId="5ADF5BFF">
            <w:pPr>
              <w:jc w:val="center"/>
              <w:rPr>
                <w:rFonts w:eastAsia="宋体"/>
                <w:color w:val="auto"/>
                <w:highlight w:val="none"/>
              </w:rPr>
            </w:pPr>
            <w:r>
              <w:rPr>
                <w:rFonts w:eastAsia="宋体"/>
                <w:color w:val="auto"/>
                <w:highlight w:val="none"/>
              </w:rPr>
              <w:t>比例%</w:t>
            </w:r>
          </w:p>
        </w:tc>
      </w:tr>
      <w:tr w14:paraId="7ADCFFEE">
        <w:tblPrEx>
          <w:tblCellMar>
            <w:top w:w="0" w:type="dxa"/>
            <w:left w:w="108" w:type="dxa"/>
            <w:bottom w:w="0" w:type="dxa"/>
            <w:right w:w="108" w:type="dxa"/>
          </w:tblCellMar>
        </w:tblPrEx>
        <w:trPr>
          <w:trHeight w:val="484" w:hRule="atLeast"/>
          <w:jc w:val="center"/>
        </w:trPr>
        <w:tc>
          <w:tcPr>
            <w:tcW w:w="2158" w:type="pct"/>
            <w:tcBorders>
              <w:top w:val="single" w:color="auto" w:sz="4" w:space="0"/>
              <w:left w:val="single" w:color="auto" w:sz="4" w:space="0"/>
              <w:bottom w:val="single" w:color="auto" w:sz="4" w:space="0"/>
              <w:right w:val="single" w:color="auto" w:sz="4" w:space="0"/>
            </w:tcBorders>
            <w:vAlign w:val="center"/>
          </w:tcPr>
          <w:p w14:paraId="048F262B">
            <w:pPr>
              <w:jc w:val="center"/>
              <w:rPr>
                <w:rFonts w:eastAsia="宋体"/>
                <w:color w:val="auto"/>
                <w:highlight w:val="none"/>
              </w:rPr>
            </w:pPr>
            <w:r>
              <w:rPr>
                <w:rFonts w:hint="eastAsia" w:eastAsia="宋体"/>
                <w:color w:val="auto"/>
                <w:highlight w:val="none"/>
                <w:lang w:val="en-US" w:eastAsia="zh-CN"/>
              </w:rPr>
              <w:t>大英县蓬莱镇紫云村饰面用砂岩</w:t>
            </w:r>
            <w:r>
              <w:rPr>
                <w:rFonts w:hint="eastAsia" w:eastAsia="宋体"/>
                <w:color w:val="auto"/>
                <w:highlight w:val="none"/>
              </w:rPr>
              <w:t>矿</w:t>
            </w:r>
          </w:p>
        </w:tc>
        <w:tc>
          <w:tcPr>
            <w:tcW w:w="1099" w:type="pct"/>
            <w:tcBorders>
              <w:top w:val="single" w:color="auto" w:sz="4" w:space="0"/>
              <w:left w:val="single" w:color="auto" w:sz="4" w:space="0"/>
              <w:right w:val="single" w:color="auto" w:sz="4" w:space="0"/>
            </w:tcBorders>
            <w:noWrap/>
            <w:vAlign w:val="center"/>
          </w:tcPr>
          <w:p w14:paraId="1FD81DF1">
            <w:pPr>
              <w:jc w:val="center"/>
              <w:rPr>
                <w:rFonts w:eastAsia="宋体"/>
                <w:color w:val="auto"/>
                <w:highlight w:val="none"/>
              </w:rPr>
            </w:pPr>
            <w:r>
              <w:rPr>
                <w:rFonts w:eastAsia="宋体"/>
                <w:color w:val="auto"/>
                <w:highlight w:val="none"/>
              </w:rPr>
              <w:t>重度损毁</w:t>
            </w:r>
          </w:p>
        </w:tc>
        <w:tc>
          <w:tcPr>
            <w:tcW w:w="1026" w:type="pct"/>
            <w:tcBorders>
              <w:top w:val="single" w:color="auto" w:sz="4" w:space="0"/>
              <w:left w:val="single" w:color="auto" w:sz="4" w:space="0"/>
              <w:right w:val="single" w:color="auto" w:sz="4" w:space="0"/>
            </w:tcBorders>
            <w:noWrap/>
            <w:vAlign w:val="center"/>
          </w:tcPr>
          <w:p w14:paraId="3500287E">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0.8</w:t>
            </w:r>
          </w:p>
        </w:tc>
        <w:tc>
          <w:tcPr>
            <w:tcW w:w="715" w:type="pct"/>
            <w:tcBorders>
              <w:top w:val="single" w:color="auto" w:sz="4" w:space="0"/>
              <w:left w:val="single" w:color="auto" w:sz="4" w:space="0"/>
              <w:bottom w:val="single" w:color="auto" w:sz="4" w:space="0"/>
              <w:right w:val="single" w:color="auto" w:sz="4" w:space="0"/>
            </w:tcBorders>
            <w:noWrap/>
            <w:vAlign w:val="center"/>
          </w:tcPr>
          <w:p w14:paraId="7D04E78C">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100</w:t>
            </w:r>
          </w:p>
        </w:tc>
      </w:tr>
      <w:tr w14:paraId="07E98D3D">
        <w:tblPrEx>
          <w:tblCellMar>
            <w:top w:w="0" w:type="dxa"/>
            <w:left w:w="108" w:type="dxa"/>
            <w:bottom w:w="0" w:type="dxa"/>
            <w:right w:w="108" w:type="dxa"/>
          </w:tblCellMar>
        </w:tblPrEx>
        <w:trPr>
          <w:trHeight w:val="354" w:hRule="atLeast"/>
          <w:jc w:val="center"/>
        </w:trPr>
        <w:tc>
          <w:tcPr>
            <w:tcW w:w="3257" w:type="pct"/>
            <w:gridSpan w:val="2"/>
            <w:tcBorders>
              <w:top w:val="single" w:color="auto" w:sz="4" w:space="0"/>
              <w:left w:val="single" w:color="auto" w:sz="4" w:space="0"/>
              <w:bottom w:val="single" w:color="auto" w:sz="4" w:space="0"/>
              <w:right w:val="single" w:color="auto" w:sz="4" w:space="0"/>
            </w:tcBorders>
            <w:vAlign w:val="center"/>
          </w:tcPr>
          <w:p w14:paraId="6DBC11F7">
            <w:pPr>
              <w:jc w:val="center"/>
              <w:rPr>
                <w:rFonts w:eastAsia="宋体"/>
                <w:color w:val="auto"/>
                <w:highlight w:val="none"/>
              </w:rPr>
            </w:pPr>
            <w:r>
              <w:rPr>
                <w:rFonts w:hint="eastAsia" w:eastAsia="宋体"/>
                <w:color w:val="auto"/>
                <w:highlight w:val="none"/>
              </w:rPr>
              <w:t>合计</w:t>
            </w:r>
          </w:p>
        </w:tc>
        <w:tc>
          <w:tcPr>
            <w:tcW w:w="1026" w:type="pct"/>
            <w:tcBorders>
              <w:top w:val="single" w:color="auto" w:sz="4" w:space="0"/>
              <w:left w:val="single" w:color="auto" w:sz="4" w:space="0"/>
              <w:bottom w:val="single" w:color="auto" w:sz="4" w:space="0"/>
              <w:right w:val="single" w:color="auto" w:sz="4" w:space="0"/>
            </w:tcBorders>
            <w:vAlign w:val="center"/>
          </w:tcPr>
          <w:p w14:paraId="2AAC1635">
            <w:pPr>
              <w:pStyle w:val="13"/>
              <w:ind w:left="0" w:leftChars="0" w:firstLine="0" w:firstLineChars="0"/>
              <w:jc w:val="center"/>
              <w:rPr>
                <w:rFonts w:hint="default" w:eastAsiaTheme="minorEastAsia"/>
                <w:color w:val="auto"/>
                <w:lang w:val="en-US" w:eastAsia="zh-CN"/>
              </w:rPr>
            </w:pPr>
            <w:r>
              <w:rPr>
                <w:rFonts w:hint="eastAsia"/>
                <w:color w:val="auto"/>
                <w:lang w:val="en-US" w:eastAsia="zh-CN"/>
              </w:rPr>
              <w:t>0.8</w:t>
            </w:r>
          </w:p>
        </w:tc>
        <w:tc>
          <w:tcPr>
            <w:tcW w:w="715" w:type="pct"/>
            <w:tcBorders>
              <w:top w:val="single" w:color="auto" w:sz="4" w:space="0"/>
              <w:left w:val="single" w:color="auto" w:sz="4" w:space="0"/>
              <w:bottom w:val="single" w:color="auto" w:sz="4" w:space="0"/>
              <w:right w:val="single" w:color="auto" w:sz="4" w:space="0"/>
            </w:tcBorders>
            <w:noWrap/>
            <w:vAlign w:val="center"/>
          </w:tcPr>
          <w:p w14:paraId="5F75348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100</w:t>
            </w:r>
          </w:p>
        </w:tc>
      </w:tr>
    </w:tbl>
    <w:p w14:paraId="01E17C65">
      <w:pPr>
        <w:pStyle w:val="22"/>
        <w:ind w:firstLine="0" w:firstLineChars="0"/>
        <w:rPr>
          <w:rFonts w:ascii="Times New Roman" w:hAnsi="Times New Roman" w:cs="Times New Roman"/>
          <w:color w:val="auto"/>
          <w:sz w:val="24"/>
          <w:szCs w:val="24"/>
          <w:highlight w:val="none"/>
        </w:rPr>
      </w:pPr>
    </w:p>
    <w:p w14:paraId="090D08BD">
      <w:pPr>
        <w:pStyle w:val="3"/>
        <w:rPr>
          <w:rFonts w:ascii="Times New Roman" w:hAnsi="Times New Roman" w:eastAsia="宋体" w:cs="Times New Roman"/>
          <w:color w:val="auto"/>
          <w:sz w:val="30"/>
          <w:szCs w:val="30"/>
          <w:highlight w:val="none"/>
        </w:rPr>
      </w:pPr>
      <w:bookmarkStart w:id="110" w:name="_Toc17850"/>
      <w:r>
        <w:rPr>
          <w:rFonts w:ascii="Times New Roman" w:hAnsi="Times New Roman" w:eastAsia="宋体" w:cs="Times New Roman"/>
          <w:color w:val="auto"/>
          <w:sz w:val="30"/>
          <w:szCs w:val="30"/>
          <w:highlight w:val="none"/>
        </w:rPr>
        <w:t>四、矿山地质环境治理分区与土地复垦范围</w:t>
      </w:r>
      <w:bookmarkEnd w:id="110"/>
    </w:p>
    <w:p w14:paraId="3681335E">
      <w:pPr>
        <w:pStyle w:val="4"/>
        <w:rPr>
          <w:rFonts w:ascii="Times New Roman" w:hAnsi="Times New Roman" w:eastAsia="宋体" w:cs="Times New Roman"/>
          <w:color w:val="auto"/>
          <w:sz w:val="28"/>
          <w:szCs w:val="28"/>
          <w:highlight w:val="none"/>
        </w:rPr>
      </w:pPr>
      <w:bookmarkStart w:id="111" w:name="_Toc24816"/>
      <w:r>
        <w:rPr>
          <w:rFonts w:ascii="Times New Roman" w:hAnsi="Times New Roman" w:eastAsia="宋体" w:cs="Times New Roman"/>
          <w:color w:val="auto"/>
          <w:sz w:val="28"/>
          <w:szCs w:val="28"/>
          <w:highlight w:val="none"/>
        </w:rPr>
        <w:t>（一）矿山地质环境保护与恢复治理分区</w:t>
      </w:r>
      <w:bookmarkEnd w:id="111"/>
    </w:p>
    <w:p w14:paraId="6D508901">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1、分区原则</w:t>
      </w:r>
    </w:p>
    <w:p w14:paraId="2E8339B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具有“自然、社会、经济”三重属性。因此，坚持“以人为本，以工程建设为中心，以可持续发展为目标”的原则。根据矿产资源开发利用方案确定的开采顺序，开采方法，工作面的推进速度以及方案的服务年限等。同时考虑基础建设和开采引发或加剧矿山地质环境恶化的危害，做到尽可能减小工程建设和矿山开采等人类工程活动对地质环境造成的破坏，以及尽可能对已破坏的地质环境进行恢复治理的原则。</w:t>
      </w:r>
    </w:p>
    <w:p w14:paraId="59EDF8D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根据现状评估结果和预测评估结果，采取就上不就下的原则进行分区。</w:t>
      </w:r>
    </w:p>
    <w:p w14:paraId="6D6E4B93">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2、分区方法</w:t>
      </w:r>
    </w:p>
    <w:p w14:paraId="099E30C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对地质灾害、含水层、地形地貌景观、土地资源影响和破坏现状评估与预测评估的基础上，根据可能造成的损失大小和防治难易程度，对矿山地质环境保护与治理恢复进行分区。选取地质灾害、含水层、地形地貌景观、土地资源现状与预测评估结果作为分区指标，利用叠加法进行分区，分区标准按《矿山地质环境保护与治理恢复方案编制规范》中附录表F.1：“矿山地质环境保护与治理恢复分区表”（表3-15）之规定进行。</w:t>
      </w:r>
    </w:p>
    <w:p w14:paraId="422CB683">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表3-</w:t>
      </w:r>
      <w:r>
        <w:rPr>
          <w:rFonts w:hint="eastAsia" w:ascii="Times New Roman" w:hAnsi="Times New Roman" w:eastAsia="宋体" w:cs="Times New Roman"/>
          <w:b/>
          <w:color w:val="auto"/>
          <w:kern w:val="0"/>
          <w:highlight w:val="none"/>
        </w:rPr>
        <w:t>15</w:t>
      </w:r>
      <w:r>
        <w:rPr>
          <w:rFonts w:ascii="Times New Roman" w:hAnsi="Times New Roman" w:eastAsia="宋体" w:cs="Times New Roman"/>
          <w:b/>
          <w:color w:val="auto"/>
          <w:kern w:val="0"/>
          <w:highlight w:val="none"/>
        </w:rPr>
        <w:t xml:space="preserve">   矿山地质环境保护与治理恢复分区表</w:t>
      </w:r>
    </w:p>
    <w:tbl>
      <w:tblPr>
        <w:tblStyle w:val="23"/>
        <w:tblW w:w="8787" w:type="dxa"/>
        <w:jc w:val="center"/>
        <w:tblLayout w:type="fixed"/>
        <w:tblCellMar>
          <w:top w:w="0" w:type="dxa"/>
          <w:left w:w="108" w:type="dxa"/>
          <w:bottom w:w="0" w:type="dxa"/>
          <w:right w:w="108" w:type="dxa"/>
        </w:tblCellMar>
      </w:tblPr>
      <w:tblGrid>
        <w:gridCol w:w="2823"/>
        <w:gridCol w:w="1954"/>
        <w:gridCol w:w="1837"/>
        <w:gridCol w:w="2173"/>
      </w:tblGrid>
      <w:tr w14:paraId="5F5156C5">
        <w:tblPrEx>
          <w:tblCellMar>
            <w:top w:w="0" w:type="dxa"/>
            <w:left w:w="108" w:type="dxa"/>
            <w:bottom w:w="0" w:type="dxa"/>
            <w:right w:w="108" w:type="dxa"/>
          </w:tblCellMar>
        </w:tblPrEx>
        <w:trPr>
          <w:trHeight w:val="340" w:hRule="exact"/>
          <w:jc w:val="center"/>
        </w:trPr>
        <w:tc>
          <w:tcPr>
            <w:tcW w:w="2832" w:type="dxa"/>
            <w:vMerge w:val="restart"/>
            <w:tcBorders>
              <w:top w:val="single" w:color="auto" w:sz="4" w:space="0"/>
              <w:left w:val="single" w:color="auto" w:sz="4" w:space="0"/>
              <w:bottom w:val="nil"/>
              <w:right w:val="single" w:color="auto" w:sz="4" w:space="0"/>
            </w:tcBorders>
            <w:vAlign w:val="center"/>
          </w:tcPr>
          <w:p w14:paraId="00963521">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现状评估</w:t>
            </w:r>
          </w:p>
        </w:tc>
        <w:tc>
          <w:tcPr>
            <w:tcW w:w="5983" w:type="dxa"/>
            <w:gridSpan w:val="3"/>
            <w:tcBorders>
              <w:top w:val="single" w:color="auto" w:sz="4" w:space="0"/>
              <w:left w:val="single" w:color="auto" w:sz="4" w:space="0"/>
              <w:bottom w:val="single" w:color="auto" w:sz="4" w:space="0"/>
              <w:right w:val="single" w:color="auto" w:sz="4" w:space="0"/>
            </w:tcBorders>
            <w:vAlign w:val="center"/>
          </w:tcPr>
          <w:p w14:paraId="34ACFDDE">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预测评估</w:t>
            </w:r>
          </w:p>
        </w:tc>
      </w:tr>
      <w:tr w14:paraId="33D29F0B">
        <w:tblPrEx>
          <w:tblCellMar>
            <w:top w:w="0" w:type="dxa"/>
            <w:left w:w="108" w:type="dxa"/>
            <w:bottom w:w="0" w:type="dxa"/>
            <w:right w:w="108" w:type="dxa"/>
          </w:tblCellMar>
        </w:tblPrEx>
        <w:trPr>
          <w:trHeight w:val="340" w:hRule="exact"/>
          <w:jc w:val="center"/>
        </w:trPr>
        <w:tc>
          <w:tcPr>
            <w:tcW w:w="2832" w:type="dxa"/>
            <w:vMerge w:val="continue"/>
            <w:tcBorders>
              <w:left w:val="single" w:color="auto" w:sz="4" w:space="0"/>
              <w:bottom w:val="single" w:color="auto" w:sz="4" w:space="0"/>
              <w:right w:val="single" w:color="auto" w:sz="4" w:space="0"/>
            </w:tcBorders>
            <w:vAlign w:val="center"/>
          </w:tcPr>
          <w:p w14:paraId="6F44FC52">
            <w:pPr>
              <w:widowControl/>
              <w:jc w:val="center"/>
              <w:rPr>
                <w:rFonts w:ascii="Times New Roman" w:hAnsi="Times New Roman" w:eastAsia="宋体" w:cs="Times New Roman"/>
                <w:color w:val="auto"/>
                <w:kern w:val="0"/>
                <w:highlight w:val="none"/>
              </w:rPr>
            </w:pPr>
          </w:p>
        </w:tc>
        <w:tc>
          <w:tcPr>
            <w:tcW w:w="1960" w:type="dxa"/>
            <w:tcBorders>
              <w:top w:val="single" w:color="auto" w:sz="4" w:space="0"/>
              <w:left w:val="single" w:color="auto" w:sz="4" w:space="0"/>
              <w:bottom w:val="single" w:color="auto" w:sz="4" w:space="0"/>
              <w:right w:val="single" w:color="auto" w:sz="4" w:space="0"/>
            </w:tcBorders>
            <w:vAlign w:val="center"/>
          </w:tcPr>
          <w:p w14:paraId="60EA861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严重</w:t>
            </w:r>
          </w:p>
        </w:tc>
        <w:tc>
          <w:tcPr>
            <w:tcW w:w="1843" w:type="dxa"/>
            <w:tcBorders>
              <w:top w:val="single" w:color="auto" w:sz="4" w:space="0"/>
              <w:left w:val="single" w:color="auto" w:sz="4" w:space="0"/>
              <w:bottom w:val="single" w:color="auto" w:sz="4" w:space="0"/>
              <w:right w:val="single" w:color="auto" w:sz="4" w:space="0"/>
            </w:tcBorders>
            <w:vAlign w:val="center"/>
          </w:tcPr>
          <w:p w14:paraId="3B8AE3B8">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较严重</w:t>
            </w:r>
          </w:p>
        </w:tc>
        <w:tc>
          <w:tcPr>
            <w:tcW w:w="2180" w:type="dxa"/>
            <w:tcBorders>
              <w:top w:val="single" w:color="auto" w:sz="4" w:space="0"/>
              <w:left w:val="single" w:color="auto" w:sz="4" w:space="0"/>
              <w:bottom w:val="single" w:color="auto" w:sz="4" w:space="0"/>
              <w:right w:val="single" w:color="auto" w:sz="4" w:space="0"/>
            </w:tcBorders>
            <w:vAlign w:val="center"/>
          </w:tcPr>
          <w:p w14:paraId="1DBE86E1">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r>
      <w:tr w14:paraId="2D8776B3">
        <w:tblPrEx>
          <w:tblCellMar>
            <w:top w:w="0" w:type="dxa"/>
            <w:left w:w="108" w:type="dxa"/>
            <w:bottom w:w="0" w:type="dxa"/>
            <w:right w:w="108" w:type="dxa"/>
          </w:tblCellMar>
        </w:tblPrEx>
        <w:trPr>
          <w:trHeight w:val="340" w:hRule="exact"/>
          <w:jc w:val="center"/>
        </w:trPr>
        <w:tc>
          <w:tcPr>
            <w:tcW w:w="2832" w:type="dxa"/>
            <w:tcBorders>
              <w:top w:val="nil"/>
              <w:left w:val="single" w:color="auto" w:sz="4" w:space="0"/>
              <w:bottom w:val="single" w:color="auto" w:sz="4" w:space="0"/>
              <w:right w:val="single" w:color="auto" w:sz="4" w:space="0"/>
            </w:tcBorders>
            <w:vAlign w:val="center"/>
          </w:tcPr>
          <w:p w14:paraId="7A5CE479">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严重</w:t>
            </w:r>
          </w:p>
        </w:tc>
        <w:tc>
          <w:tcPr>
            <w:tcW w:w="1960" w:type="dxa"/>
            <w:tcBorders>
              <w:top w:val="single" w:color="auto" w:sz="4" w:space="0"/>
              <w:left w:val="nil"/>
              <w:bottom w:val="single" w:color="auto" w:sz="4" w:space="0"/>
              <w:right w:val="single" w:color="auto" w:sz="4" w:space="0"/>
            </w:tcBorders>
            <w:noWrap/>
            <w:vAlign w:val="center"/>
          </w:tcPr>
          <w:p w14:paraId="6B4BD6D5">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重点区</w:t>
            </w:r>
          </w:p>
        </w:tc>
        <w:tc>
          <w:tcPr>
            <w:tcW w:w="1843" w:type="dxa"/>
            <w:tcBorders>
              <w:top w:val="nil"/>
              <w:left w:val="nil"/>
              <w:bottom w:val="single" w:color="auto" w:sz="4" w:space="0"/>
              <w:right w:val="single" w:color="auto" w:sz="4" w:space="0"/>
            </w:tcBorders>
            <w:vAlign w:val="center"/>
          </w:tcPr>
          <w:p w14:paraId="628BBE9E">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重点区</w:t>
            </w:r>
          </w:p>
        </w:tc>
        <w:tc>
          <w:tcPr>
            <w:tcW w:w="2180" w:type="dxa"/>
            <w:tcBorders>
              <w:top w:val="nil"/>
              <w:left w:val="nil"/>
              <w:bottom w:val="single" w:color="auto" w:sz="4" w:space="0"/>
              <w:right w:val="single" w:color="auto" w:sz="4" w:space="0"/>
            </w:tcBorders>
            <w:vAlign w:val="center"/>
          </w:tcPr>
          <w:p w14:paraId="2315E718">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重点区</w:t>
            </w:r>
          </w:p>
        </w:tc>
      </w:tr>
      <w:tr w14:paraId="06643288">
        <w:tblPrEx>
          <w:tblCellMar>
            <w:top w:w="0" w:type="dxa"/>
            <w:left w:w="108" w:type="dxa"/>
            <w:bottom w:w="0" w:type="dxa"/>
            <w:right w:w="108" w:type="dxa"/>
          </w:tblCellMar>
        </w:tblPrEx>
        <w:trPr>
          <w:trHeight w:val="340" w:hRule="exact"/>
          <w:jc w:val="center"/>
        </w:trPr>
        <w:tc>
          <w:tcPr>
            <w:tcW w:w="2832" w:type="dxa"/>
            <w:tcBorders>
              <w:top w:val="nil"/>
              <w:left w:val="single" w:color="auto" w:sz="4" w:space="0"/>
              <w:bottom w:val="single" w:color="auto" w:sz="4" w:space="0"/>
              <w:right w:val="single" w:color="auto" w:sz="4" w:space="0"/>
            </w:tcBorders>
            <w:vAlign w:val="center"/>
          </w:tcPr>
          <w:p w14:paraId="1A020D24">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较严重</w:t>
            </w:r>
          </w:p>
        </w:tc>
        <w:tc>
          <w:tcPr>
            <w:tcW w:w="1960" w:type="dxa"/>
            <w:tcBorders>
              <w:top w:val="nil"/>
              <w:left w:val="nil"/>
              <w:bottom w:val="single" w:color="auto" w:sz="4" w:space="0"/>
              <w:right w:val="single" w:color="auto" w:sz="4" w:space="0"/>
            </w:tcBorders>
            <w:noWrap/>
            <w:vAlign w:val="center"/>
          </w:tcPr>
          <w:p w14:paraId="5F09F1C5">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重点区</w:t>
            </w:r>
          </w:p>
        </w:tc>
        <w:tc>
          <w:tcPr>
            <w:tcW w:w="1843" w:type="dxa"/>
            <w:tcBorders>
              <w:top w:val="nil"/>
              <w:left w:val="nil"/>
              <w:bottom w:val="single" w:color="auto" w:sz="4" w:space="0"/>
              <w:right w:val="single" w:color="auto" w:sz="4" w:space="0"/>
            </w:tcBorders>
            <w:vAlign w:val="center"/>
          </w:tcPr>
          <w:p w14:paraId="26A9D996">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次重点区</w:t>
            </w:r>
          </w:p>
        </w:tc>
        <w:tc>
          <w:tcPr>
            <w:tcW w:w="2180" w:type="dxa"/>
            <w:tcBorders>
              <w:top w:val="nil"/>
              <w:left w:val="nil"/>
              <w:bottom w:val="single" w:color="auto" w:sz="4" w:space="0"/>
              <w:right w:val="single" w:color="auto" w:sz="4" w:space="0"/>
            </w:tcBorders>
            <w:vAlign w:val="center"/>
          </w:tcPr>
          <w:p w14:paraId="7657F92D">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次重点区</w:t>
            </w:r>
          </w:p>
        </w:tc>
      </w:tr>
      <w:tr w14:paraId="7028160A">
        <w:tblPrEx>
          <w:tblCellMar>
            <w:top w:w="0" w:type="dxa"/>
            <w:left w:w="108" w:type="dxa"/>
            <w:bottom w:w="0" w:type="dxa"/>
            <w:right w:w="108" w:type="dxa"/>
          </w:tblCellMar>
        </w:tblPrEx>
        <w:trPr>
          <w:trHeight w:val="340" w:hRule="exact"/>
          <w:jc w:val="center"/>
        </w:trPr>
        <w:tc>
          <w:tcPr>
            <w:tcW w:w="2832" w:type="dxa"/>
            <w:tcBorders>
              <w:top w:val="nil"/>
              <w:left w:val="single" w:color="auto" w:sz="4" w:space="0"/>
              <w:bottom w:val="single" w:color="auto" w:sz="4" w:space="0"/>
              <w:right w:val="single" w:color="auto" w:sz="4" w:space="0"/>
            </w:tcBorders>
            <w:vAlign w:val="center"/>
          </w:tcPr>
          <w:p w14:paraId="271F1648">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1960" w:type="dxa"/>
            <w:tcBorders>
              <w:top w:val="nil"/>
              <w:left w:val="nil"/>
              <w:bottom w:val="single" w:color="auto" w:sz="4" w:space="0"/>
              <w:right w:val="single" w:color="auto" w:sz="4" w:space="0"/>
            </w:tcBorders>
            <w:noWrap/>
            <w:vAlign w:val="center"/>
          </w:tcPr>
          <w:p w14:paraId="26285529">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重点区</w:t>
            </w:r>
          </w:p>
        </w:tc>
        <w:tc>
          <w:tcPr>
            <w:tcW w:w="1843" w:type="dxa"/>
            <w:tcBorders>
              <w:top w:val="nil"/>
              <w:left w:val="nil"/>
              <w:bottom w:val="single" w:color="auto" w:sz="4" w:space="0"/>
              <w:right w:val="single" w:color="auto" w:sz="4" w:space="0"/>
            </w:tcBorders>
            <w:vAlign w:val="center"/>
          </w:tcPr>
          <w:p w14:paraId="050BC063">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次重点区</w:t>
            </w:r>
          </w:p>
        </w:tc>
        <w:tc>
          <w:tcPr>
            <w:tcW w:w="2180" w:type="dxa"/>
            <w:tcBorders>
              <w:top w:val="nil"/>
              <w:left w:val="nil"/>
              <w:bottom w:val="single" w:color="auto" w:sz="4" w:space="0"/>
              <w:right w:val="single" w:color="auto" w:sz="4" w:space="0"/>
            </w:tcBorders>
            <w:vAlign w:val="center"/>
          </w:tcPr>
          <w:p w14:paraId="47B5E2D2">
            <w:pPr>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一般区</w:t>
            </w:r>
          </w:p>
        </w:tc>
      </w:tr>
    </w:tbl>
    <w:p w14:paraId="592DB7FD">
      <w:pPr>
        <w:spacing w:line="360" w:lineRule="auto"/>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3、分区评述</w:t>
      </w:r>
    </w:p>
    <w:p w14:paraId="507CA55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上述分区原则和方法，结合本矿实际，坚持“以人为本”，在矿山地质环境影响现状评估和预测评估的基础上，充分考虑建设工程本身的重要性，将评估区划分为1个次重点防治区和1个一般防治区。分区叙述如下：</w:t>
      </w:r>
    </w:p>
    <w:p w14:paraId="666B77EB">
      <w:pPr>
        <w:spacing w:line="36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（1）次重点防治区（A）</w:t>
      </w:r>
    </w:p>
    <w:p w14:paraId="5790403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该区为</w:t>
      </w:r>
      <w:r>
        <w:rPr>
          <w:rFonts w:hint="eastAsia" w:ascii="仿宋" w:hAnsi="仿宋" w:eastAsia="仿宋" w:cs="仿宋"/>
          <w:color w:val="auto"/>
          <w:sz w:val="28"/>
          <w:szCs w:val="28"/>
          <w:highlight w:val="none"/>
        </w:rPr>
        <w:t>露天采场、上山公路区，</w:t>
      </w:r>
      <w:r>
        <w:rPr>
          <w:rFonts w:hint="eastAsia" w:ascii="仿宋" w:hAnsi="仿宋" w:eastAsia="仿宋" w:cs="仿宋"/>
          <w:bCs/>
          <w:color w:val="auto"/>
          <w:sz w:val="28"/>
          <w:szCs w:val="28"/>
          <w:highlight w:val="none"/>
        </w:rPr>
        <w:t>面积共</w:t>
      </w:r>
      <w:r>
        <w:rPr>
          <w:rFonts w:hint="eastAsia" w:ascii="仿宋" w:hAnsi="仿宋" w:eastAsia="仿宋" w:cs="仿宋"/>
          <w:bCs/>
          <w:color w:val="auto"/>
          <w:sz w:val="28"/>
          <w:szCs w:val="28"/>
          <w:highlight w:val="none"/>
          <w:lang w:val="en-US" w:eastAsia="zh-CN"/>
        </w:rPr>
        <w:t>0.8</w:t>
      </w:r>
      <w:r>
        <w:rPr>
          <w:rFonts w:hint="eastAsia" w:ascii="仿宋" w:hAnsi="仿宋" w:eastAsia="仿宋" w:cs="仿宋"/>
          <w:bCs/>
          <w:color w:val="auto"/>
          <w:sz w:val="28"/>
          <w:szCs w:val="28"/>
          <w:highlight w:val="none"/>
        </w:rPr>
        <w:t>hm</w:t>
      </w:r>
      <w:r>
        <w:rPr>
          <w:rFonts w:hint="eastAsia" w:ascii="仿宋" w:hAnsi="仿宋" w:eastAsia="仿宋" w:cs="仿宋"/>
          <w:bCs/>
          <w:color w:val="auto"/>
          <w:sz w:val="28"/>
          <w:szCs w:val="28"/>
          <w:highlight w:val="none"/>
          <w:vertAlign w:val="superscript"/>
        </w:rPr>
        <w:t>2</w:t>
      </w:r>
      <w:r>
        <w:rPr>
          <w:rFonts w:hint="eastAsia" w:ascii="仿宋" w:hAnsi="仿宋" w:eastAsia="仿宋" w:cs="仿宋"/>
          <w:bCs/>
          <w:color w:val="auto"/>
          <w:sz w:val="28"/>
          <w:szCs w:val="28"/>
          <w:highlight w:val="none"/>
        </w:rPr>
        <w:t>，占评估区（评估区面积</w:t>
      </w:r>
      <w:r>
        <w:rPr>
          <w:rFonts w:hint="eastAsia" w:ascii="仿宋" w:hAnsi="仿宋" w:eastAsia="仿宋" w:cs="仿宋"/>
          <w:bCs/>
          <w:color w:val="auto"/>
          <w:sz w:val="28"/>
          <w:szCs w:val="28"/>
          <w:highlight w:val="none"/>
          <w:lang w:val="en-US" w:eastAsia="zh-CN"/>
        </w:rPr>
        <w:t>0.8</w:t>
      </w:r>
      <w:r>
        <w:rPr>
          <w:rFonts w:hint="eastAsia" w:ascii="仿宋" w:hAnsi="仿宋" w:eastAsia="仿宋" w:cs="仿宋"/>
          <w:bCs/>
          <w:color w:val="auto"/>
          <w:sz w:val="28"/>
          <w:szCs w:val="28"/>
          <w:highlight w:val="none"/>
        </w:rPr>
        <w:t>hm</w:t>
      </w:r>
      <w:r>
        <w:rPr>
          <w:rFonts w:hint="eastAsia" w:ascii="仿宋" w:hAnsi="仿宋" w:eastAsia="仿宋" w:cs="仿宋"/>
          <w:bCs/>
          <w:color w:val="auto"/>
          <w:sz w:val="28"/>
          <w:szCs w:val="28"/>
          <w:highlight w:val="none"/>
          <w:vertAlign w:val="superscript"/>
        </w:rPr>
        <w:t>2</w:t>
      </w:r>
      <w:r>
        <w:rPr>
          <w:rFonts w:hint="eastAsia" w:ascii="仿宋" w:hAnsi="仿宋" w:eastAsia="仿宋" w:cs="仿宋"/>
          <w:bCs/>
          <w:color w:val="auto"/>
          <w:sz w:val="28"/>
          <w:szCs w:val="28"/>
          <w:highlight w:val="none"/>
        </w:rPr>
        <w:t>）的</w:t>
      </w:r>
      <w:r>
        <w:rPr>
          <w:rFonts w:hint="eastAsia" w:ascii="仿宋" w:hAnsi="仿宋" w:eastAsia="仿宋" w:cs="仿宋"/>
          <w:bCs/>
          <w:color w:val="auto"/>
          <w:sz w:val="28"/>
          <w:szCs w:val="28"/>
          <w:highlight w:val="none"/>
          <w:lang w:val="en-US" w:eastAsia="zh-CN"/>
        </w:rPr>
        <w:t>100</w:t>
      </w:r>
      <w:r>
        <w:rPr>
          <w:rFonts w:hint="eastAsia" w:ascii="仿宋" w:hAnsi="仿宋" w:eastAsia="仿宋" w:cs="仿宋"/>
          <w:bCs/>
          <w:color w:val="auto"/>
          <w:sz w:val="28"/>
          <w:szCs w:val="28"/>
          <w:highlight w:val="none"/>
        </w:rPr>
        <w:t>%。预测该区地质环境影响较严重，主要表现为：对</w:t>
      </w:r>
      <w:r>
        <w:rPr>
          <w:rFonts w:hint="eastAsia" w:ascii="仿宋" w:hAnsi="仿宋" w:eastAsia="仿宋" w:cs="仿宋"/>
          <w:color w:val="auto"/>
          <w:sz w:val="28"/>
          <w:szCs w:val="28"/>
          <w:highlight w:val="none"/>
        </w:rPr>
        <w:t>地质灾害影响程度</w:t>
      </w:r>
      <w:r>
        <w:rPr>
          <w:rFonts w:hint="eastAsia" w:ascii="仿宋" w:hAnsi="仿宋" w:eastAsia="仿宋" w:cs="仿宋"/>
          <w:color w:val="auto"/>
          <w:sz w:val="28"/>
          <w:szCs w:val="28"/>
          <w:highlight w:val="none"/>
          <w:lang w:val="en-US" w:eastAsia="zh-CN"/>
        </w:rPr>
        <w:t>较轻</w:t>
      </w:r>
      <w:r>
        <w:rPr>
          <w:rFonts w:hint="eastAsia" w:ascii="仿宋" w:hAnsi="仿宋" w:eastAsia="仿宋" w:cs="仿宋"/>
          <w:color w:val="auto"/>
          <w:sz w:val="28"/>
          <w:szCs w:val="28"/>
          <w:highlight w:val="none"/>
        </w:rPr>
        <w:t>，对地形地貌景观破坏较严重，对土地资源损毁较严重。</w:t>
      </w:r>
    </w:p>
    <w:p w14:paraId="29C8144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主要防治措施：开展矿山地质环境监测，及时了解掌握采矿活动原生地形地貌景观的影响范围和破坏程度。对监测发现的地质灾害隐患采取工程措施及时予以消除；结合土地复垦工程予以景观恢复。</w:t>
      </w:r>
    </w:p>
    <w:p w14:paraId="63ABF893">
      <w:pPr>
        <w:spacing w:line="36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（2）一般防治区（B）</w:t>
      </w:r>
    </w:p>
    <w:p w14:paraId="6B3F55A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lang w:val="en-US" w:eastAsia="zh-CN"/>
        </w:rPr>
        <w:t>因该采矿权范围均为开采区，无一般防治区。</w:t>
      </w:r>
    </w:p>
    <w:tbl>
      <w:tblPr>
        <w:tblStyle w:val="23"/>
        <w:tblpPr w:leftFromText="180" w:rightFromText="180" w:vertAnchor="text" w:horzAnchor="page" w:tblpX="1773" w:tblpY="319"/>
        <w:tblOverlap w:val="never"/>
        <w:tblW w:w="5201" w:type="pct"/>
        <w:tblInd w:w="0" w:type="dxa"/>
        <w:tblLayout w:type="fixed"/>
        <w:tblCellMar>
          <w:top w:w="0" w:type="dxa"/>
          <w:left w:w="108" w:type="dxa"/>
          <w:bottom w:w="0" w:type="dxa"/>
          <w:right w:w="108" w:type="dxa"/>
        </w:tblCellMar>
      </w:tblPr>
      <w:tblGrid>
        <w:gridCol w:w="460"/>
        <w:gridCol w:w="1443"/>
        <w:gridCol w:w="1034"/>
        <w:gridCol w:w="649"/>
        <w:gridCol w:w="512"/>
        <w:gridCol w:w="1358"/>
        <w:gridCol w:w="1752"/>
        <w:gridCol w:w="989"/>
        <w:gridCol w:w="668"/>
      </w:tblGrid>
      <w:tr w14:paraId="3379A035">
        <w:tblPrEx>
          <w:tblCellMar>
            <w:top w:w="0" w:type="dxa"/>
            <w:left w:w="108" w:type="dxa"/>
            <w:bottom w:w="0" w:type="dxa"/>
            <w:right w:w="108" w:type="dxa"/>
          </w:tblCellMar>
        </w:tblPrEx>
        <w:trPr>
          <w:trHeight w:val="288" w:hRule="atLeast"/>
        </w:trPr>
        <w:tc>
          <w:tcPr>
            <w:tcW w:w="5000" w:type="pct"/>
            <w:gridSpan w:val="9"/>
            <w:tcBorders>
              <w:bottom w:val="single" w:color="auto" w:sz="4" w:space="0"/>
            </w:tcBorders>
            <w:vAlign w:val="center"/>
          </w:tcPr>
          <w:p w14:paraId="0278FA25">
            <w:pPr>
              <w:jc w:val="center"/>
              <w:rPr>
                <w:rFonts w:ascii="Times New Roman" w:hAnsi="Times New Roman" w:eastAsia="宋体" w:cs="Times New Roman"/>
                <w:bCs/>
                <w:color w:val="auto"/>
                <w:highlight w:val="none"/>
              </w:rPr>
            </w:pPr>
            <w:r>
              <w:rPr>
                <w:rFonts w:ascii="Times New Roman" w:hAnsi="Times New Roman" w:eastAsia="宋体" w:cs="Times New Roman"/>
                <w:b/>
                <w:color w:val="auto"/>
                <w:highlight w:val="none"/>
              </w:rPr>
              <w:t>表3-</w:t>
            </w:r>
            <w:r>
              <w:rPr>
                <w:rFonts w:hint="eastAsia" w:ascii="Times New Roman" w:hAnsi="Times New Roman" w:eastAsia="宋体" w:cs="Times New Roman"/>
                <w:b/>
                <w:color w:val="auto"/>
                <w:highlight w:val="none"/>
              </w:rPr>
              <w:t>16</w:t>
            </w:r>
            <w:r>
              <w:rPr>
                <w:rFonts w:ascii="Times New Roman" w:hAnsi="Times New Roman" w:eastAsia="宋体" w:cs="Times New Roman"/>
                <w:b/>
                <w:color w:val="auto"/>
                <w:highlight w:val="none"/>
              </w:rPr>
              <w:t xml:space="preserve">   矿山地质环境防治分区表</w:t>
            </w:r>
          </w:p>
        </w:tc>
      </w:tr>
      <w:tr w14:paraId="7E8036A4">
        <w:tblPrEx>
          <w:tblCellMar>
            <w:top w:w="0" w:type="dxa"/>
            <w:left w:w="108" w:type="dxa"/>
            <w:bottom w:w="0" w:type="dxa"/>
            <w:right w:w="108" w:type="dxa"/>
          </w:tblCellMar>
        </w:tblPrEx>
        <w:trPr>
          <w:trHeight w:val="373" w:hRule="atLeast"/>
        </w:trPr>
        <w:tc>
          <w:tcPr>
            <w:tcW w:w="259" w:type="pct"/>
            <w:vMerge w:val="restart"/>
            <w:tcBorders>
              <w:top w:val="single" w:color="auto" w:sz="4" w:space="0"/>
              <w:left w:val="single" w:color="auto" w:sz="4" w:space="0"/>
              <w:bottom w:val="single" w:color="auto" w:sz="4" w:space="0"/>
              <w:right w:val="single" w:color="auto" w:sz="4" w:space="0"/>
            </w:tcBorders>
            <w:vAlign w:val="center"/>
          </w:tcPr>
          <w:p w14:paraId="6BDC30A9">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防治级别</w:t>
            </w:r>
          </w:p>
        </w:tc>
        <w:tc>
          <w:tcPr>
            <w:tcW w:w="1397" w:type="pct"/>
            <w:gridSpan w:val="2"/>
            <w:tcBorders>
              <w:top w:val="single" w:color="auto" w:sz="4" w:space="0"/>
              <w:left w:val="single" w:color="auto" w:sz="4" w:space="0"/>
              <w:bottom w:val="single" w:color="auto" w:sz="4" w:space="0"/>
              <w:right w:val="single" w:color="auto" w:sz="4" w:space="0"/>
            </w:tcBorders>
            <w:noWrap/>
            <w:vAlign w:val="center"/>
          </w:tcPr>
          <w:p w14:paraId="4FB944B3">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矿山地质环境影响与土地损毁评估</w:t>
            </w:r>
          </w:p>
        </w:tc>
        <w:tc>
          <w:tcPr>
            <w:tcW w:w="366" w:type="pct"/>
            <w:vMerge w:val="restart"/>
            <w:tcBorders>
              <w:top w:val="single" w:color="auto" w:sz="4" w:space="0"/>
              <w:left w:val="single" w:color="auto" w:sz="4" w:space="0"/>
              <w:bottom w:val="single" w:color="auto" w:sz="4" w:space="0"/>
              <w:right w:val="single" w:color="auto" w:sz="4" w:space="0"/>
            </w:tcBorders>
            <w:vAlign w:val="center"/>
          </w:tcPr>
          <w:p w14:paraId="1DA3D911">
            <w:pPr>
              <w:widowControl/>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影响程度</w:t>
            </w:r>
          </w:p>
        </w:tc>
        <w:tc>
          <w:tcPr>
            <w:tcW w:w="288" w:type="pct"/>
            <w:vMerge w:val="restart"/>
            <w:tcBorders>
              <w:top w:val="single" w:color="auto" w:sz="4" w:space="0"/>
              <w:left w:val="single" w:color="auto" w:sz="4" w:space="0"/>
              <w:bottom w:val="single" w:color="auto" w:sz="4" w:space="0"/>
              <w:right w:val="single" w:color="auto" w:sz="4" w:space="0"/>
            </w:tcBorders>
            <w:vAlign w:val="center"/>
          </w:tcPr>
          <w:p w14:paraId="156D845F">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分区编号</w:t>
            </w:r>
          </w:p>
        </w:tc>
        <w:tc>
          <w:tcPr>
            <w:tcW w:w="765" w:type="pct"/>
            <w:vMerge w:val="restart"/>
            <w:tcBorders>
              <w:top w:val="single" w:color="auto" w:sz="4" w:space="0"/>
              <w:left w:val="single" w:color="auto" w:sz="4" w:space="0"/>
              <w:bottom w:val="single" w:color="auto" w:sz="4" w:space="0"/>
              <w:right w:val="single" w:color="auto" w:sz="4" w:space="0"/>
            </w:tcBorders>
            <w:vAlign w:val="center"/>
          </w:tcPr>
          <w:p w14:paraId="212E43E3">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矿山地质环境治理</w:t>
            </w:r>
          </w:p>
        </w:tc>
        <w:tc>
          <w:tcPr>
            <w:tcW w:w="988" w:type="pct"/>
            <w:vMerge w:val="restart"/>
            <w:tcBorders>
              <w:top w:val="single" w:color="auto" w:sz="4" w:space="0"/>
              <w:left w:val="single" w:color="auto" w:sz="4" w:space="0"/>
              <w:bottom w:val="single" w:color="auto" w:sz="4" w:space="0"/>
              <w:right w:val="single" w:color="auto" w:sz="4" w:space="0"/>
            </w:tcBorders>
            <w:vAlign w:val="center"/>
          </w:tcPr>
          <w:p w14:paraId="4CC1B17E">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工程布置</w:t>
            </w:r>
          </w:p>
        </w:tc>
        <w:tc>
          <w:tcPr>
            <w:tcW w:w="557" w:type="pct"/>
            <w:vMerge w:val="restart"/>
            <w:tcBorders>
              <w:top w:val="single" w:color="auto" w:sz="4" w:space="0"/>
              <w:left w:val="single" w:color="auto" w:sz="4" w:space="0"/>
              <w:bottom w:val="single" w:color="auto" w:sz="4" w:space="0"/>
              <w:right w:val="single" w:color="auto" w:sz="4" w:space="0"/>
            </w:tcBorders>
            <w:vAlign w:val="center"/>
          </w:tcPr>
          <w:p w14:paraId="45FC75AB">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面积(hm</w:t>
            </w:r>
            <w:r>
              <w:rPr>
                <w:rFonts w:ascii="Times New Roman" w:hAnsi="Times New Roman" w:eastAsia="宋体" w:cs="Times New Roman"/>
                <w:color w:val="auto"/>
                <w:kern w:val="0"/>
                <w:highlight w:val="none"/>
                <w:vertAlign w:val="superscript"/>
              </w:rPr>
              <w:t>2</w:t>
            </w:r>
            <w:r>
              <w:rPr>
                <w:rFonts w:ascii="Times New Roman" w:hAnsi="Times New Roman" w:eastAsia="宋体" w:cs="Times New Roman"/>
                <w:color w:val="auto"/>
                <w:kern w:val="0"/>
                <w:highlight w:val="none"/>
              </w:rPr>
              <w:t>)</w:t>
            </w:r>
          </w:p>
        </w:tc>
        <w:tc>
          <w:tcPr>
            <w:tcW w:w="376" w:type="pct"/>
            <w:vMerge w:val="restart"/>
            <w:tcBorders>
              <w:top w:val="single" w:color="auto" w:sz="4" w:space="0"/>
              <w:left w:val="single" w:color="auto" w:sz="4" w:space="0"/>
              <w:bottom w:val="single" w:color="auto" w:sz="4" w:space="0"/>
              <w:right w:val="single" w:color="auto" w:sz="4" w:space="0"/>
            </w:tcBorders>
            <w:noWrap/>
            <w:vAlign w:val="center"/>
          </w:tcPr>
          <w:p w14:paraId="7C1699BB">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比例(%)</w:t>
            </w:r>
          </w:p>
        </w:tc>
      </w:tr>
      <w:tr w14:paraId="7B29262D">
        <w:tblPrEx>
          <w:tblCellMar>
            <w:top w:w="0" w:type="dxa"/>
            <w:left w:w="108" w:type="dxa"/>
            <w:bottom w:w="0" w:type="dxa"/>
            <w:right w:w="108" w:type="dxa"/>
          </w:tblCellMar>
        </w:tblPrEx>
        <w:trPr>
          <w:trHeight w:val="459"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14:paraId="76ABCB85">
            <w:pPr>
              <w:widowControl/>
              <w:jc w:val="left"/>
              <w:rPr>
                <w:rFonts w:ascii="Times New Roman" w:hAnsi="Times New Roman" w:eastAsia="宋体" w:cs="Times New Roman"/>
                <w:color w:val="auto"/>
                <w:kern w:val="0"/>
                <w:highlight w:val="none"/>
              </w:rPr>
            </w:pPr>
          </w:p>
        </w:tc>
        <w:tc>
          <w:tcPr>
            <w:tcW w:w="813" w:type="pct"/>
            <w:tcBorders>
              <w:top w:val="single" w:color="auto" w:sz="4" w:space="0"/>
              <w:left w:val="single" w:color="auto" w:sz="4" w:space="0"/>
              <w:bottom w:val="single" w:color="auto" w:sz="4" w:space="0"/>
              <w:right w:val="single" w:color="auto" w:sz="4" w:space="0"/>
            </w:tcBorders>
            <w:noWrap/>
            <w:vAlign w:val="center"/>
          </w:tcPr>
          <w:p w14:paraId="058BF282">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类型</w:t>
            </w:r>
          </w:p>
        </w:tc>
        <w:tc>
          <w:tcPr>
            <w:tcW w:w="583" w:type="pct"/>
            <w:tcBorders>
              <w:top w:val="single" w:color="auto" w:sz="4" w:space="0"/>
              <w:left w:val="single" w:color="auto" w:sz="4" w:space="0"/>
              <w:bottom w:val="single" w:color="auto" w:sz="4" w:space="0"/>
              <w:right w:val="single" w:color="auto" w:sz="4" w:space="0"/>
            </w:tcBorders>
            <w:noWrap/>
            <w:vAlign w:val="center"/>
          </w:tcPr>
          <w:p w14:paraId="5EC9C21A">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影响程度</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14:paraId="34D7DC8B">
            <w:pPr>
              <w:widowControl/>
              <w:jc w:val="left"/>
              <w:rPr>
                <w:rFonts w:ascii="Times New Roman" w:hAnsi="Times New Roman" w:eastAsia="宋体" w:cs="Times New Roman"/>
                <w:color w:val="auto"/>
                <w:kern w:val="0"/>
                <w:highlight w:val="none"/>
              </w:rPr>
            </w:pPr>
          </w:p>
        </w:tc>
        <w:tc>
          <w:tcPr>
            <w:tcW w:w="288" w:type="pct"/>
            <w:vMerge w:val="continue"/>
            <w:tcBorders>
              <w:top w:val="single" w:color="auto" w:sz="4" w:space="0"/>
              <w:left w:val="single" w:color="auto" w:sz="4" w:space="0"/>
              <w:bottom w:val="single" w:color="auto" w:sz="4" w:space="0"/>
              <w:right w:val="single" w:color="auto" w:sz="4" w:space="0"/>
            </w:tcBorders>
            <w:vAlign w:val="center"/>
          </w:tcPr>
          <w:p w14:paraId="335B0AD4">
            <w:pPr>
              <w:widowControl/>
              <w:jc w:val="left"/>
              <w:rPr>
                <w:rFonts w:ascii="Times New Roman" w:hAnsi="Times New Roman" w:eastAsia="宋体" w:cs="Times New Roman"/>
                <w:color w:val="auto"/>
                <w:kern w:val="0"/>
                <w:highlight w:val="none"/>
              </w:rPr>
            </w:pPr>
          </w:p>
        </w:tc>
        <w:tc>
          <w:tcPr>
            <w:tcW w:w="765" w:type="pct"/>
            <w:vMerge w:val="continue"/>
            <w:tcBorders>
              <w:top w:val="single" w:color="auto" w:sz="4" w:space="0"/>
              <w:left w:val="single" w:color="auto" w:sz="4" w:space="0"/>
              <w:bottom w:val="single" w:color="auto" w:sz="4" w:space="0"/>
              <w:right w:val="single" w:color="auto" w:sz="4" w:space="0"/>
            </w:tcBorders>
            <w:vAlign w:val="center"/>
          </w:tcPr>
          <w:p w14:paraId="65D1AAD4">
            <w:pPr>
              <w:widowControl/>
              <w:jc w:val="left"/>
              <w:rPr>
                <w:rFonts w:ascii="Times New Roman" w:hAnsi="Times New Roman" w:eastAsia="宋体" w:cs="Times New Roman"/>
                <w:color w:val="auto"/>
                <w:kern w:val="0"/>
                <w:highlight w:val="none"/>
              </w:rPr>
            </w:pPr>
          </w:p>
        </w:tc>
        <w:tc>
          <w:tcPr>
            <w:tcW w:w="988" w:type="pct"/>
            <w:vMerge w:val="continue"/>
            <w:tcBorders>
              <w:top w:val="single" w:color="auto" w:sz="4" w:space="0"/>
              <w:left w:val="single" w:color="auto" w:sz="4" w:space="0"/>
              <w:bottom w:val="single" w:color="auto" w:sz="4" w:space="0"/>
              <w:right w:val="single" w:color="auto" w:sz="4" w:space="0"/>
            </w:tcBorders>
            <w:vAlign w:val="center"/>
          </w:tcPr>
          <w:p w14:paraId="081E9E66">
            <w:pPr>
              <w:widowControl/>
              <w:jc w:val="left"/>
              <w:rPr>
                <w:rFonts w:ascii="Times New Roman" w:hAnsi="Times New Roman" w:eastAsia="宋体" w:cs="Times New Roman"/>
                <w:color w:val="auto"/>
                <w:kern w:val="0"/>
                <w:highlight w:val="none"/>
              </w:rPr>
            </w:pPr>
          </w:p>
        </w:tc>
        <w:tc>
          <w:tcPr>
            <w:tcW w:w="557" w:type="pct"/>
            <w:vMerge w:val="continue"/>
            <w:tcBorders>
              <w:top w:val="single" w:color="auto" w:sz="4" w:space="0"/>
              <w:left w:val="single" w:color="auto" w:sz="4" w:space="0"/>
              <w:bottom w:val="single" w:color="auto" w:sz="4" w:space="0"/>
              <w:right w:val="single" w:color="auto" w:sz="4" w:space="0"/>
            </w:tcBorders>
            <w:vAlign w:val="center"/>
          </w:tcPr>
          <w:p w14:paraId="6B7EAA3E">
            <w:pPr>
              <w:widowControl/>
              <w:jc w:val="left"/>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14:paraId="71FF0217">
            <w:pPr>
              <w:widowControl/>
              <w:jc w:val="left"/>
              <w:rPr>
                <w:rFonts w:ascii="Times New Roman" w:hAnsi="Times New Roman" w:eastAsia="宋体" w:cs="Times New Roman"/>
                <w:color w:val="auto"/>
                <w:kern w:val="0"/>
                <w:highlight w:val="none"/>
              </w:rPr>
            </w:pPr>
          </w:p>
        </w:tc>
      </w:tr>
      <w:tr w14:paraId="0B75D5AC">
        <w:tblPrEx>
          <w:tblCellMar>
            <w:top w:w="0" w:type="dxa"/>
            <w:left w:w="108" w:type="dxa"/>
            <w:bottom w:w="0" w:type="dxa"/>
            <w:right w:w="108" w:type="dxa"/>
          </w:tblCellMar>
        </w:tblPrEx>
        <w:trPr>
          <w:trHeight w:val="1404" w:hRule="atLeast"/>
        </w:trPr>
        <w:tc>
          <w:tcPr>
            <w:tcW w:w="259" w:type="pct"/>
            <w:vMerge w:val="restart"/>
            <w:tcBorders>
              <w:top w:val="single" w:color="auto" w:sz="4" w:space="0"/>
              <w:left w:val="single" w:color="auto" w:sz="4" w:space="0"/>
              <w:bottom w:val="single" w:color="auto" w:sz="4" w:space="0"/>
              <w:right w:val="single" w:color="auto" w:sz="4" w:space="0"/>
            </w:tcBorders>
            <w:vAlign w:val="center"/>
          </w:tcPr>
          <w:p w14:paraId="2BC42DB5">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次</w:t>
            </w:r>
            <w:r>
              <w:rPr>
                <w:rFonts w:ascii="Times New Roman" w:hAnsi="Times New Roman" w:eastAsia="宋体" w:cs="Times New Roman"/>
                <w:color w:val="auto"/>
                <w:kern w:val="0"/>
                <w:highlight w:val="none"/>
              </w:rPr>
              <w:t>重点防治区</w:t>
            </w:r>
          </w:p>
        </w:tc>
        <w:tc>
          <w:tcPr>
            <w:tcW w:w="813" w:type="pct"/>
            <w:tcBorders>
              <w:top w:val="single" w:color="auto" w:sz="4" w:space="0"/>
              <w:left w:val="single" w:color="auto" w:sz="4" w:space="0"/>
              <w:bottom w:val="single" w:color="auto" w:sz="4" w:space="0"/>
              <w:right w:val="single" w:color="auto" w:sz="4" w:space="0"/>
            </w:tcBorders>
            <w:vAlign w:val="center"/>
          </w:tcPr>
          <w:p w14:paraId="021395E6">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地质灾害</w:t>
            </w:r>
          </w:p>
        </w:tc>
        <w:tc>
          <w:tcPr>
            <w:tcW w:w="583" w:type="pct"/>
            <w:tcBorders>
              <w:top w:val="single" w:color="auto" w:sz="4" w:space="0"/>
              <w:left w:val="single" w:color="auto" w:sz="4" w:space="0"/>
              <w:bottom w:val="single" w:color="auto" w:sz="4" w:space="0"/>
              <w:right w:val="single" w:color="auto" w:sz="4" w:space="0"/>
            </w:tcBorders>
            <w:noWrap/>
            <w:vAlign w:val="center"/>
          </w:tcPr>
          <w:p w14:paraId="2FDEBA8C">
            <w:pPr>
              <w:widowControl/>
              <w:rPr>
                <w:rFonts w:hint="eastAsia" w:ascii="Times New Roman" w:hAnsi="Times New Roman" w:eastAsia="宋体" w:cs="Times New Roman"/>
                <w:color w:val="auto"/>
                <w:kern w:val="0"/>
                <w:highlight w:val="none"/>
                <w:lang w:eastAsia="zh-CN"/>
              </w:rPr>
            </w:pPr>
            <w:r>
              <w:rPr>
                <w:rFonts w:ascii="Times New Roman" w:hAnsi="Times New Roman" w:eastAsia="宋体" w:cs="Times New Roman"/>
                <w:color w:val="auto"/>
                <w:kern w:val="0"/>
                <w:highlight w:val="none"/>
              </w:rPr>
              <w:t>较</w:t>
            </w:r>
            <w:r>
              <w:rPr>
                <w:rFonts w:hint="eastAsia" w:ascii="Times New Roman" w:hAnsi="Times New Roman" w:eastAsia="宋体" w:cs="Times New Roman"/>
                <w:color w:val="auto"/>
                <w:kern w:val="0"/>
                <w:highlight w:val="none"/>
                <w:lang w:val="en-US" w:eastAsia="zh-CN"/>
              </w:rPr>
              <w:t>轻</w:t>
            </w:r>
          </w:p>
        </w:tc>
        <w:tc>
          <w:tcPr>
            <w:tcW w:w="366" w:type="pct"/>
            <w:vMerge w:val="restart"/>
            <w:tcBorders>
              <w:top w:val="single" w:color="auto" w:sz="4" w:space="0"/>
              <w:left w:val="single" w:color="auto" w:sz="4" w:space="0"/>
              <w:bottom w:val="single" w:color="auto" w:sz="4" w:space="0"/>
              <w:right w:val="single" w:color="auto" w:sz="4" w:space="0"/>
            </w:tcBorders>
            <w:noWrap/>
            <w:vAlign w:val="center"/>
          </w:tcPr>
          <w:p w14:paraId="26F746A2">
            <w:pPr>
              <w:widowControl/>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c>
          <w:tcPr>
            <w:tcW w:w="288" w:type="pct"/>
            <w:vMerge w:val="restart"/>
            <w:tcBorders>
              <w:top w:val="single" w:color="auto" w:sz="4" w:space="0"/>
              <w:left w:val="single" w:color="auto" w:sz="4" w:space="0"/>
              <w:bottom w:val="single" w:color="auto" w:sz="4" w:space="0"/>
              <w:right w:val="single" w:color="auto" w:sz="4" w:space="0"/>
            </w:tcBorders>
            <w:noWrap/>
            <w:vAlign w:val="center"/>
          </w:tcPr>
          <w:p w14:paraId="3C36A5A9">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A</w:t>
            </w:r>
          </w:p>
        </w:tc>
        <w:tc>
          <w:tcPr>
            <w:tcW w:w="765" w:type="pct"/>
            <w:tcBorders>
              <w:top w:val="single" w:color="auto" w:sz="4" w:space="0"/>
              <w:left w:val="single" w:color="auto" w:sz="4" w:space="0"/>
              <w:bottom w:val="single" w:color="auto" w:sz="4" w:space="0"/>
              <w:right w:val="single" w:color="auto" w:sz="4" w:space="0"/>
            </w:tcBorders>
            <w:vAlign w:val="center"/>
          </w:tcPr>
          <w:p w14:paraId="456C4012">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地质环境保护与土地复垦预防</w:t>
            </w:r>
          </w:p>
        </w:tc>
        <w:tc>
          <w:tcPr>
            <w:tcW w:w="988" w:type="pct"/>
            <w:tcBorders>
              <w:top w:val="single" w:color="auto" w:sz="4" w:space="0"/>
              <w:left w:val="single" w:color="auto" w:sz="4" w:space="0"/>
              <w:bottom w:val="single" w:color="auto" w:sz="4" w:space="0"/>
              <w:right w:val="single" w:color="auto" w:sz="4" w:space="0"/>
            </w:tcBorders>
            <w:vAlign w:val="center"/>
          </w:tcPr>
          <w:p w14:paraId="5A9E187B">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1、设置警示牌；</w:t>
            </w:r>
            <w:r>
              <w:rPr>
                <w:rFonts w:hint="eastAsia" w:ascii="Times New Roman" w:hAnsi="Times New Roman" w:eastAsia="宋体" w:cs="Times New Roman"/>
                <w:color w:val="auto"/>
                <w:kern w:val="0"/>
                <w:highlight w:val="none"/>
              </w:rPr>
              <w:t>2</w:t>
            </w:r>
            <w:r>
              <w:rPr>
                <w:rFonts w:ascii="Times New Roman" w:hAnsi="Times New Roman" w:eastAsia="宋体" w:cs="Times New Roman"/>
                <w:color w:val="auto"/>
                <w:kern w:val="0"/>
                <w:highlight w:val="none"/>
              </w:rPr>
              <w:t>、表土剥离；4、进行管护；5、监测。</w:t>
            </w:r>
          </w:p>
        </w:tc>
        <w:tc>
          <w:tcPr>
            <w:tcW w:w="557" w:type="pct"/>
            <w:vMerge w:val="restart"/>
            <w:tcBorders>
              <w:top w:val="single" w:color="auto" w:sz="4" w:space="0"/>
              <w:left w:val="single" w:color="auto" w:sz="4" w:space="0"/>
              <w:bottom w:val="single" w:color="auto" w:sz="4" w:space="0"/>
              <w:right w:val="single" w:color="auto" w:sz="4" w:space="0"/>
            </w:tcBorders>
            <w:vAlign w:val="center"/>
          </w:tcPr>
          <w:p w14:paraId="71077ACC">
            <w:pPr>
              <w:widowControl/>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0.8</w:t>
            </w:r>
          </w:p>
        </w:tc>
        <w:tc>
          <w:tcPr>
            <w:tcW w:w="376" w:type="pct"/>
            <w:vMerge w:val="restart"/>
            <w:tcBorders>
              <w:top w:val="single" w:color="auto" w:sz="4" w:space="0"/>
              <w:left w:val="single" w:color="auto" w:sz="4" w:space="0"/>
              <w:bottom w:val="single" w:color="auto" w:sz="4" w:space="0"/>
              <w:right w:val="single" w:color="auto" w:sz="4" w:space="0"/>
            </w:tcBorders>
            <w:vAlign w:val="center"/>
          </w:tcPr>
          <w:p w14:paraId="051B2726">
            <w:pPr>
              <w:widowControl/>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100</w:t>
            </w:r>
          </w:p>
        </w:tc>
      </w:tr>
      <w:tr w14:paraId="34AC7446">
        <w:tblPrEx>
          <w:tblCellMar>
            <w:top w:w="0" w:type="dxa"/>
            <w:left w:w="108" w:type="dxa"/>
            <w:bottom w:w="0" w:type="dxa"/>
            <w:right w:w="108" w:type="dxa"/>
          </w:tblCellMar>
        </w:tblPrEx>
        <w:trPr>
          <w:trHeight w:val="288"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14:paraId="1F4A0C00">
            <w:pPr>
              <w:widowControl/>
              <w:jc w:val="left"/>
              <w:rPr>
                <w:rFonts w:ascii="Times New Roman" w:hAnsi="Times New Roman" w:eastAsia="宋体" w:cs="Times New Roman"/>
                <w:color w:val="auto"/>
                <w:kern w:val="0"/>
                <w:highlight w:val="none"/>
              </w:rPr>
            </w:pPr>
          </w:p>
        </w:tc>
        <w:tc>
          <w:tcPr>
            <w:tcW w:w="813" w:type="pct"/>
            <w:tcBorders>
              <w:top w:val="single" w:color="auto" w:sz="4" w:space="0"/>
              <w:left w:val="single" w:color="auto" w:sz="4" w:space="0"/>
              <w:bottom w:val="single" w:color="auto" w:sz="4" w:space="0"/>
              <w:right w:val="single" w:color="auto" w:sz="4" w:space="0"/>
            </w:tcBorders>
            <w:vAlign w:val="center"/>
          </w:tcPr>
          <w:p w14:paraId="23866569">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含水层破坏</w:t>
            </w:r>
          </w:p>
        </w:tc>
        <w:tc>
          <w:tcPr>
            <w:tcW w:w="583" w:type="pct"/>
            <w:tcBorders>
              <w:top w:val="single" w:color="auto" w:sz="4" w:space="0"/>
              <w:left w:val="single" w:color="auto" w:sz="4" w:space="0"/>
              <w:bottom w:val="single" w:color="auto" w:sz="4" w:space="0"/>
              <w:right w:val="single" w:color="auto" w:sz="4" w:space="0"/>
            </w:tcBorders>
            <w:noWrap/>
            <w:vAlign w:val="center"/>
          </w:tcPr>
          <w:p w14:paraId="14686262">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14:paraId="408B2A90">
            <w:pPr>
              <w:widowControl/>
              <w:jc w:val="left"/>
              <w:rPr>
                <w:rFonts w:ascii="Times New Roman" w:hAnsi="Times New Roman" w:eastAsia="宋体" w:cs="Times New Roman"/>
                <w:color w:val="auto"/>
                <w:kern w:val="0"/>
                <w:highlight w:val="none"/>
              </w:rPr>
            </w:pPr>
          </w:p>
        </w:tc>
        <w:tc>
          <w:tcPr>
            <w:tcW w:w="288" w:type="pct"/>
            <w:vMerge w:val="continue"/>
            <w:tcBorders>
              <w:top w:val="single" w:color="auto" w:sz="4" w:space="0"/>
              <w:left w:val="single" w:color="auto" w:sz="4" w:space="0"/>
              <w:bottom w:val="single" w:color="auto" w:sz="4" w:space="0"/>
              <w:right w:val="single" w:color="auto" w:sz="4" w:space="0"/>
            </w:tcBorders>
            <w:vAlign w:val="center"/>
          </w:tcPr>
          <w:p w14:paraId="17954680">
            <w:pPr>
              <w:widowControl/>
              <w:jc w:val="left"/>
              <w:rPr>
                <w:rFonts w:ascii="Times New Roman" w:hAnsi="Times New Roman" w:eastAsia="宋体" w:cs="Times New Roman"/>
                <w:color w:val="auto"/>
                <w:kern w:val="0"/>
                <w:highlight w:val="none"/>
              </w:rPr>
            </w:pPr>
          </w:p>
        </w:tc>
        <w:tc>
          <w:tcPr>
            <w:tcW w:w="765" w:type="pct"/>
            <w:tcBorders>
              <w:top w:val="single" w:color="auto" w:sz="4" w:space="0"/>
              <w:left w:val="single" w:color="auto" w:sz="4" w:space="0"/>
              <w:bottom w:val="single" w:color="auto" w:sz="4" w:space="0"/>
              <w:right w:val="single" w:color="auto" w:sz="4" w:space="0"/>
            </w:tcBorders>
            <w:vAlign w:val="center"/>
          </w:tcPr>
          <w:p w14:paraId="4C1C5919">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地质灾害治理</w:t>
            </w:r>
          </w:p>
        </w:tc>
        <w:tc>
          <w:tcPr>
            <w:tcW w:w="988" w:type="pct"/>
            <w:tcBorders>
              <w:top w:val="single" w:color="auto" w:sz="4" w:space="0"/>
              <w:left w:val="single" w:color="auto" w:sz="4" w:space="0"/>
              <w:bottom w:val="single" w:color="auto" w:sz="4" w:space="0"/>
              <w:right w:val="single" w:color="auto" w:sz="4" w:space="0"/>
            </w:tcBorders>
            <w:vAlign w:val="center"/>
          </w:tcPr>
          <w:p w14:paraId="23301F7A">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监测</w:t>
            </w:r>
          </w:p>
        </w:tc>
        <w:tc>
          <w:tcPr>
            <w:tcW w:w="557" w:type="pct"/>
            <w:vMerge w:val="continue"/>
            <w:tcBorders>
              <w:top w:val="single" w:color="auto" w:sz="4" w:space="0"/>
              <w:left w:val="single" w:color="auto" w:sz="4" w:space="0"/>
              <w:bottom w:val="single" w:color="auto" w:sz="4" w:space="0"/>
              <w:right w:val="single" w:color="auto" w:sz="4" w:space="0"/>
            </w:tcBorders>
            <w:vAlign w:val="center"/>
          </w:tcPr>
          <w:p w14:paraId="4C6EA7F5">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14:paraId="1FFBCC46">
            <w:pPr>
              <w:widowControl/>
              <w:rPr>
                <w:rFonts w:ascii="Times New Roman" w:hAnsi="Times New Roman" w:eastAsia="宋体" w:cs="Times New Roman"/>
                <w:color w:val="auto"/>
                <w:kern w:val="0"/>
                <w:highlight w:val="none"/>
              </w:rPr>
            </w:pPr>
          </w:p>
        </w:tc>
      </w:tr>
      <w:tr w14:paraId="2712EDD8">
        <w:tblPrEx>
          <w:tblCellMar>
            <w:top w:w="0" w:type="dxa"/>
            <w:left w:w="108" w:type="dxa"/>
            <w:bottom w:w="0" w:type="dxa"/>
            <w:right w:w="108" w:type="dxa"/>
          </w:tblCellMar>
        </w:tblPrEx>
        <w:trPr>
          <w:trHeight w:val="480"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14:paraId="50A48882">
            <w:pPr>
              <w:widowControl/>
              <w:jc w:val="left"/>
              <w:rPr>
                <w:rFonts w:ascii="Times New Roman" w:hAnsi="Times New Roman" w:eastAsia="宋体" w:cs="Times New Roman"/>
                <w:color w:val="auto"/>
                <w:kern w:val="0"/>
                <w:highlight w:val="none"/>
              </w:rPr>
            </w:pPr>
          </w:p>
        </w:tc>
        <w:tc>
          <w:tcPr>
            <w:tcW w:w="813" w:type="pct"/>
            <w:tcBorders>
              <w:top w:val="single" w:color="auto" w:sz="4" w:space="0"/>
              <w:left w:val="single" w:color="auto" w:sz="4" w:space="0"/>
              <w:bottom w:val="single" w:color="auto" w:sz="4" w:space="0"/>
              <w:right w:val="single" w:color="auto" w:sz="4" w:space="0"/>
            </w:tcBorders>
            <w:vAlign w:val="center"/>
          </w:tcPr>
          <w:p w14:paraId="7188744A">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地形地貌景观</w:t>
            </w:r>
          </w:p>
        </w:tc>
        <w:tc>
          <w:tcPr>
            <w:tcW w:w="583" w:type="pct"/>
            <w:tcBorders>
              <w:top w:val="single" w:color="auto" w:sz="4" w:space="0"/>
              <w:left w:val="single" w:color="auto" w:sz="4" w:space="0"/>
              <w:bottom w:val="single" w:color="auto" w:sz="4" w:space="0"/>
              <w:right w:val="single" w:color="auto" w:sz="4" w:space="0"/>
            </w:tcBorders>
            <w:noWrap/>
            <w:vAlign w:val="center"/>
          </w:tcPr>
          <w:p w14:paraId="3DE5F5B4">
            <w:pPr>
              <w:widowControl/>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14:paraId="6A61FEC2">
            <w:pPr>
              <w:widowControl/>
              <w:jc w:val="left"/>
              <w:rPr>
                <w:rFonts w:ascii="Times New Roman" w:hAnsi="Times New Roman" w:eastAsia="宋体" w:cs="Times New Roman"/>
                <w:color w:val="auto"/>
                <w:kern w:val="0"/>
                <w:highlight w:val="none"/>
              </w:rPr>
            </w:pPr>
          </w:p>
        </w:tc>
        <w:tc>
          <w:tcPr>
            <w:tcW w:w="288" w:type="pct"/>
            <w:vMerge w:val="continue"/>
            <w:tcBorders>
              <w:top w:val="single" w:color="auto" w:sz="4" w:space="0"/>
              <w:left w:val="single" w:color="auto" w:sz="4" w:space="0"/>
              <w:bottom w:val="single" w:color="auto" w:sz="4" w:space="0"/>
              <w:right w:val="single" w:color="auto" w:sz="4" w:space="0"/>
            </w:tcBorders>
            <w:vAlign w:val="center"/>
          </w:tcPr>
          <w:p w14:paraId="235E6F9C">
            <w:pPr>
              <w:widowControl/>
              <w:jc w:val="left"/>
              <w:rPr>
                <w:rFonts w:ascii="Times New Roman" w:hAnsi="Times New Roman" w:eastAsia="宋体" w:cs="Times New Roman"/>
                <w:color w:val="auto"/>
                <w:kern w:val="0"/>
                <w:highlight w:val="none"/>
              </w:rPr>
            </w:pPr>
          </w:p>
        </w:tc>
        <w:tc>
          <w:tcPr>
            <w:tcW w:w="765" w:type="pct"/>
            <w:tcBorders>
              <w:top w:val="single" w:color="auto" w:sz="4" w:space="0"/>
              <w:left w:val="single" w:color="auto" w:sz="4" w:space="0"/>
              <w:bottom w:val="single" w:color="auto" w:sz="4" w:space="0"/>
              <w:right w:val="single" w:color="auto" w:sz="4" w:space="0"/>
            </w:tcBorders>
            <w:vAlign w:val="center"/>
          </w:tcPr>
          <w:p w14:paraId="34CE7CDA">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含水层破坏修复</w:t>
            </w:r>
          </w:p>
        </w:tc>
        <w:tc>
          <w:tcPr>
            <w:tcW w:w="988" w:type="pct"/>
            <w:tcBorders>
              <w:top w:val="single" w:color="auto" w:sz="4" w:space="0"/>
              <w:left w:val="single" w:color="auto" w:sz="4" w:space="0"/>
              <w:bottom w:val="single" w:color="auto" w:sz="4" w:space="0"/>
              <w:right w:val="single" w:color="auto" w:sz="4" w:space="0"/>
            </w:tcBorders>
            <w:noWrap/>
            <w:vAlign w:val="center"/>
          </w:tcPr>
          <w:p w14:paraId="4E96DC6A">
            <w:pPr>
              <w:widowControl/>
              <w:rPr>
                <w:rFonts w:ascii="Times New Roman" w:hAnsi="Times New Roman" w:eastAsia="宋体" w:cs="Times New Roman"/>
                <w:color w:val="auto"/>
                <w:kern w:val="0"/>
                <w:highlight w:val="none"/>
              </w:rPr>
            </w:pPr>
          </w:p>
        </w:tc>
        <w:tc>
          <w:tcPr>
            <w:tcW w:w="557" w:type="pct"/>
            <w:vMerge w:val="continue"/>
            <w:tcBorders>
              <w:top w:val="single" w:color="auto" w:sz="4" w:space="0"/>
              <w:left w:val="single" w:color="auto" w:sz="4" w:space="0"/>
              <w:bottom w:val="single" w:color="auto" w:sz="4" w:space="0"/>
              <w:right w:val="single" w:color="auto" w:sz="4" w:space="0"/>
            </w:tcBorders>
            <w:vAlign w:val="center"/>
          </w:tcPr>
          <w:p w14:paraId="47BC920B">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14:paraId="2E732B22">
            <w:pPr>
              <w:widowControl/>
              <w:rPr>
                <w:rFonts w:ascii="Times New Roman" w:hAnsi="Times New Roman" w:eastAsia="宋体" w:cs="Times New Roman"/>
                <w:color w:val="auto"/>
                <w:kern w:val="0"/>
                <w:highlight w:val="none"/>
              </w:rPr>
            </w:pPr>
          </w:p>
        </w:tc>
      </w:tr>
      <w:tr w14:paraId="5B2920F7">
        <w:tblPrEx>
          <w:tblCellMar>
            <w:top w:w="0" w:type="dxa"/>
            <w:left w:w="108" w:type="dxa"/>
            <w:bottom w:w="0" w:type="dxa"/>
            <w:right w:w="108" w:type="dxa"/>
          </w:tblCellMar>
        </w:tblPrEx>
        <w:trPr>
          <w:trHeight w:val="480"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14:paraId="474CC075">
            <w:pPr>
              <w:widowControl/>
              <w:jc w:val="left"/>
              <w:rPr>
                <w:rFonts w:ascii="Times New Roman" w:hAnsi="Times New Roman" w:eastAsia="宋体" w:cs="Times New Roman"/>
                <w:color w:val="auto"/>
                <w:kern w:val="0"/>
                <w:highlight w:val="none"/>
              </w:rPr>
            </w:pPr>
          </w:p>
        </w:tc>
        <w:tc>
          <w:tcPr>
            <w:tcW w:w="813" w:type="pct"/>
            <w:tcBorders>
              <w:top w:val="single" w:color="auto" w:sz="4" w:space="0"/>
              <w:left w:val="single" w:color="auto" w:sz="4" w:space="0"/>
              <w:bottom w:val="single" w:color="auto" w:sz="4" w:space="0"/>
              <w:right w:val="single" w:color="auto" w:sz="4" w:space="0"/>
            </w:tcBorders>
            <w:vAlign w:val="center"/>
          </w:tcPr>
          <w:p w14:paraId="49769870">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水土环境污染</w:t>
            </w:r>
          </w:p>
        </w:tc>
        <w:tc>
          <w:tcPr>
            <w:tcW w:w="583" w:type="pct"/>
            <w:tcBorders>
              <w:top w:val="single" w:color="auto" w:sz="4" w:space="0"/>
              <w:left w:val="single" w:color="auto" w:sz="4" w:space="0"/>
              <w:bottom w:val="single" w:color="auto" w:sz="4" w:space="0"/>
              <w:right w:val="single" w:color="auto" w:sz="4" w:space="0"/>
            </w:tcBorders>
            <w:noWrap/>
            <w:vAlign w:val="center"/>
          </w:tcPr>
          <w:p w14:paraId="45C4FF8E">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较轻</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14:paraId="40132A4F">
            <w:pPr>
              <w:widowControl/>
              <w:jc w:val="left"/>
              <w:rPr>
                <w:rFonts w:ascii="Times New Roman" w:hAnsi="Times New Roman" w:eastAsia="宋体" w:cs="Times New Roman"/>
                <w:color w:val="auto"/>
                <w:kern w:val="0"/>
                <w:highlight w:val="none"/>
              </w:rPr>
            </w:pPr>
          </w:p>
        </w:tc>
        <w:tc>
          <w:tcPr>
            <w:tcW w:w="288" w:type="pct"/>
            <w:vMerge w:val="continue"/>
            <w:tcBorders>
              <w:top w:val="single" w:color="auto" w:sz="4" w:space="0"/>
              <w:left w:val="single" w:color="auto" w:sz="4" w:space="0"/>
              <w:bottom w:val="single" w:color="auto" w:sz="4" w:space="0"/>
              <w:right w:val="single" w:color="auto" w:sz="4" w:space="0"/>
            </w:tcBorders>
            <w:vAlign w:val="center"/>
          </w:tcPr>
          <w:p w14:paraId="5970FA7B">
            <w:pPr>
              <w:widowControl/>
              <w:jc w:val="left"/>
              <w:rPr>
                <w:rFonts w:ascii="Times New Roman" w:hAnsi="Times New Roman" w:eastAsia="宋体" w:cs="Times New Roman"/>
                <w:color w:val="auto"/>
                <w:kern w:val="0"/>
                <w:highlight w:val="none"/>
              </w:rPr>
            </w:pPr>
          </w:p>
        </w:tc>
        <w:tc>
          <w:tcPr>
            <w:tcW w:w="765" w:type="pct"/>
            <w:tcBorders>
              <w:top w:val="single" w:color="auto" w:sz="4" w:space="0"/>
              <w:left w:val="single" w:color="auto" w:sz="4" w:space="0"/>
              <w:bottom w:val="single" w:color="auto" w:sz="4" w:space="0"/>
              <w:right w:val="single" w:color="auto" w:sz="4" w:space="0"/>
            </w:tcBorders>
            <w:vAlign w:val="center"/>
          </w:tcPr>
          <w:p w14:paraId="53F1AAB3">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水土环境污染修复</w:t>
            </w:r>
          </w:p>
        </w:tc>
        <w:tc>
          <w:tcPr>
            <w:tcW w:w="988" w:type="pct"/>
            <w:tcBorders>
              <w:top w:val="single" w:color="auto" w:sz="4" w:space="0"/>
              <w:left w:val="single" w:color="auto" w:sz="4" w:space="0"/>
              <w:bottom w:val="single" w:color="auto" w:sz="4" w:space="0"/>
              <w:right w:val="single" w:color="auto" w:sz="4" w:space="0"/>
            </w:tcBorders>
            <w:noWrap/>
            <w:vAlign w:val="center"/>
          </w:tcPr>
          <w:p w14:paraId="2F7F4160">
            <w:pPr>
              <w:widowControl/>
              <w:rPr>
                <w:rFonts w:ascii="Times New Roman" w:hAnsi="Times New Roman" w:eastAsia="宋体" w:cs="Times New Roman"/>
                <w:color w:val="auto"/>
                <w:kern w:val="0"/>
                <w:highlight w:val="none"/>
              </w:rPr>
            </w:pPr>
          </w:p>
        </w:tc>
        <w:tc>
          <w:tcPr>
            <w:tcW w:w="557" w:type="pct"/>
            <w:vMerge w:val="continue"/>
            <w:tcBorders>
              <w:top w:val="single" w:color="auto" w:sz="4" w:space="0"/>
              <w:left w:val="single" w:color="auto" w:sz="4" w:space="0"/>
              <w:bottom w:val="single" w:color="auto" w:sz="4" w:space="0"/>
              <w:right w:val="single" w:color="auto" w:sz="4" w:space="0"/>
            </w:tcBorders>
            <w:vAlign w:val="center"/>
          </w:tcPr>
          <w:p w14:paraId="7043A1A0">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14:paraId="1B2FE2DC">
            <w:pPr>
              <w:widowControl/>
              <w:rPr>
                <w:rFonts w:ascii="Times New Roman" w:hAnsi="Times New Roman" w:eastAsia="宋体" w:cs="Times New Roman"/>
                <w:color w:val="auto"/>
                <w:kern w:val="0"/>
                <w:highlight w:val="none"/>
              </w:rPr>
            </w:pPr>
          </w:p>
        </w:tc>
      </w:tr>
      <w:tr w14:paraId="7831E020">
        <w:tblPrEx>
          <w:tblCellMar>
            <w:top w:w="0" w:type="dxa"/>
            <w:left w:w="108" w:type="dxa"/>
            <w:bottom w:w="0" w:type="dxa"/>
            <w:right w:w="108" w:type="dxa"/>
          </w:tblCellMar>
        </w:tblPrEx>
        <w:trPr>
          <w:trHeight w:val="1788" w:hRule="atLeast"/>
        </w:trPr>
        <w:tc>
          <w:tcPr>
            <w:tcW w:w="259" w:type="pct"/>
            <w:vMerge w:val="continue"/>
            <w:tcBorders>
              <w:top w:val="single" w:color="auto" w:sz="4" w:space="0"/>
              <w:left w:val="single" w:color="auto" w:sz="4" w:space="0"/>
              <w:bottom w:val="single" w:color="auto" w:sz="4" w:space="0"/>
              <w:right w:val="single" w:color="auto" w:sz="4" w:space="0"/>
            </w:tcBorders>
            <w:vAlign w:val="center"/>
          </w:tcPr>
          <w:p w14:paraId="3481F960">
            <w:pPr>
              <w:widowControl/>
              <w:jc w:val="left"/>
              <w:rPr>
                <w:rFonts w:ascii="Times New Roman" w:hAnsi="Times New Roman" w:eastAsia="宋体" w:cs="Times New Roman"/>
                <w:color w:val="auto"/>
                <w:kern w:val="0"/>
                <w:highlight w:val="none"/>
              </w:rPr>
            </w:pPr>
          </w:p>
        </w:tc>
        <w:tc>
          <w:tcPr>
            <w:tcW w:w="813" w:type="pct"/>
            <w:tcBorders>
              <w:top w:val="single" w:color="auto" w:sz="4" w:space="0"/>
              <w:left w:val="single" w:color="auto" w:sz="4" w:space="0"/>
              <w:bottom w:val="single" w:color="auto" w:sz="4" w:space="0"/>
              <w:right w:val="single" w:color="auto" w:sz="4" w:space="0"/>
            </w:tcBorders>
            <w:vAlign w:val="center"/>
          </w:tcPr>
          <w:p w14:paraId="1A222467">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土地损毁</w:t>
            </w:r>
          </w:p>
        </w:tc>
        <w:tc>
          <w:tcPr>
            <w:tcW w:w="583" w:type="pct"/>
            <w:tcBorders>
              <w:top w:val="single" w:color="auto" w:sz="4" w:space="0"/>
              <w:left w:val="single" w:color="auto" w:sz="4" w:space="0"/>
              <w:bottom w:val="single" w:color="auto" w:sz="4" w:space="0"/>
              <w:right w:val="single" w:color="auto" w:sz="4" w:space="0"/>
            </w:tcBorders>
            <w:noWrap/>
            <w:vAlign w:val="center"/>
          </w:tcPr>
          <w:p w14:paraId="20010AE1">
            <w:pPr>
              <w:widowControl/>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较</w:t>
            </w:r>
            <w:r>
              <w:rPr>
                <w:rFonts w:ascii="Times New Roman" w:hAnsi="Times New Roman" w:eastAsia="宋体" w:cs="Times New Roman"/>
                <w:color w:val="auto"/>
                <w:kern w:val="0"/>
                <w:highlight w:val="none"/>
              </w:rPr>
              <w:t>严重</w:t>
            </w:r>
          </w:p>
        </w:tc>
        <w:tc>
          <w:tcPr>
            <w:tcW w:w="366" w:type="pct"/>
            <w:vMerge w:val="continue"/>
            <w:tcBorders>
              <w:top w:val="single" w:color="auto" w:sz="4" w:space="0"/>
              <w:left w:val="single" w:color="auto" w:sz="4" w:space="0"/>
              <w:bottom w:val="single" w:color="auto" w:sz="4" w:space="0"/>
              <w:right w:val="single" w:color="auto" w:sz="4" w:space="0"/>
            </w:tcBorders>
            <w:vAlign w:val="center"/>
          </w:tcPr>
          <w:p w14:paraId="58C4B662">
            <w:pPr>
              <w:widowControl/>
              <w:jc w:val="left"/>
              <w:rPr>
                <w:rFonts w:ascii="Times New Roman" w:hAnsi="Times New Roman" w:eastAsia="宋体" w:cs="Times New Roman"/>
                <w:color w:val="auto"/>
                <w:kern w:val="0"/>
                <w:highlight w:val="none"/>
              </w:rPr>
            </w:pPr>
          </w:p>
        </w:tc>
        <w:tc>
          <w:tcPr>
            <w:tcW w:w="288" w:type="pct"/>
            <w:vMerge w:val="continue"/>
            <w:tcBorders>
              <w:top w:val="single" w:color="auto" w:sz="4" w:space="0"/>
              <w:left w:val="single" w:color="auto" w:sz="4" w:space="0"/>
              <w:bottom w:val="single" w:color="auto" w:sz="4" w:space="0"/>
              <w:right w:val="single" w:color="auto" w:sz="4" w:space="0"/>
            </w:tcBorders>
            <w:vAlign w:val="center"/>
          </w:tcPr>
          <w:p w14:paraId="348AFFD8">
            <w:pPr>
              <w:widowControl/>
              <w:jc w:val="left"/>
              <w:rPr>
                <w:rFonts w:ascii="Times New Roman" w:hAnsi="Times New Roman" w:eastAsia="宋体" w:cs="Times New Roman"/>
                <w:color w:val="auto"/>
                <w:kern w:val="0"/>
                <w:highlight w:val="none"/>
              </w:rPr>
            </w:pPr>
          </w:p>
        </w:tc>
        <w:tc>
          <w:tcPr>
            <w:tcW w:w="765" w:type="pct"/>
            <w:tcBorders>
              <w:top w:val="single" w:color="auto" w:sz="4" w:space="0"/>
              <w:left w:val="single" w:color="auto" w:sz="4" w:space="0"/>
              <w:bottom w:val="single" w:color="auto" w:sz="4" w:space="0"/>
              <w:right w:val="single" w:color="auto" w:sz="4" w:space="0"/>
            </w:tcBorders>
            <w:vAlign w:val="center"/>
          </w:tcPr>
          <w:p w14:paraId="598484A1">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地貌景观修复</w:t>
            </w:r>
          </w:p>
        </w:tc>
        <w:tc>
          <w:tcPr>
            <w:tcW w:w="988" w:type="pct"/>
            <w:tcBorders>
              <w:top w:val="single" w:color="auto" w:sz="4" w:space="0"/>
              <w:left w:val="single" w:color="auto" w:sz="4" w:space="0"/>
              <w:bottom w:val="single" w:color="auto" w:sz="4" w:space="0"/>
              <w:right w:val="single" w:color="auto" w:sz="4" w:space="0"/>
            </w:tcBorders>
            <w:vAlign w:val="center"/>
          </w:tcPr>
          <w:p w14:paraId="4031FEB0">
            <w:pPr>
              <w:widowControl/>
              <w:rPr>
                <w:rFonts w:ascii="Times New Roman" w:hAnsi="Times New Roman" w:eastAsia="宋体" w:cs="Times New Roman"/>
                <w:color w:val="auto"/>
                <w:kern w:val="0"/>
                <w:highlight w:val="none"/>
              </w:rPr>
            </w:pPr>
            <w:r>
              <w:rPr>
                <w:rFonts w:eastAsia="宋体"/>
                <w:color w:val="auto"/>
                <w:kern w:val="0"/>
                <w:sz w:val="20"/>
                <w:szCs w:val="20"/>
                <w:highlight w:val="none"/>
              </w:rPr>
              <w:t>1、对场地进行平整，覆表土；2、土地翻耕、培肥；3、种植乔木、播撒草籽，在边坡底部栽植葛藤；4、监测管护。</w:t>
            </w:r>
          </w:p>
        </w:tc>
        <w:tc>
          <w:tcPr>
            <w:tcW w:w="557" w:type="pct"/>
            <w:vMerge w:val="continue"/>
            <w:tcBorders>
              <w:top w:val="single" w:color="auto" w:sz="4" w:space="0"/>
              <w:left w:val="single" w:color="auto" w:sz="4" w:space="0"/>
              <w:bottom w:val="single" w:color="auto" w:sz="4" w:space="0"/>
              <w:right w:val="single" w:color="auto" w:sz="4" w:space="0"/>
            </w:tcBorders>
            <w:vAlign w:val="center"/>
          </w:tcPr>
          <w:p w14:paraId="53EA712D">
            <w:pPr>
              <w:widowControl/>
              <w:rPr>
                <w:rFonts w:ascii="Times New Roman" w:hAnsi="Times New Roman" w:eastAsia="宋体" w:cs="Times New Roman"/>
                <w:color w:val="auto"/>
                <w:kern w:val="0"/>
                <w:highlight w:val="none"/>
              </w:rPr>
            </w:pPr>
          </w:p>
        </w:tc>
        <w:tc>
          <w:tcPr>
            <w:tcW w:w="376" w:type="pct"/>
            <w:vMerge w:val="continue"/>
            <w:tcBorders>
              <w:top w:val="single" w:color="auto" w:sz="4" w:space="0"/>
              <w:left w:val="single" w:color="auto" w:sz="4" w:space="0"/>
              <w:bottom w:val="single" w:color="auto" w:sz="4" w:space="0"/>
              <w:right w:val="single" w:color="auto" w:sz="4" w:space="0"/>
            </w:tcBorders>
            <w:vAlign w:val="center"/>
          </w:tcPr>
          <w:p w14:paraId="2A98D3AC">
            <w:pPr>
              <w:widowControl/>
              <w:rPr>
                <w:rFonts w:ascii="Times New Roman" w:hAnsi="Times New Roman" w:eastAsia="宋体" w:cs="Times New Roman"/>
                <w:color w:val="auto"/>
                <w:kern w:val="0"/>
                <w:highlight w:val="none"/>
              </w:rPr>
            </w:pPr>
          </w:p>
        </w:tc>
      </w:tr>
      <w:tr w14:paraId="007867D8">
        <w:tblPrEx>
          <w:tblCellMar>
            <w:top w:w="0" w:type="dxa"/>
            <w:left w:w="108" w:type="dxa"/>
            <w:bottom w:w="0" w:type="dxa"/>
            <w:right w:w="108" w:type="dxa"/>
          </w:tblCellMar>
        </w:tblPrEx>
        <w:trPr>
          <w:trHeight w:val="288" w:hRule="atLeast"/>
        </w:trPr>
        <w:tc>
          <w:tcPr>
            <w:tcW w:w="4065" w:type="pct"/>
            <w:gridSpan w:val="7"/>
            <w:tcBorders>
              <w:top w:val="single" w:color="auto" w:sz="4" w:space="0"/>
              <w:left w:val="single" w:color="auto" w:sz="4" w:space="0"/>
              <w:bottom w:val="single" w:color="auto" w:sz="4" w:space="0"/>
              <w:right w:val="single" w:color="auto" w:sz="4" w:space="0"/>
            </w:tcBorders>
            <w:noWrap/>
            <w:vAlign w:val="center"/>
          </w:tcPr>
          <w:p w14:paraId="3A476D0E">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合计</w:t>
            </w:r>
          </w:p>
        </w:tc>
        <w:tc>
          <w:tcPr>
            <w:tcW w:w="557" w:type="pct"/>
            <w:tcBorders>
              <w:top w:val="single" w:color="auto" w:sz="4" w:space="0"/>
              <w:left w:val="single" w:color="auto" w:sz="4" w:space="0"/>
              <w:bottom w:val="single" w:color="auto" w:sz="4" w:space="0"/>
              <w:right w:val="single" w:color="auto" w:sz="4" w:space="0"/>
            </w:tcBorders>
            <w:noWrap/>
            <w:vAlign w:val="center"/>
          </w:tcPr>
          <w:p w14:paraId="4ED2921C">
            <w:pPr>
              <w:widowControl/>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0.8</w:t>
            </w:r>
          </w:p>
        </w:tc>
        <w:tc>
          <w:tcPr>
            <w:tcW w:w="376" w:type="pct"/>
            <w:tcBorders>
              <w:top w:val="single" w:color="auto" w:sz="4" w:space="0"/>
              <w:left w:val="single" w:color="auto" w:sz="4" w:space="0"/>
              <w:bottom w:val="single" w:color="auto" w:sz="4" w:space="0"/>
              <w:right w:val="single" w:color="auto" w:sz="4" w:space="0"/>
            </w:tcBorders>
            <w:noWrap/>
            <w:vAlign w:val="center"/>
          </w:tcPr>
          <w:p w14:paraId="2B45AD5F">
            <w:pPr>
              <w:widowControl/>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100</w:t>
            </w:r>
          </w:p>
        </w:tc>
      </w:tr>
    </w:tbl>
    <w:p w14:paraId="103E4807">
      <w:pPr>
        <w:rPr>
          <w:rFonts w:ascii="Times New Roman" w:hAnsi="Times New Roman" w:cs="Times New Roman"/>
          <w:color w:val="auto"/>
          <w:highlight w:val="none"/>
        </w:rPr>
      </w:pPr>
    </w:p>
    <w:p w14:paraId="16F95D5E">
      <w:pPr>
        <w:pStyle w:val="4"/>
        <w:rPr>
          <w:rFonts w:ascii="Times New Roman" w:hAnsi="Times New Roman" w:eastAsia="宋体" w:cs="Times New Roman"/>
          <w:color w:val="auto"/>
          <w:sz w:val="28"/>
          <w:szCs w:val="28"/>
          <w:highlight w:val="none"/>
        </w:rPr>
      </w:pPr>
      <w:bookmarkStart w:id="112" w:name="_Toc31965"/>
      <w:r>
        <w:rPr>
          <w:rFonts w:ascii="Times New Roman" w:hAnsi="Times New Roman" w:eastAsia="宋体" w:cs="Times New Roman"/>
          <w:color w:val="auto"/>
          <w:sz w:val="28"/>
          <w:szCs w:val="28"/>
          <w:highlight w:val="none"/>
        </w:rPr>
        <w:t>（二）土地复垦区与复垦责任范围</w:t>
      </w:r>
      <w:bookmarkEnd w:id="112"/>
    </w:p>
    <w:p w14:paraId="0EDC6AC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根据《土地复垦方案编制规程》（TD/T1031.1-2011），项目复垦区为生产建设项目损毁土地的区域。</w:t>
      </w:r>
    </w:p>
    <w:p w14:paraId="5FD4ABE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根据《土地复垦方案编制规程第一部分：通则》，复垦区是生产建设项目损毁土地和永久性建设用地构成的区域，复垦责任范围是指复垦区中损毁土地及不再留用的永久性建设用地构成的区域。</w:t>
      </w:r>
    </w:p>
    <w:p w14:paraId="4A1061B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w:t>
      </w:r>
      <w:r>
        <w:rPr>
          <w:rFonts w:hint="eastAsia" w:ascii="仿宋" w:hAnsi="仿宋" w:eastAsia="仿宋" w:cs="仿宋"/>
          <w:color w:val="auto"/>
          <w:sz w:val="28"/>
          <w:szCs w:val="28"/>
          <w:highlight w:val="none"/>
          <w:lang w:val="en-US" w:eastAsia="zh-CN"/>
        </w:rPr>
        <w:t>矿山开发利用方案及</w:t>
      </w:r>
      <w:r>
        <w:rPr>
          <w:rFonts w:hint="eastAsia" w:ascii="仿宋" w:hAnsi="仿宋" w:eastAsia="仿宋" w:cs="仿宋"/>
          <w:color w:val="auto"/>
          <w:sz w:val="28"/>
          <w:szCs w:val="28"/>
          <w:highlight w:val="none"/>
        </w:rPr>
        <w:t>矿山损毁土地分析</w:t>
      </w:r>
      <w:r>
        <w:rPr>
          <w:rFonts w:hint="eastAsia" w:ascii="仿宋" w:hAnsi="仿宋" w:eastAsia="仿宋" w:cs="仿宋"/>
          <w:color w:val="auto"/>
          <w:sz w:val="28"/>
          <w:szCs w:val="28"/>
          <w:highlight w:val="none"/>
          <w:lang w:val="en-US" w:eastAsia="zh-CN"/>
        </w:rPr>
        <w:t>，矿山部分区域无需进行开采，</w:t>
      </w:r>
      <w:r>
        <w:rPr>
          <w:rFonts w:hint="eastAsia" w:ascii="仿宋" w:hAnsi="仿宋" w:eastAsia="仿宋" w:cs="仿宋"/>
          <w:color w:val="auto"/>
          <w:sz w:val="28"/>
          <w:szCs w:val="28"/>
          <w:highlight w:val="none"/>
        </w:rPr>
        <w:t>至矿山开采结束累计损毁土地总面积约</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，损毁土地包括：露天采场终采平台区、露天采场终采边坡区。项目区不涉及永久性建设用地，因此复垦责任范围面积共</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，土地复垦率为100%。详见表3-17。</w:t>
      </w:r>
    </w:p>
    <w:p w14:paraId="1C22276D">
      <w:pPr>
        <w:pStyle w:val="22"/>
        <w:ind w:firstLine="0" w:firstLineChars="0"/>
        <w:jc w:val="center"/>
        <w:rPr>
          <w:rFonts w:ascii="Times New Roman" w:hAnsi="Times New Roman" w:eastAsia="宋体" w:cs="Times New Roman"/>
          <w:b/>
          <w:color w:val="auto"/>
          <w:kern w:val="0"/>
          <w:sz w:val="21"/>
          <w:highlight w:val="none"/>
        </w:rPr>
      </w:pPr>
      <w:r>
        <w:rPr>
          <w:rFonts w:ascii="Times New Roman" w:hAnsi="Times New Roman" w:eastAsia="宋体" w:cs="Times New Roman"/>
          <w:b/>
          <w:color w:val="auto"/>
          <w:kern w:val="0"/>
          <w:sz w:val="21"/>
          <w:highlight w:val="none"/>
        </w:rPr>
        <w:t>表3-</w:t>
      </w:r>
      <w:r>
        <w:rPr>
          <w:rFonts w:hint="eastAsia" w:ascii="Times New Roman" w:hAnsi="Times New Roman" w:eastAsia="宋体" w:cs="Times New Roman"/>
          <w:b/>
          <w:color w:val="auto"/>
          <w:kern w:val="0"/>
          <w:sz w:val="21"/>
          <w:highlight w:val="none"/>
        </w:rPr>
        <w:t>17</w:t>
      </w:r>
      <w:r>
        <w:rPr>
          <w:rFonts w:ascii="Times New Roman" w:hAnsi="Times New Roman" w:eastAsia="宋体" w:cs="Times New Roman"/>
          <w:b/>
          <w:color w:val="auto"/>
          <w:kern w:val="0"/>
          <w:sz w:val="21"/>
          <w:highlight w:val="none"/>
        </w:rPr>
        <w:t xml:space="preserve">   复垦责任范围土地利用现状表</w:t>
      </w:r>
    </w:p>
    <w:p w14:paraId="41160998">
      <w:pPr>
        <w:rPr>
          <w:rFonts w:ascii="Times New Roman" w:hAnsi="Times New Roman" w:eastAsia="宋体" w:cs="Times New Roman"/>
          <w:b/>
          <w:color w:val="auto"/>
          <w:kern w:val="0"/>
          <w:sz w:val="21"/>
          <w:highlight w:val="none"/>
        </w:rPr>
      </w:pPr>
    </w:p>
    <w:tbl>
      <w:tblPr>
        <w:tblStyle w:val="23"/>
        <w:tblW w:w="8652" w:type="dxa"/>
        <w:jc w:val="center"/>
        <w:tblLayout w:type="autofit"/>
        <w:tblCellMar>
          <w:top w:w="0" w:type="dxa"/>
          <w:left w:w="108" w:type="dxa"/>
          <w:bottom w:w="0" w:type="dxa"/>
          <w:right w:w="108" w:type="dxa"/>
        </w:tblCellMar>
      </w:tblPr>
      <w:tblGrid>
        <w:gridCol w:w="1103"/>
        <w:gridCol w:w="1147"/>
        <w:gridCol w:w="676"/>
        <w:gridCol w:w="1157"/>
        <w:gridCol w:w="695"/>
        <w:gridCol w:w="1337"/>
        <w:gridCol w:w="1147"/>
        <w:gridCol w:w="1390"/>
      </w:tblGrid>
      <w:tr w14:paraId="05E92A3E">
        <w:tblPrEx>
          <w:tblCellMar>
            <w:top w:w="0" w:type="dxa"/>
            <w:left w:w="108" w:type="dxa"/>
            <w:bottom w:w="0" w:type="dxa"/>
            <w:right w:w="108" w:type="dxa"/>
          </w:tblCellMar>
        </w:tblPrEx>
        <w:trPr>
          <w:trHeight w:val="472" w:hRule="atLeast"/>
          <w:jc w:val="center"/>
        </w:trPr>
        <w:tc>
          <w:tcPr>
            <w:tcW w:w="1103" w:type="dxa"/>
            <w:vMerge w:val="restart"/>
            <w:tcBorders>
              <w:top w:val="single" w:color="auto" w:sz="4" w:space="0"/>
              <w:left w:val="single" w:color="auto" w:sz="4" w:space="0"/>
              <w:bottom w:val="single" w:color="auto" w:sz="4" w:space="0"/>
              <w:right w:val="single" w:color="auto" w:sz="4" w:space="0"/>
            </w:tcBorders>
            <w:noWrap/>
            <w:vAlign w:val="center"/>
          </w:tcPr>
          <w:p w14:paraId="3FA5696D">
            <w:pPr>
              <w:widowControl/>
              <w:jc w:val="center"/>
              <w:rPr>
                <w:rFonts w:eastAsia="宋体"/>
                <w:color w:val="auto"/>
                <w:highlight w:val="none"/>
              </w:rPr>
            </w:pPr>
            <w:r>
              <w:rPr>
                <w:rFonts w:hint="eastAsia" w:eastAsia="宋体"/>
                <w:color w:val="auto"/>
                <w:highlight w:val="none"/>
              </w:rPr>
              <w:t>损毁单元</w:t>
            </w:r>
          </w:p>
        </w:tc>
        <w:tc>
          <w:tcPr>
            <w:tcW w:w="1147" w:type="dxa"/>
            <w:vMerge w:val="restart"/>
            <w:tcBorders>
              <w:top w:val="single" w:color="auto" w:sz="4" w:space="0"/>
              <w:left w:val="single" w:color="auto" w:sz="4" w:space="0"/>
              <w:bottom w:val="single" w:color="auto" w:sz="4" w:space="0"/>
              <w:right w:val="single" w:color="auto" w:sz="4" w:space="0"/>
            </w:tcBorders>
            <w:noWrap/>
            <w:vAlign w:val="center"/>
          </w:tcPr>
          <w:p w14:paraId="0E506DE8">
            <w:pPr>
              <w:widowControl/>
              <w:jc w:val="center"/>
              <w:rPr>
                <w:rFonts w:eastAsia="宋体"/>
                <w:color w:val="auto"/>
                <w:highlight w:val="none"/>
              </w:rPr>
            </w:pPr>
            <w:r>
              <w:rPr>
                <w:rFonts w:hint="eastAsia" w:eastAsia="宋体"/>
                <w:color w:val="auto"/>
                <w:highlight w:val="none"/>
              </w:rPr>
              <w:t>损毁类型</w:t>
            </w:r>
          </w:p>
        </w:tc>
        <w:tc>
          <w:tcPr>
            <w:tcW w:w="1833" w:type="dxa"/>
            <w:gridSpan w:val="2"/>
            <w:tcBorders>
              <w:top w:val="single" w:color="auto" w:sz="4" w:space="0"/>
              <w:left w:val="nil"/>
              <w:bottom w:val="single" w:color="auto" w:sz="4" w:space="0"/>
              <w:right w:val="single" w:color="auto" w:sz="4" w:space="0"/>
            </w:tcBorders>
            <w:noWrap/>
            <w:vAlign w:val="center"/>
          </w:tcPr>
          <w:p w14:paraId="57AEFFE6">
            <w:pPr>
              <w:widowControl/>
              <w:jc w:val="center"/>
              <w:rPr>
                <w:rFonts w:eastAsia="宋体"/>
                <w:color w:val="auto"/>
                <w:highlight w:val="none"/>
              </w:rPr>
            </w:pPr>
            <w:r>
              <w:rPr>
                <w:rFonts w:hint="eastAsia" w:eastAsia="宋体"/>
                <w:color w:val="auto"/>
                <w:highlight w:val="none"/>
              </w:rPr>
              <w:t>一级地类</w:t>
            </w:r>
          </w:p>
        </w:tc>
        <w:tc>
          <w:tcPr>
            <w:tcW w:w="2032" w:type="dxa"/>
            <w:gridSpan w:val="2"/>
            <w:tcBorders>
              <w:top w:val="single" w:color="auto" w:sz="4" w:space="0"/>
              <w:left w:val="nil"/>
              <w:bottom w:val="single" w:color="auto" w:sz="4" w:space="0"/>
              <w:right w:val="single" w:color="auto" w:sz="4" w:space="0"/>
            </w:tcBorders>
            <w:noWrap/>
            <w:vAlign w:val="center"/>
          </w:tcPr>
          <w:p w14:paraId="20D9B818">
            <w:pPr>
              <w:widowControl/>
              <w:jc w:val="center"/>
              <w:rPr>
                <w:rFonts w:eastAsia="宋体"/>
                <w:color w:val="auto"/>
                <w:highlight w:val="none"/>
              </w:rPr>
            </w:pPr>
            <w:r>
              <w:rPr>
                <w:rFonts w:hint="eastAsia" w:eastAsia="宋体"/>
                <w:color w:val="auto"/>
                <w:highlight w:val="none"/>
              </w:rPr>
              <w:t>二级地类</w:t>
            </w:r>
          </w:p>
        </w:tc>
        <w:tc>
          <w:tcPr>
            <w:tcW w:w="1147" w:type="dxa"/>
            <w:tcBorders>
              <w:top w:val="single" w:color="auto" w:sz="4" w:space="0"/>
              <w:left w:val="nil"/>
              <w:bottom w:val="single" w:color="auto" w:sz="4" w:space="0"/>
              <w:right w:val="single" w:color="auto" w:sz="4" w:space="0"/>
            </w:tcBorders>
            <w:noWrap/>
            <w:vAlign w:val="center"/>
          </w:tcPr>
          <w:p w14:paraId="2C91CAE6">
            <w:pPr>
              <w:widowControl/>
              <w:jc w:val="center"/>
              <w:rPr>
                <w:rFonts w:eastAsia="宋体"/>
                <w:color w:val="auto"/>
                <w:highlight w:val="none"/>
              </w:rPr>
            </w:pPr>
            <w:r>
              <w:rPr>
                <w:rFonts w:hint="eastAsia" w:eastAsia="宋体"/>
                <w:color w:val="auto"/>
                <w:highlight w:val="none"/>
              </w:rPr>
              <w:t>面积</w:t>
            </w:r>
          </w:p>
        </w:tc>
        <w:tc>
          <w:tcPr>
            <w:tcW w:w="1390" w:type="dxa"/>
            <w:vMerge w:val="restart"/>
            <w:tcBorders>
              <w:top w:val="single" w:color="auto" w:sz="4" w:space="0"/>
              <w:left w:val="single" w:color="auto" w:sz="4" w:space="0"/>
              <w:right w:val="single" w:color="auto" w:sz="4" w:space="0"/>
            </w:tcBorders>
            <w:vAlign w:val="center"/>
          </w:tcPr>
          <w:p w14:paraId="4A1C36C1">
            <w:pPr>
              <w:widowControl/>
              <w:jc w:val="center"/>
              <w:rPr>
                <w:rFonts w:eastAsia="宋体"/>
                <w:color w:val="auto"/>
                <w:highlight w:val="none"/>
              </w:rPr>
            </w:pPr>
            <w:r>
              <w:rPr>
                <w:rFonts w:hint="eastAsia" w:eastAsia="宋体"/>
                <w:color w:val="auto"/>
                <w:highlight w:val="none"/>
              </w:rPr>
              <w:t>占总面积比例(%)</w:t>
            </w:r>
          </w:p>
        </w:tc>
      </w:tr>
      <w:tr w14:paraId="286EAA95">
        <w:tblPrEx>
          <w:tblCellMar>
            <w:top w:w="0" w:type="dxa"/>
            <w:left w:w="108" w:type="dxa"/>
            <w:bottom w:w="0" w:type="dxa"/>
            <w:right w:w="108" w:type="dxa"/>
          </w:tblCellMar>
        </w:tblPrEx>
        <w:trPr>
          <w:trHeight w:val="352" w:hRule="atLeast"/>
          <w:jc w:val="center"/>
        </w:trPr>
        <w:tc>
          <w:tcPr>
            <w:tcW w:w="1103" w:type="dxa"/>
            <w:vMerge w:val="continue"/>
            <w:tcBorders>
              <w:top w:val="single" w:color="auto" w:sz="4" w:space="0"/>
              <w:left w:val="single" w:color="auto" w:sz="4" w:space="0"/>
              <w:bottom w:val="single" w:color="auto" w:sz="4" w:space="0"/>
              <w:right w:val="single" w:color="auto" w:sz="4" w:space="0"/>
            </w:tcBorders>
            <w:vAlign w:val="center"/>
          </w:tcPr>
          <w:p w14:paraId="0A9B819B">
            <w:pPr>
              <w:widowControl/>
              <w:jc w:val="left"/>
              <w:rPr>
                <w:rFonts w:eastAsia="宋体"/>
                <w:color w:val="auto"/>
                <w:highlight w:val="none"/>
              </w:rPr>
            </w:pPr>
          </w:p>
        </w:tc>
        <w:tc>
          <w:tcPr>
            <w:tcW w:w="1147" w:type="dxa"/>
            <w:vMerge w:val="continue"/>
            <w:tcBorders>
              <w:top w:val="single" w:color="auto" w:sz="4" w:space="0"/>
              <w:left w:val="single" w:color="auto" w:sz="4" w:space="0"/>
              <w:bottom w:val="single" w:color="auto" w:sz="4" w:space="0"/>
              <w:right w:val="single" w:color="auto" w:sz="4" w:space="0"/>
            </w:tcBorders>
            <w:vAlign w:val="center"/>
          </w:tcPr>
          <w:p w14:paraId="32A52F40">
            <w:pPr>
              <w:widowControl/>
              <w:jc w:val="left"/>
              <w:rPr>
                <w:rFonts w:eastAsia="宋体"/>
                <w:color w:val="auto"/>
                <w:highlight w:val="none"/>
              </w:rPr>
            </w:pPr>
          </w:p>
        </w:tc>
        <w:tc>
          <w:tcPr>
            <w:tcW w:w="676" w:type="dxa"/>
            <w:tcBorders>
              <w:top w:val="nil"/>
              <w:left w:val="nil"/>
              <w:bottom w:val="single" w:color="auto" w:sz="4" w:space="0"/>
              <w:right w:val="single" w:color="auto" w:sz="4" w:space="0"/>
            </w:tcBorders>
            <w:noWrap/>
            <w:vAlign w:val="center"/>
          </w:tcPr>
          <w:p w14:paraId="199012A8">
            <w:pPr>
              <w:widowControl/>
              <w:jc w:val="center"/>
              <w:rPr>
                <w:rFonts w:eastAsia="宋体"/>
                <w:color w:val="auto"/>
                <w:highlight w:val="none"/>
              </w:rPr>
            </w:pPr>
            <w:r>
              <w:rPr>
                <w:rFonts w:hint="eastAsia" w:eastAsia="宋体"/>
                <w:color w:val="auto"/>
                <w:highlight w:val="none"/>
              </w:rPr>
              <w:t>编码</w:t>
            </w:r>
          </w:p>
        </w:tc>
        <w:tc>
          <w:tcPr>
            <w:tcW w:w="1157" w:type="dxa"/>
            <w:tcBorders>
              <w:top w:val="nil"/>
              <w:left w:val="nil"/>
              <w:bottom w:val="single" w:color="auto" w:sz="4" w:space="0"/>
              <w:right w:val="single" w:color="auto" w:sz="4" w:space="0"/>
            </w:tcBorders>
            <w:noWrap/>
            <w:vAlign w:val="center"/>
          </w:tcPr>
          <w:p w14:paraId="67D4B69D">
            <w:pPr>
              <w:widowControl/>
              <w:jc w:val="center"/>
              <w:rPr>
                <w:rFonts w:eastAsia="宋体"/>
                <w:color w:val="auto"/>
                <w:highlight w:val="none"/>
              </w:rPr>
            </w:pPr>
            <w:r>
              <w:rPr>
                <w:rFonts w:hint="eastAsia" w:eastAsia="宋体"/>
                <w:color w:val="auto"/>
                <w:highlight w:val="none"/>
              </w:rPr>
              <w:t>名称</w:t>
            </w:r>
          </w:p>
        </w:tc>
        <w:tc>
          <w:tcPr>
            <w:tcW w:w="695" w:type="dxa"/>
            <w:tcBorders>
              <w:top w:val="nil"/>
              <w:left w:val="nil"/>
              <w:bottom w:val="single" w:color="auto" w:sz="4" w:space="0"/>
              <w:right w:val="single" w:color="auto" w:sz="4" w:space="0"/>
            </w:tcBorders>
            <w:noWrap/>
            <w:vAlign w:val="center"/>
          </w:tcPr>
          <w:p w14:paraId="5C92C9A9">
            <w:pPr>
              <w:widowControl/>
              <w:jc w:val="center"/>
              <w:rPr>
                <w:rFonts w:eastAsia="宋体"/>
                <w:color w:val="auto"/>
                <w:highlight w:val="none"/>
              </w:rPr>
            </w:pPr>
            <w:r>
              <w:rPr>
                <w:rFonts w:hint="eastAsia" w:eastAsia="宋体"/>
                <w:color w:val="auto"/>
                <w:highlight w:val="none"/>
              </w:rPr>
              <w:t>编码</w:t>
            </w:r>
          </w:p>
        </w:tc>
        <w:tc>
          <w:tcPr>
            <w:tcW w:w="1337" w:type="dxa"/>
            <w:tcBorders>
              <w:top w:val="nil"/>
              <w:left w:val="nil"/>
              <w:bottom w:val="single" w:color="auto" w:sz="4" w:space="0"/>
              <w:right w:val="single" w:color="auto" w:sz="4" w:space="0"/>
            </w:tcBorders>
            <w:noWrap/>
            <w:vAlign w:val="center"/>
          </w:tcPr>
          <w:p w14:paraId="3B3CCE7F">
            <w:pPr>
              <w:widowControl/>
              <w:jc w:val="center"/>
              <w:rPr>
                <w:rFonts w:eastAsia="宋体"/>
                <w:color w:val="auto"/>
                <w:highlight w:val="none"/>
              </w:rPr>
            </w:pPr>
            <w:r>
              <w:rPr>
                <w:rFonts w:hint="eastAsia" w:eastAsia="宋体"/>
                <w:color w:val="auto"/>
                <w:highlight w:val="none"/>
              </w:rPr>
              <w:t>名称</w:t>
            </w:r>
          </w:p>
        </w:tc>
        <w:tc>
          <w:tcPr>
            <w:tcW w:w="1147" w:type="dxa"/>
            <w:tcBorders>
              <w:top w:val="nil"/>
              <w:left w:val="nil"/>
              <w:bottom w:val="single" w:color="auto" w:sz="4" w:space="0"/>
              <w:right w:val="single" w:color="auto" w:sz="4" w:space="0"/>
            </w:tcBorders>
            <w:noWrap/>
            <w:vAlign w:val="center"/>
          </w:tcPr>
          <w:p w14:paraId="623B49FC">
            <w:pPr>
              <w:widowControl/>
              <w:jc w:val="center"/>
              <w:rPr>
                <w:rFonts w:eastAsia="宋体"/>
                <w:color w:val="auto"/>
                <w:highlight w:val="none"/>
              </w:rPr>
            </w:pPr>
            <w:r>
              <w:rPr>
                <w:rFonts w:hint="eastAsia" w:eastAsia="宋体"/>
                <w:color w:val="auto"/>
                <w:highlight w:val="none"/>
              </w:rPr>
              <w:t>hm</w:t>
            </w:r>
            <w:r>
              <w:rPr>
                <w:rFonts w:hint="eastAsia" w:eastAsia="宋体"/>
                <w:color w:val="auto"/>
                <w:highlight w:val="none"/>
                <w:vertAlign w:val="superscript"/>
              </w:rPr>
              <w:t>2</w:t>
            </w:r>
          </w:p>
        </w:tc>
        <w:tc>
          <w:tcPr>
            <w:tcW w:w="1390" w:type="dxa"/>
            <w:vMerge w:val="continue"/>
            <w:tcBorders>
              <w:left w:val="single" w:color="auto" w:sz="4" w:space="0"/>
              <w:bottom w:val="single" w:color="auto" w:sz="4" w:space="0"/>
              <w:right w:val="single" w:color="auto" w:sz="4" w:space="0"/>
            </w:tcBorders>
            <w:vAlign w:val="center"/>
          </w:tcPr>
          <w:p w14:paraId="4D0B3FFA">
            <w:pPr>
              <w:widowControl/>
              <w:jc w:val="left"/>
              <w:rPr>
                <w:rFonts w:eastAsia="宋体"/>
                <w:color w:val="auto"/>
                <w:highlight w:val="none"/>
              </w:rPr>
            </w:pPr>
          </w:p>
        </w:tc>
      </w:tr>
      <w:tr w14:paraId="4855726C">
        <w:tblPrEx>
          <w:tblCellMar>
            <w:top w:w="0" w:type="dxa"/>
            <w:left w:w="108" w:type="dxa"/>
            <w:bottom w:w="0" w:type="dxa"/>
            <w:right w:w="108" w:type="dxa"/>
          </w:tblCellMar>
        </w:tblPrEx>
        <w:trPr>
          <w:trHeight w:val="321" w:hRule="atLeast"/>
          <w:jc w:val="center"/>
        </w:trPr>
        <w:tc>
          <w:tcPr>
            <w:tcW w:w="1103" w:type="dxa"/>
            <w:vMerge w:val="restart"/>
            <w:tcBorders>
              <w:top w:val="nil"/>
              <w:left w:val="single" w:color="auto" w:sz="4" w:space="0"/>
              <w:right w:val="single" w:color="auto" w:sz="4" w:space="0"/>
            </w:tcBorders>
            <w:vAlign w:val="center"/>
          </w:tcPr>
          <w:p w14:paraId="6C72509C">
            <w:pPr>
              <w:widowControl/>
              <w:jc w:val="center"/>
              <w:rPr>
                <w:rFonts w:eastAsia="宋体"/>
                <w:color w:val="auto"/>
                <w:highlight w:val="none"/>
              </w:rPr>
            </w:pPr>
            <w:r>
              <w:rPr>
                <w:rFonts w:hint="eastAsia" w:eastAsia="宋体"/>
                <w:color w:val="auto"/>
                <w:highlight w:val="none"/>
              </w:rPr>
              <w:t>露天采场（预计开采区）</w:t>
            </w:r>
          </w:p>
        </w:tc>
        <w:tc>
          <w:tcPr>
            <w:tcW w:w="1147" w:type="dxa"/>
            <w:vMerge w:val="restart"/>
            <w:tcBorders>
              <w:top w:val="nil"/>
              <w:left w:val="single" w:color="auto" w:sz="4" w:space="0"/>
              <w:right w:val="single" w:color="auto" w:sz="4" w:space="0"/>
            </w:tcBorders>
            <w:noWrap/>
            <w:vAlign w:val="center"/>
          </w:tcPr>
          <w:p w14:paraId="7C32A328">
            <w:pPr>
              <w:widowControl/>
              <w:jc w:val="center"/>
              <w:rPr>
                <w:rFonts w:eastAsia="宋体"/>
                <w:color w:val="auto"/>
                <w:highlight w:val="none"/>
              </w:rPr>
            </w:pPr>
            <w:r>
              <w:rPr>
                <w:rFonts w:hint="eastAsia" w:eastAsia="宋体"/>
                <w:color w:val="auto"/>
                <w:highlight w:val="none"/>
              </w:rPr>
              <w:t>挖损</w:t>
            </w:r>
          </w:p>
        </w:tc>
        <w:tc>
          <w:tcPr>
            <w:tcW w:w="676" w:type="dxa"/>
            <w:tcBorders>
              <w:top w:val="nil"/>
              <w:left w:val="single" w:color="auto" w:sz="4" w:space="0"/>
              <w:bottom w:val="single" w:color="auto" w:sz="4" w:space="0"/>
              <w:right w:val="single" w:color="auto" w:sz="4" w:space="0"/>
            </w:tcBorders>
            <w:noWrap/>
            <w:vAlign w:val="center"/>
          </w:tcPr>
          <w:p w14:paraId="3B352B2E">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03</w:t>
            </w:r>
          </w:p>
        </w:tc>
        <w:tc>
          <w:tcPr>
            <w:tcW w:w="1157" w:type="dxa"/>
            <w:tcBorders>
              <w:top w:val="nil"/>
              <w:left w:val="single" w:color="auto" w:sz="4" w:space="0"/>
              <w:bottom w:val="single" w:color="auto" w:sz="4" w:space="0"/>
              <w:right w:val="single" w:color="auto" w:sz="4" w:space="0"/>
            </w:tcBorders>
            <w:noWrap/>
            <w:vAlign w:val="center"/>
          </w:tcPr>
          <w:p w14:paraId="21BBA8DE">
            <w:pPr>
              <w:widowControl/>
              <w:spacing w:line="240" w:lineRule="auto"/>
              <w:ind w:firstLine="0" w:firstLineChars="0"/>
              <w:jc w:val="center"/>
              <w:rPr>
                <w:rFonts w:eastAsia="宋体"/>
                <w:color w:val="auto"/>
                <w:highlight w:val="none"/>
              </w:rPr>
            </w:pPr>
            <w:r>
              <w:rPr>
                <w:rFonts w:hint="eastAsia" w:cs="宋体" w:asciiTheme="minorEastAsia" w:hAnsiTheme="minorEastAsia"/>
                <w:color w:val="auto"/>
                <w:kern w:val="0"/>
                <w:sz w:val="21"/>
                <w:lang w:val="en-US" w:eastAsia="zh-CN"/>
              </w:rPr>
              <w:t>林地</w:t>
            </w:r>
          </w:p>
        </w:tc>
        <w:tc>
          <w:tcPr>
            <w:tcW w:w="695" w:type="dxa"/>
            <w:tcBorders>
              <w:top w:val="nil"/>
              <w:left w:val="nil"/>
              <w:bottom w:val="single" w:color="auto" w:sz="4" w:space="0"/>
              <w:right w:val="single" w:color="auto" w:sz="4" w:space="0"/>
            </w:tcBorders>
            <w:noWrap/>
            <w:vAlign w:val="center"/>
          </w:tcPr>
          <w:p w14:paraId="784C9D04">
            <w:pPr>
              <w:widowControl/>
              <w:spacing w:line="240" w:lineRule="auto"/>
              <w:ind w:firstLine="0" w:firstLineChars="0"/>
              <w:jc w:val="center"/>
              <w:rPr>
                <w:rFonts w:eastAsia="宋体"/>
                <w:color w:val="auto"/>
                <w:highlight w:val="none"/>
              </w:rPr>
            </w:pPr>
            <w:r>
              <w:rPr>
                <w:rFonts w:hint="eastAsia" w:cs="宋体" w:asciiTheme="minorEastAsia" w:hAnsiTheme="minorEastAsia"/>
                <w:color w:val="auto"/>
                <w:kern w:val="0"/>
                <w:sz w:val="21"/>
                <w:lang w:val="en-US" w:eastAsia="zh-CN"/>
              </w:rPr>
              <w:t>0301</w:t>
            </w:r>
          </w:p>
        </w:tc>
        <w:tc>
          <w:tcPr>
            <w:tcW w:w="1337" w:type="dxa"/>
            <w:tcBorders>
              <w:top w:val="nil"/>
              <w:left w:val="nil"/>
              <w:bottom w:val="single" w:color="auto" w:sz="4" w:space="0"/>
              <w:right w:val="single" w:color="auto" w:sz="4" w:space="0"/>
            </w:tcBorders>
            <w:noWrap/>
            <w:vAlign w:val="center"/>
          </w:tcPr>
          <w:p w14:paraId="2C7BD584">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rPr>
              <w:t>乔木林地</w:t>
            </w:r>
          </w:p>
        </w:tc>
        <w:tc>
          <w:tcPr>
            <w:tcW w:w="1147" w:type="dxa"/>
            <w:tcBorders>
              <w:top w:val="nil"/>
              <w:left w:val="nil"/>
              <w:bottom w:val="single" w:color="auto" w:sz="4" w:space="0"/>
              <w:right w:val="single" w:color="auto" w:sz="4" w:space="0"/>
            </w:tcBorders>
            <w:noWrap/>
            <w:vAlign w:val="center"/>
          </w:tcPr>
          <w:p w14:paraId="2D479156">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lang w:val="en-US" w:eastAsia="zh-CN"/>
              </w:rPr>
              <w:t>0.65</w:t>
            </w:r>
          </w:p>
        </w:tc>
        <w:tc>
          <w:tcPr>
            <w:tcW w:w="1390" w:type="dxa"/>
            <w:tcBorders>
              <w:top w:val="nil"/>
              <w:left w:val="nil"/>
              <w:bottom w:val="single" w:color="auto" w:sz="4" w:space="0"/>
              <w:right w:val="single" w:color="auto" w:sz="4" w:space="0"/>
            </w:tcBorders>
            <w:vAlign w:val="center"/>
          </w:tcPr>
          <w:p w14:paraId="461DB171">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lang w:val="en-US" w:eastAsia="zh-CN"/>
              </w:rPr>
              <w:t>81.25</w:t>
            </w:r>
          </w:p>
        </w:tc>
      </w:tr>
      <w:tr w14:paraId="1805A358">
        <w:tblPrEx>
          <w:tblCellMar>
            <w:top w:w="0" w:type="dxa"/>
            <w:left w:w="108" w:type="dxa"/>
            <w:bottom w:w="0" w:type="dxa"/>
            <w:right w:w="108" w:type="dxa"/>
          </w:tblCellMar>
        </w:tblPrEx>
        <w:trPr>
          <w:trHeight w:val="328" w:hRule="atLeast"/>
          <w:jc w:val="center"/>
        </w:trPr>
        <w:tc>
          <w:tcPr>
            <w:tcW w:w="1103" w:type="dxa"/>
            <w:vMerge w:val="continue"/>
            <w:tcBorders>
              <w:left w:val="single" w:color="auto" w:sz="4" w:space="0"/>
              <w:right w:val="single" w:color="auto" w:sz="4" w:space="0"/>
            </w:tcBorders>
            <w:vAlign w:val="center"/>
          </w:tcPr>
          <w:p w14:paraId="2105386C">
            <w:pPr>
              <w:widowControl/>
              <w:jc w:val="center"/>
              <w:rPr>
                <w:rFonts w:eastAsia="宋体"/>
                <w:color w:val="auto"/>
                <w:highlight w:val="none"/>
              </w:rPr>
            </w:pPr>
          </w:p>
        </w:tc>
        <w:tc>
          <w:tcPr>
            <w:tcW w:w="1147" w:type="dxa"/>
            <w:vMerge w:val="continue"/>
            <w:tcBorders>
              <w:left w:val="single" w:color="auto" w:sz="4" w:space="0"/>
              <w:right w:val="single" w:color="auto" w:sz="4" w:space="0"/>
            </w:tcBorders>
            <w:noWrap/>
            <w:vAlign w:val="center"/>
          </w:tcPr>
          <w:p w14:paraId="3F77A011">
            <w:pPr>
              <w:widowControl/>
              <w:jc w:val="center"/>
              <w:rPr>
                <w:rFonts w:eastAsia="宋体"/>
                <w:color w:val="auto"/>
                <w:highlight w:val="none"/>
              </w:rPr>
            </w:pPr>
          </w:p>
        </w:tc>
        <w:tc>
          <w:tcPr>
            <w:tcW w:w="676" w:type="dxa"/>
            <w:tcBorders>
              <w:top w:val="nil"/>
              <w:left w:val="single" w:color="auto" w:sz="4" w:space="0"/>
              <w:bottom w:val="single" w:color="auto" w:sz="4" w:space="0"/>
              <w:right w:val="single" w:color="auto" w:sz="4" w:space="0"/>
            </w:tcBorders>
            <w:noWrap/>
            <w:vAlign w:val="center"/>
          </w:tcPr>
          <w:p w14:paraId="1EF8567F">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04</w:t>
            </w:r>
          </w:p>
        </w:tc>
        <w:tc>
          <w:tcPr>
            <w:tcW w:w="1157" w:type="dxa"/>
            <w:tcBorders>
              <w:top w:val="single" w:color="auto" w:sz="4" w:space="0"/>
              <w:left w:val="single" w:color="auto" w:sz="4" w:space="0"/>
              <w:bottom w:val="single" w:color="auto" w:sz="4" w:space="0"/>
              <w:right w:val="single" w:color="auto" w:sz="4" w:space="0"/>
            </w:tcBorders>
            <w:noWrap/>
            <w:vAlign w:val="center"/>
          </w:tcPr>
          <w:p w14:paraId="79FD185C">
            <w:pPr>
              <w:widowControl/>
              <w:spacing w:line="240" w:lineRule="auto"/>
              <w:ind w:firstLine="0" w:firstLineChars="0"/>
              <w:jc w:val="center"/>
              <w:rPr>
                <w:rFonts w:hint="eastAsia" w:eastAsia="宋体"/>
                <w:color w:val="auto"/>
                <w:highlight w:val="none"/>
                <w:lang w:val="en-US" w:eastAsia="zh-CN"/>
              </w:rPr>
            </w:pPr>
            <w:r>
              <w:rPr>
                <w:rFonts w:hint="eastAsia" w:cs="宋体" w:asciiTheme="minorEastAsia" w:hAnsiTheme="minorEastAsia"/>
                <w:color w:val="auto"/>
                <w:kern w:val="0"/>
                <w:sz w:val="21"/>
                <w:lang w:val="en-US" w:eastAsia="zh-CN"/>
              </w:rPr>
              <w:t>草地</w:t>
            </w:r>
          </w:p>
        </w:tc>
        <w:tc>
          <w:tcPr>
            <w:tcW w:w="695" w:type="dxa"/>
            <w:tcBorders>
              <w:top w:val="nil"/>
              <w:left w:val="nil"/>
              <w:bottom w:val="single" w:color="auto" w:sz="4" w:space="0"/>
              <w:right w:val="single" w:color="auto" w:sz="4" w:space="0"/>
            </w:tcBorders>
            <w:noWrap/>
            <w:vAlign w:val="center"/>
          </w:tcPr>
          <w:p w14:paraId="38D1B042">
            <w:pPr>
              <w:widowControl/>
              <w:spacing w:line="240" w:lineRule="auto"/>
              <w:ind w:firstLine="0" w:firstLineChars="0"/>
              <w:jc w:val="center"/>
              <w:rPr>
                <w:rFonts w:hint="eastAsia" w:eastAsia="仿宋"/>
                <w:color w:val="auto"/>
                <w:highlight w:val="none"/>
                <w:lang w:eastAsia="zh-CN"/>
              </w:rPr>
            </w:pPr>
            <w:r>
              <w:rPr>
                <w:rFonts w:hint="eastAsia" w:cs="宋体" w:asciiTheme="minorEastAsia" w:hAnsiTheme="minorEastAsia"/>
                <w:color w:val="auto"/>
                <w:kern w:val="0"/>
                <w:sz w:val="21"/>
                <w:lang w:val="en-US" w:eastAsia="zh-CN"/>
              </w:rPr>
              <w:t>0404</w:t>
            </w:r>
          </w:p>
        </w:tc>
        <w:tc>
          <w:tcPr>
            <w:tcW w:w="1337" w:type="dxa"/>
            <w:tcBorders>
              <w:top w:val="nil"/>
              <w:left w:val="nil"/>
              <w:bottom w:val="single" w:color="auto" w:sz="4" w:space="0"/>
              <w:right w:val="single" w:color="auto" w:sz="4" w:space="0"/>
            </w:tcBorders>
            <w:noWrap/>
            <w:vAlign w:val="center"/>
          </w:tcPr>
          <w:p w14:paraId="76110BCD">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rPr>
              <w:t>其他</w:t>
            </w:r>
            <w:r>
              <w:rPr>
                <w:rFonts w:hint="eastAsia" w:ascii="仿宋" w:hAnsi="仿宋" w:eastAsia="仿宋" w:cs="仿宋"/>
                <w:color w:val="auto"/>
                <w:kern w:val="0"/>
                <w:sz w:val="21"/>
                <w:szCs w:val="21"/>
                <w:lang w:val="en-US" w:eastAsia="zh-CN"/>
              </w:rPr>
              <w:t>草地</w:t>
            </w:r>
          </w:p>
        </w:tc>
        <w:tc>
          <w:tcPr>
            <w:tcW w:w="1147" w:type="dxa"/>
            <w:tcBorders>
              <w:top w:val="nil"/>
              <w:left w:val="nil"/>
              <w:bottom w:val="single" w:color="auto" w:sz="4" w:space="0"/>
              <w:right w:val="single" w:color="auto" w:sz="4" w:space="0"/>
            </w:tcBorders>
            <w:noWrap/>
            <w:vAlign w:val="center"/>
          </w:tcPr>
          <w:p w14:paraId="427F247F">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lang w:val="en-US" w:eastAsia="zh-CN"/>
              </w:rPr>
              <w:t>0.05</w:t>
            </w:r>
          </w:p>
        </w:tc>
        <w:tc>
          <w:tcPr>
            <w:tcW w:w="1390" w:type="dxa"/>
            <w:tcBorders>
              <w:top w:val="nil"/>
              <w:left w:val="nil"/>
              <w:bottom w:val="single" w:color="auto" w:sz="4" w:space="0"/>
              <w:right w:val="single" w:color="auto" w:sz="4" w:space="0"/>
            </w:tcBorders>
            <w:vAlign w:val="center"/>
          </w:tcPr>
          <w:p w14:paraId="3997F980">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lang w:val="en-US" w:eastAsia="zh-CN"/>
              </w:rPr>
              <w:t>6.25</w:t>
            </w:r>
          </w:p>
        </w:tc>
      </w:tr>
      <w:tr w14:paraId="60BD2CC3">
        <w:tblPrEx>
          <w:tblCellMar>
            <w:top w:w="0" w:type="dxa"/>
            <w:left w:w="108" w:type="dxa"/>
            <w:bottom w:w="0" w:type="dxa"/>
            <w:right w:w="108" w:type="dxa"/>
          </w:tblCellMar>
        </w:tblPrEx>
        <w:trPr>
          <w:trHeight w:val="328" w:hRule="atLeast"/>
          <w:jc w:val="center"/>
        </w:trPr>
        <w:tc>
          <w:tcPr>
            <w:tcW w:w="1103" w:type="dxa"/>
            <w:vMerge w:val="continue"/>
            <w:tcBorders>
              <w:left w:val="single" w:color="auto" w:sz="4" w:space="0"/>
              <w:bottom w:val="single" w:color="000000" w:sz="4" w:space="0"/>
              <w:right w:val="single" w:color="auto" w:sz="4" w:space="0"/>
            </w:tcBorders>
            <w:vAlign w:val="center"/>
          </w:tcPr>
          <w:p w14:paraId="1AE13308">
            <w:pPr>
              <w:widowControl/>
              <w:jc w:val="center"/>
              <w:rPr>
                <w:rFonts w:eastAsia="宋体"/>
                <w:color w:val="auto"/>
                <w:highlight w:val="none"/>
              </w:rPr>
            </w:pPr>
          </w:p>
        </w:tc>
        <w:tc>
          <w:tcPr>
            <w:tcW w:w="1147" w:type="dxa"/>
            <w:vMerge w:val="continue"/>
            <w:tcBorders>
              <w:left w:val="single" w:color="auto" w:sz="4" w:space="0"/>
              <w:bottom w:val="single" w:color="000000" w:sz="4" w:space="0"/>
              <w:right w:val="single" w:color="auto" w:sz="4" w:space="0"/>
            </w:tcBorders>
            <w:noWrap/>
            <w:vAlign w:val="center"/>
          </w:tcPr>
          <w:p w14:paraId="5D5D0432">
            <w:pPr>
              <w:widowControl/>
              <w:jc w:val="center"/>
              <w:rPr>
                <w:rFonts w:eastAsia="宋体"/>
                <w:color w:val="auto"/>
                <w:highlight w:val="none"/>
              </w:rPr>
            </w:pPr>
          </w:p>
        </w:tc>
        <w:tc>
          <w:tcPr>
            <w:tcW w:w="676" w:type="dxa"/>
            <w:tcBorders>
              <w:top w:val="nil"/>
              <w:left w:val="single" w:color="auto" w:sz="4" w:space="0"/>
              <w:bottom w:val="single" w:color="auto" w:sz="4" w:space="0"/>
              <w:right w:val="single" w:color="auto" w:sz="4" w:space="0"/>
            </w:tcBorders>
            <w:noWrap/>
            <w:vAlign w:val="center"/>
          </w:tcPr>
          <w:p w14:paraId="23C7869F">
            <w:pPr>
              <w:widowControl/>
              <w:spacing w:line="240" w:lineRule="auto"/>
              <w:ind w:firstLine="0" w:firstLineChars="0"/>
              <w:jc w:val="center"/>
              <w:rPr>
                <w:rFonts w:hint="eastAsia" w:ascii="Times New Roman" w:hAnsi="Times New Roman" w:eastAsia="宋体" w:cs="Times New Roman"/>
                <w:color w:val="auto"/>
                <w:highlight w:val="none"/>
                <w:lang w:eastAsia="zh-CN"/>
              </w:rPr>
            </w:pPr>
            <w:r>
              <w:rPr>
                <w:rFonts w:hint="eastAsia" w:cs="宋体" w:asciiTheme="minorEastAsia" w:hAnsiTheme="minorEastAsia"/>
                <w:color w:val="auto"/>
                <w:kern w:val="0"/>
                <w:sz w:val="21"/>
                <w:lang w:val="en-US" w:eastAsia="zh-CN"/>
              </w:rPr>
              <w:t>01</w:t>
            </w:r>
          </w:p>
        </w:tc>
        <w:tc>
          <w:tcPr>
            <w:tcW w:w="1157" w:type="dxa"/>
            <w:tcBorders>
              <w:top w:val="nil"/>
              <w:left w:val="single" w:color="auto" w:sz="4" w:space="0"/>
              <w:bottom w:val="single" w:color="auto" w:sz="4" w:space="0"/>
              <w:right w:val="single" w:color="auto" w:sz="4" w:space="0"/>
            </w:tcBorders>
            <w:noWrap/>
            <w:vAlign w:val="center"/>
          </w:tcPr>
          <w:p w14:paraId="5608D798">
            <w:pPr>
              <w:widowControl/>
              <w:spacing w:line="240" w:lineRule="auto"/>
              <w:ind w:firstLine="0" w:firstLineChars="0"/>
              <w:jc w:val="center"/>
              <w:rPr>
                <w:rFonts w:hint="eastAsia" w:ascii="Times New Roman" w:hAnsi="Times New Roman" w:cs="Times New Roman" w:eastAsiaTheme="minorEastAsia"/>
                <w:color w:val="auto"/>
                <w:highlight w:val="none"/>
                <w:lang w:eastAsia="zh-CN"/>
              </w:rPr>
            </w:pPr>
            <w:r>
              <w:rPr>
                <w:rFonts w:hint="eastAsia" w:cs="宋体" w:asciiTheme="minorEastAsia" w:hAnsiTheme="minorEastAsia"/>
                <w:color w:val="auto"/>
                <w:kern w:val="0"/>
                <w:sz w:val="21"/>
                <w:lang w:val="en-US" w:eastAsia="zh-CN"/>
              </w:rPr>
              <w:t>耕地</w:t>
            </w:r>
          </w:p>
        </w:tc>
        <w:tc>
          <w:tcPr>
            <w:tcW w:w="695" w:type="dxa"/>
            <w:tcBorders>
              <w:top w:val="nil"/>
              <w:left w:val="nil"/>
              <w:bottom w:val="single" w:color="auto" w:sz="4" w:space="0"/>
              <w:right w:val="single" w:color="auto" w:sz="4" w:space="0"/>
            </w:tcBorders>
            <w:noWrap/>
            <w:vAlign w:val="center"/>
          </w:tcPr>
          <w:p w14:paraId="54D21324">
            <w:pPr>
              <w:widowControl/>
              <w:spacing w:line="240" w:lineRule="auto"/>
              <w:ind w:firstLine="0" w:firstLineChars="0"/>
              <w:jc w:val="center"/>
              <w:rPr>
                <w:rFonts w:hint="eastAsia" w:ascii="Times New Roman" w:hAnsi="Times New Roman" w:eastAsia="仿宋" w:cs="Times New Roman"/>
                <w:color w:val="auto"/>
                <w:highlight w:val="none"/>
                <w:lang w:eastAsia="zh-CN"/>
              </w:rPr>
            </w:pPr>
            <w:r>
              <w:rPr>
                <w:rFonts w:hint="eastAsia" w:cs="宋体" w:asciiTheme="minorEastAsia" w:hAnsiTheme="minorEastAsia"/>
                <w:color w:val="auto"/>
                <w:kern w:val="0"/>
                <w:sz w:val="21"/>
                <w:lang w:val="en-US" w:eastAsia="zh-CN"/>
              </w:rPr>
              <w:t>0103</w:t>
            </w:r>
          </w:p>
        </w:tc>
        <w:tc>
          <w:tcPr>
            <w:tcW w:w="1337" w:type="dxa"/>
            <w:tcBorders>
              <w:top w:val="nil"/>
              <w:left w:val="nil"/>
              <w:bottom w:val="single" w:color="auto" w:sz="4" w:space="0"/>
              <w:right w:val="single" w:color="auto" w:sz="4" w:space="0"/>
            </w:tcBorders>
            <w:noWrap/>
            <w:vAlign w:val="center"/>
          </w:tcPr>
          <w:p w14:paraId="5FC432AC">
            <w:pPr>
              <w:widowControl/>
              <w:spacing w:line="240" w:lineRule="auto"/>
              <w:ind w:firstLine="0" w:firstLineChars="0"/>
              <w:jc w:val="center"/>
              <w:rPr>
                <w:rFonts w:ascii="Times New Roman" w:hAnsi="Times New Roman" w:cs="Times New Roman"/>
                <w:color w:val="auto"/>
                <w:highlight w:val="none"/>
              </w:rPr>
            </w:pPr>
            <w:r>
              <w:rPr>
                <w:rFonts w:hint="eastAsia" w:ascii="仿宋" w:hAnsi="仿宋" w:eastAsia="仿宋" w:cs="仿宋"/>
                <w:color w:val="auto"/>
                <w:kern w:val="0"/>
                <w:sz w:val="21"/>
                <w:szCs w:val="21"/>
                <w:lang w:val="en-US" w:eastAsia="zh-CN"/>
              </w:rPr>
              <w:t>旱地</w:t>
            </w:r>
          </w:p>
        </w:tc>
        <w:tc>
          <w:tcPr>
            <w:tcW w:w="1147" w:type="dxa"/>
            <w:tcBorders>
              <w:top w:val="nil"/>
              <w:left w:val="nil"/>
              <w:bottom w:val="single" w:color="auto" w:sz="4" w:space="0"/>
              <w:right w:val="single" w:color="auto" w:sz="4" w:space="0"/>
            </w:tcBorders>
            <w:noWrap/>
            <w:vAlign w:val="center"/>
          </w:tcPr>
          <w:p w14:paraId="137FF676">
            <w:pPr>
              <w:widowControl/>
              <w:spacing w:line="240" w:lineRule="auto"/>
              <w:ind w:firstLine="0" w:firstLineChars="0"/>
              <w:jc w:val="center"/>
              <w:rPr>
                <w:rFonts w:hint="eastAsia" w:eastAsiaTheme="minorEastAsia"/>
                <w:color w:val="auto"/>
                <w:highlight w:val="none"/>
                <w:lang w:eastAsia="zh-CN"/>
              </w:rPr>
            </w:pPr>
            <w:r>
              <w:rPr>
                <w:rFonts w:hint="eastAsia" w:ascii="仿宋" w:hAnsi="仿宋" w:eastAsia="仿宋" w:cs="仿宋"/>
                <w:color w:val="auto"/>
                <w:kern w:val="0"/>
                <w:sz w:val="21"/>
                <w:szCs w:val="21"/>
                <w:lang w:val="en-US" w:eastAsia="zh-CN"/>
              </w:rPr>
              <w:t>0.1</w:t>
            </w:r>
          </w:p>
        </w:tc>
        <w:tc>
          <w:tcPr>
            <w:tcW w:w="1390" w:type="dxa"/>
            <w:tcBorders>
              <w:top w:val="nil"/>
              <w:left w:val="nil"/>
              <w:bottom w:val="single" w:color="auto" w:sz="4" w:space="0"/>
              <w:right w:val="single" w:color="auto" w:sz="4" w:space="0"/>
            </w:tcBorders>
            <w:vAlign w:val="center"/>
          </w:tcPr>
          <w:p w14:paraId="2AD318DF">
            <w:pPr>
              <w:widowControl/>
              <w:spacing w:line="240" w:lineRule="auto"/>
              <w:ind w:firstLine="0" w:firstLineChars="0"/>
              <w:jc w:val="center"/>
              <w:rPr>
                <w:rFonts w:eastAsia="宋体"/>
                <w:color w:val="auto"/>
                <w:highlight w:val="none"/>
              </w:rPr>
            </w:pPr>
            <w:r>
              <w:rPr>
                <w:rFonts w:hint="eastAsia" w:ascii="仿宋" w:hAnsi="仿宋" w:eastAsia="仿宋" w:cs="仿宋"/>
                <w:color w:val="auto"/>
                <w:kern w:val="0"/>
                <w:sz w:val="21"/>
                <w:szCs w:val="21"/>
                <w:lang w:val="en-US" w:eastAsia="zh-CN"/>
              </w:rPr>
              <w:t>12.5</w:t>
            </w:r>
          </w:p>
        </w:tc>
      </w:tr>
      <w:tr w14:paraId="6CEA4E8F">
        <w:tblPrEx>
          <w:tblCellMar>
            <w:top w:w="0" w:type="dxa"/>
            <w:left w:w="108" w:type="dxa"/>
            <w:bottom w:w="0" w:type="dxa"/>
            <w:right w:w="108" w:type="dxa"/>
          </w:tblCellMar>
        </w:tblPrEx>
        <w:trPr>
          <w:trHeight w:val="328" w:hRule="atLeast"/>
          <w:jc w:val="center"/>
        </w:trPr>
        <w:tc>
          <w:tcPr>
            <w:tcW w:w="4083" w:type="dxa"/>
            <w:gridSpan w:val="4"/>
            <w:tcBorders>
              <w:top w:val="single" w:color="auto" w:sz="4" w:space="0"/>
              <w:left w:val="single" w:color="auto" w:sz="4" w:space="0"/>
              <w:bottom w:val="single" w:color="auto" w:sz="4" w:space="0"/>
              <w:right w:val="single" w:color="auto" w:sz="4" w:space="0"/>
            </w:tcBorders>
            <w:noWrap/>
            <w:vAlign w:val="center"/>
          </w:tcPr>
          <w:p w14:paraId="4C7A74C0">
            <w:pPr>
              <w:widowControl/>
              <w:jc w:val="center"/>
              <w:rPr>
                <w:rFonts w:eastAsia="宋体"/>
                <w:color w:val="auto"/>
                <w:highlight w:val="none"/>
              </w:rPr>
            </w:pPr>
            <w:r>
              <w:rPr>
                <w:rFonts w:hint="eastAsia" w:eastAsia="宋体"/>
                <w:color w:val="auto"/>
                <w:highlight w:val="none"/>
              </w:rPr>
              <w:t>合计</w:t>
            </w:r>
          </w:p>
        </w:tc>
        <w:tc>
          <w:tcPr>
            <w:tcW w:w="695" w:type="dxa"/>
            <w:tcBorders>
              <w:top w:val="nil"/>
              <w:left w:val="nil"/>
              <w:bottom w:val="single" w:color="auto" w:sz="4" w:space="0"/>
              <w:right w:val="single" w:color="auto" w:sz="4" w:space="0"/>
            </w:tcBorders>
            <w:noWrap/>
            <w:vAlign w:val="center"/>
          </w:tcPr>
          <w:p w14:paraId="1B79C4B1">
            <w:pPr>
              <w:widowControl/>
              <w:jc w:val="center"/>
              <w:rPr>
                <w:rFonts w:eastAsia="宋体"/>
                <w:color w:val="auto"/>
                <w:highlight w:val="none"/>
              </w:rPr>
            </w:pPr>
            <w:r>
              <w:rPr>
                <w:rFonts w:hint="eastAsia" w:eastAsia="宋体"/>
                <w:color w:val="auto"/>
                <w:highlight w:val="none"/>
              </w:rPr>
              <w:t>—</w:t>
            </w:r>
          </w:p>
        </w:tc>
        <w:tc>
          <w:tcPr>
            <w:tcW w:w="1337" w:type="dxa"/>
            <w:tcBorders>
              <w:top w:val="nil"/>
              <w:left w:val="nil"/>
              <w:bottom w:val="single" w:color="auto" w:sz="4" w:space="0"/>
              <w:right w:val="single" w:color="auto" w:sz="4" w:space="0"/>
            </w:tcBorders>
            <w:noWrap/>
            <w:vAlign w:val="center"/>
          </w:tcPr>
          <w:p w14:paraId="6B00736B">
            <w:pPr>
              <w:widowControl/>
              <w:jc w:val="center"/>
              <w:rPr>
                <w:rFonts w:eastAsia="宋体"/>
                <w:color w:val="auto"/>
                <w:highlight w:val="none"/>
              </w:rPr>
            </w:pPr>
            <w:r>
              <w:rPr>
                <w:rFonts w:hint="eastAsia" w:eastAsia="宋体"/>
                <w:color w:val="auto"/>
                <w:highlight w:val="none"/>
              </w:rPr>
              <w:t>—</w:t>
            </w:r>
          </w:p>
        </w:tc>
        <w:tc>
          <w:tcPr>
            <w:tcW w:w="1147" w:type="dxa"/>
            <w:tcBorders>
              <w:top w:val="nil"/>
              <w:left w:val="nil"/>
              <w:bottom w:val="single" w:color="auto" w:sz="4" w:space="0"/>
              <w:right w:val="single" w:color="auto" w:sz="4" w:space="0"/>
            </w:tcBorders>
            <w:noWrap/>
            <w:vAlign w:val="center"/>
          </w:tcPr>
          <w:p w14:paraId="75FA2A48">
            <w:pPr>
              <w:widowControl/>
              <w:jc w:val="center"/>
              <w:rPr>
                <w:rFonts w:hint="default" w:eastAsia="宋体"/>
                <w:color w:val="auto"/>
                <w:highlight w:val="none"/>
                <w:lang w:val="en-US" w:eastAsia="zh-CN"/>
              </w:rPr>
            </w:pPr>
            <w:r>
              <w:rPr>
                <w:rFonts w:hint="eastAsia" w:eastAsia="宋体"/>
                <w:color w:val="auto"/>
                <w:highlight w:val="none"/>
                <w:lang w:val="en-US" w:eastAsia="zh-CN"/>
              </w:rPr>
              <w:t>0.8</w:t>
            </w:r>
          </w:p>
        </w:tc>
        <w:tc>
          <w:tcPr>
            <w:tcW w:w="1390" w:type="dxa"/>
            <w:tcBorders>
              <w:top w:val="nil"/>
              <w:left w:val="nil"/>
              <w:bottom w:val="single" w:color="auto" w:sz="4" w:space="0"/>
              <w:right w:val="single" w:color="auto" w:sz="4" w:space="0"/>
            </w:tcBorders>
            <w:noWrap/>
            <w:vAlign w:val="center"/>
          </w:tcPr>
          <w:p w14:paraId="2E7A857D">
            <w:pPr>
              <w:widowControl/>
              <w:jc w:val="center"/>
              <w:rPr>
                <w:rFonts w:eastAsia="宋体"/>
                <w:color w:val="auto"/>
                <w:highlight w:val="none"/>
              </w:rPr>
            </w:pPr>
            <w:r>
              <w:rPr>
                <w:rFonts w:hint="eastAsia" w:eastAsia="宋体"/>
                <w:color w:val="auto"/>
                <w:highlight w:val="none"/>
              </w:rPr>
              <w:t>100</w:t>
            </w:r>
          </w:p>
        </w:tc>
      </w:tr>
    </w:tbl>
    <w:p w14:paraId="352313FD">
      <w:pPr>
        <w:rPr>
          <w:rFonts w:ascii="Times New Roman" w:hAnsi="Times New Roman" w:eastAsia="宋体" w:cs="Times New Roman"/>
          <w:b/>
          <w:color w:val="auto"/>
          <w:kern w:val="0"/>
          <w:sz w:val="21"/>
          <w:highlight w:val="none"/>
        </w:rPr>
      </w:pPr>
    </w:p>
    <w:p w14:paraId="312E5154">
      <w:pPr>
        <w:rPr>
          <w:rFonts w:ascii="Times New Roman" w:hAnsi="Times New Roman" w:cs="Times New Roman"/>
          <w:color w:val="auto"/>
          <w:highlight w:val="none"/>
        </w:rPr>
      </w:pPr>
    </w:p>
    <w:p w14:paraId="0D622575">
      <w:pPr>
        <w:pStyle w:val="4"/>
        <w:rPr>
          <w:rFonts w:ascii="Times New Roman" w:hAnsi="Times New Roman" w:eastAsia="宋体" w:cs="Times New Roman"/>
          <w:color w:val="auto"/>
          <w:sz w:val="28"/>
          <w:szCs w:val="28"/>
          <w:highlight w:val="none"/>
        </w:rPr>
      </w:pPr>
      <w:bookmarkStart w:id="113" w:name="_Toc28316"/>
      <w:r>
        <w:rPr>
          <w:rFonts w:ascii="Times New Roman" w:hAnsi="Times New Roman" w:eastAsia="宋体" w:cs="Times New Roman"/>
          <w:color w:val="auto"/>
          <w:sz w:val="28"/>
          <w:szCs w:val="28"/>
          <w:highlight w:val="none"/>
        </w:rPr>
        <w:t>（三）土地类型与权属</w:t>
      </w:r>
      <w:bookmarkEnd w:id="113"/>
    </w:p>
    <w:p w14:paraId="27A1FE73">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矿山土地属于</w:t>
      </w:r>
      <w:r>
        <w:rPr>
          <w:rFonts w:hint="eastAsia" w:ascii="仿宋" w:hAnsi="仿宋" w:eastAsia="仿宋" w:cs="仿宋"/>
          <w:color w:val="auto"/>
          <w:sz w:val="28"/>
          <w:szCs w:val="28"/>
        </w:rPr>
        <w:t>大英县</w:t>
      </w:r>
      <w:r>
        <w:rPr>
          <w:rFonts w:hint="eastAsia" w:ascii="仿宋" w:hAnsi="仿宋" w:eastAsia="仿宋" w:cs="仿宋"/>
          <w:color w:val="auto"/>
          <w:sz w:val="28"/>
          <w:szCs w:val="28"/>
          <w:lang w:val="en-US" w:eastAsia="zh-CN"/>
        </w:rPr>
        <w:t>蓬莱镇紫云村</w:t>
      </w:r>
      <w:r>
        <w:rPr>
          <w:rFonts w:hint="eastAsia" w:ascii="仿宋" w:hAnsi="仿宋" w:eastAsia="仿宋" w:cs="仿宋"/>
          <w:color w:val="auto"/>
          <w:sz w:val="28"/>
          <w:szCs w:val="28"/>
          <w:highlight w:val="none"/>
        </w:rPr>
        <w:t>，土地权属性质为集体所有（详见表3-25）。</w:t>
      </w:r>
      <w:r>
        <w:rPr>
          <w:rFonts w:hint="eastAsia" w:ascii="仿宋" w:hAnsi="仿宋" w:eastAsia="仿宋" w:cs="仿宋"/>
          <w:color w:val="auto"/>
          <w:sz w:val="28"/>
          <w:szCs w:val="28"/>
          <w:highlight w:val="none"/>
          <w:lang w:val="en-US" w:eastAsia="zh-CN"/>
        </w:rPr>
        <w:t>土地复垦责任范围</w:t>
      </w:r>
      <w:r>
        <w:rPr>
          <w:rFonts w:hint="eastAsia" w:ascii="仿宋" w:hAnsi="仿宋" w:eastAsia="仿宋" w:cs="仿宋"/>
          <w:color w:val="auto"/>
          <w:sz w:val="28"/>
          <w:szCs w:val="28"/>
          <w:highlight w:val="none"/>
        </w:rPr>
        <w:t>项目区现状地界清楚，面积准确，与周边村地界、镇界清楚，无使用权属纠纷。</w:t>
      </w:r>
    </w:p>
    <w:p w14:paraId="59A8016F">
      <w:pPr>
        <w:spacing w:line="276" w:lineRule="auto"/>
        <w:jc w:val="center"/>
        <w:rPr>
          <w:rFonts w:eastAsia="宋体"/>
          <w:b/>
          <w:color w:val="auto"/>
          <w:kern w:val="0"/>
          <w:sz w:val="24"/>
          <w:highlight w:val="none"/>
        </w:rPr>
      </w:pPr>
    </w:p>
    <w:p w14:paraId="4FFE7476">
      <w:pPr>
        <w:spacing w:line="276" w:lineRule="auto"/>
        <w:jc w:val="center"/>
        <w:rPr>
          <w:rFonts w:eastAsia="宋体"/>
          <w:b/>
          <w:color w:val="auto"/>
          <w:kern w:val="0"/>
          <w:sz w:val="24"/>
          <w:highlight w:val="none"/>
        </w:rPr>
      </w:pPr>
      <w:r>
        <w:rPr>
          <w:rFonts w:eastAsia="宋体"/>
          <w:b/>
          <w:color w:val="auto"/>
          <w:kern w:val="0"/>
          <w:sz w:val="24"/>
          <w:highlight w:val="none"/>
        </w:rPr>
        <w:t>表3-</w:t>
      </w:r>
      <w:r>
        <w:rPr>
          <w:rFonts w:hint="eastAsia" w:eastAsia="宋体"/>
          <w:b/>
          <w:color w:val="auto"/>
          <w:kern w:val="0"/>
          <w:sz w:val="24"/>
          <w:highlight w:val="none"/>
        </w:rPr>
        <w:t>18</w:t>
      </w:r>
      <w:r>
        <w:rPr>
          <w:rFonts w:eastAsia="宋体"/>
          <w:b/>
          <w:color w:val="auto"/>
          <w:kern w:val="0"/>
          <w:sz w:val="24"/>
          <w:highlight w:val="none"/>
        </w:rPr>
        <w:t xml:space="preserve">  项目区土地利用现状及权属表</w:t>
      </w:r>
    </w:p>
    <w:tbl>
      <w:tblPr>
        <w:tblStyle w:val="23"/>
        <w:tblW w:w="5051" w:type="pct"/>
        <w:jc w:val="center"/>
        <w:tblLayout w:type="fixed"/>
        <w:tblCellMar>
          <w:top w:w="0" w:type="dxa"/>
          <w:left w:w="108" w:type="dxa"/>
          <w:bottom w:w="0" w:type="dxa"/>
          <w:right w:w="108" w:type="dxa"/>
        </w:tblCellMar>
      </w:tblPr>
      <w:tblGrid>
        <w:gridCol w:w="1031"/>
        <w:gridCol w:w="944"/>
        <w:gridCol w:w="654"/>
        <w:gridCol w:w="1587"/>
        <w:gridCol w:w="653"/>
        <w:gridCol w:w="1569"/>
        <w:gridCol w:w="1090"/>
        <w:gridCol w:w="1081"/>
      </w:tblGrid>
      <w:tr w14:paraId="63A81523">
        <w:tblPrEx>
          <w:tblCellMar>
            <w:top w:w="0" w:type="dxa"/>
            <w:left w:w="108" w:type="dxa"/>
            <w:bottom w:w="0" w:type="dxa"/>
            <w:right w:w="108" w:type="dxa"/>
          </w:tblCellMar>
        </w:tblPrEx>
        <w:trPr>
          <w:trHeight w:val="424" w:hRule="atLeast"/>
          <w:tblHeader/>
          <w:jc w:val="center"/>
        </w:trPr>
        <w:tc>
          <w:tcPr>
            <w:tcW w:w="598" w:type="pct"/>
            <w:vMerge w:val="restart"/>
            <w:tcBorders>
              <w:top w:val="single" w:color="auto" w:sz="4" w:space="0"/>
              <w:left w:val="single" w:color="auto" w:sz="4" w:space="0"/>
              <w:bottom w:val="single" w:color="auto" w:sz="4" w:space="0"/>
              <w:right w:val="single" w:color="auto" w:sz="4" w:space="0"/>
            </w:tcBorders>
            <w:noWrap/>
            <w:vAlign w:val="center"/>
          </w:tcPr>
          <w:p w14:paraId="204E669D">
            <w:pPr>
              <w:widowControl/>
              <w:jc w:val="center"/>
              <w:rPr>
                <w:rFonts w:eastAsia="宋体"/>
                <w:color w:val="auto"/>
                <w:kern w:val="0"/>
                <w:highlight w:val="none"/>
              </w:rPr>
            </w:pPr>
            <w:r>
              <w:rPr>
                <w:rFonts w:hint="eastAsia" w:eastAsia="宋体"/>
                <w:color w:val="auto"/>
                <w:kern w:val="0"/>
                <w:highlight w:val="none"/>
              </w:rPr>
              <w:t>项目名称</w:t>
            </w:r>
          </w:p>
        </w:tc>
        <w:tc>
          <w:tcPr>
            <w:tcW w:w="548" w:type="pct"/>
            <w:vMerge w:val="restart"/>
            <w:tcBorders>
              <w:top w:val="single" w:color="auto" w:sz="4" w:space="0"/>
              <w:left w:val="single" w:color="auto" w:sz="4" w:space="0"/>
              <w:bottom w:val="single" w:color="auto" w:sz="4" w:space="0"/>
              <w:right w:val="single" w:color="auto" w:sz="4" w:space="0"/>
            </w:tcBorders>
            <w:vAlign w:val="center"/>
          </w:tcPr>
          <w:p w14:paraId="4C1D8CF2">
            <w:pPr>
              <w:widowControl/>
              <w:jc w:val="center"/>
              <w:rPr>
                <w:rFonts w:eastAsia="宋体"/>
                <w:color w:val="auto"/>
                <w:kern w:val="0"/>
                <w:highlight w:val="none"/>
              </w:rPr>
            </w:pPr>
            <w:r>
              <w:rPr>
                <w:rFonts w:hint="eastAsia" w:eastAsia="宋体"/>
                <w:color w:val="auto"/>
                <w:kern w:val="0"/>
                <w:highlight w:val="none"/>
              </w:rPr>
              <w:t>土地权属</w:t>
            </w:r>
          </w:p>
        </w:tc>
        <w:tc>
          <w:tcPr>
            <w:tcW w:w="1301" w:type="pct"/>
            <w:gridSpan w:val="2"/>
            <w:tcBorders>
              <w:top w:val="single" w:color="auto" w:sz="4" w:space="0"/>
              <w:left w:val="nil"/>
              <w:bottom w:val="single" w:color="auto" w:sz="4" w:space="0"/>
              <w:right w:val="single" w:color="auto" w:sz="4" w:space="0"/>
            </w:tcBorders>
            <w:vAlign w:val="center"/>
          </w:tcPr>
          <w:p w14:paraId="206F4B0C">
            <w:pPr>
              <w:widowControl/>
              <w:jc w:val="center"/>
              <w:rPr>
                <w:rFonts w:eastAsia="宋体"/>
                <w:color w:val="auto"/>
                <w:kern w:val="0"/>
                <w:highlight w:val="none"/>
              </w:rPr>
            </w:pPr>
            <w:r>
              <w:rPr>
                <w:rFonts w:eastAsia="宋体"/>
                <w:color w:val="auto"/>
                <w:kern w:val="0"/>
                <w:highlight w:val="none"/>
              </w:rPr>
              <w:t>一级地类</w:t>
            </w:r>
          </w:p>
        </w:tc>
        <w:tc>
          <w:tcPr>
            <w:tcW w:w="1290" w:type="pct"/>
            <w:gridSpan w:val="2"/>
            <w:tcBorders>
              <w:top w:val="single" w:color="auto" w:sz="4" w:space="0"/>
              <w:left w:val="nil"/>
              <w:bottom w:val="single" w:color="auto" w:sz="4" w:space="0"/>
              <w:right w:val="single" w:color="auto" w:sz="4" w:space="0"/>
            </w:tcBorders>
            <w:noWrap/>
            <w:vAlign w:val="center"/>
          </w:tcPr>
          <w:p w14:paraId="7259E329">
            <w:pPr>
              <w:widowControl/>
              <w:jc w:val="center"/>
              <w:rPr>
                <w:rFonts w:eastAsia="宋体"/>
                <w:color w:val="auto"/>
                <w:kern w:val="0"/>
                <w:highlight w:val="none"/>
              </w:rPr>
            </w:pPr>
            <w:r>
              <w:rPr>
                <w:rFonts w:eastAsia="宋体"/>
                <w:color w:val="auto"/>
                <w:kern w:val="0"/>
                <w:highlight w:val="none"/>
              </w:rPr>
              <w:t>二级地类</w:t>
            </w:r>
          </w:p>
        </w:tc>
        <w:tc>
          <w:tcPr>
            <w:tcW w:w="633" w:type="pct"/>
            <w:tcBorders>
              <w:top w:val="single" w:color="auto" w:sz="4" w:space="0"/>
              <w:left w:val="nil"/>
              <w:bottom w:val="single" w:color="auto" w:sz="4" w:space="0"/>
              <w:right w:val="single" w:color="auto" w:sz="4" w:space="0"/>
            </w:tcBorders>
            <w:noWrap/>
            <w:vAlign w:val="center"/>
          </w:tcPr>
          <w:p w14:paraId="16326FAE">
            <w:pPr>
              <w:widowControl/>
              <w:jc w:val="center"/>
              <w:rPr>
                <w:rFonts w:eastAsia="宋体"/>
                <w:color w:val="auto"/>
                <w:kern w:val="0"/>
                <w:highlight w:val="none"/>
              </w:rPr>
            </w:pPr>
            <w:r>
              <w:rPr>
                <w:rFonts w:eastAsia="宋体"/>
                <w:color w:val="auto"/>
                <w:kern w:val="0"/>
                <w:highlight w:val="none"/>
              </w:rPr>
              <w:t>面积</w:t>
            </w:r>
          </w:p>
        </w:tc>
        <w:tc>
          <w:tcPr>
            <w:tcW w:w="627" w:type="pct"/>
            <w:tcBorders>
              <w:top w:val="single" w:color="auto" w:sz="4" w:space="0"/>
              <w:left w:val="nil"/>
              <w:bottom w:val="single" w:color="auto" w:sz="4" w:space="0"/>
              <w:right w:val="single" w:color="auto" w:sz="4" w:space="0"/>
            </w:tcBorders>
            <w:vAlign w:val="center"/>
          </w:tcPr>
          <w:p w14:paraId="6AAD7442">
            <w:pPr>
              <w:widowControl/>
              <w:jc w:val="center"/>
              <w:rPr>
                <w:rFonts w:eastAsia="宋体"/>
                <w:color w:val="auto"/>
                <w:kern w:val="0"/>
                <w:highlight w:val="none"/>
              </w:rPr>
            </w:pPr>
            <w:r>
              <w:rPr>
                <w:rFonts w:eastAsia="宋体"/>
                <w:color w:val="auto"/>
                <w:kern w:val="0"/>
                <w:highlight w:val="none"/>
              </w:rPr>
              <w:t>占总面积比例</w:t>
            </w:r>
          </w:p>
        </w:tc>
      </w:tr>
      <w:tr w14:paraId="4796BC75">
        <w:tblPrEx>
          <w:tblCellMar>
            <w:top w:w="0" w:type="dxa"/>
            <w:left w:w="108" w:type="dxa"/>
            <w:bottom w:w="0" w:type="dxa"/>
            <w:right w:w="108" w:type="dxa"/>
          </w:tblCellMar>
        </w:tblPrEx>
        <w:trPr>
          <w:trHeight w:val="247" w:hRule="atLeast"/>
          <w:tblHeader/>
          <w:jc w:val="center"/>
        </w:trPr>
        <w:tc>
          <w:tcPr>
            <w:tcW w:w="598" w:type="pct"/>
            <w:vMerge w:val="continue"/>
            <w:tcBorders>
              <w:top w:val="single" w:color="auto" w:sz="4" w:space="0"/>
              <w:left w:val="single" w:color="auto" w:sz="4" w:space="0"/>
              <w:bottom w:val="single" w:color="auto" w:sz="4" w:space="0"/>
              <w:right w:val="single" w:color="auto" w:sz="4" w:space="0"/>
            </w:tcBorders>
            <w:vAlign w:val="center"/>
          </w:tcPr>
          <w:p w14:paraId="7D41A5EF">
            <w:pPr>
              <w:widowControl/>
              <w:jc w:val="center"/>
              <w:rPr>
                <w:rFonts w:eastAsia="宋体"/>
                <w:color w:val="auto"/>
                <w:kern w:val="0"/>
                <w:highlight w:val="none"/>
              </w:rPr>
            </w:pPr>
          </w:p>
        </w:tc>
        <w:tc>
          <w:tcPr>
            <w:tcW w:w="548" w:type="pct"/>
            <w:vMerge w:val="continue"/>
            <w:tcBorders>
              <w:top w:val="single" w:color="auto" w:sz="4" w:space="0"/>
              <w:left w:val="single" w:color="auto" w:sz="4" w:space="0"/>
              <w:bottom w:val="single" w:color="auto" w:sz="4" w:space="0"/>
              <w:right w:val="single" w:color="auto" w:sz="4" w:space="0"/>
            </w:tcBorders>
            <w:vAlign w:val="center"/>
          </w:tcPr>
          <w:p w14:paraId="60D13D2F">
            <w:pPr>
              <w:widowControl/>
              <w:jc w:val="center"/>
              <w:rPr>
                <w:rFonts w:eastAsia="宋体"/>
                <w:color w:val="auto"/>
                <w:kern w:val="0"/>
                <w:highlight w:val="none"/>
              </w:rPr>
            </w:pPr>
          </w:p>
        </w:tc>
        <w:tc>
          <w:tcPr>
            <w:tcW w:w="379" w:type="pct"/>
            <w:tcBorders>
              <w:top w:val="single" w:color="auto" w:sz="4" w:space="0"/>
              <w:left w:val="nil"/>
              <w:bottom w:val="single" w:color="auto" w:sz="4" w:space="0"/>
              <w:right w:val="single" w:color="auto" w:sz="4" w:space="0"/>
            </w:tcBorders>
            <w:noWrap/>
            <w:vAlign w:val="center"/>
          </w:tcPr>
          <w:p w14:paraId="679CD05A">
            <w:pPr>
              <w:widowControl/>
              <w:jc w:val="center"/>
              <w:rPr>
                <w:rFonts w:eastAsia="宋体"/>
                <w:color w:val="auto"/>
                <w:kern w:val="0"/>
                <w:highlight w:val="none"/>
              </w:rPr>
            </w:pPr>
            <w:r>
              <w:rPr>
                <w:rFonts w:eastAsia="宋体"/>
                <w:color w:val="auto"/>
                <w:kern w:val="0"/>
                <w:highlight w:val="none"/>
              </w:rPr>
              <w:t>编码</w:t>
            </w:r>
          </w:p>
        </w:tc>
        <w:tc>
          <w:tcPr>
            <w:tcW w:w="921" w:type="pct"/>
            <w:tcBorders>
              <w:top w:val="single" w:color="auto" w:sz="4" w:space="0"/>
              <w:left w:val="nil"/>
              <w:bottom w:val="single" w:color="auto" w:sz="4" w:space="0"/>
              <w:right w:val="single" w:color="auto" w:sz="4" w:space="0"/>
            </w:tcBorders>
            <w:noWrap/>
            <w:vAlign w:val="center"/>
          </w:tcPr>
          <w:p w14:paraId="080A59AD">
            <w:pPr>
              <w:widowControl/>
              <w:jc w:val="center"/>
              <w:rPr>
                <w:rFonts w:eastAsia="宋体"/>
                <w:color w:val="auto"/>
                <w:kern w:val="0"/>
                <w:highlight w:val="none"/>
              </w:rPr>
            </w:pPr>
            <w:r>
              <w:rPr>
                <w:rFonts w:eastAsia="宋体"/>
                <w:color w:val="auto"/>
                <w:kern w:val="0"/>
                <w:highlight w:val="none"/>
              </w:rPr>
              <w:t>名称</w:t>
            </w:r>
          </w:p>
        </w:tc>
        <w:tc>
          <w:tcPr>
            <w:tcW w:w="379" w:type="pct"/>
            <w:tcBorders>
              <w:top w:val="single" w:color="auto" w:sz="4" w:space="0"/>
              <w:left w:val="nil"/>
              <w:bottom w:val="single" w:color="auto" w:sz="4" w:space="0"/>
              <w:right w:val="single" w:color="auto" w:sz="4" w:space="0"/>
            </w:tcBorders>
            <w:noWrap/>
            <w:vAlign w:val="center"/>
          </w:tcPr>
          <w:p w14:paraId="77C95795">
            <w:pPr>
              <w:widowControl/>
              <w:jc w:val="center"/>
              <w:rPr>
                <w:rFonts w:eastAsia="宋体"/>
                <w:color w:val="auto"/>
                <w:kern w:val="0"/>
                <w:highlight w:val="none"/>
              </w:rPr>
            </w:pPr>
            <w:r>
              <w:rPr>
                <w:rFonts w:eastAsia="宋体"/>
                <w:color w:val="auto"/>
                <w:kern w:val="0"/>
                <w:highlight w:val="none"/>
              </w:rPr>
              <w:t>编码</w:t>
            </w:r>
          </w:p>
        </w:tc>
        <w:tc>
          <w:tcPr>
            <w:tcW w:w="911" w:type="pct"/>
            <w:tcBorders>
              <w:top w:val="single" w:color="auto" w:sz="4" w:space="0"/>
              <w:left w:val="nil"/>
              <w:bottom w:val="single" w:color="auto" w:sz="4" w:space="0"/>
              <w:right w:val="single" w:color="auto" w:sz="4" w:space="0"/>
            </w:tcBorders>
            <w:noWrap/>
            <w:vAlign w:val="center"/>
          </w:tcPr>
          <w:p w14:paraId="787654A7">
            <w:pPr>
              <w:widowControl/>
              <w:jc w:val="center"/>
              <w:rPr>
                <w:rFonts w:eastAsia="宋体"/>
                <w:color w:val="auto"/>
                <w:kern w:val="0"/>
                <w:highlight w:val="none"/>
              </w:rPr>
            </w:pPr>
            <w:r>
              <w:rPr>
                <w:rFonts w:eastAsia="宋体"/>
                <w:color w:val="auto"/>
                <w:kern w:val="0"/>
                <w:highlight w:val="none"/>
              </w:rPr>
              <w:t>名称</w:t>
            </w:r>
          </w:p>
        </w:tc>
        <w:tc>
          <w:tcPr>
            <w:tcW w:w="633" w:type="pct"/>
            <w:tcBorders>
              <w:top w:val="single" w:color="auto" w:sz="4" w:space="0"/>
              <w:left w:val="nil"/>
              <w:bottom w:val="single" w:color="auto" w:sz="4" w:space="0"/>
              <w:right w:val="single" w:color="auto" w:sz="4" w:space="0"/>
            </w:tcBorders>
            <w:noWrap/>
            <w:vAlign w:val="center"/>
          </w:tcPr>
          <w:p w14:paraId="57550C67">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627" w:type="pct"/>
            <w:tcBorders>
              <w:top w:val="single" w:color="auto" w:sz="4" w:space="0"/>
              <w:left w:val="nil"/>
              <w:bottom w:val="single" w:color="auto" w:sz="4" w:space="0"/>
              <w:right w:val="single" w:color="auto" w:sz="4" w:space="0"/>
            </w:tcBorders>
            <w:noWrap/>
            <w:vAlign w:val="center"/>
          </w:tcPr>
          <w:p w14:paraId="70F22462">
            <w:pPr>
              <w:widowControl/>
              <w:jc w:val="center"/>
              <w:rPr>
                <w:rFonts w:eastAsia="宋体"/>
                <w:color w:val="auto"/>
                <w:kern w:val="0"/>
                <w:highlight w:val="none"/>
              </w:rPr>
            </w:pPr>
            <w:r>
              <w:rPr>
                <w:rFonts w:eastAsia="宋体"/>
                <w:color w:val="auto"/>
                <w:kern w:val="0"/>
                <w:highlight w:val="none"/>
              </w:rPr>
              <w:t>%</w:t>
            </w:r>
          </w:p>
        </w:tc>
      </w:tr>
      <w:tr w14:paraId="6D14522D">
        <w:tblPrEx>
          <w:tblCellMar>
            <w:top w:w="0" w:type="dxa"/>
            <w:left w:w="108" w:type="dxa"/>
            <w:bottom w:w="0" w:type="dxa"/>
            <w:right w:w="108" w:type="dxa"/>
          </w:tblCellMar>
        </w:tblPrEx>
        <w:trPr>
          <w:trHeight w:val="247" w:hRule="atLeast"/>
          <w:tblHeader/>
          <w:jc w:val="center"/>
        </w:trPr>
        <w:tc>
          <w:tcPr>
            <w:tcW w:w="598" w:type="pct"/>
            <w:vMerge w:val="restart"/>
            <w:tcBorders>
              <w:top w:val="single" w:color="auto" w:sz="4" w:space="0"/>
              <w:left w:val="single" w:color="auto" w:sz="4" w:space="0"/>
              <w:right w:val="single" w:color="auto" w:sz="4" w:space="0"/>
            </w:tcBorders>
            <w:vAlign w:val="center"/>
          </w:tcPr>
          <w:p w14:paraId="61D67E50">
            <w:pPr>
              <w:jc w:val="center"/>
              <w:rPr>
                <w:rFonts w:hint="default" w:eastAsia="宋体"/>
                <w:color w:val="auto"/>
                <w:kern w:val="0"/>
                <w:highlight w:val="none"/>
                <w:lang w:val="en-US" w:eastAsia="zh-CN"/>
              </w:rPr>
            </w:pPr>
            <w:r>
              <w:rPr>
                <w:rFonts w:hint="eastAsia" w:eastAsia="宋体"/>
                <w:color w:val="auto"/>
                <w:kern w:val="0"/>
                <w:highlight w:val="none"/>
                <w:lang w:val="en-US" w:eastAsia="zh-CN"/>
              </w:rPr>
              <w:t>大英县蓬莱镇紫云村饰面用砂岩矿</w:t>
            </w:r>
          </w:p>
        </w:tc>
        <w:tc>
          <w:tcPr>
            <w:tcW w:w="548" w:type="pct"/>
            <w:vMerge w:val="restart"/>
            <w:tcBorders>
              <w:top w:val="single" w:color="auto" w:sz="4" w:space="0"/>
              <w:left w:val="single" w:color="auto" w:sz="4" w:space="0"/>
              <w:right w:val="single" w:color="auto" w:sz="4" w:space="0"/>
            </w:tcBorders>
            <w:vAlign w:val="center"/>
          </w:tcPr>
          <w:p w14:paraId="6B01EF06">
            <w:pPr>
              <w:jc w:val="center"/>
              <w:rPr>
                <w:rFonts w:hint="eastAsia" w:eastAsia="宋体"/>
                <w:color w:val="auto"/>
                <w:kern w:val="0"/>
                <w:highlight w:val="none"/>
                <w:lang w:val="en-US" w:eastAsia="zh-CN"/>
              </w:rPr>
            </w:pPr>
            <w:r>
              <w:rPr>
                <w:rFonts w:hint="eastAsia" w:eastAsia="宋体"/>
                <w:color w:val="auto"/>
                <w:kern w:val="0"/>
                <w:highlight w:val="none"/>
                <w:lang w:val="en-US" w:eastAsia="zh-CN"/>
              </w:rPr>
              <w:t>大英县蓬莱镇紫云村</w:t>
            </w:r>
          </w:p>
        </w:tc>
        <w:tc>
          <w:tcPr>
            <w:tcW w:w="654" w:type="dxa"/>
            <w:tcBorders>
              <w:top w:val="single" w:color="auto" w:sz="4" w:space="0"/>
              <w:left w:val="nil"/>
              <w:bottom w:val="single" w:color="auto" w:sz="4" w:space="0"/>
              <w:right w:val="single" w:color="auto" w:sz="4" w:space="0"/>
            </w:tcBorders>
            <w:noWrap/>
            <w:vAlign w:val="center"/>
          </w:tcPr>
          <w:p w14:paraId="4585C4DA">
            <w:pPr>
              <w:widowControl/>
              <w:spacing w:line="240" w:lineRule="auto"/>
              <w:ind w:firstLine="0" w:firstLineChars="0"/>
              <w:jc w:val="center"/>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lang w:val="en-US" w:eastAsia="zh-CN"/>
              </w:rPr>
              <w:t>03</w:t>
            </w:r>
          </w:p>
        </w:tc>
        <w:tc>
          <w:tcPr>
            <w:tcW w:w="1587" w:type="dxa"/>
            <w:tcBorders>
              <w:top w:val="single" w:color="auto" w:sz="4" w:space="0"/>
              <w:left w:val="nil"/>
              <w:bottom w:val="single" w:color="auto" w:sz="4" w:space="0"/>
              <w:right w:val="single" w:color="auto" w:sz="4" w:space="0"/>
            </w:tcBorders>
            <w:noWrap/>
            <w:vAlign w:val="center"/>
          </w:tcPr>
          <w:p w14:paraId="24347140">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val="en-US" w:eastAsia="zh-CN"/>
              </w:rPr>
              <w:t>林地</w:t>
            </w:r>
          </w:p>
        </w:tc>
        <w:tc>
          <w:tcPr>
            <w:tcW w:w="653" w:type="dxa"/>
            <w:tcBorders>
              <w:top w:val="single" w:color="auto" w:sz="4" w:space="0"/>
              <w:left w:val="nil"/>
              <w:bottom w:val="single" w:color="auto" w:sz="4" w:space="0"/>
              <w:right w:val="single" w:color="auto" w:sz="4" w:space="0"/>
            </w:tcBorders>
            <w:noWrap/>
            <w:vAlign w:val="center"/>
          </w:tcPr>
          <w:p w14:paraId="5B9813C9">
            <w:pPr>
              <w:widowControl/>
              <w:spacing w:line="240" w:lineRule="auto"/>
              <w:ind w:firstLine="0" w:firstLineChars="0"/>
              <w:jc w:val="center"/>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lang w:val="en-US" w:eastAsia="zh-CN"/>
              </w:rPr>
              <w:t>0301</w:t>
            </w:r>
          </w:p>
        </w:tc>
        <w:tc>
          <w:tcPr>
            <w:tcW w:w="1569" w:type="dxa"/>
            <w:tcBorders>
              <w:top w:val="single" w:color="auto" w:sz="4" w:space="0"/>
              <w:left w:val="nil"/>
              <w:bottom w:val="single" w:color="auto" w:sz="4" w:space="0"/>
              <w:right w:val="single" w:color="auto" w:sz="4" w:space="0"/>
            </w:tcBorders>
            <w:noWrap/>
            <w:vAlign w:val="center"/>
          </w:tcPr>
          <w:p w14:paraId="71F21609">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乔木林地</w:t>
            </w:r>
          </w:p>
        </w:tc>
        <w:tc>
          <w:tcPr>
            <w:tcW w:w="1090" w:type="dxa"/>
            <w:tcBorders>
              <w:top w:val="single" w:color="auto" w:sz="4" w:space="0"/>
              <w:left w:val="nil"/>
              <w:bottom w:val="single" w:color="auto" w:sz="4" w:space="0"/>
              <w:right w:val="single" w:color="auto" w:sz="4" w:space="0"/>
            </w:tcBorders>
            <w:noWrap/>
            <w:vAlign w:val="center"/>
          </w:tcPr>
          <w:p w14:paraId="733A20F9">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ascii="仿宋" w:hAnsi="仿宋" w:eastAsia="仿宋" w:cs="仿宋"/>
                <w:color w:val="auto"/>
                <w:kern w:val="0"/>
                <w:sz w:val="21"/>
                <w:szCs w:val="21"/>
                <w:lang w:val="en-US" w:eastAsia="zh-CN"/>
              </w:rPr>
              <w:t>0.65</w:t>
            </w:r>
          </w:p>
        </w:tc>
        <w:tc>
          <w:tcPr>
            <w:tcW w:w="1081" w:type="dxa"/>
            <w:tcBorders>
              <w:top w:val="single" w:color="auto" w:sz="4" w:space="0"/>
              <w:left w:val="nil"/>
              <w:bottom w:val="single" w:color="auto" w:sz="4" w:space="0"/>
              <w:right w:val="single" w:color="auto" w:sz="4" w:space="0"/>
            </w:tcBorders>
            <w:noWrap/>
            <w:vAlign w:val="center"/>
          </w:tcPr>
          <w:p w14:paraId="3B168EB5">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ascii="仿宋" w:hAnsi="仿宋" w:eastAsia="仿宋" w:cs="仿宋"/>
                <w:color w:val="auto"/>
                <w:kern w:val="0"/>
                <w:sz w:val="21"/>
                <w:szCs w:val="21"/>
                <w:lang w:val="en-US" w:eastAsia="zh-CN"/>
              </w:rPr>
              <w:t>81.25</w:t>
            </w:r>
          </w:p>
        </w:tc>
      </w:tr>
      <w:tr w14:paraId="2789FF29">
        <w:tblPrEx>
          <w:tblCellMar>
            <w:top w:w="0" w:type="dxa"/>
            <w:left w:w="108" w:type="dxa"/>
            <w:bottom w:w="0" w:type="dxa"/>
            <w:right w:w="108" w:type="dxa"/>
          </w:tblCellMar>
        </w:tblPrEx>
        <w:trPr>
          <w:trHeight w:val="212" w:hRule="atLeast"/>
          <w:jc w:val="center"/>
        </w:trPr>
        <w:tc>
          <w:tcPr>
            <w:tcW w:w="598" w:type="pct"/>
            <w:vMerge w:val="continue"/>
            <w:tcBorders>
              <w:left w:val="single" w:color="auto" w:sz="4" w:space="0"/>
              <w:right w:val="single" w:color="auto" w:sz="4" w:space="0"/>
            </w:tcBorders>
            <w:vAlign w:val="center"/>
          </w:tcPr>
          <w:p w14:paraId="4ECFE0FA">
            <w:pPr>
              <w:widowControl/>
              <w:jc w:val="center"/>
              <w:rPr>
                <w:rFonts w:eastAsia="宋体"/>
                <w:color w:val="auto"/>
                <w:kern w:val="0"/>
                <w:highlight w:val="none"/>
              </w:rPr>
            </w:pPr>
          </w:p>
        </w:tc>
        <w:tc>
          <w:tcPr>
            <w:tcW w:w="548" w:type="pct"/>
            <w:vMerge w:val="continue"/>
            <w:tcBorders>
              <w:left w:val="single" w:color="auto" w:sz="4" w:space="0"/>
              <w:right w:val="single" w:color="auto" w:sz="4" w:space="0"/>
            </w:tcBorders>
            <w:vAlign w:val="center"/>
          </w:tcPr>
          <w:p w14:paraId="172D8405">
            <w:pPr>
              <w:widowControl/>
              <w:jc w:val="center"/>
              <w:rPr>
                <w:rFonts w:eastAsia="宋体"/>
                <w:color w:val="auto"/>
                <w:kern w:val="0"/>
                <w:highlight w:val="none"/>
              </w:rPr>
            </w:pPr>
          </w:p>
        </w:tc>
        <w:tc>
          <w:tcPr>
            <w:tcW w:w="654" w:type="dxa"/>
            <w:tcBorders>
              <w:top w:val="single" w:color="auto" w:sz="4" w:space="0"/>
              <w:left w:val="single" w:color="auto" w:sz="4" w:space="0"/>
              <w:bottom w:val="single" w:color="auto" w:sz="4" w:space="0"/>
              <w:right w:val="single" w:color="auto" w:sz="4" w:space="0"/>
            </w:tcBorders>
            <w:noWrap/>
            <w:vAlign w:val="center"/>
          </w:tcPr>
          <w:p w14:paraId="46862C88">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val="en-US" w:eastAsia="zh-CN"/>
              </w:rPr>
              <w:t>04</w:t>
            </w:r>
          </w:p>
        </w:tc>
        <w:tc>
          <w:tcPr>
            <w:tcW w:w="1587" w:type="dxa"/>
            <w:tcBorders>
              <w:top w:val="single" w:color="auto" w:sz="4" w:space="0"/>
              <w:left w:val="nil"/>
              <w:bottom w:val="single" w:color="auto" w:sz="4" w:space="0"/>
              <w:right w:val="single" w:color="auto" w:sz="4" w:space="0"/>
            </w:tcBorders>
            <w:vAlign w:val="center"/>
          </w:tcPr>
          <w:p w14:paraId="538C40E9">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val="en-US" w:eastAsia="zh-CN"/>
              </w:rPr>
              <w:t>草地</w:t>
            </w:r>
          </w:p>
        </w:tc>
        <w:tc>
          <w:tcPr>
            <w:tcW w:w="653" w:type="dxa"/>
            <w:tcBorders>
              <w:top w:val="single" w:color="auto" w:sz="4" w:space="0"/>
              <w:left w:val="nil"/>
              <w:bottom w:val="single" w:color="auto" w:sz="4" w:space="0"/>
              <w:right w:val="single" w:color="auto" w:sz="4" w:space="0"/>
            </w:tcBorders>
            <w:noWrap/>
            <w:vAlign w:val="center"/>
          </w:tcPr>
          <w:p w14:paraId="40DAF1EB">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val="en-US" w:eastAsia="zh-CN"/>
              </w:rPr>
              <w:t>0404</w:t>
            </w:r>
          </w:p>
        </w:tc>
        <w:tc>
          <w:tcPr>
            <w:tcW w:w="1569" w:type="dxa"/>
            <w:tcBorders>
              <w:top w:val="single" w:color="auto" w:sz="4" w:space="0"/>
              <w:left w:val="nil"/>
              <w:bottom w:val="single" w:color="auto" w:sz="4" w:space="0"/>
              <w:right w:val="single" w:color="auto" w:sz="4" w:space="0"/>
            </w:tcBorders>
            <w:noWrap/>
            <w:vAlign w:val="center"/>
          </w:tcPr>
          <w:p w14:paraId="36600517">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其他</w:t>
            </w:r>
            <w:r>
              <w:rPr>
                <w:rFonts w:hint="eastAsia" w:ascii="仿宋" w:hAnsi="仿宋" w:eastAsia="仿宋" w:cs="仿宋"/>
                <w:color w:val="auto"/>
                <w:kern w:val="0"/>
                <w:sz w:val="21"/>
                <w:szCs w:val="21"/>
                <w:lang w:val="en-US" w:eastAsia="zh-CN"/>
              </w:rPr>
              <w:t>草地</w:t>
            </w:r>
          </w:p>
        </w:tc>
        <w:tc>
          <w:tcPr>
            <w:tcW w:w="1090" w:type="dxa"/>
            <w:tcBorders>
              <w:top w:val="single" w:color="auto" w:sz="4" w:space="0"/>
              <w:left w:val="nil"/>
              <w:bottom w:val="single" w:color="auto" w:sz="4" w:space="0"/>
              <w:right w:val="single" w:color="auto" w:sz="4" w:space="0"/>
            </w:tcBorders>
            <w:noWrap/>
            <w:vAlign w:val="center"/>
          </w:tcPr>
          <w:p w14:paraId="08A21023">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ascii="仿宋" w:hAnsi="仿宋" w:eastAsia="仿宋" w:cs="仿宋"/>
                <w:color w:val="auto"/>
                <w:kern w:val="0"/>
                <w:sz w:val="21"/>
                <w:szCs w:val="21"/>
                <w:lang w:val="en-US" w:eastAsia="zh-CN"/>
              </w:rPr>
              <w:t>0.05</w:t>
            </w:r>
          </w:p>
        </w:tc>
        <w:tc>
          <w:tcPr>
            <w:tcW w:w="1081" w:type="dxa"/>
            <w:tcBorders>
              <w:top w:val="single" w:color="auto" w:sz="4" w:space="0"/>
              <w:left w:val="nil"/>
              <w:bottom w:val="single" w:color="auto" w:sz="4" w:space="0"/>
              <w:right w:val="single" w:color="auto" w:sz="4" w:space="0"/>
            </w:tcBorders>
            <w:noWrap/>
            <w:vAlign w:val="center"/>
          </w:tcPr>
          <w:p w14:paraId="2270AA1C">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ascii="仿宋" w:hAnsi="仿宋" w:eastAsia="仿宋" w:cs="仿宋"/>
                <w:color w:val="auto"/>
                <w:kern w:val="0"/>
                <w:sz w:val="21"/>
                <w:szCs w:val="21"/>
                <w:lang w:val="en-US" w:eastAsia="zh-CN"/>
              </w:rPr>
              <w:t>6.25</w:t>
            </w:r>
          </w:p>
        </w:tc>
      </w:tr>
      <w:tr w14:paraId="2283581B">
        <w:tblPrEx>
          <w:tblCellMar>
            <w:top w:w="0" w:type="dxa"/>
            <w:left w:w="108" w:type="dxa"/>
            <w:bottom w:w="0" w:type="dxa"/>
            <w:right w:w="108" w:type="dxa"/>
          </w:tblCellMar>
        </w:tblPrEx>
        <w:trPr>
          <w:trHeight w:val="212" w:hRule="atLeast"/>
          <w:jc w:val="center"/>
        </w:trPr>
        <w:tc>
          <w:tcPr>
            <w:tcW w:w="598" w:type="pct"/>
            <w:vMerge w:val="continue"/>
            <w:tcBorders>
              <w:left w:val="single" w:color="auto" w:sz="4" w:space="0"/>
              <w:right w:val="single" w:color="auto" w:sz="4" w:space="0"/>
            </w:tcBorders>
            <w:vAlign w:val="center"/>
          </w:tcPr>
          <w:p w14:paraId="0B0FF9A0">
            <w:pPr>
              <w:widowControl/>
              <w:jc w:val="center"/>
              <w:rPr>
                <w:rFonts w:eastAsia="宋体"/>
                <w:color w:val="auto"/>
                <w:kern w:val="0"/>
                <w:highlight w:val="none"/>
              </w:rPr>
            </w:pPr>
          </w:p>
        </w:tc>
        <w:tc>
          <w:tcPr>
            <w:tcW w:w="548" w:type="pct"/>
            <w:vMerge w:val="continue"/>
            <w:tcBorders>
              <w:left w:val="single" w:color="auto" w:sz="4" w:space="0"/>
              <w:right w:val="single" w:color="auto" w:sz="4" w:space="0"/>
            </w:tcBorders>
            <w:vAlign w:val="center"/>
          </w:tcPr>
          <w:p w14:paraId="6B73E761">
            <w:pPr>
              <w:widowControl/>
              <w:jc w:val="center"/>
              <w:rPr>
                <w:rFonts w:eastAsia="宋体"/>
                <w:color w:val="auto"/>
                <w:kern w:val="0"/>
                <w:highlight w:val="none"/>
              </w:rPr>
            </w:pPr>
          </w:p>
        </w:tc>
        <w:tc>
          <w:tcPr>
            <w:tcW w:w="654" w:type="dxa"/>
            <w:tcBorders>
              <w:top w:val="single" w:color="auto" w:sz="4" w:space="0"/>
              <w:left w:val="single" w:color="auto" w:sz="4" w:space="0"/>
              <w:bottom w:val="single" w:color="auto" w:sz="4" w:space="0"/>
              <w:right w:val="single" w:color="auto" w:sz="4" w:space="0"/>
            </w:tcBorders>
            <w:noWrap/>
            <w:vAlign w:val="center"/>
          </w:tcPr>
          <w:p w14:paraId="16A4C91B">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val="en-US" w:eastAsia="zh-CN"/>
              </w:rPr>
              <w:t>01</w:t>
            </w:r>
          </w:p>
        </w:tc>
        <w:tc>
          <w:tcPr>
            <w:tcW w:w="1587" w:type="dxa"/>
            <w:tcBorders>
              <w:top w:val="single" w:color="auto" w:sz="4" w:space="0"/>
              <w:left w:val="single" w:color="auto" w:sz="4" w:space="0"/>
              <w:bottom w:val="single" w:color="auto" w:sz="4" w:space="0"/>
              <w:right w:val="single" w:color="auto" w:sz="4" w:space="0"/>
            </w:tcBorders>
            <w:vAlign w:val="center"/>
          </w:tcPr>
          <w:p w14:paraId="5D9873E1">
            <w:pPr>
              <w:widowControl/>
              <w:spacing w:line="240" w:lineRule="auto"/>
              <w:ind w:firstLine="0" w:firstLineChars="0"/>
              <w:jc w:val="center"/>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lang w:val="en-US" w:eastAsia="zh-CN"/>
              </w:rPr>
              <w:t>耕地</w:t>
            </w:r>
          </w:p>
        </w:tc>
        <w:tc>
          <w:tcPr>
            <w:tcW w:w="653" w:type="dxa"/>
            <w:tcBorders>
              <w:top w:val="single" w:color="auto" w:sz="4" w:space="0"/>
              <w:left w:val="nil"/>
              <w:bottom w:val="single" w:color="auto" w:sz="4" w:space="0"/>
              <w:right w:val="single" w:color="auto" w:sz="4" w:space="0"/>
            </w:tcBorders>
            <w:noWrap/>
            <w:vAlign w:val="center"/>
          </w:tcPr>
          <w:p w14:paraId="7F2B2908">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val="en-US" w:eastAsia="zh-CN"/>
              </w:rPr>
              <w:t>0103</w:t>
            </w:r>
          </w:p>
        </w:tc>
        <w:tc>
          <w:tcPr>
            <w:tcW w:w="1569" w:type="dxa"/>
            <w:tcBorders>
              <w:top w:val="single" w:color="auto" w:sz="4" w:space="0"/>
              <w:left w:val="nil"/>
              <w:bottom w:val="single" w:color="auto" w:sz="4" w:space="0"/>
              <w:right w:val="single" w:color="auto" w:sz="4" w:space="0"/>
            </w:tcBorders>
            <w:noWrap/>
            <w:vAlign w:val="center"/>
          </w:tcPr>
          <w:p w14:paraId="734BEECD">
            <w:pPr>
              <w:widowControl/>
              <w:spacing w:line="240" w:lineRule="auto"/>
              <w:ind w:firstLine="0" w:firstLineChars="0"/>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val="en-US" w:eastAsia="zh-CN"/>
              </w:rPr>
              <w:t>旱地</w:t>
            </w:r>
          </w:p>
        </w:tc>
        <w:tc>
          <w:tcPr>
            <w:tcW w:w="1090" w:type="dxa"/>
            <w:tcBorders>
              <w:top w:val="single" w:color="auto" w:sz="4" w:space="0"/>
              <w:left w:val="nil"/>
              <w:bottom w:val="single" w:color="auto" w:sz="4" w:space="0"/>
              <w:right w:val="single" w:color="auto" w:sz="4" w:space="0"/>
            </w:tcBorders>
            <w:noWrap/>
            <w:vAlign w:val="center"/>
          </w:tcPr>
          <w:p w14:paraId="391F1B1F">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ascii="仿宋" w:hAnsi="仿宋" w:eastAsia="仿宋" w:cs="仿宋"/>
                <w:color w:val="auto"/>
                <w:kern w:val="0"/>
                <w:sz w:val="21"/>
                <w:szCs w:val="21"/>
                <w:lang w:val="en-US" w:eastAsia="zh-CN"/>
              </w:rPr>
              <w:t>0.1</w:t>
            </w:r>
          </w:p>
        </w:tc>
        <w:tc>
          <w:tcPr>
            <w:tcW w:w="1081" w:type="dxa"/>
            <w:tcBorders>
              <w:top w:val="single" w:color="auto" w:sz="4" w:space="0"/>
              <w:left w:val="nil"/>
              <w:bottom w:val="single" w:color="auto" w:sz="4" w:space="0"/>
              <w:right w:val="single" w:color="auto" w:sz="4" w:space="0"/>
            </w:tcBorders>
            <w:noWrap/>
            <w:vAlign w:val="center"/>
          </w:tcPr>
          <w:p w14:paraId="3B21EEC5">
            <w:pPr>
              <w:widowControl/>
              <w:spacing w:line="240" w:lineRule="auto"/>
              <w:ind w:firstLine="0" w:firstLineChars="0"/>
              <w:jc w:val="center"/>
              <w:rPr>
                <w:rFonts w:ascii="Times New Roman" w:hAnsi="Times New Roman" w:eastAsia="宋体" w:cs="Times New Roman"/>
                <w:color w:val="auto"/>
                <w:kern w:val="0"/>
                <w:highlight w:val="none"/>
              </w:rPr>
            </w:pPr>
            <w:r>
              <w:rPr>
                <w:rFonts w:hint="eastAsia" w:ascii="仿宋" w:hAnsi="仿宋" w:eastAsia="仿宋" w:cs="仿宋"/>
                <w:color w:val="auto"/>
                <w:kern w:val="0"/>
                <w:sz w:val="21"/>
                <w:szCs w:val="21"/>
                <w:lang w:val="en-US" w:eastAsia="zh-CN"/>
              </w:rPr>
              <w:t>12.5</w:t>
            </w:r>
          </w:p>
        </w:tc>
      </w:tr>
      <w:tr w14:paraId="3766BC11">
        <w:tblPrEx>
          <w:tblCellMar>
            <w:top w:w="0" w:type="dxa"/>
            <w:left w:w="108" w:type="dxa"/>
            <w:bottom w:w="0" w:type="dxa"/>
            <w:right w:w="108" w:type="dxa"/>
          </w:tblCellMar>
        </w:tblPrEx>
        <w:trPr>
          <w:trHeight w:val="212" w:hRule="atLeast"/>
          <w:jc w:val="center"/>
        </w:trPr>
        <w:tc>
          <w:tcPr>
            <w:tcW w:w="3739" w:type="pct"/>
            <w:gridSpan w:val="6"/>
            <w:tcBorders>
              <w:top w:val="single" w:color="auto" w:sz="4" w:space="0"/>
              <w:left w:val="single" w:color="auto" w:sz="4" w:space="0"/>
              <w:bottom w:val="single" w:color="auto" w:sz="4" w:space="0"/>
              <w:right w:val="single" w:color="000000" w:sz="4" w:space="0"/>
            </w:tcBorders>
            <w:noWrap/>
            <w:vAlign w:val="center"/>
          </w:tcPr>
          <w:p w14:paraId="658F5230">
            <w:pPr>
              <w:widowControl/>
              <w:jc w:val="center"/>
              <w:rPr>
                <w:rFonts w:eastAsia="宋体"/>
                <w:color w:val="auto"/>
                <w:kern w:val="0"/>
                <w:highlight w:val="none"/>
              </w:rPr>
            </w:pPr>
            <w:r>
              <w:rPr>
                <w:rFonts w:eastAsia="宋体"/>
                <w:color w:val="auto"/>
                <w:kern w:val="0"/>
                <w:highlight w:val="none"/>
              </w:rPr>
              <w:t>合计</w:t>
            </w:r>
          </w:p>
        </w:tc>
        <w:tc>
          <w:tcPr>
            <w:tcW w:w="1090" w:type="dxa"/>
            <w:tcBorders>
              <w:top w:val="single" w:color="auto" w:sz="4" w:space="0"/>
              <w:left w:val="nil"/>
              <w:bottom w:val="single" w:color="auto" w:sz="4" w:space="0"/>
              <w:right w:val="single" w:color="auto" w:sz="4" w:space="0"/>
            </w:tcBorders>
            <w:noWrap/>
            <w:vAlign w:val="center"/>
          </w:tcPr>
          <w:p w14:paraId="43A707EC">
            <w:pPr>
              <w:widowControl/>
              <w:jc w:val="center"/>
              <w:rPr>
                <w:rFonts w:ascii="Times New Roman" w:hAnsi="Times New Roman" w:eastAsia="宋体" w:cs="Times New Roman"/>
                <w:color w:val="auto"/>
                <w:kern w:val="0"/>
                <w:highlight w:val="none"/>
              </w:rPr>
            </w:pPr>
            <w:r>
              <w:rPr>
                <w:rFonts w:hint="eastAsia" w:eastAsia="宋体"/>
                <w:color w:val="auto"/>
                <w:highlight w:val="none"/>
                <w:lang w:val="en-US" w:eastAsia="zh-CN"/>
              </w:rPr>
              <w:t>0.8</w:t>
            </w:r>
          </w:p>
        </w:tc>
        <w:tc>
          <w:tcPr>
            <w:tcW w:w="1081" w:type="dxa"/>
            <w:tcBorders>
              <w:top w:val="single" w:color="auto" w:sz="4" w:space="0"/>
              <w:left w:val="nil"/>
              <w:bottom w:val="single" w:color="auto" w:sz="4" w:space="0"/>
              <w:right w:val="single" w:color="auto" w:sz="4" w:space="0"/>
            </w:tcBorders>
            <w:noWrap/>
            <w:vAlign w:val="center"/>
          </w:tcPr>
          <w:p w14:paraId="7AD2395F">
            <w:pPr>
              <w:widowControl/>
              <w:jc w:val="center"/>
              <w:rPr>
                <w:rFonts w:ascii="Times New Roman" w:hAnsi="Times New Roman" w:eastAsia="宋体" w:cs="Times New Roman"/>
                <w:color w:val="auto"/>
                <w:kern w:val="0"/>
                <w:highlight w:val="none"/>
              </w:rPr>
            </w:pPr>
            <w:r>
              <w:rPr>
                <w:rFonts w:hint="eastAsia" w:eastAsia="宋体"/>
                <w:color w:val="auto"/>
                <w:highlight w:val="none"/>
              </w:rPr>
              <w:t>100</w:t>
            </w:r>
          </w:p>
        </w:tc>
      </w:tr>
    </w:tbl>
    <w:p w14:paraId="4E9A60ED">
      <w:pPr>
        <w:pStyle w:val="15"/>
        <w:rPr>
          <w:color w:val="auto"/>
          <w:highlight w:val="none"/>
        </w:rPr>
        <w:sectPr>
          <w:pgSz w:w="11906" w:h="16838"/>
          <w:pgMar w:top="1440" w:right="1800" w:bottom="1440" w:left="1800" w:header="851" w:footer="992" w:gutter="0"/>
          <w:cols w:space="425" w:num="1"/>
          <w:docGrid w:type="lines" w:linePitch="312" w:charSpace="0"/>
        </w:sectPr>
      </w:pPr>
    </w:p>
    <w:p w14:paraId="09478E77">
      <w:pPr>
        <w:pStyle w:val="2"/>
        <w:spacing w:before="200" w:after="200" w:line="360" w:lineRule="auto"/>
        <w:jc w:val="center"/>
        <w:rPr>
          <w:rFonts w:ascii="Times New Roman" w:hAnsi="Times New Roman" w:eastAsia="宋体" w:cs="Times New Roman"/>
          <w:bCs/>
          <w:color w:val="auto"/>
          <w:sz w:val="32"/>
          <w:szCs w:val="44"/>
          <w:highlight w:val="none"/>
        </w:rPr>
      </w:pPr>
      <w:bookmarkStart w:id="114" w:name="_Toc24122"/>
      <w:r>
        <w:rPr>
          <w:rFonts w:ascii="Times New Roman" w:hAnsi="Times New Roman" w:eastAsia="宋体" w:cs="Times New Roman"/>
          <w:bCs/>
          <w:color w:val="auto"/>
          <w:sz w:val="32"/>
          <w:szCs w:val="44"/>
          <w:highlight w:val="none"/>
        </w:rPr>
        <w:t>第4章 矿山地质环境治理与土地复垦可行性分析</w:t>
      </w:r>
      <w:bookmarkEnd w:id="114"/>
    </w:p>
    <w:p w14:paraId="5FC92A01">
      <w:pPr>
        <w:pStyle w:val="3"/>
        <w:rPr>
          <w:rFonts w:ascii="Times New Roman" w:hAnsi="Times New Roman" w:eastAsia="宋体" w:cs="Times New Roman"/>
          <w:color w:val="auto"/>
          <w:sz w:val="30"/>
          <w:szCs w:val="30"/>
          <w:highlight w:val="none"/>
        </w:rPr>
      </w:pPr>
      <w:bookmarkStart w:id="115" w:name="_Toc16507"/>
      <w:r>
        <w:rPr>
          <w:rFonts w:ascii="Times New Roman" w:hAnsi="Times New Roman" w:eastAsia="宋体" w:cs="Times New Roman"/>
          <w:color w:val="auto"/>
          <w:sz w:val="30"/>
          <w:szCs w:val="30"/>
          <w:highlight w:val="none"/>
        </w:rPr>
        <w:t>一、矿山地质环境治理可行性分析</w:t>
      </w:r>
      <w:bookmarkEnd w:id="115"/>
    </w:p>
    <w:p w14:paraId="2B88BB5A">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根据采矿活动产生的和预测将来可能产生的矿山地质灾害、含水层破坏、地形地貌景观（地质遗迹、人文景观）破坏和水土环境污染等问题的规模、特征、分布、危害等，按照问题类型分别阐述实施预防和治理的可行性和难易程度。</w:t>
      </w:r>
    </w:p>
    <w:p w14:paraId="4D2735A1">
      <w:pPr>
        <w:pStyle w:val="4"/>
        <w:rPr>
          <w:rFonts w:ascii="Times New Roman" w:hAnsi="Times New Roman" w:eastAsia="宋体" w:cs="Times New Roman"/>
          <w:color w:val="auto"/>
          <w:sz w:val="28"/>
          <w:szCs w:val="28"/>
          <w:highlight w:val="none"/>
        </w:rPr>
      </w:pPr>
      <w:bookmarkStart w:id="116" w:name="_Toc18262"/>
      <w:r>
        <w:rPr>
          <w:rFonts w:ascii="Times New Roman" w:hAnsi="Times New Roman" w:eastAsia="宋体" w:cs="Times New Roman"/>
          <w:color w:val="auto"/>
          <w:sz w:val="28"/>
          <w:szCs w:val="28"/>
          <w:highlight w:val="none"/>
        </w:rPr>
        <w:t>（一）技术可行性分析</w:t>
      </w:r>
      <w:bookmarkEnd w:id="116"/>
    </w:p>
    <w:p w14:paraId="534EFA01">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调查结果显示矿山目前未发现地质灾害，预测分析由于矿山开采形成的高陡边坡和采矿作业对岩石完整性形成的破坏，预测矿山今后发生崩塌、垮塌的可能性较</w:t>
      </w:r>
      <w:r>
        <w:rPr>
          <w:rFonts w:hint="eastAsia" w:ascii="仿宋" w:hAnsi="仿宋" w:eastAsia="仿宋" w:cs="仿宋"/>
          <w:color w:val="auto"/>
          <w:sz w:val="28"/>
          <w:szCs w:val="28"/>
          <w:highlight w:val="none"/>
          <w:lang w:val="en-US" w:eastAsia="zh-CN"/>
        </w:rPr>
        <w:t>小</w:t>
      </w:r>
      <w:r>
        <w:rPr>
          <w:rFonts w:hint="eastAsia" w:ascii="仿宋" w:hAnsi="仿宋" w:eastAsia="仿宋" w:cs="仿宋"/>
          <w:color w:val="auto"/>
          <w:sz w:val="28"/>
          <w:szCs w:val="28"/>
          <w:highlight w:val="none"/>
        </w:rPr>
        <w:t>。预防措施主要为矿山今后开采需按照开发利用方案自上而下台阶式开采，预留充足安全平台宽度和按照设计预留边坡角，防止崩塌、垮塌的形成，同时在未达到设计要求前必须加强边坡监测工作。治理主要采取及时清理废土石危岩恢复场地。</w:t>
      </w:r>
    </w:p>
    <w:p w14:paraId="07EFCFD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清理废土石及边坡监测等工作均属于常规措施，施工简单，可操作性强，不会对矿山开采产生影响，在技术施工上具有可行性，易于治理。</w:t>
      </w:r>
    </w:p>
    <w:p w14:paraId="1DEE6489">
      <w:pPr>
        <w:pStyle w:val="4"/>
        <w:rPr>
          <w:rFonts w:ascii="Times New Roman" w:hAnsi="Times New Roman" w:eastAsia="宋体" w:cs="Times New Roman"/>
          <w:color w:val="auto"/>
          <w:sz w:val="28"/>
          <w:szCs w:val="28"/>
          <w:highlight w:val="none"/>
        </w:rPr>
      </w:pPr>
      <w:bookmarkStart w:id="117" w:name="_Toc10012"/>
      <w:r>
        <w:rPr>
          <w:rFonts w:ascii="Times New Roman" w:hAnsi="Times New Roman" w:eastAsia="宋体" w:cs="Times New Roman"/>
          <w:color w:val="auto"/>
          <w:sz w:val="28"/>
          <w:szCs w:val="28"/>
          <w:highlight w:val="none"/>
        </w:rPr>
        <w:t>（二）经济可行性分析</w:t>
      </w:r>
      <w:bookmarkEnd w:id="117"/>
    </w:p>
    <w:p w14:paraId="510F81FA">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保护与恢复治理工程投资远小于项目总收益，有能力和实力进行矿山地质环境恢复治理，严格控制矿产资源开发对矿山地质环境的扰动和破坏，最大限度地减少或避免矿产开发引发的矿山地质环境问题，建立绿色矿山开发模式。</w:t>
      </w:r>
    </w:p>
    <w:p w14:paraId="2F62DDEB">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治理的实施，将消除治理区内地质环境问题的隐患，保证矿区生产建设的正常发展，为企业经济快速发展和矿区职工生活提供一个安全、良好的生活环境。改善区内生态环境质量，减轻对地质地貌景观的破坏，并在一定程度上恢复原有地质地貌景观，使区域内部分土地使用功能得到良好利用。具有良好的、长远的环境效益，符合当前政府提倡可持续发展政策，能够促进经济和社会的可持续发展，有利于和谐矿区、和谐社会的建设，其经济效益是可观的。</w:t>
      </w:r>
    </w:p>
    <w:p w14:paraId="20FC9C14">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因此，矿山地质环境治理在经济上是可行的。</w:t>
      </w:r>
    </w:p>
    <w:p w14:paraId="640245E4">
      <w:pPr>
        <w:pStyle w:val="4"/>
        <w:rPr>
          <w:rFonts w:ascii="Times New Roman" w:hAnsi="Times New Roman" w:eastAsia="宋体" w:cs="Times New Roman"/>
          <w:color w:val="auto"/>
          <w:sz w:val="28"/>
          <w:szCs w:val="28"/>
          <w:highlight w:val="none"/>
        </w:rPr>
      </w:pPr>
      <w:bookmarkStart w:id="118" w:name="_Toc29492"/>
      <w:r>
        <w:rPr>
          <w:rFonts w:ascii="Times New Roman" w:hAnsi="Times New Roman" w:eastAsia="宋体" w:cs="Times New Roman"/>
          <w:color w:val="auto"/>
          <w:sz w:val="28"/>
          <w:szCs w:val="28"/>
          <w:highlight w:val="none"/>
        </w:rPr>
        <w:t>（三）生态环境协调性分析</w:t>
      </w:r>
      <w:bookmarkEnd w:id="118"/>
    </w:p>
    <w:p w14:paraId="7C61671E">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开发是一项遵守自身规律复杂的系统工程。矿山开发程序分为设计前期阶段、设计阶段、建设阶段、生产阶段和闭坑阶段等五个阶段。矿山建设应遵循“生态和社会效益优先”的原则。矿山开发扰动破坏了地质环境，是生态环境复杂化，决定了矿山地质环境保护和生态恢复治理的多样性。根据矿山工程所处的地质环境特征和矿山工程活动对地质环境的压力，产生的矿山环境地质问题，矿山地质环境保护与生态恢复治理应按不同类型规划分区。针对不同的工程特点和地质环境特征，从可持续发展战略和“绿色矿山”建设要求，对矿山地质环境恢复与生态恢复治理进行全面规划综合整治。把矿山开发和环境保护整治作为一个复合系统，同步进行，协调发展。</w:t>
      </w:r>
    </w:p>
    <w:p w14:paraId="64D4D392">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山区矿山采选矿工程区，地形复杂，坡度较陡，以植被重建工程为主，防止不合理人工边坡和废渣堆放引发的崩塌、滑坡等地质灾害除采取工程措施，应栽植滞尘林树，减轻矿石粉尘扬尘污染。办公区多设置在地形相对开阔，比较安全的场地，是办公和休息娱乐场所，以生态工程为主，加强绿化，增加绿地面积，改善提高生态环境质量。</w:t>
      </w:r>
    </w:p>
    <w:p w14:paraId="4BD010AB">
      <w:pPr>
        <w:adjustRightInd w:val="0"/>
        <w:spacing w:line="360" w:lineRule="auto"/>
        <w:ind w:firstLine="48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项目实施后，能增加项目区内表土植被、治理水土流失，创造一个良好的生态环境。因此，矿山地质环境治理工程防治是必要的，生态环境上是可行的。</w:t>
      </w:r>
    </w:p>
    <w:p w14:paraId="6FE0359A">
      <w:pPr>
        <w:pStyle w:val="3"/>
        <w:rPr>
          <w:rFonts w:ascii="Times New Roman" w:hAnsi="Times New Roman" w:eastAsia="宋体" w:cs="Times New Roman"/>
          <w:color w:val="auto"/>
          <w:sz w:val="30"/>
          <w:szCs w:val="30"/>
          <w:highlight w:val="none"/>
        </w:rPr>
      </w:pPr>
      <w:bookmarkStart w:id="119" w:name="_Toc13151"/>
      <w:r>
        <w:rPr>
          <w:rFonts w:ascii="Times New Roman" w:hAnsi="Times New Roman" w:eastAsia="宋体" w:cs="Times New Roman"/>
          <w:color w:val="auto"/>
          <w:sz w:val="30"/>
          <w:szCs w:val="30"/>
          <w:highlight w:val="none"/>
        </w:rPr>
        <w:t>二、矿区土地复垦可行性分析</w:t>
      </w:r>
      <w:bookmarkEnd w:id="119"/>
    </w:p>
    <w:p w14:paraId="443D00CB">
      <w:pPr>
        <w:pStyle w:val="4"/>
        <w:rPr>
          <w:rFonts w:ascii="Times New Roman" w:hAnsi="Times New Roman" w:eastAsia="宋体" w:cs="Times New Roman"/>
          <w:color w:val="auto"/>
          <w:sz w:val="28"/>
          <w:szCs w:val="28"/>
          <w:highlight w:val="none"/>
        </w:rPr>
      </w:pPr>
      <w:bookmarkStart w:id="120" w:name="_Toc4471"/>
      <w:r>
        <w:rPr>
          <w:rFonts w:ascii="Times New Roman" w:hAnsi="Times New Roman" w:eastAsia="宋体" w:cs="Times New Roman"/>
          <w:color w:val="auto"/>
          <w:sz w:val="28"/>
          <w:szCs w:val="28"/>
          <w:highlight w:val="none"/>
        </w:rPr>
        <w:t>（一）复垦区土地利用现状</w:t>
      </w:r>
      <w:bookmarkEnd w:id="120"/>
      <w:r>
        <w:rPr>
          <w:rFonts w:ascii="Times New Roman" w:hAnsi="Times New Roman" w:eastAsia="宋体" w:cs="Times New Roman"/>
          <w:color w:val="auto"/>
          <w:sz w:val="28"/>
          <w:szCs w:val="28"/>
          <w:highlight w:val="none"/>
        </w:rPr>
        <w:t xml:space="preserve"> </w:t>
      </w:r>
    </w:p>
    <w:p w14:paraId="2EB2C40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自然资源和规划局提供的“202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土地利用变更数据库”，结合本方案调查确定的矿山损毁范围，通过ArcGIS软件进行数据叠加分析得出复垦区土地利用现状主要是耕地、林地、工矿仓储用地、住宅用地。各种现状地类面积见表4-1。</w:t>
      </w:r>
    </w:p>
    <w:p w14:paraId="6AEF28A1">
      <w:pPr>
        <w:spacing w:line="276" w:lineRule="auto"/>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 xml:space="preserve">表4-1 </w:t>
      </w:r>
      <w:r>
        <w:rPr>
          <w:rFonts w:ascii="Times New Roman" w:hAnsi="Times New Roman" w:eastAsia="宋体" w:cs="Times New Roman"/>
          <w:color w:val="auto"/>
          <w:highlight w:val="none"/>
        </w:rPr>
        <w:t xml:space="preserve">   </w:t>
      </w:r>
      <w:r>
        <w:rPr>
          <w:rFonts w:ascii="Times New Roman" w:hAnsi="Times New Roman" w:eastAsia="宋体" w:cs="Times New Roman"/>
          <w:b/>
          <w:color w:val="auto"/>
          <w:kern w:val="0"/>
          <w:highlight w:val="none"/>
        </w:rPr>
        <w:t>复垦责任范围土地利用现状统计表</w:t>
      </w:r>
    </w:p>
    <w:tbl>
      <w:tblPr>
        <w:tblStyle w:val="23"/>
        <w:tblW w:w="8162" w:type="dxa"/>
        <w:jc w:val="center"/>
        <w:tblLayout w:type="fixed"/>
        <w:tblCellMar>
          <w:top w:w="0" w:type="dxa"/>
          <w:left w:w="108" w:type="dxa"/>
          <w:bottom w:w="0" w:type="dxa"/>
          <w:right w:w="108" w:type="dxa"/>
        </w:tblCellMar>
      </w:tblPr>
      <w:tblGrid>
        <w:gridCol w:w="782"/>
        <w:gridCol w:w="1895"/>
        <w:gridCol w:w="913"/>
        <w:gridCol w:w="1767"/>
        <w:gridCol w:w="1315"/>
        <w:gridCol w:w="1490"/>
      </w:tblGrid>
      <w:tr w14:paraId="35FFEF9E">
        <w:tblPrEx>
          <w:tblCellMar>
            <w:top w:w="0" w:type="dxa"/>
            <w:left w:w="108" w:type="dxa"/>
            <w:bottom w:w="0" w:type="dxa"/>
            <w:right w:w="108" w:type="dxa"/>
          </w:tblCellMar>
        </w:tblPrEx>
        <w:trPr>
          <w:trHeight w:val="301" w:hRule="atLeast"/>
          <w:jc w:val="center"/>
        </w:trPr>
        <w:tc>
          <w:tcPr>
            <w:tcW w:w="2677" w:type="dxa"/>
            <w:gridSpan w:val="2"/>
            <w:tcBorders>
              <w:top w:val="single" w:color="auto" w:sz="4" w:space="0"/>
              <w:left w:val="single" w:color="auto" w:sz="4" w:space="0"/>
              <w:bottom w:val="single" w:color="auto" w:sz="4" w:space="0"/>
              <w:right w:val="single" w:color="auto" w:sz="4" w:space="0"/>
            </w:tcBorders>
            <w:vAlign w:val="center"/>
          </w:tcPr>
          <w:p w14:paraId="511FD813">
            <w:pPr>
              <w:widowControl/>
              <w:jc w:val="center"/>
              <w:rPr>
                <w:rFonts w:eastAsia="宋体"/>
                <w:color w:val="auto"/>
                <w:highlight w:val="none"/>
              </w:rPr>
            </w:pPr>
            <w:r>
              <w:rPr>
                <w:rFonts w:hint="eastAsia" w:eastAsia="宋体"/>
                <w:color w:val="auto"/>
                <w:highlight w:val="none"/>
              </w:rPr>
              <w:t>一级地类</w:t>
            </w:r>
          </w:p>
        </w:tc>
        <w:tc>
          <w:tcPr>
            <w:tcW w:w="2680" w:type="dxa"/>
            <w:gridSpan w:val="2"/>
            <w:tcBorders>
              <w:top w:val="single" w:color="auto" w:sz="4" w:space="0"/>
              <w:left w:val="nil"/>
              <w:bottom w:val="single" w:color="auto" w:sz="4" w:space="0"/>
              <w:right w:val="single" w:color="auto" w:sz="4" w:space="0"/>
            </w:tcBorders>
            <w:noWrap/>
            <w:vAlign w:val="center"/>
          </w:tcPr>
          <w:p w14:paraId="3405163E">
            <w:pPr>
              <w:widowControl/>
              <w:jc w:val="center"/>
              <w:rPr>
                <w:rFonts w:eastAsia="宋体"/>
                <w:color w:val="auto"/>
                <w:highlight w:val="none"/>
              </w:rPr>
            </w:pPr>
            <w:r>
              <w:rPr>
                <w:rFonts w:hint="eastAsia" w:eastAsia="宋体"/>
                <w:color w:val="auto"/>
                <w:highlight w:val="none"/>
              </w:rPr>
              <w:t>二级地类</w:t>
            </w:r>
          </w:p>
        </w:tc>
        <w:tc>
          <w:tcPr>
            <w:tcW w:w="1315" w:type="dxa"/>
            <w:tcBorders>
              <w:top w:val="single" w:color="auto" w:sz="4" w:space="0"/>
              <w:left w:val="nil"/>
              <w:bottom w:val="single" w:color="auto" w:sz="4" w:space="0"/>
              <w:right w:val="single" w:color="auto" w:sz="4" w:space="0"/>
            </w:tcBorders>
            <w:noWrap/>
            <w:vAlign w:val="center"/>
          </w:tcPr>
          <w:p w14:paraId="1350559E">
            <w:pPr>
              <w:widowControl/>
              <w:jc w:val="center"/>
              <w:rPr>
                <w:rFonts w:eastAsia="宋体"/>
                <w:color w:val="auto"/>
                <w:highlight w:val="none"/>
              </w:rPr>
            </w:pPr>
            <w:r>
              <w:rPr>
                <w:rFonts w:hint="eastAsia" w:eastAsia="宋体"/>
                <w:color w:val="auto"/>
                <w:highlight w:val="none"/>
              </w:rPr>
              <w:t>面积</w:t>
            </w:r>
          </w:p>
        </w:tc>
        <w:tc>
          <w:tcPr>
            <w:tcW w:w="1490" w:type="dxa"/>
            <w:tcBorders>
              <w:top w:val="single" w:color="auto" w:sz="4" w:space="0"/>
              <w:left w:val="nil"/>
              <w:bottom w:val="single" w:color="auto" w:sz="4" w:space="0"/>
              <w:right w:val="single" w:color="auto" w:sz="4" w:space="0"/>
            </w:tcBorders>
            <w:vAlign w:val="center"/>
          </w:tcPr>
          <w:p w14:paraId="2EBBF539">
            <w:pPr>
              <w:widowControl/>
              <w:jc w:val="center"/>
              <w:rPr>
                <w:rFonts w:eastAsia="宋体"/>
                <w:color w:val="auto"/>
                <w:highlight w:val="none"/>
              </w:rPr>
            </w:pPr>
            <w:r>
              <w:rPr>
                <w:rFonts w:hint="eastAsia" w:eastAsia="宋体"/>
                <w:color w:val="auto"/>
                <w:highlight w:val="none"/>
              </w:rPr>
              <w:t>占总面积比例</w:t>
            </w:r>
          </w:p>
        </w:tc>
      </w:tr>
      <w:tr w14:paraId="2EDF1FCE">
        <w:tblPrEx>
          <w:tblCellMar>
            <w:top w:w="0" w:type="dxa"/>
            <w:left w:w="108" w:type="dxa"/>
            <w:bottom w:w="0" w:type="dxa"/>
            <w:right w:w="108" w:type="dxa"/>
          </w:tblCellMar>
        </w:tblPrEx>
        <w:trPr>
          <w:trHeight w:val="310" w:hRule="atLeast"/>
          <w:jc w:val="center"/>
        </w:trPr>
        <w:tc>
          <w:tcPr>
            <w:tcW w:w="782" w:type="dxa"/>
            <w:tcBorders>
              <w:top w:val="nil"/>
              <w:left w:val="single" w:color="auto" w:sz="4" w:space="0"/>
              <w:bottom w:val="single" w:color="auto" w:sz="4" w:space="0"/>
              <w:right w:val="single" w:color="auto" w:sz="4" w:space="0"/>
            </w:tcBorders>
            <w:noWrap/>
            <w:vAlign w:val="center"/>
          </w:tcPr>
          <w:p w14:paraId="3BDA78CE">
            <w:pPr>
              <w:widowControl/>
              <w:jc w:val="center"/>
              <w:rPr>
                <w:rFonts w:eastAsia="宋体"/>
                <w:color w:val="auto"/>
                <w:highlight w:val="none"/>
              </w:rPr>
            </w:pPr>
            <w:r>
              <w:rPr>
                <w:rFonts w:hint="eastAsia" w:eastAsia="宋体"/>
                <w:color w:val="auto"/>
                <w:highlight w:val="none"/>
              </w:rPr>
              <w:t>编码</w:t>
            </w:r>
          </w:p>
        </w:tc>
        <w:tc>
          <w:tcPr>
            <w:tcW w:w="1895" w:type="dxa"/>
            <w:tcBorders>
              <w:top w:val="nil"/>
              <w:left w:val="nil"/>
              <w:bottom w:val="single" w:color="auto" w:sz="4" w:space="0"/>
              <w:right w:val="single" w:color="auto" w:sz="4" w:space="0"/>
            </w:tcBorders>
            <w:noWrap/>
            <w:vAlign w:val="center"/>
          </w:tcPr>
          <w:p w14:paraId="0835143B">
            <w:pPr>
              <w:widowControl/>
              <w:jc w:val="center"/>
              <w:rPr>
                <w:rFonts w:eastAsia="宋体"/>
                <w:color w:val="auto"/>
                <w:highlight w:val="none"/>
              </w:rPr>
            </w:pPr>
            <w:r>
              <w:rPr>
                <w:rFonts w:hint="eastAsia" w:eastAsia="宋体"/>
                <w:color w:val="auto"/>
                <w:highlight w:val="none"/>
              </w:rPr>
              <w:t>名称</w:t>
            </w:r>
          </w:p>
        </w:tc>
        <w:tc>
          <w:tcPr>
            <w:tcW w:w="913" w:type="dxa"/>
            <w:tcBorders>
              <w:top w:val="nil"/>
              <w:left w:val="nil"/>
              <w:bottom w:val="single" w:color="auto" w:sz="4" w:space="0"/>
              <w:right w:val="single" w:color="auto" w:sz="4" w:space="0"/>
            </w:tcBorders>
            <w:noWrap/>
            <w:vAlign w:val="center"/>
          </w:tcPr>
          <w:p w14:paraId="66A645ED">
            <w:pPr>
              <w:widowControl/>
              <w:jc w:val="center"/>
              <w:rPr>
                <w:rFonts w:eastAsia="宋体"/>
                <w:color w:val="auto"/>
                <w:highlight w:val="none"/>
              </w:rPr>
            </w:pPr>
            <w:r>
              <w:rPr>
                <w:rFonts w:hint="eastAsia" w:eastAsia="宋体"/>
                <w:color w:val="auto"/>
                <w:highlight w:val="none"/>
              </w:rPr>
              <w:t>编码</w:t>
            </w:r>
          </w:p>
        </w:tc>
        <w:tc>
          <w:tcPr>
            <w:tcW w:w="1767" w:type="dxa"/>
            <w:tcBorders>
              <w:top w:val="nil"/>
              <w:left w:val="nil"/>
              <w:bottom w:val="single" w:color="auto" w:sz="4" w:space="0"/>
              <w:right w:val="single" w:color="auto" w:sz="4" w:space="0"/>
            </w:tcBorders>
            <w:noWrap/>
            <w:vAlign w:val="center"/>
          </w:tcPr>
          <w:p w14:paraId="2F3B52EC">
            <w:pPr>
              <w:widowControl/>
              <w:jc w:val="center"/>
              <w:rPr>
                <w:rFonts w:eastAsia="宋体"/>
                <w:color w:val="auto"/>
                <w:highlight w:val="none"/>
              </w:rPr>
            </w:pPr>
            <w:r>
              <w:rPr>
                <w:rFonts w:hint="eastAsia" w:eastAsia="宋体"/>
                <w:color w:val="auto"/>
                <w:highlight w:val="none"/>
              </w:rPr>
              <w:t>名称</w:t>
            </w:r>
          </w:p>
        </w:tc>
        <w:tc>
          <w:tcPr>
            <w:tcW w:w="1315" w:type="dxa"/>
            <w:tcBorders>
              <w:top w:val="nil"/>
              <w:left w:val="nil"/>
              <w:bottom w:val="single" w:color="auto" w:sz="4" w:space="0"/>
              <w:right w:val="single" w:color="auto" w:sz="4" w:space="0"/>
            </w:tcBorders>
            <w:noWrap/>
            <w:vAlign w:val="center"/>
          </w:tcPr>
          <w:p w14:paraId="0898B381">
            <w:pPr>
              <w:widowControl/>
              <w:jc w:val="center"/>
              <w:rPr>
                <w:rFonts w:eastAsia="宋体"/>
                <w:color w:val="auto"/>
                <w:highlight w:val="none"/>
              </w:rPr>
            </w:pPr>
            <w:r>
              <w:rPr>
                <w:rFonts w:hint="eastAsia" w:eastAsia="宋体"/>
                <w:color w:val="auto"/>
                <w:highlight w:val="none"/>
              </w:rPr>
              <w:t>hm</w:t>
            </w:r>
            <w:r>
              <w:rPr>
                <w:rFonts w:hint="eastAsia" w:eastAsia="宋体"/>
                <w:color w:val="auto"/>
                <w:highlight w:val="none"/>
                <w:vertAlign w:val="superscript"/>
              </w:rPr>
              <w:t>2</w:t>
            </w:r>
          </w:p>
        </w:tc>
        <w:tc>
          <w:tcPr>
            <w:tcW w:w="1490" w:type="dxa"/>
            <w:tcBorders>
              <w:top w:val="nil"/>
              <w:left w:val="nil"/>
              <w:bottom w:val="single" w:color="auto" w:sz="4" w:space="0"/>
              <w:right w:val="single" w:color="auto" w:sz="4" w:space="0"/>
            </w:tcBorders>
            <w:noWrap/>
            <w:vAlign w:val="center"/>
          </w:tcPr>
          <w:p w14:paraId="6AF84C2D">
            <w:pPr>
              <w:widowControl/>
              <w:jc w:val="center"/>
              <w:rPr>
                <w:rFonts w:eastAsia="宋体"/>
                <w:color w:val="auto"/>
                <w:highlight w:val="none"/>
              </w:rPr>
            </w:pPr>
            <w:r>
              <w:rPr>
                <w:rFonts w:hint="eastAsia" w:eastAsia="宋体"/>
                <w:color w:val="auto"/>
                <w:highlight w:val="none"/>
              </w:rPr>
              <w:t>%</w:t>
            </w:r>
          </w:p>
        </w:tc>
      </w:tr>
      <w:tr w14:paraId="6C0937A1">
        <w:tblPrEx>
          <w:tblCellMar>
            <w:top w:w="0" w:type="dxa"/>
            <w:left w:w="108" w:type="dxa"/>
            <w:bottom w:w="0" w:type="dxa"/>
            <w:right w:w="108" w:type="dxa"/>
          </w:tblCellMar>
        </w:tblPrEx>
        <w:trPr>
          <w:trHeight w:val="289" w:hRule="atLeast"/>
          <w:jc w:val="center"/>
        </w:trPr>
        <w:tc>
          <w:tcPr>
            <w:tcW w:w="782" w:type="dxa"/>
            <w:tcBorders>
              <w:top w:val="nil"/>
              <w:left w:val="single" w:color="auto" w:sz="4" w:space="0"/>
              <w:bottom w:val="single" w:color="auto" w:sz="4" w:space="0"/>
              <w:right w:val="single" w:color="auto" w:sz="4" w:space="0"/>
            </w:tcBorders>
            <w:noWrap/>
            <w:vAlign w:val="center"/>
          </w:tcPr>
          <w:p w14:paraId="68394423">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03</w:t>
            </w:r>
          </w:p>
        </w:tc>
        <w:tc>
          <w:tcPr>
            <w:tcW w:w="1895" w:type="dxa"/>
            <w:tcBorders>
              <w:top w:val="nil"/>
              <w:left w:val="single" w:color="auto" w:sz="4" w:space="0"/>
              <w:bottom w:val="single" w:color="auto" w:sz="4" w:space="0"/>
              <w:right w:val="single" w:color="auto" w:sz="4" w:space="0"/>
            </w:tcBorders>
            <w:vAlign w:val="center"/>
          </w:tcPr>
          <w:p w14:paraId="00C280B3">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林地</w:t>
            </w:r>
          </w:p>
        </w:tc>
        <w:tc>
          <w:tcPr>
            <w:tcW w:w="913" w:type="dxa"/>
            <w:tcBorders>
              <w:top w:val="nil"/>
              <w:left w:val="nil"/>
              <w:bottom w:val="single" w:color="auto" w:sz="4" w:space="0"/>
              <w:right w:val="single" w:color="auto" w:sz="4" w:space="0"/>
            </w:tcBorders>
            <w:noWrap/>
            <w:vAlign w:val="center"/>
          </w:tcPr>
          <w:p w14:paraId="260EF0AD">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0301</w:t>
            </w:r>
          </w:p>
        </w:tc>
        <w:tc>
          <w:tcPr>
            <w:tcW w:w="1767" w:type="dxa"/>
            <w:tcBorders>
              <w:top w:val="nil"/>
              <w:left w:val="nil"/>
              <w:bottom w:val="single" w:color="auto" w:sz="4" w:space="0"/>
              <w:right w:val="single" w:color="auto" w:sz="4" w:space="0"/>
            </w:tcBorders>
            <w:noWrap/>
            <w:vAlign w:val="center"/>
          </w:tcPr>
          <w:p w14:paraId="091F18E8">
            <w:pPr>
              <w:widowControl/>
              <w:spacing w:line="240" w:lineRule="auto"/>
              <w:ind w:firstLine="0" w:firstLineChars="0"/>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乔木林地</w:t>
            </w:r>
          </w:p>
        </w:tc>
        <w:tc>
          <w:tcPr>
            <w:tcW w:w="1315" w:type="dxa"/>
            <w:tcBorders>
              <w:top w:val="nil"/>
              <w:left w:val="nil"/>
              <w:bottom w:val="single" w:color="auto" w:sz="4" w:space="0"/>
              <w:right w:val="single" w:color="auto" w:sz="4" w:space="0"/>
            </w:tcBorders>
            <w:noWrap/>
            <w:vAlign w:val="center"/>
          </w:tcPr>
          <w:p w14:paraId="7218220F">
            <w:pPr>
              <w:widowControl/>
              <w:spacing w:line="240" w:lineRule="auto"/>
              <w:ind w:firstLine="0" w:firstLineChars="0"/>
              <w:jc w:val="center"/>
              <w:rPr>
                <w:rFonts w:ascii="Times New Roman" w:hAnsi="Times New Roman" w:eastAsia="宋体" w:cs="Times New Roman"/>
                <w:color w:val="auto"/>
                <w:highlight w:val="none"/>
              </w:rPr>
            </w:pPr>
            <w:r>
              <w:rPr>
                <w:rFonts w:hint="eastAsia" w:ascii="仿宋" w:hAnsi="仿宋" w:eastAsia="仿宋" w:cs="仿宋"/>
                <w:color w:val="auto"/>
                <w:kern w:val="0"/>
                <w:sz w:val="21"/>
                <w:szCs w:val="21"/>
                <w:lang w:val="en-US" w:eastAsia="zh-CN"/>
              </w:rPr>
              <w:t>0.65</w:t>
            </w:r>
          </w:p>
        </w:tc>
        <w:tc>
          <w:tcPr>
            <w:tcW w:w="1490" w:type="dxa"/>
            <w:tcBorders>
              <w:top w:val="nil"/>
              <w:left w:val="nil"/>
              <w:bottom w:val="single" w:color="auto" w:sz="4" w:space="0"/>
              <w:right w:val="single" w:color="auto" w:sz="4" w:space="0"/>
            </w:tcBorders>
            <w:noWrap/>
            <w:vAlign w:val="center"/>
          </w:tcPr>
          <w:p w14:paraId="6AF910C3">
            <w:pPr>
              <w:widowControl/>
              <w:spacing w:line="240" w:lineRule="auto"/>
              <w:ind w:firstLine="0" w:firstLineChars="0"/>
              <w:jc w:val="center"/>
              <w:rPr>
                <w:rFonts w:ascii="Times New Roman" w:hAnsi="Times New Roman" w:eastAsia="宋体" w:cs="Times New Roman"/>
                <w:color w:val="auto"/>
                <w:highlight w:val="none"/>
              </w:rPr>
            </w:pPr>
            <w:r>
              <w:rPr>
                <w:rFonts w:hint="eastAsia" w:ascii="仿宋" w:hAnsi="仿宋" w:eastAsia="仿宋" w:cs="仿宋"/>
                <w:color w:val="auto"/>
                <w:kern w:val="0"/>
                <w:sz w:val="21"/>
                <w:szCs w:val="21"/>
                <w:lang w:val="en-US" w:eastAsia="zh-CN"/>
              </w:rPr>
              <w:t>81.25</w:t>
            </w:r>
          </w:p>
        </w:tc>
      </w:tr>
      <w:tr w14:paraId="013DBB03">
        <w:tblPrEx>
          <w:tblCellMar>
            <w:top w:w="0" w:type="dxa"/>
            <w:left w:w="108" w:type="dxa"/>
            <w:bottom w:w="0" w:type="dxa"/>
            <w:right w:w="108" w:type="dxa"/>
          </w:tblCellMar>
        </w:tblPrEx>
        <w:trPr>
          <w:trHeight w:val="289" w:hRule="atLeast"/>
          <w:jc w:val="center"/>
        </w:trPr>
        <w:tc>
          <w:tcPr>
            <w:tcW w:w="782" w:type="dxa"/>
            <w:tcBorders>
              <w:top w:val="nil"/>
              <w:left w:val="single" w:color="auto" w:sz="4" w:space="0"/>
              <w:bottom w:val="single" w:color="auto" w:sz="4" w:space="0"/>
              <w:right w:val="single" w:color="auto" w:sz="4" w:space="0"/>
            </w:tcBorders>
            <w:noWrap/>
            <w:vAlign w:val="center"/>
          </w:tcPr>
          <w:p w14:paraId="22C22B3F">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04</w:t>
            </w:r>
          </w:p>
        </w:tc>
        <w:tc>
          <w:tcPr>
            <w:tcW w:w="1895" w:type="dxa"/>
            <w:tcBorders>
              <w:top w:val="single" w:color="auto" w:sz="4" w:space="0"/>
              <w:left w:val="single" w:color="auto" w:sz="4" w:space="0"/>
              <w:bottom w:val="single" w:color="auto" w:sz="4" w:space="0"/>
              <w:right w:val="single" w:color="auto" w:sz="4" w:space="0"/>
            </w:tcBorders>
            <w:vAlign w:val="center"/>
          </w:tcPr>
          <w:p w14:paraId="7030A4A6">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草地</w:t>
            </w:r>
          </w:p>
        </w:tc>
        <w:tc>
          <w:tcPr>
            <w:tcW w:w="913" w:type="dxa"/>
            <w:tcBorders>
              <w:top w:val="nil"/>
              <w:left w:val="nil"/>
              <w:bottom w:val="single" w:color="auto" w:sz="4" w:space="0"/>
              <w:right w:val="single" w:color="auto" w:sz="4" w:space="0"/>
            </w:tcBorders>
            <w:noWrap/>
            <w:vAlign w:val="center"/>
          </w:tcPr>
          <w:p w14:paraId="13A70CE4">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0404</w:t>
            </w:r>
          </w:p>
        </w:tc>
        <w:tc>
          <w:tcPr>
            <w:tcW w:w="1767" w:type="dxa"/>
            <w:tcBorders>
              <w:top w:val="nil"/>
              <w:left w:val="nil"/>
              <w:bottom w:val="single" w:color="auto" w:sz="4" w:space="0"/>
              <w:right w:val="single" w:color="auto" w:sz="4" w:space="0"/>
            </w:tcBorders>
            <w:noWrap/>
            <w:vAlign w:val="center"/>
          </w:tcPr>
          <w:p w14:paraId="0BD4E05E">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其他草地</w:t>
            </w:r>
          </w:p>
        </w:tc>
        <w:tc>
          <w:tcPr>
            <w:tcW w:w="1315" w:type="dxa"/>
            <w:tcBorders>
              <w:top w:val="nil"/>
              <w:left w:val="nil"/>
              <w:bottom w:val="single" w:color="auto" w:sz="4" w:space="0"/>
              <w:right w:val="single" w:color="auto" w:sz="4" w:space="0"/>
            </w:tcBorders>
            <w:noWrap/>
            <w:vAlign w:val="center"/>
          </w:tcPr>
          <w:p w14:paraId="159BB500">
            <w:pPr>
              <w:widowControl/>
              <w:spacing w:line="240" w:lineRule="auto"/>
              <w:ind w:firstLine="0" w:firstLineChars="0"/>
              <w:jc w:val="center"/>
              <w:rPr>
                <w:rFonts w:ascii="Times New Roman" w:hAnsi="Times New Roman" w:eastAsia="宋体" w:cs="Times New Roman"/>
                <w:color w:val="auto"/>
                <w:highlight w:val="none"/>
              </w:rPr>
            </w:pPr>
            <w:r>
              <w:rPr>
                <w:rFonts w:hint="eastAsia" w:ascii="仿宋" w:hAnsi="仿宋" w:eastAsia="仿宋" w:cs="仿宋"/>
                <w:color w:val="auto"/>
                <w:kern w:val="0"/>
                <w:sz w:val="21"/>
                <w:szCs w:val="21"/>
                <w:lang w:val="en-US" w:eastAsia="zh-CN"/>
              </w:rPr>
              <w:t>0.05</w:t>
            </w:r>
          </w:p>
        </w:tc>
        <w:tc>
          <w:tcPr>
            <w:tcW w:w="1490" w:type="dxa"/>
            <w:tcBorders>
              <w:top w:val="nil"/>
              <w:left w:val="nil"/>
              <w:bottom w:val="single" w:color="auto" w:sz="4" w:space="0"/>
              <w:right w:val="single" w:color="auto" w:sz="4" w:space="0"/>
            </w:tcBorders>
            <w:noWrap/>
            <w:vAlign w:val="center"/>
          </w:tcPr>
          <w:p w14:paraId="30F1DE94">
            <w:pPr>
              <w:widowControl/>
              <w:spacing w:line="240" w:lineRule="auto"/>
              <w:ind w:firstLine="0" w:firstLineChars="0"/>
              <w:jc w:val="center"/>
              <w:rPr>
                <w:rFonts w:ascii="Times New Roman" w:hAnsi="Times New Roman" w:eastAsia="宋体" w:cs="Times New Roman"/>
                <w:color w:val="auto"/>
                <w:highlight w:val="none"/>
              </w:rPr>
            </w:pPr>
            <w:r>
              <w:rPr>
                <w:rFonts w:hint="eastAsia" w:ascii="仿宋" w:hAnsi="仿宋" w:eastAsia="仿宋" w:cs="仿宋"/>
                <w:color w:val="auto"/>
                <w:kern w:val="0"/>
                <w:sz w:val="21"/>
                <w:szCs w:val="21"/>
                <w:lang w:val="en-US" w:eastAsia="zh-CN"/>
              </w:rPr>
              <w:t>6.25</w:t>
            </w:r>
          </w:p>
        </w:tc>
      </w:tr>
      <w:tr w14:paraId="073D702C">
        <w:tblPrEx>
          <w:tblCellMar>
            <w:top w:w="0" w:type="dxa"/>
            <w:left w:w="108" w:type="dxa"/>
            <w:bottom w:w="0" w:type="dxa"/>
            <w:right w:w="108" w:type="dxa"/>
          </w:tblCellMar>
        </w:tblPrEx>
        <w:trPr>
          <w:trHeight w:val="298" w:hRule="atLeast"/>
          <w:jc w:val="center"/>
        </w:trPr>
        <w:tc>
          <w:tcPr>
            <w:tcW w:w="782" w:type="dxa"/>
            <w:tcBorders>
              <w:top w:val="nil"/>
              <w:left w:val="single" w:color="auto" w:sz="4" w:space="0"/>
              <w:bottom w:val="single" w:color="auto" w:sz="4" w:space="0"/>
              <w:right w:val="single" w:color="auto" w:sz="4" w:space="0"/>
            </w:tcBorders>
            <w:noWrap/>
            <w:vAlign w:val="center"/>
          </w:tcPr>
          <w:p w14:paraId="70DF3F42">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01</w:t>
            </w:r>
          </w:p>
        </w:tc>
        <w:tc>
          <w:tcPr>
            <w:tcW w:w="1895" w:type="dxa"/>
            <w:tcBorders>
              <w:top w:val="nil"/>
              <w:left w:val="nil"/>
              <w:bottom w:val="single" w:color="auto" w:sz="4" w:space="0"/>
              <w:right w:val="single" w:color="auto" w:sz="4" w:space="0"/>
            </w:tcBorders>
            <w:vAlign w:val="center"/>
          </w:tcPr>
          <w:p w14:paraId="562D3AF3">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耕地</w:t>
            </w:r>
          </w:p>
        </w:tc>
        <w:tc>
          <w:tcPr>
            <w:tcW w:w="913" w:type="dxa"/>
            <w:tcBorders>
              <w:top w:val="nil"/>
              <w:left w:val="nil"/>
              <w:bottom w:val="single" w:color="auto" w:sz="4" w:space="0"/>
              <w:right w:val="single" w:color="auto" w:sz="4" w:space="0"/>
            </w:tcBorders>
            <w:noWrap/>
            <w:vAlign w:val="center"/>
          </w:tcPr>
          <w:p w14:paraId="5A93E44F">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0103</w:t>
            </w:r>
          </w:p>
        </w:tc>
        <w:tc>
          <w:tcPr>
            <w:tcW w:w="1767" w:type="dxa"/>
            <w:tcBorders>
              <w:top w:val="nil"/>
              <w:left w:val="nil"/>
              <w:bottom w:val="single" w:color="auto" w:sz="4" w:space="0"/>
              <w:right w:val="single" w:color="auto" w:sz="4" w:space="0"/>
            </w:tcBorders>
            <w:noWrap/>
            <w:vAlign w:val="center"/>
          </w:tcPr>
          <w:p w14:paraId="46C5492B">
            <w:pPr>
              <w:widowControl/>
              <w:spacing w:line="240" w:lineRule="auto"/>
              <w:ind w:firstLine="0" w:firstLineChars="0"/>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旱地</w:t>
            </w:r>
          </w:p>
        </w:tc>
        <w:tc>
          <w:tcPr>
            <w:tcW w:w="1315" w:type="dxa"/>
            <w:tcBorders>
              <w:top w:val="nil"/>
              <w:left w:val="nil"/>
              <w:bottom w:val="single" w:color="auto" w:sz="4" w:space="0"/>
              <w:right w:val="single" w:color="auto" w:sz="4" w:space="0"/>
            </w:tcBorders>
            <w:noWrap/>
            <w:vAlign w:val="center"/>
          </w:tcPr>
          <w:p w14:paraId="497543F7">
            <w:pPr>
              <w:widowControl/>
              <w:spacing w:line="240" w:lineRule="auto"/>
              <w:ind w:firstLine="0" w:firstLineChars="0"/>
              <w:jc w:val="center"/>
              <w:rPr>
                <w:rFonts w:ascii="Times New Roman" w:hAnsi="Times New Roman" w:eastAsia="宋体" w:cs="Times New Roman"/>
                <w:color w:val="auto"/>
                <w:highlight w:val="none"/>
              </w:rPr>
            </w:pPr>
            <w:r>
              <w:rPr>
                <w:rFonts w:hint="eastAsia" w:ascii="仿宋" w:hAnsi="仿宋" w:eastAsia="仿宋" w:cs="仿宋"/>
                <w:color w:val="auto"/>
                <w:kern w:val="0"/>
                <w:sz w:val="21"/>
                <w:szCs w:val="21"/>
                <w:lang w:val="en-US" w:eastAsia="zh-CN"/>
              </w:rPr>
              <w:t>0.1</w:t>
            </w:r>
          </w:p>
        </w:tc>
        <w:tc>
          <w:tcPr>
            <w:tcW w:w="1490" w:type="dxa"/>
            <w:tcBorders>
              <w:top w:val="nil"/>
              <w:left w:val="nil"/>
              <w:bottom w:val="single" w:color="auto" w:sz="4" w:space="0"/>
              <w:right w:val="single" w:color="auto" w:sz="4" w:space="0"/>
            </w:tcBorders>
            <w:noWrap/>
            <w:vAlign w:val="center"/>
          </w:tcPr>
          <w:p w14:paraId="679520E1">
            <w:pPr>
              <w:widowControl/>
              <w:spacing w:line="240" w:lineRule="auto"/>
              <w:ind w:firstLine="0" w:firstLineChars="0"/>
              <w:jc w:val="center"/>
              <w:rPr>
                <w:rFonts w:ascii="Times New Roman" w:hAnsi="Times New Roman" w:eastAsia="宋体" w:cs="Times New Roman"/>
                <w:color w:val="auto"/>
                <w:highlight w:val="none"/>
              </w:rPr>
            </w:pPr>
            <w:r>
              <w:rPr>
                <w:rFonts w:hint="eastAsia" w:ascii="仿宋" w:hAnsi="仿宋" w:eastAsia="仿宋" w:cs="仿宋"/>
                <w:color w:val="auto"/>
                <w:kern w:val="0"/>
                <w:sz w:val="21"/>
                <w:szCs w:val="21"/>
                <w:lang w:val="en-US" w:eastAsia="zh-CN"/>
              </w:rPr>
              <w:t>12.5</w:t>
            </w:r>
          </w:p>
        </w:tc>
      </w:tr>
      <w:tr w14:paraId="27C672FD">
        <w:tblPrEx>
          <w:tblCellMar>
            <w:top w:w="0" w:type="dxa"/>
            <w:left w:w="108" w:type="dxa"/>
            <w:bottom w:w="0" w:type="dxa"/>
            <w:right w:w="108" w:type="dxa"/>
          </w:tblCellMar>
        </w:tblPrEx>
        <w:trPr>
          <w:trHeight w:val="289" w:hRule="atLeast"/>
          <w:jc w:val="center"/>
        </w:trPr>
        <w:tc>
          <w:tcPr>
            <w:tcW w:w="5357" w:type="dxa"/>
            <w:gridSpan w:val="4"/>
            <w:tcBorders>
              <w:top w:val="single" w:color="auto" w:sz="4" w:space="0"/>
              <w:left w:val="single" w:color="auto" w:sz="4" w:space="0"/>
              <w:bottom w:val="single" w:color="auto" w:sz="4" w:space="0"/>
              <w:right w:val="single" w:color="auto" w:sz="4" w:space="0"/>
            </w:tcBorders>
            <w:noWrap/>
            <w:vAlign w:val="center"/>
          </w:tcPr>
          <w:p w14:paraId="1D723D5C">
            <w:pPr>
              <w:widowControl/>
              <w:jc w:val="center"/>
              <w:rPr>
                <w:rFonts w:eastAsia="宋体"/>
                <w:color w:val="auto"/>
                <w:highlight w:val="none"/>
              </w:rPr>
            </w:pPr>
            <w:r>
              <w:rPr>
                <w:rFonts w:hint="eastAsia" w:eastAsia="宋体"/>
                <w:color w:val="auto"/>
                <w:highlight w:val="none"/>
              </w:rPr>
              <w:t>合计</w:t>
            </w:r>
          </w:p>
        </w:tc>
        <w:tc>
          <w:tcPr>
            <w:tcW w:w="1315" w:type="dxa"/>
            <w:tcBorders>
              <w:top w:val="single" w:color="auto" w:sz="4" w:space="0"/>
              <w:left w:val="single" w:color="auto" w:sz="4" w:space="0"/>
              <w:bottom w:val="single" w:color="auto" w:sz="4" w:space="0"/>
              <w:right w:val="single" w:color="auto" w:sz="4" w:space="0"/>
            </w:tcBorders>
            <w:noWrap/>
            <w:vAlign w:val="center"/>
          </w:tcPr>
          <w:p w14:paraId="38B2EBBF">
            <w:pPr>
              <w:widowControl/>
              <w:jc w:val="center"/>
              <w:rPr>
                <w:rFonts w:ascii="Times New Roman" w:hAnsi="Times New Roman" w:eastAsia="宋体" w:cs="Times New Roman"/>
                <w:color w:val="auto"/>
                <w:highlight w:val="none"/>
              </w:rPr>
            </w:pPr>
            <w:r>
              <w:rPr>
                <w:rFonts w:hint="eastAsia" w:eastAsia="宋体"/>
                <w:color w:val="auto"/>
                <w:highlight w:val="none"/>
                <w:lang w:val="en-US" w:eastAsia="zh-CN"/>
              </w:rPr>
              <w:t>0.8</w:t>
            </w:r>
          </w:p>
        </w:tc>
        <w:tc>
          <w:tcPr>
            <w:tcW w:w="1490" w:type="dxa"/>
            <w:tcBorders>
              <w:top w:val="single" w:color="auto" w:sz="4" w:space="0"/>
              <w:left w:val="single" w:color="auto" w:sz="4" w:space="0"/>
              <w:bottom w:val="single" w:color="auto" w:sz="4" w:space="0"/>
              <w:right w:val="single" w:color="auto" w:sz="4" w:space="0"/>
            </w:tcBorders>
            <w:noWrap/>
            <w:vAlign w:val="center"/>
          </w:tcPr>
          <w:p w14:paraId="16A7CAC7">
            <w:pPr>
              <w:widowControl/>
              <w:jc w:val="center"/>
              <w:rPr>
                <w:rFonts w:ascii="Times New Roman" w:hAnsi="Times New Roman" w:eastAsia="宋体" w:cs="Times New Roman"/>
                <w:color w:val="auto"/>
                <w:highlight w:val="none"/>
              </w:rPr>
            </w:pPr>
            <w:r>
              <w:rPr>
                <w:rFonts w:hint="eastAsia" w:eastAsia="宋体"/>
                <w:color w:val="auto"/>
                <w:highlight w:val="none"/>
              </w:rPr>
              <w:t>100</w:t>
            </w:r>
          </w:p>
        </w:tc>
      </w:tr>
    </w:tbl>
    <w:p w14:paraId="24379639">
      <w:pPr>
        <w:rPr>
          <w:rFonts w:ascii="Times New Roman" w:hAnsi="Times New Roman" w:cs="Times New Roman"/>
          <w:color w:val="auto"/>
          <w:highlight w:val="none"/>
        </w:rPr>
      </w:pPr>
    </w:p>
    <w:p w14:paraId="67241142">
      <w:pPr>
        <w:pStyle w:val="4"/>
        <w:rPr>
          <w:rFonts w:ascii="Times New Roman" w:hAnsi="Times New Roman" w:eastAsia="宋体" w:cs="Times New Roman"/>
          <w:color w:val="auto"/>
          <w:sz w:val="28"/>
          <w:szCs w:val="28"/>
          <w:highlight w:val="none"/>
        </w:rPr>
      </w:pPr>
      <w:bookmarkStart w:id="121" w:name="_Toc14229"/>
      <w:r>
        <w:rPr>
          <w:rFonts w:ascii="Times New Roman" w:hAnsi="Times New Roman" w:eastAsia="宋体" w:cs="Times New Roman"/>
          <w:color w:val="auto"/>
          <w:sz w:val="28"/>
          <w:szCs w:val="28"/>
          <w:highlight w:val="none"/>
        </w:rPr>
        <w:t>（二）土地复垦适宜性评价</w:t>
      </w:r>
      <w:bookmarkEnd w:id="121"/>
    </w:p>
    <w:p w14:paraId="55992A5F">
      <w:pPr>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根据矿山土地现状调查和拟损毁土地分析，矿山的复垦责任范围界定为露天采场终采平台区、露天采场终采边坡区</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个部分，总面积</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。复垦区域面积为</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，土地复垦率为100%。</w:t>
      </w:r>
    </w:p>
    <w:p w14:paraId="3D334BAD">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1、评价原则</w:t>
      </w:r>
    </w:p>
    <w:p w14:paraId="16890D3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（1）符合土地利用总体规划，并与其他规划相协调。</w:t>
      </w:r>
    </w:p>
    <w:p w14:paraId="616543A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确定待复垦土地的适宜性时，不仅要考虑被评价土地的自然条件和损毁状况，还应考虑区域性的土地利用总体规划和农牧业规划，统筹考虑本地区的社会经济和矿区的生产建设发展，避免盲目投资、过度超前浪费土地资源。</w:t>
      </w:r>
    </w:p>
    <w:p w14:paraId="08511B5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（2）因地制宜原则。</w:t>
      </w:r>
    </w:p>
    <w:p w14:paraId="320C7C5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利用受周围环境条件制约，土地利用方式必须有与环境特征相适应的配套设施。根据被损毁前后土地拥有的基础设施，因地制宜，扬长避短，发挥优势，确定合理的利用方向。复垦后的土地，根据土地利用总体规划和生态建设规划，尊重权利人意愿的基础上，宜农则农、宜林则林，宜牧则牧、宜渔则渔、宜草则草。</w:t>
      </w:r>
    </w:p>
    <w:p w14:paraId="0E01C49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（3）自然因素和社会经济因素相结合原则。</w:t>
      </w:r>
    </w:p>
    <w:p w14:paraId="737EAC6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对于复垦区被损毁土地复垦适宜性评价，既要考虑它的自然属性(如土壤、气候、地貌、损毁程度等)，又要考虑它的社会属性(如建设单位意愿、社会需求和资金等)，二者相结合确定复垦利用方向。</w:t>
      </w:r>
    </w:p>
    <w:p w14:paraId="0A03331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（4）主导性限制因素与综合平衡原则。</w:t>
      </w:r>
    </w:p>
    <w:p w14:paraId="2EEA106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影响损毁土地复垦利用的因素很多，如土源、坡度、土壤肥力以及排灌条件等。根据矿区自然环境、土地利用和土地损毁情况，分析影响损毁土地复垦利用的主导性限制因素，同时也应兼顾其他限制因素。</w:t>
      </w:r>
    </w:p>
    <w:p w14:paraId="3CD7B8E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（5）综合效益最佳原则。</w:t>
      </w:r>
    </w:p>
    <w:p w14:paraId="7E698CA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确定土地的复垦方向是，应首先考虑其最佳综合效益，选择最佳的利用方向，根据土地状况是否适宜复垦为某种用途的土地，或以最小的费用投入取得最佳的经济、社会和生态环境效益，同时应注意发挥整体效益。</w:t>
      </w:r>
    </w:p>
    <w:p w14:paraId="2DC6D7E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（6）动态和土地可持续利用原则。</w:t>
      </w:r>
    </w:p>
    <w:p w14:paraId="61018C1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土地损毁是一个动态过程，复垦土地的适宜性也随损毁等级与过程而变化，具有动态性，在进行复垦土地的适宜性评价时，应考虑矿区工农业发展的前景、科技进步以及生产和生活水平所带来的社会需求方面的变化，确定复垦土地的开发利用方向。复垦后的土地应既能满足保护生物多样性和生态环境的需要，又能满足人类对土地的需求，应保证生态安全和人类社会可持续发展。</w:t>
      </w:r>
    </w:p>
    <w:p w14:paraId="3677491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（7）经济可行与技术合理性原则。</w:t>
      </w:r>
    </w:p>
    <w:p w14:paraId="6798D2A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土地复垦所需的费用应在保证复垦目标完整、复垦效果达到复垦标准的前提下，兼顾土地复垦成本，尽可能减轻企业负担。复垦技术应能满足复垦工作顺利开展、复垦效果达到复垦质量的要求。</w:t>
      </w:r>
    </w:p>
    <w:p w14:paraId="5F6D277B">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2、评价依据</w:t>
      </w:r>
    </w:p>
    <w:p w14:paraId="57C3363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复垦适宜性评价在详细分析矿区自然条件、社会经济以及土地利用状况的基础上，依据国家和地方的法律及相关规划，综合考虑土地损毁分析结果、公众参与意见以及周边类似项目的复垦经验等，采取切实可行的办法，确定复垦利用方向。主要包括：</w:t>
      </w:r>
    </w:p>
    <w:p w14:paraId="7A862E2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（1）《中华人民共和国环境保护法》（2014.4）</w:t>
      </w:r>
    </w:p>
    <w:p w14:paraId="3D850EF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（2）《中华人民共和国环境影响评价法》（2016.7.2）</w:t>
      </w:r>
    </w:p>
    <w:p w14:paraId="2554390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（3）《规划环境影响评价技术导则  总纲》（HJ 130-2019）</w:t>
      </w:r>
    </w:p>
    <w:p w14:paraId="3BD3709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（4）《规划环境影响评价技术导则 产业园区》（HJ 131-2021）</w:t>
      </w:r>
    </w:p>
    <w:p w14:paraId="4C7EC6A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（5）《环境影响评价技术导则生态影响》（HJ 19-2022）</w:t>
      </w:r>
    </w:p>
    <w:p w14:paraId="658DD37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（6）《生态环境状况评价技术规范》（HJ 192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2015）</w:t>
      </w:r>
    </w:p>
    <w:p w14:paraId="3A2C1D0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（7）《矿山地质环境保护与恢复治理方案编制规范》（DZ/T 0223-2011）</w:t>
      </w:r>
    </w:p>
    <w:p w14:paraId="2B9F34F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（8）《土地复垦质量控制标准》（TD/T 1036-2013）</w:t>
      </w:r>
    </w:p>
    <w:p w14:paraId="71180F9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（9）土地利用总体规划、土地整治规划、村镇规划等规划；</w:t>
      </w:r>
    </w:p>
    <w:p w14:paraId="313F419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（10）土地损毁预测结果、土地利用自然条件等。</w:t>
      </w:r>
    </w:p>
    <w:p w14:paraId="6D3C8AD2">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3、适宜性评价</w:t>
      </w:r>
    </w:p>
    <w:p w14:paraId="5A44337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根据本项目的特点，因地制宜制定如下的适宜性评价技术路线，以期望得到最佳合理的土地复垦方案。</w:t>
      </w:r>
    </w:p>
    <w:p w14:paraId="66A9550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1）复垦范围的界定</w:t>
      </w:r>
    </w:p>
    <w:p w14:paraId="11FFD546">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根据矿山已损毁土地现状调查和拟损毁土地分析，矿山损毁土地总面积为复垦责任范围，复垦责任范围面积共计</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14:paraId="4F1EC64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2）复垦评价单元的划分</w:t>
      </w:r>
    </w:p>
    <w:p w14:paraId="3DE6C5A7">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土地利用总体规划及相关规划，按照因地制宜的原则，在充分尊重土地权益人意愿的前提下，根据原土地利用类型、土地损毁情况、公众参与意见等，在经济可行、技术合理的条件下，确定拟复垦土地的最佳利用方向，划分土地复垦评价单元。</w:t>
      </w:r>
    </w:p>
    <w:p w14:paraId="1629313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评价单元一般是按照将损毁方式、程度相同，内外部特征相同或相近的损毁地块作为同一评价单元，便于合理的确定各评价单元参评因子的赋值、使确定的复垦方向更贴近于实际。</w:t>
      </w:r>
    </w:p>
    <w:p w14:paraId="620EFEB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通过现场勘查及调查发现，矿山采矿过程中造成的土地损毁类型主要是矿山露天采场、上山公路区的挖损；上山公路区对土地造成的压占。因此，根据各地块对土地的破坏特征不同划分出：露天采场终采平台区、露天采场终采边坡区边坡区</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个评价单元进行评价。</w:t>
      </w:r>
    </w:p>
    <w:p w14:paraId="5222F4E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3、评价单元开采前后特征分析</w:t>
      </w:r>
    </w:p>
    <w:p w14:paraId="557389AC">
      <w:pPr>
        <w:spacing w:line="360" w:lineRule="auto"/>
        <w:ind w:firstLine="560" w:firstLineChars="200"/>
        <w:rPr>
          <w:rFonts w:hint="eastAsia" w:ascii="仿宋" w:hAnsi="仿宋" w:eastAsia="仿宋" w:cs="仿宋"/>
          <w:b/>
          <w:color w:val="auto"/>
          <w:sz w:val="28"/>
          <w:szCs w:val="28"/>
          <w:highlight w:val="none"/>
        </w:rPr>
      </w:pPr>
      <w:r>
        <w:rPr>
          <w:rFonts w:hint="eastAsia" w:ascii="仿宋" w:hAnsi="仿宋" w:eastAsia="仿宋" w:cs="仿宋"/>
          <w:color w:val="auto"/>
          <w:sz w:val="28"/>
          <w:szCs w:val="28"/>
          <w:highlight w:val="none"/>
        </w:rPr>
        <w:t>评价单元开采前后特征是根据对各评价单元现状踏勘资料，并结合矿山的建设方案进行预测，各评价单元的开采前后特征分析如表4-2。</w:t>
      </w:r>
    </w:p>
    <w:p w14:paraId="1FFE20AB">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 4-2  各评价单元开采前后特征分析</w:t>
      </w:r>
    </w:p>
    <w:tbl>
      <w:tblPr>
        <w:tblStyle w:val="23"/>
        <w:tblW w:w="8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7"/>
        <w:gridCol w:w="3438"/>
        <w:gridCol w:w="2462"/>
      </w:tblGrid>
      <w:tr w14:paraId="7DB4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384" w:type="dxa"/>
            <w:vAlign w:val="center"/>
          </w:tcPr>
          <w:p w14:paraId="1AEC4BD7">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评价单元</w:t>
            </w:r>
          </w:p>
        </w:tc>
        <w:tc>
          <w:tcPr>
            <w:tcW w:w="1277" w:type="dxa"/>
            <w:vAlign w:val="center"/>
          </w:tcPr>
          <w:p w14:paraId="004E1D64">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面积（hm</w:t>
            </w:r>
            <w:r>
              <w:rPr>
                <w:rFonts w:ascii="Times New Roman" w:hAnsi="Times New Roman" w:eastAsia="宋体" w:cs="Times New Roman"/>
                <w:b/>
                <w:color w:val="auto"/>
                <w:highlight w:val="none"/>
                <w:vertAlign w:val="superscript"/>
              </w:rPr>
              <w:t>2</w:t>
            </w:r>
            <w:r>
              <w:rPr>
                <w:rFonts w:ascii="Times New Roman" w:hAnsi="Times New Roman" w:eastAsia="宋体" w:cs="Times New Roman"/>
                <w:b/>
                <w:color w:val="auto"/>
                <w:highlight w:val="none"/>
              </w:rPr>
              <w:t>）</w:t>
            </w:r>
          </w:p>
        </w:tc>
        <w:tc>
          <w:tcPr>
            <w:tcW w:w="3438" w:type="dxa"/>
            <w:vAlign w:val="center"/>
          </w:tcPr>
          <w:p w14:paraId="5BA22ED0">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开采前特征</w:t>
            </w:r>
          </w:p>
        </w:tc>
        <w:tc>
          <w:tcPr>
            <w:tcW w:w="2462" w:type="dxa"/>
            <w:vAlign w:val="center"/>
          </w:tcPr>
          <w:p w14:paraId="4D651CDF">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开采后特征</w:t>
            </w:r>
          </w:p>
        </w:tc>
      </w:tr>
      <w:tr w14:paraId="0EDF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1384" w:type="dxa"/>
            <w:vAlign w:val="center"/>
          </w:tcPr>
          <w:p w14:paraId="2911ED99">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终采平台区</w:t>
            </w:r>
          </w:p>
        </w:tc>
        <w:tc>
          <w:tcPr>
            <w:tcW w:w="1277" w:type="dxa"/>
            <w:vAlign w:val="center"/>
          </w:tcPr>
          <w:p w14:paraId="73ACC2F2">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0.6</w:t>
            </w:r>
          </w:p>
        </w:tc>
        <w:tc>
          <w:tcPr>
            <w:tcW w:w="3438" w:type="dxa"/>
            <w:vMerge w:val="restart"/>
            <w:vAlign w:val="center"/>
          </w:tcPr>
          <w:p w14:paraId="5A827571">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矿区位于四川盆地中部。区内以方山、浑圆状或垅岗状山丘为主的丘陵地貌特征。区内最高海拔392m，最低338m左右，相对高差54m左右，为浅丘地貌。由于组成山谷均为较软弱地层，常形成脚基相连的缓坡、缓梁及山脊。</w:t>
            </w:r>
          </w:p>
          <w:p w14:paraId="42A1652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矿区范围内植被较发育，</w:t>
            </w:r>
            <w:r>
              <w:rPr>
                <w:rFonts w:hint="eastAsia" w:ascii="Times New Roman" w:hAnsi="Times New Roman" w:eastAsia="宋体" w:cs="Times New Roman"/>
                <w:color w:val="auto"/>
                <w:highlight w:val="none"/>
              </w:rPr>
              <w:t>植被以灌木、荆棘、乔木为主，覆盖率约</w:t>
            </w:r>
            <w:r>
              <w:rPr>
                <w:rFonts w:ascii="Times New Roman" w:hAnsi="Times New Roman" w:eastAsia="宋体" w:cs="Times New Roman"/>
                <w:color w:val="auto"/>
                <w:highlight w:val="none"/>
              </w:rPr>
              <w:t>80%。</w:t>
            </w:r>
          </w:p>
        </w:tc>
        <w:tc>
          <w:tcPr>
            <w:tcW w:w="2462" w:type="dxa"/>
            <w:vAlign w:val="center"/>
          </w:tcPr>
          <w:p w14:paraId="387AD9E7">
            <w:pPr>
              <w:jc w:val="center"/>
              <w:rPr>
                <w:rFonts w:ascii="Times New Roman" w:hAnsi="Times New Roman" w:eastAsia="宋体" w:cs="Times New Roman"/>
                <w:color w:val="auto"/>
                <w:highlight w:val="none"/>
              </w:rPr>
            </w:pPr>
            <w:r>
              <w:rPr>
                <w:rFonts w:eastAsia="宋体"/>
                <w:color w:val="auto"/>
                <w:highlight w:val="none"/>
              </w:rPr>
              <w:t>土地被剥离挖损，植被被破坏，场地较平坦，场地内岩石裸露。坡度约0°</w:t>
            </w:r>
            <w:r>
              <w:rPr>
                <w:color w:val="auto"/>
                <w:highlight w:val="none"/>
              </w:rPr>
              <w:t>～</w:t>
            </w:r>
            <w:r>
              <w:rPr>
                <w:rFonts w:eastAsia="宋体"/>
                <w:color w:val="auto"/>
                <w:highlight w:val="none"/>
              </w:rPr>
              <w:t>5°。</w:t>
            </w:r>
          </w:p>
        </w:tc>
      </w:tr>
      <w:tr w14:paraId="0D5F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1384" w:type="dxa"/>
            <w:vAlign w:val="center"/>
          </w:tcPr>
          <w:p w14:paraId="529918A4">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终采边坡区</w:t>
            </w:r>
          </w:p>
        </w:tc>
        <w:tc>
          <w:tcPr>
            <w:tcW w:w="1277" w:type="dxa"/>
            <w:vAlign w:val="center"/>
          </w:tcPr>
          <w:p w14:paraId="2F852407">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0.2</w:t>
            </w:r>
          </w:p>
        </w:tc>
        <w:tc>
          <w:tcPr>
            <w:tcW w:w="3438" w:type="dxa"/>
            <w:vMerge w:val="continue"/>
            <w:vAlign w:val="center"/>
          </w:tcPr>
          <w:p w14:paraId="49722AF0">
            <w:pPr>
              <w:jc w:val="center"/>
              <w:rPr>
                <w:rFonts w:ascii="Times New Roman" w:hAnsi="Times New Roman" w:eastAsia="宋体" w:cs="Times New Roman"/>
                <w:color w:val="auto"/>
                <w:highlight w:val="none"/>
              </w:rPr>
            </w:pPr>
          </w:p>
        </w:tc>
        <w:tc>
          <w:tcPr>
            <w:tcW w:w="2462" w:type="dxa"/>
            <w:vAlign w:val="center"/>
          </w:tcPr>
          <w:p w14:paraId="648F4234">
            <w:pPr>
              <w:jc w:val="center"/>
              <w:rPr>
                <w:rFonts w:ascii="Times New Roman" w:hAnsi="Times New Roman" w:eastAsia="宋体" w:cs="Times New Roman"/>
                <w:color w:val="auto"/>
                <w:highlight w:val="none"/>
              </w:rPr>
            </w:pPr>
            <w:r>
              <w:rPr>
                <w:rFonts w:eastAsia="宋体"/>
                <w:color w:val="auto"/>
                <w:highlight w:val="none"/>
              </w:rPr>
              <w:t>土地被剥离挖损，植被被破坏，场地内岩石裸露，开采后形成高高陡边坡，最终边坡角</w:t>
            </w:r>
            <w:r>
              <w:rPr>
                <w:rFonts w:hint="eastAsia" w:eastAsia="宋体"/>
                <w:color w:val="auto"/>
                <w:highlight w:val="none"/>
              </w:rPr>
              <w:t>60</w:t>
            </w:r>
            <w:r>
              <w:rPr>
                <w:rFonts w:eastAsia="宋体"/>
                <w:color w:val="auto"/>
                <w:highlight w:val="none"/>
              </w:rPr>
              <w:t>°，形成高陡的台阶。</w:t>
            </w:r>
          </w:p>
        </w:tc>
      </w:tr>
    </w:tbl>
    <w:p w14:paraId="74F076A3">
      <w:pPr>
        <w:spacing w:before="156" w:beforeLines="50"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4、评价单元可复垦方向的选择</w:t>
      </w:r>
    </w:p>
    <w:p w14:paraId="0887081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评价单元可复垦方向的选择依据矿山损毁地块的实际情况和当地的主要土地利用方式确定为旱地、乔木林地、其他草地。</w:t>
      </w:r>
    </w:p>
    <w:p w14:paraId="33B1916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5、各复垦方向评价等级的确定</w:t>
      </w:r>
    </w:p>
    <w:p w14:paraId="0BE85D4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项目区的实际情况和复垦后的土地用途，参考《土地复垦质量控制标准》、《第二次全国土壤普查技术规范》等资料，确定选择土地质地、地形坡度、土壤有机质含量、土地利用现状、地质灾害、灌溉条件、排水条件、岩土污染、有效土层厚度等作为宜性评价的因子，评价本项目待复垦土地的宜垦情况。90分以上为宜水田类，60～90分为宜旱地类，40～60分为宜草宜林类。</w:t>
      </w:r>
    </w:p>
    <w:p w14:paraId="2E131DE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其评价标准和权重见下表（表4-3）：</w:t>
      </w:r>
    </w:p>
    <w:p w14:paraId="2D5F6432">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表4-3  复垦土地主要限制因素的等级标准各类参评单元适宜性评价一览表</w:t>
      </w:r>
    </w:p>
    <w:tbl>
      <w:tblPr>
        <w:tblStyle w:val="23"/>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6"/>
        <w:gridCol w:w="3110"/>
        <w:gridCol w:w="1932"/>
      </w:tblGrid>
      <w:tr w14:paraId="7BCF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Align w:val="center"/>
          </w:tcPr>
          <w:p w14:paraId="3E49DEBB">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因子及满分</w:t>
            </w:r>
          </w:p>
        </w:tc>
        <w:tc>
          <w:tcPr>
            <w:tcW w:w="3110" w:type="dxa"/>
            <w:vAlign w:val="center"/>
          </w:tcPr>
          <w:p w14:paraId="09FBC26F">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指标</w:t>
            </w:r>
          </w:p>
        </w:tc>
        <w:tc>
          <w:tcPr>
            <w:tcW w:w="1932" w:type="dxa"/>
            <w:vAlign w:val="center"/>
          </w:tcPr>
          <w:p w14:paraId="0854EEF4">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权重指数</w:t>
            </w:r>
          </w:p>
        </w:tc>
      </w:tr>
      <w:tr w14:paraId="52EB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14:paraId="53319E0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土壤质地</w:t>
            </w:r>
          </w:p>
          <w:p w14:paraId="70767A7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c>
          <w:tcPr>
            <w:tcW w:w="3110" w:type="dxa"/>
            <w:vAlign w:val="center"/>
          </w:tcPr>
          <w:p w14:paraId="62B372D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壤土</w:t>
            </w:r>
          </w:p>
        </w:tc>
        <w:tc>
          <w:tcPr>
            <w:tcW w:w="1932" w:type="dxa"/>
            <w:vAlign w:val="center"/>
          </w:tcPr>
          <w:p w14:paraId="7BB1949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14:paraId="11EC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3BB4F392">
            <w:pPr>
              <w:jc w:val="center"/>
              <w:rPr>
                <w:rFonts w:ascii="Times New Roman" w:hAnsi="Times New Roman" w:eastAsia="宋体" w:cs="Times New Roman"/>
                <w:color w:val="auto"/>
                <w:highlight w:val="none"/>
              </w:rPr>
            </w:pPr>
          </w:p>
        </w:tc>
        <w:tc>
          <w:tcPr>
            <w:tcW w:w="3110" w:type="dxa"/>
            <w:vAlign w:val="center"/>
          </w:tcPr>
          <w:p w14:paraId="716C869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粘土、砂壤土</w:t>
            </w:r>
          </w:p>
        </w:tc>
        <w:tc>
          <w:tcPr>
            <w:tcW w:w="1932" w:type="dxa"/>
            <w:vAlign w:val="center"/>
          </w:tcPr>
          <w:p w14:paraId="5CD904E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7</w:t>
            </w:r>
          </w:p>
        </w:tc>
      </w:tr>
      <w:tr w14:paraId="1741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1191CB67">
            <w:pPr>
              <w:jc w:val="center"/>
              <w:rPr>
                <w:rFonts w:ascii="Times New Roman" w:hAnsi="Times New Roman" w:eastAsia="宋体" w:cs="Times New Roman"/>
                <w:color w:val="auto"/>
                <w:highlight w:val="none"/>
              </w:rPr>
            </w:pPr>
          </w:p>
        </w:tc>
        <w:tc>
          <w:tcPr>
            <w:tcW w:w="3110" w:type="dxa"/>
            <w:vAlign w:val="center"/>
          </w:tcPr>
          <w:p w14:paraId="72CBC6E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重粘土、砂土</w:t>
            </w:r>
          </w:p>
        </w:tc>
        <w:tc>
          <w:tcPr>
            <w:tcW w:w="1932" w:type="dxa"/>
            <w:vAlign w:val="center"/>
          </w:tcPr>
          <w:p w14:paraId="76DDDF6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14:paraId="27A8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3FF7ABBF">
            <w:pPr>
              <w:jc w:val="center"/>
              <w:rPr>
                <w:rFonts w:ascii="Times New Roman" w:hAnsi="Times New Roman" w:eastAsia="宋体" w:cs="Times New Roman"/>
                <w:color w:val="auto"/>
                <w:highlight w:val="none"/>
              </w:rPr>
            </w:pPr>
          </w:p>
        </w:tc>
        <w:tc>
          <w:tcPr>
            <w:tcW w:w="3110" w:type="dxa"/>
            <w:vAlign w:val="center"/>
          </w:tcPr>
          <w:p w14:paraId="4AC2763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砂质土、砾质</w:t>
            </w:r>
          </w:p>
        </w:tc>
        <w:tc>
          <w:tcPr>
            <w:tcW w:w="1932" w:type="dxa"/>
            <w:vAlign w:val="center"/>
          </w:tcPr>
          <w:p w14:paraId="47011EC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r>
      <w:tr w14:paraId="0155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7AEE073B">
            <w:pPr>
              <w:jc w:val="center"/>
              <w:rPr>
                <w:rFonts w:ascii="Times New Roman" w:hAnsi="Times New Roman" w:eastAsia="宋体" w:cs="Times New Roman"/>
                <w:color w:val="auto"/>
                <w:highlight w:val="none"/>
              </w:rPr>
            </w:pPr>
          </w:p>
        </w:tc>
        <w:tc>
          <w:tcPr>
            <w:tcW w:w="3110" w:type="dxa"/>
            <w:vAlign w:val="center"/>
          </w:tcPr>
          <w:p w14:paraId="1AE791F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石质</w:t>
            </w:r>
          </w:p>
        </w:tc>
        <w:tc>
          <w:tcPr>
            <w:tcW w:w="1932" w:type="dxa"/>
            <w:vAlign w:val="center"/>
          </w:tcPr>
          <w:p w14:paraId="0A30A7A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14:paraId="50A4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14:paraId="74BBF08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地形坡度（°）</w:t>
            </w:r>
          </w:p>
          <w:p w14:paraId="3F87842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（12）</w:t>
            </w:r>
          </w:p>
        </w:tc>
        <w:tc>
          <w:tcPr>
            <w:tcW w:w="3110" w:type="dxa"/>
            <w:vAlign w:val="center"/>
          </w:tcPr>
          <w:p w14:paraId="1CBEBD0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 2</w:t>
            </w:r>
          </w:p>
        </w:tc>
        <w:tc>
          <w:tcPr>
            <w:tcW w:w="1932" w:type="dxa"/>
            <w:vAlign w:val="center"/>
          </w:tcPr>
          <w:p w14:paraId="437ADBC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12</w:t>
            </w:r>
          </w:p>
        </w:tc>
      </w:tr>
      <w:tr w14:paraId="3A0F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7D94A058">
            <w:pPr>
              <w:jc w:val="center"/>
              <w:rPr>
                <w:rFonts w:ascii="Times New Roman" w:hAnsi="Times New Roman" w:eastAsia="宋体" w:cs="Times New Roman"/>
                <w:color w:val="auto"/>
                <w:highlight w:val="none"/>
              </w:rPr>
            </w:pPr>
          </w:p>
        </w:tc>
        <w:tc>
          <w:tcPr>
            <w:tcW w:w="3110" w:type="dxa"/>
            <w:vAlign w:val="center"/>
          </w:tcPr>
          <w:p w14:paraId="3EC2584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2～5</w:t>
            </w:r>
          </w:p>
        </w:tc>
        <w:tc>
          <w:tcPr>
            <w:tcW w:w="1932" w:type="dxa"/>
            <w:vAlign w:val="center"/>
          </w:tcPr>
          <w:p w14:paraId="61C2C7A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14:paraId="0615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1CE6511A">
            <w:pPr>
              <w:jc w:val="center"/>
              <w:rPr>
                <w:rFonts w:ascii="Times New Roman" w:hAnsi="Times New Roman" w:eastAsia="宋体" w:cs="Times New Roman"/>
                <w:color w:val="auto"/>
                <w:highlight w:val="none"/>
              </w:rPr>
            </w:pPr>
          </w:p>
        </w:tc>
        <w:tc>
          <w:tcPr>
            <w:tcW w:w="3110" w:type="dxa"/>
            <w:vAlign w:val="center"/>
          </w:tcPr>
          <w:p w14:paraId="7C74694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5～8</w:t>
            </w:r>
          </w:p>
        </w:tc>
        <w:tc>
          <w:tcPr>
            <w:tcW w:w="1932" w:type="dxa"/>
            <w:vAlign w:val="center"/>
          </w:tcPr>
          <w:p w14:paraId="4EAFF67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14:paraId="7048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3B9C4AF4">
            <w:pPr>
              <w:jc w:val="center"/>
              <w:rPr>
                <w:rFonts w:ascii="Times New Roman" w:hAnsi="Times New Roman" w:eastAsia="宋体" w:cs="Times New Roman"/>
                <w:color w:val="auto"/>
                <w:highlight w:val="none"/>
              </w:rPr>
            </w:pPr>
          </w:p>
        </w:tc>
        <w:tc>
          <w:tcPr>
            <w:tcW w:w="3110" w:type="dxa"/>
            <w:vAlign w:val="center"/>
          </w:tcPr>
          <w:p w14:paraId="7EB8F37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8～15</w:t>
            </w:r>
          </w:p>
        </w:tc>
        <w:tc>
          <w:tcPr>
            <w:tcW w:w="1932" w:type="dxa"/>
            <w:vAlign w:val="center"/>
          </w:tcPr>
          <w:p w14:paraId="07D8173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r>
      <w:tr w14:paraId="2B12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0FD4EAFB">
            <w:pPr>
              <w:jc w:val="center"/>
              <w:rPr>
                <w:rFonts w:ascii="Times New Roman" w:hAnsi="Times New Roman" w:eastAsia="宋体" w:cs="Times New Roman"/>
                <w:color w:val="auto"/>
                <w:highlight w:val="none"/>
              </w:rPr>
            </w:pPr>
          </w:p>
        </w:tc>
        <w:tc>
          <w:tcPr>
            <w:tcW w:w="3110" w:type="dxa"/>
            <w:vAlign w:val="center"/>
          </w:tcPr>
          <w:p w14:paraId="2CF7295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15～25</w:t>
            </w:r>
          </w:p>
        </w:tc>
        <w:tc>
          <w:tcPr>
            <w:tcW w:w="1932" w:type="dxa"/>
            <w:vAlign w:val="center"/>
          </w:tcPr>
          <w:p w14:paraId="7EBDCA7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r>
      <w:tr w14:paraId="7A61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0C7CFE7B">
            <w:pPr>
              <w:jc w:val="center"/>
              <w:rPr>
                <w:rFonts w:ascii="Times New Roman" w:hAnsi="Times New Roman" w:eastAsia="宋体" w:cs="Times New Roman"/>
                <w:color w:val="auto"/>
                <w:highlight w:val="none"/>
              </w:rPr>
            </w:pPr>
          </w:p>
        </w:tc>
        <w:tc>
          <w:tcPr>
            <w:tcW w:w="3110" w:type="dxa"/>
            <w:vAlign w:val="center"/>
          </w:tcPr>
          <w:p w14:paraId="5988451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&gt;25</w:t>
            </w:r>
          </w:p>
        </w:tc>
        <w:tc>
          <w:tcPr>
            <w:tcW w:w="1932" w:type="dxa"/>
            <w:vAlign w:val="center"/>
          </w:tcPr>
          <w:p w14:paraId="194A6C0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14:paraId="01B6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14:paraId="03F1566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土壤有机质含量（g·kg</w:t>
            </w:r>
            <w:r>
              <w:rPr>
                <w:rFonts w:ascii="Times New Roman" w:hAnsi="Times New Roman" w:eastAsia="宋体" w:cs="Times New Roman"/>
                <w:color w:val="auto"/>
                <w:highlight w:val="none"/>
                <w:vertAlign w:val="superscript"/>
              </w:rPr>
              <w:t>-1</w:t>
            </w:r>
            <w:r>
              <w:rPr>
                <w:rFonts w:ascii="Times New Roman" w:hAnsi="Times New Roman" w:eastAsia="宋体" w:cs="Times New Roman"/>
                <w:color w:val="auto"/>
                <w:highlight w:val="none"/>
              </w:rPr>
              <w:t>）</w:t>
            </w:r>
          </w:p>
          <w:p w14:paraId="7CDF579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c>
          <w:tcPr>
            <w:tcW w:w="3110" w:type="dxa"/>
            <w:vAlign w:val="center"/>
          </w:tcPr>
          <w:p w14:paraId="6FFA219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&gt;4％</w:t>
            </w:r>
          </w:p>
        </w:tc>
        <w:tc>
          <w:tcPr>
            <w:tcW w:w="1932" w:type="dxa"/>
            <w:vAlign w:val="center"/>
          </w:tcPr>
          <w:p w14:paraId="4EE3575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r>
      <w:tr w14:paraId="415B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01F91DE3">
            <w:pPr>
              <w:jc w:val="center"/>
              <w:rPr>
                <w:rFonts w:ascii="Times New Roman" w:hAnsi="Times New Roman" w:eastAsia="宋体" w:cs="Times New Roman"/>
                <w:color w:val="auto"/>
                <w:highlight w:val="none"/>
              </w:rPr>
            </w:pPr>
          </w:p>
        </w:tc>
        <w:tc>
          <w:tcPr>
            <w:tcW w:w="3110" w:type="dxa"/>
            <w:vAlign w:val="center"/>
          </w:tcPr>
          <w:p w14:paraId="5D3AC8F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4％～3％</w:t>
            </w:r>
          </w:p>
        </w:tc>
        <w:tc>
          <w:tcPr>
            <w:tcW w:w="1932" w:type="dxa"/>
            <w:vAlign w:val="center"/>
          </w:tcPr>
          <w:p w14:paraId="7ADB987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13</w:t>
            </w:r>
          </w:p>
        </w:tc>
      </w:tr>
      <w:tr w14:paraId="2CCC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74F8C671">
            <w:pPr>
              <w:jc w:val="center"/>
              <w:rPr>
                <w:rFonts w:ascii="Times New Roman" w:hAnsi="Times New Roman" w:eastAsia="宋体" w:cs="Times New Roman"/>
                <w:color w:val="auto"/>
                <w:highlight w:val="none"/>
              </w:rPr>
            </w:pPr>
          </w:p>
        </w:tc>
        <w:tc>
          <w:tcPr>
            <w:tcW w:w="3110" w:type="dxa"/>
            <w:vAlign w:val="center"/>
          </w:tcPr>
          <w:p w14:paraId="5D75446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3％～2％</w:t>
            </w:r>
          </w:p>
        </w:tc>
        <w:tc>
          <w:tcPr>
            <w:tcW w:w="1932" w:type="dxa"/>
            <w:vAlign w:val="center"/>
          </w:tcPr>
          <w:p w14:paraId="2783D7E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11</w:t>
            </w:r>
          </w:p>
        </w:tc>
      </w:tr>
      <w:tr w14:paraId="4834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5DA0A7EF">
            <w:pPr>
              <w:jc w:val="center"/>
              <w:rPr>
                <w:rFonts w:ascii="Times New Roman" w:hAnsi="Times New Roman" w:eastAsia="宋体" w:cs="Times New Roman"/>
                <w:color w:val="auto"/>
                <w:highlight w:val="none"/>
              </w:rPr>
            </w:pPr>
          </w:p>
        </w:tc>
        <w:tc>
          <w:tcPr>
            <w:tcW w:w="3110" w:type="dxa"/>
            <w:vAlign w:val="center"/>
          </w:tcPr>
          <w:p w14:paraId="3C1433C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2％～1％</w:t>
            </w:r>
          </w:p>
        </w:tc>
        <w:tc>
          <w:tcPr>
            <w:tcW w:w="1932" w:type="dxa"/>
            <w:vAlign w:val="center"/>
          </w:tcPr>
          <w:p w14:paraId="6CA1AFB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14:paraId="2792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118B5DE1">
            <w:pPr>
              <w:jc w:val="center"/>
              <w:rPr>
                <w:rFonts w:ascii="Times New Roman" w:hAnsi="Times New Roman" w:eastAsia="宋体" w:cs="Times New Roman"/>
                <w:color w:val="auto"/>
                <w:highlight w:val="none"/>
              </w:rPr>
            </w:pPr>
          </w:p>
        </w:tc>
        <w:tc>
          <w:tcPr>
            <w:tcW w:w="3110" w:type="dxa"/>
            <w:vAlign w:val="center"/>
          </w:tcPr>
          <w:p w14:paraId="6D65CA7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0.6～1％</w:t>
            </w:r>
          </w:p>
        </w:tc>
        <w:tc>
          <w:tcPr>
            <w:tcW w:w="1932" w:type="dxa"/>
            <w:vAlign w:val="center"/>
          </w:tcPr>
          <w:p w14:paraId="79D91FB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r>
      <w:tr w14:paraId="421A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39AC4F99">
            <w:pPr>
              <w:jc w:val="center"/>
              <w:rPr>
                <w:rFonts w:ascii="Times New Roman" w:hAnsi="Times New Roman" w:eastAsia="宋体" w:cs="Times New Roman"/>
                <w:color w:val="auto"/>
                <w:highlight w:val="none"/>
              </w:rPr>
            </w:pPr>
          </w:p>
        </w:tc>
        <w:tc>
          <w:tcPr>
            <w:tcW w:w="3110" w:type="dxa"/>
            <w:vAlign w:val="center"/>
          </w:tcPr>
          <w:p w14:paraId="28A91D4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 0.6％</w:t>
            </w:r>
          </w:p>
        </w:tc>
        <w:tc>
          <w:tcPr>
            <w:tcW w:w="1932" w:type="dxa"/>
            <w:vAlign w:val="center"/>
          </w:tcPr>
          <w:p w14:paraId="721E11F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r>
      <w:tr w14:paraId="2D5E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14:paraId="5366490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土地利用现状</w:t>
            </w:r>
          </w:p>
          <w:p w14:paraId="5D97232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c>
          <w:tcPr>
            <w:tcW w:w="3110" w:type="dxa"/>
            <w:vAlign w:val="center"/>
          </w:tcPr>
          <w:p w14:paraId="6D9376D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平田</w:t>
            </w:r>
          </w:p>
        </w:tc>
        <w:tc>
          <w:tcPr>
            <w:tcW w:w="1932" w:type="dxa"/>
            <w:vAlign w:val="center"/>
          </w:tcPr>
          <w:p w14:paraId="097EEEA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r>
      <w:tr w14:paraId="610A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416" w:type="dxa"/>
            <w:vMerge w:val="continue"/>
            <w:vAlign w:val="center"/>
          </w:tcPr>
          <w:p w14:paraId="7B87C548">
            <w:pPr>
              <w:jc w:val="center"/>
              <w:rPr>
                <w:rFonts w:ascii="Times New Roman" w:hAnsi="Times New Roman" w:eastAsia="宋体" w:cs="Times New Roman"/>
                <w:color w:val="auto"/>
                <w:highlight w:val="none"/>
              </w:rPr>
            </w:pPr>
          </w:p>
        </w:tc>
        <w:tc>
          <w:tcPr>
            <w:tcW w:w="3110" w:type="dxa"/>
            <w:vAlign w:val="center"/>
          </w:tcPr>
          <w:p w14:paraId="45E43E4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梯田、平地、菜地</w:t>
            </w:r>
          </w:p>
        </w:tc>
        <w:tc>
          <w:tcPr>
            <w:tcW w:w="1932" w:type="dxa"/>
            <w:vAlign w:val="center"/>
          </w:tcPr>
          <w:p w14:paraId="77AF62B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13</w:t>
            </w:r>
          </w:p>
        </w:tc>
      </w:tr>
      <w:tr w14:paraId="103C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43E26938">
            <w:pPr>
              <w:jc w:val="center"/>
              <w:rPr>
                <w:rFonts w:ascii="Times New Roman" w:hAnsi="Times New Roman" w:eastAsia="宋体" w:cs="Times New Roman"/>
                <w:color w:val="auto"/>
                <w:highlight w:val="none"/>
              </w:rPr>
            </w:pPr>
          </w:p>
        </w:tc>
        <w:tc>
          <w:tcPr>
            <w:tcW w:w="3110" w:type="dxa"/>
            <w:vAlign w:val="center"/>
          </w:tcPr>
          <w:p w14:paraId="50447AB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梯地</w:t>
            </w:r>
          </w:p>
        </w:tc>
        <w:tc>
          <w:tcPr>
            <w:tcW w:w="1932" w:type="dxa"/>
            <w:vAlign w:val="center"/>
          </w:tcPr>
          <w:p w14:paraId="47C53BD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11</w:t>
            </w:r>
          </w:p>
        </w:tc>
      </w:tr>
      <w:tr w14:paraId="4CB2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0778B6E3">
            <w:pPr>
              <w:jc w:val="center"/>
              <w:rPr>
                <w:rFonts w:ascii="Times New Roman" w:hAnsi="Times New Roman" w:eastAsia="宋体" w:cs="Times New Roman"/>
                <w:color w:val="auto"/>
                <w:highlight w:val="none"/>
              </w:rPr>
            </w:pPr>
          </w:p>
        </w:tc>
        <w:tc>
          <w:tcPr>
            <w:tcW w:w="3110" w:type="dxa"/>
            <w:vAlign w:val="center"/>
          </w:tcPr>
          <w:p w14:paraId="1626BB5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坡地、望天田</w:t>
            </w:r>
          </w:p>
        </w:tc>
        <w:tc>
          <w:tcPr>
            <w:tcW w:w="1932" w:type="dxa"/>
            <w:vAlign w:val="center"/>
          </w:tcPr>
          <w:p w14:paraId="4D6B135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9</w:t>
            </w:r>
          </w:p>
        </w:tc>
      </w:tr>
      <w:tr w14:paraId="1CA8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5C9A89A9">
            <w:pPr>
              <w:jc w:val="center"/>
              <w:rPr>
                <w:rFonts w:ascii="Times New Roman" w:hAnsi="Times New Roman" w:eastAsia="宋体" w:cs="Times New Roman"/>
                <w:color w:val="auto"/>
                <w:highlight w:val="none"/>
              </w:rPr>
            </w:pPr>
          </w:p>
        </w:tc>
        <w:tc>
          <w:tcPr>
            <w:tcW w:w="3110" w:type="dxa"/>
            <w:vAlign w:val="center"/>
          </w:tcPr>
          <w:p w14:paraId="4EA5595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园地</w:t>
            </w:r>
          </w:p>
        </w:tc>
        <w:tc>
          <w:tcPr>
            <w:tcW w:w="1932" w:type="dxa"/>
            <w:vAlign w:val="center"/>
          </w:tcPr>
          <w:p w14:paraId="4886B69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14:paraId="669F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1B80521F">
            <w:pPr>
              <w:jc w:val="center"/>
              <w:rPr>
                <w:rFonts w:ascii="Times New Roman" w:hAnsi="Times New Roman" w:eastAsia="宋体" w:cs="Times New Roman"/>
                <w:color w:val="auto"/>
                <w:highlight w:val="none"/>
              </w:rPr>
            </w:pPr>
          </w:p>
        </w:tc>
        <w:tc>
          <w:tcPr>
            <w:tcW w:w="3110" w:type="dxa"/>
            <w:vAlign w:val="center"/>
          </w:tcPr>
          <w:p w14:paraId="2CCF163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林地</w:t>
            </w:r>
          </w:p>
        </w:tc>
        <w:tc>
          <w:tcPr>
            <w:tcW w:w="1932" w:type="dxa"/>
            <w:vAlign w:val="center"/>
          </w:tcPr>
          <w:p w14:paraId="4188B20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14:paraId="26D4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3B4E0B3F">
            <w:pPr>
              <w:jc w:val="center"/>
              <w:rPr>
                <w:rFonts w:ascii="Times New Roman" w:hAnsi="Times New Roman" w:eastAsia="宋体" w:cs="Times New Roman"/>
                <w:color w:val="auto"/>
                <w:highlight w:val="none"/>
              </w:rPr>
            </w:pPr>
          </w:p>
        </w:tc>
        <w:tc>
          <w:tcPr>
            <w:tcW w:w="3110" w:type="dxa"/>
            <w:vAlign w:val="center"/>
          </w:tcPr>
          <w:p w14:paraId="1B12FD5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牧草地、荒草地</w:t>
            </w:r>
          </w:p>
        </w:tc>
        <w:tc>
          <w:tcPr>
            <w:tcW w:w="1932" w:type="dxa"/>
            <w:vAlign w:val="center"/>
          </w:tcPr>
          <w:p w14:paraId="0BDFC00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r>
      <w:tr w14:paraId="5CE5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3098FFA2">
            <w:pPr>
              <w:jc w:val="center"/>
              <w:rPr>
                <w:rFonts w:ascii="Times New Roman" w:hAnsi="Times New Roman" w:eastAsia="宋体" w:cs="Times New Roman"/>
                <w:color w:val="auto"/>
                <w:highlight w:val="none"/>
              </w:rPr>
            </w:pPr>
          </w:p>
        </w:tc>
        <w:tc>
          <w:tcPr>
            <w:tcW w:w="3110" w:type="dxa"/>
            <w:vAlign w:val="center"/>
          </w:tcPr>
          <w:p w14:paraId="2D54AC3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裸土地、裸岩石砾地</w:t>
            </w:r>
          </w:p>
        </w:tc>
        <w:tc>
          <w:tcPr>
            <w:tcW w:w="1932" w:type="dxa"/>
            <w:vAlign w:val="center"/>
          </w:tcPr>
          <w:p w14:paraId="03B21A7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14:paraId="6E44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14:paraId="4DFCD65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地质灾害危险性程度</w:t>
            </w:r>
          </w:p>
          <w:p w14:paraId="55EDDAB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c>
          <w:tcPr>
            <w:tcW w:w="3110" w:type="dxa"/>
            <w:vAlign w:val="center"/>
          </w:tcPr>
          <w:p w14:paraId="56C6166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良好</w:t>
            </w:r>
          </w:p>
        </w:tc>
        <w:tc>
          <w:tcPr>
            <w:tcW w:w="1932" w:type="dxa"/>
            <w:vAlign w:val="center"/>
          </w:tcPr>
          <w:p w14:paraId="1394763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14:paraId="4428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031C5ACB">
            <w:pPr>
              <w:jc w:val="center"/>
              <w:rPr>
                <w:rFonts w:ascii="Times New Roman" w:hAnsi="Times New Roman" w:eastAsia="宋体" w:cs="Times New Roman"/>
                <w:color w:val="auto"/>
                <w:highlight w:val="none"/>
              </w:rPr>
            </w:pPr>
          </w:p>
        </w:tc>
        <w:tc>
          <w:tcPr>
            <w:tcW w:w="3110" w:type="dxa"/>
            <w:vAlign w:val="center"/>
          </w:tcPr>
          <w:p w14:paraId="0437843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轻度</w:t>
            </w:r>
          </w:p>
        </w:tc>
        <w:tc>
          <w:tcPr>
            <w:tcW w:w="1932" w:type="dxa"/>
            <w:vAlign w:val="center"/>
          </w:tcPr>
          <w:p w14:paraId="78FB559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r>
      <w:tr w14:paraId="1E73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033D5B95">
            <w:pPr>
              <w:jc w:val="center"/>
              <w:rPr>
                <w:rFonts w:ascii="Times New Roman" w:hAnsi="Times New Roman" w:eastAsia="宋体" w:cs="Times New Roman"/>
                <w:color w:val="auto"/>
                <w:highlight w:val="none"/>
              </w:rPr>
            </w:pPr>
          </w:p>
        </w:tc>
        <w:tc>
          <w:tcPr>
            <w:tcW w:w="3110" w:type="dxa"/>
            <w:vAlign w:val="center"/>
          </w:tcPr>
          <w:p w14:paraId="2405364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严重</w:t>
            </w:r>
          </w:p>
        </w:tc>
        <w:tc>
          <w:tcPr>
            <w:tcW w:w="1932" w:type="dxa"/>
            <w:vAlign w:val="center"/>
          </w:tcPr>
          <w:p w14:paraId="6F6FDF4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14:paraId="6AD1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restart"/>
            <w:vAlign w:val="center"/>
          </w:tcPr>
          <w:p w14:paraId="1D7C0CD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灌溉条件</w:t>
            </w:r>
          </w:p>
          <w:p w14:paraId="2BFBA6A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c>
          <w:tcPr>
            <w:tcW w:w="3110" w:type="dxa"/>
            <w:vAlign w:val="center"/>
          </w:tcPr>
          <w:p w14:paraId="167FFF3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有稳定灌溉条件</w:t>
            </w:r>
          </w:p>
        </w:tc>
        <w:tc>
          <w:tcPr>
            <w:tcW w:w="1932" w:type="dxa"/>
            <w:vAlign w:val="center"/>
          </w:tcPr>
          <w:p w14:paraId="10EF0F8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14:paraId="77C2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55346BDF">
            <w:pPr>
              <w:jc w:val="center"/>
              <w:rPr>
                <w:rFonts w:ascii="Times New Roman" w:hAnsi="Times New Roman" w:eastAsia="宋体" w:cs="Times New Roman"/>
                <w:color w:val="auto"/>
                <w:highlight w:val="none"/>
              </w:rPr>
            </w:pPr>
          </w:p>
        </w:tc>
        <w:tc>
          <w:tcPr>
            <w:tcW w:w="3110" w:type="dxa"/>
            <w:vAlign w:val="center"/>
          </w:tcPr>
          <w:p w14:paraId="3D3F1C5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灌溉水源保证一般</w:t>
            </w:r>
          </w:p>
        </w:tc>
        <w:tc>
          <w:tcPr>
            <w:tcW w:w="1932" w:type="dxa"/>
            <w:vAlign w:val="center"/>
          </w:tcPr>
          <w:p w14:paraId="7282208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14:paraId="132E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094BB9A7">
            <w:pPr>
              <w:jc w:val="center"/>
              <w:rPr>
                <w:rFonts w:ascii="Times New Roman" w:hAnsi="Times New Roman" w:eastAsia="宋体" w:cs="Times New Roman"/>
                <w:color w:val="auto"/>
                <w:highlight w:val="none"/>
              </w:rPr>
            </w:pPr>
          </w:p>
        </w:tc>
        <w:tc>
          <w:tcPr>
            <w:tcW w:w="3110" w:type="dxa"/>
            <w:vAlign w:val="center"/>
          </w:tcPr>
          <w:p w14:paraId="214A419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灌溉水源保证差</w:t>
            </w:r>
          </w:p>
        </w:tc>
        <w:tc>
          <w:tcPr>
            <w:tcW w:w="1932" w:type="dxa"/>
            <w:vAlign w:val="center"/>
          </w:tcPr>
          <w:p w14:paraId="0B3C0E8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14:paraId="0D28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3416" w:type="dxa"/>
            <w:vMerge w:val="continue"/>
            <w:vAlign w:val="center"/>
          </w:tcPr>
          <w:p w14:paraId="68C865AC">
            <w:pPr>
              <w:jc w:val="center"/>
              <w:rPr>
                <w:rFonts w:ascii="Times New Roman" w:hAnsi="Times New Roman" w:eastAsia="宋体" w:cs="Times New Roman"/>
                <w:color w:val="auto"/>
                <w:highlight w:val="none"/>
              </w:rPr>
            </w:pPr>
          </w:p>
        </w:tc>
        <w:tc>
          <w:tcPr>
            <w:tcW w:w="3110" w:type="dxa"/>
            <w:vAlign w:val="center"/>
          </w:tcPr>
          <w:p w14:paraId="7BBA390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无灌溉水源保证</w:t>
            </w:r>
          </w:p>
        </w:tc>
        <w:tc>
          <w:tcPr>
            <w:tcW w:w="1932" w:type="dxa"/>
            <w:vAlign w:val="center"/>
          </w:tcPr>
          <w:p w14:paraId="58BA677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14:paraId="63A1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restart"/>
            <w:vAlign w:val="center"/>
          </w:tcPr>
          <w:p w14:paraId="3A667D6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排水条件</w:t>
            </w:r>
          </w:p>
          <w:p w14:paraId="3AF1FC5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c>
          <w:tcPr>
            <w:tcW w:w="3110" w:type="dxa"/>
            <w:vAlign w:val="center"/>
          </w:tcPr>
          <w:p w14:paraId="3A8C622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排水好</w:t>
            </w:r>
          </w:p>
        </w:tc>
        <w:tc>
          <w:tcPr>
            <w:tcW w:w="1932" w:type="dxa"/>
            <w:vAlign w:val="center"/>
          </w:tcPr>
          <w:p w14:paraId="4C1DAFA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14:paraId="6537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14:paraId="0D1ACA0C">
            <w:pPr>
              <w:jc w:val="center"/>
              <w:rPr>
                <w:rFonts w:ascii="Times New Roman" w:hAnsi="Times New Roman" w:eastAsia="宋体" w:cs="Times New Roman"/>
                <w:color w:val="auto"/>
                <w:highlight w:val="none"/>
              </w:rPr>
            </w:pPr>
          </w:p>
        </w:tc>
        <w:tc>
          <w:tcPr>
            <w:tcW w:w="3110" w:type="dxa"/>
            <w:vAlign w:val="center"/>
          </w:tcPr>
          <w:p w14:paraId="7E3EBA2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排水一般</w:t>
            </w:r>
          </w:p>
        </w:tc>
        <w:tc>
          <w:tcPr>
            <w:tcW w:w="1932" w:type="dxa"/>
            <w:vAlign w:val="center"/>
          </w:tcPr>
          <w:p w14:paraId="2A2DBFF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14:paraId="1377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14:paraId="43851F9C">
            <w:pPr>
              <w:jc w:val="center"/>
              <w:rPr>
                <w:rFonts w:ascii="Times New Roman" w:hAnsi="Times New Roman" w:eastAsia="宋体" w:cs="Times New Roman"/>
                <w:color w:val="auto"/>
                <w:highlight w:val="none"/>
              </w:rPr>
            </w:pPr>
          </w:p>
        </w:tc>
        <w:tc>
          <w:tcPr>
            <w:tcW w:w="3110" w:type="dxa"/>
            <w:vAlign w:val="center"/>
          </w:tcPr>
          <w:p w14:paraId="1693AC9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排水差</w:t>
            </w:r>
          </w:p>
        </w:tc>
        <w:tc>
          <w:tcPr>
            <w:tcW w:w="1932" w:type="dxa"/>
            <w:vAlign w:val="center"/>
          </w:tcPr>
          <w:p w14:paraId="2A71008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14:paraId="7972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14:paraId="1352CCCF">
            <w:pPr>
              <w:jc w:val="center"/>
              <w:rPr>
                <w:rFonts w:ascii="Times New Roman" w:hAnsi="Times New Roman" w:eastAsia="宋体" w:cs="Times New Roman"/>
                <w:color w:val="auto"/>
                <w:highlight w:val="none"/>
              </w:rPr>
            </w:pPr>
          </w:p>
        </w:tc>
        <w:tc>
          <w:tcPr>
            <w:tcW w:w="3110" w:type="dxa"/>
            <w:vAlign w:val="center"/>
          </w:tcPr>
          <w:p w14:paraId="0935CDF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无</w:t>
            </w:r>
          </w:p>
        </w:tc>
        <w:tc>
          <w:tcPr>
            <w:tcW w:w="1932" w:type="dxa"/>
            <w:vAlign w:val="center"/>
          </w:tcPr>
          <w:p w14:paraId="709B2A5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14:paraId="3228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restart"/>
            <w:vAlign w:val="center"/>
          </w:tcPr>
          <w:p w14:paraId="3315BA0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岩土污染</w:t>
            </w:r>
          </w:p>
          <w:p w14:paraId="0E127C6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c>
          <w:tcPr>
            <w:tcW w:w="3110" w:type="dxa"/>
            <w:vAlign w:val="center"/>
          </w:tcPr>
          <w:p w14:paraId="319D099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不</w:t>
            </w:r>
          </w:p>
        </w:tc>
        <w:tc>
          <w:tcPr>
            <w:tcW w:w="1932" w:type="dxa"/>
            <w:vAlign w:val="center"/>
          </w:tcPr>
          <w:p w14:paraId="30F3B05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14:paraId="4CC4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14:paraId="5F6801EE">
            <w:pPr>
              <w:jc w:val="center"/>
              <w:rPr>
                <w:rFonts w:ascii="Times New Roman" w:hAnsi="Times New Roman" w:eastAsia="宋体" w:cs="Times New Roman"/>
                <w:color w:val="auto"/>
                <w:highlight w:val="none"/>
              </w:rPr>
            </w:pPr>
          </w:p>
        </w:tc>
        <w:tc>
          <w:tcPr>
            <w:tcW w:w="3110" w:type="dxa"/>
            <w:vAlign w:val="center"/>
          </w:tcPr>
          <w:p w14:paraId="011D36D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轻度</w:t>
            </w:r>
          </w:p>
        </w:tc>
        <w:tc>
          <w:tcPr>
            <w:tcW w:w="1932" w:type="dxa"/>
            <w:vAlign w:val="center"/>
          </w:tcPr>
          <w:p w14:paraId="28DA836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14:paraId="039F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14:paraId="70E3C0EF">
            <w:pPr>
              <w:jc w:val="center"/>
              <w:rPr>
                <w:rFonts w:ascii="Times New Roman" w:hAnsi="Times New Roman" w:eastAsia="宋体" w:cs="Times New Roman"/>
                <w:color w:val="auto"/>
                <w:highlight w:val="none"/>
              </w:rPr>
            </w:pPr>
          </w:p>
        </w:tc>
        <w:tc>
          <w:tcPr>
            <w:tcW w:w="3110" w:type="dxa"/>
            <w:vAlign w:val="center"/>
          </w:tcPr>
          <w:p w14:paraId="26B8039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中度</w:t>
            </w:r>
          </w:p>
        </w:tc>
        <w:tc>
          <w:tcPr>
            <w:tcW w:w="1932" w:type="dxa"/>
            <w:vAlign w:val="center"/>
          </w:tcPr>
          <w:p w14:paraId="782A6AC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14:paraId="5F5A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14:paraId="768CE7CF">
            <w:pPr>
              <w:jc w:val="center"/>
              <w:rPr>
                <w:rFonts w:ascii="Times New Roman" w:hAnsi="Times New Roman" w:eastAsia="宋体" w:cs="Times New Roman"/>
                <w:color w:val="auto"/>
                <w:highlight w:val="none"/>
              </w:rPr>
            </w:pPr>
          </w:p>
        </w:tc>
        <w:tc>
          <w:tcPr>
            <w:tcW w:w="3110" w:type="dxa"/>
            <w:vAlign w:val="center"/>
          </w:tcPr>
          <w:p w14:paraId="1A497AF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重度</w:t>
            </w:r>
          </w:p>
        </w:tc>
        <w:tc>
          <w:tcPr>
            <w:tcW w:w="1932" w:type="dxa"/>
            <w:vAlign w:val="center"/>
          </w:tcPr>
          <w:p w14:paraId="68FB80A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14:paraId="20CD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restart"/>
            <w:vAlign w:val="center"/>
          </w:tcPr>
          <w:p w14:paraId="3A48683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有效土层厚度（cm）</w:t>
            </w:r>
          </w:p>
          <w:p w14:paraId="31400E0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c>
          <w:tcPr>
            <w:tcW w:w="3110" w:type="dxa"/>
            <w:vAlign w:val="center"/>
          </w:tcPr>
          <w:p w14:paraId="1E644E6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&gt;150</w:t>
            </w:r>
          </w:p>
        </w:tc>
        <w:tc>
          <w:tcPr>
            <w:tcW w:w="1932" w:type="dxa"/>
            <w:vAlign w:val="center"/>
          </w:tcPr>
          <w:p w14:paraId="513DAA0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w:t>
            </w:r>
          </w:p>
        </w:tc>
      </w:tr>
      <w:tr w14:paraId="0035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14:paraId="704543AD">
            <w:pPr>
              <w:jc w:val="center"/>
              <w:rPr>
                <w:rFonts w:ascii="Times New Roman" w:hAnsi="Times New Roman" w:eastAsia="宋体" w:cs="Times New Roman"/>
                <w:color w:val="auto"/>
                <w:highlight w:val="none"/>
              </w:rPr>
            </w:pPr>
          </w:p>
        </w:tc>
        <w:tc>
          <w:tcPr>
            <w:tcW w:w="3110" w:type="dxa"/>
            <w:vAlign w:val="center"/>
          </w:tcPr>
          <w:p w14:paraId="2FD76F7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100～150</w:t>
            </w:r>
          </w:p>
        </w:tc>
        <w:tc>
          <w:tcPr>
            <w:tcW w:w="1932" w:type="dxa"/>
            <w:vAlign w:val="center"/>
          </w:tcPr>
          <w:p w14:paraId="3C6745B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r>
      <w:tr w14:paraId="69F5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14:paraId="6D36AE40">
            <w:pPr>
              <w:jc w:val="center"/>
              <w:rPr>
                <w:rFonts w:ascii="Times New Roman" w:hAnsi="Times New Roman" w:eastAsia="宋体" w:cs="Times New Roman"/>
                <w:color w:val="auto"/>
                <w:highlight w:val="none"/>
              </w:rPr>
            </w:pPr>
          </w:p>
        </w:tc>
        <w:tc>
          <w:tcPr>
            <w:tcW w:w="3110" w:type="dxa"/>
            <w:vAlign w:val="center"/>
          </w:tcPr>
          <w:p w14:paraId="38A4DD1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60～100</w:t>
            </w:r>
          </w:p>
        </w:tc>
        <w:tc>
          <w:tcPr>
            <w:tcW w:w="1932" w:type="dxa"/>
            <w:vAlign w:val="center"/>
          </w:tcPr>
          <w:p w14:paraId="052F40F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r>
      <w:tr w14:paraId="7268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14:paraId="586FA7B0">
            <w:pPr>
              <w:jc w:val="center"/>
              <w:rPr>
                <w:rFonts w:ascii="Times New Roman" w:hAnsi="Times New Roman" w:eastAsia="宋体" w:cs="Times New Roman"/>
                <w:color w:val="auto"/>
                <w:highlight w:val="none"/>
              </w:rPr>
            </w:pPr>
          </w:p>
        </w:tc>
        <w:tc>
          <w:tcPr>
            <w:tcW w:w="3110" w:type="dxa"/>
            <w:vAlign w:val="center"/>
          </w:tcPr>
          <w:p w14:paraId="7F7E297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30～60</w:t>
            </w:r>
          </w:p>
        </w:tc>
        <w:tc>
          <w:tcPr>
            <w:tcW w:w="1932" w:type="dxa"/>
            <w:vAlign w:val="center"/>
          </w:tcPr>
          <w:p w14:paraId="48B4050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r>
      <w:tr w14:paraId="28E7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Merge w:val="continue"/>
            <w:vAlign w:val="center"/>
          </w:tcPr>
          <w:p w14:paraId="00979BBB">
            <w:pPr>
              <w:jc w:val="center"/>
              <w:rPr>
                <w:rFonts w:ascii="Times New Roman" w:hAnsi="Times New Roman" w:eastAsia="宋体" w:cs="Times New Roman"/>
                <w:color w:val="auto"/>
                <w:highlight w:val="none"/>
              </w:rPr>
            </w:pPr>
          </w:p>
        </w:tc>
        <w:tc>
          <w:tcPr>
            <w:tcW w:w="3110" w:type="dxa"/>
            <w:vAlign w:val="center"/>
          </w:tcPr>
          <w:p w14:paraId="198A8A2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&lt;30</w:t>
            </w:r>
          </w:p>
        </w:tc>
        <w:tc>
          <w:tcPr>
            <w:tcW w:w="1932" w:type="dxa"/>
            <w:vAlign w:val="center"/>
          </w:tcPr>
          <w:p w14:paraId="0E87354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r>
      <w:tr w14:paraId="48E5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416" w:type="dxa"/>
            <w:vAlign w:val="center"/>
          </w:tcPr>
          <w:p w14:paraId="398DF3A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总分</w:t>
            </w:r>
          </w:p>
        </w:tc>
        <w:tc>
          <w:tcPr>
            <w:tcW w:w="3110" w:type="dxa"/>
            <w:vAlign w:val="center"/>
          </w:tcPr>
          <w:p w14:paraId="2A9F3352">
            <w:pPr>
              <w:jc w:val="center"/>
              <w:rPr>
                <w:rFonts w:ascii="Times New Roman" w:hAnsi="Times New Roman" w:eastAsia="宋体" w:cs="Times New Roman"/>
                <w:color w:val="auto"/>
                <w:highlight w:val="none"/>
              </w:rPr>
            </w:pPr>
          </w:p>
        </w:tc>
        <w:tc>
          <w:tcPr>
            <w:tcW w:w="1932" w:type="dxa"/>
            <w:vAlign w:val="center"/>
          </w:tcPr>
          <w:p w14:paraId="7BBD1AF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100</w:t>
            </w:r>
          </w:p>
        </w:tc>
      </w:tr>
    </w:tbl>
    <w:p w14:paraId="67A91C3F">
      <w:pPr>
        <w:spacing w:before="312" w:beforeLines="100" w:line="360" w:lineRule="auto"/>
        <w:ind w:firstLine="560" w:firstLineChars="200"/>
        <w:rPr>
          <w:rFonts w:hint="eastAsia" w:ascii="仿宋" w:hAnsi="仿宋" w:eastAsia="仿宋" w:cs="仿宋"/>
          <w:color w:val="auto"/>
          <w:sz w:val="28"/>
          <w:szCs w:val="28"/>
          <w:highlight w:val="none"/>
        </w:rPr>
      </w:pPr>
      <w:bookmarkStart w:id="122" w:name="_Toc230188564"/>
      <w:r>
        <w:rPr>
          <w:rFonts w:hint="eastAsia" w:ascii="仿宋" w:hAnsi="仿宋" w:eastAsia="仿宋" w:cs="仿宋"/>
          <w:color w:val="auto"/>
          <w:sz w:val="28"/>
          <w:szCs w:val="28"/>
          <w:highlight w:val="none"/>
        </w:rPr>
        <w:t>6、待复垦土地适宜性评价结果</w:t>
      </w:r>
      <w:bookmarkEnd w:id="122"/>
    </w:p>
    <w:p w14:paraId="566BF77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项目复垦土地经过整理后，将具有一定的生产力，但由于各评价单元条件不同，适宜性也不同。通过将参评单元土地质量与待复垦土地主要限制因素的农、林、牧评价等级标准进行比配，得出矿山项目复垦土地适宜性评价结果为终采平台区、老采区平台区、上山公路区平台区复垦方向为乔木林地；终采边坡区、老采区边坡区、上山公路区边坡区复垦方向为其他草地。各项指标评价结果如下表。</w:t>
      </w:r>
    </w:p>
    <w:p w14:paraId="7D5CFA04">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表4-4       待复垦土地质量各指标分值结果表</w:t>
      </w:r>
    </w:p>
    <w:tbl>
      <w:tblPr>
        <w:tblStyle w:val="23"/>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709"/>
        <w:gridCol w:w="709"/>
        <w:gridCol w:w="643"/>
        <w:gridCol w:w="709"/>
        <w:gridCol w:w="992"/>
        <w:gridCol w:w="709"/>
        <w:gridCol w:w="709"/>
        <w:gridCol w:w="709"/>
        <w:gridCol w:w="850"/>
        <w:gridCol w:w="556"/>
        <w:gridCol w:w="952"/>
      </w:tblGrid>
      <w:tr w14:paraId="5CD2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07" w:type="dxa"/>
            <w:vAlign w:val="center"/>
          </w:tcPr>
          <w:p w14:paraId="6E97537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分区</w:t>
            </w:r>
          </w:p>
        </w:tc>
        <w:tc>
          <w:tcPr>
            <w:tcW w:w="709" w:type="dxa"/>
            <w:vAlign w:val="center"/>
          </w:tcPr>
          <w:p w14:paraId="517924E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土壤质地</w:t>
            </w:r>
          </w:p>
        </w:tc>
        <w:tc>
          <w:tcPr>
            <w:tcW w:w="709" w:type="dxa"/>
            <w:vAlign w:val="center"/>
          </w:tcPr>
          <w:p w14:paraId="3934CD0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地形坡度</w:t>
            </w:r>
          </w:p>
        </w:tc>
        <w:tc>
          <w:tcPr>
            <w:tcW w:w="643" w:type="dxa"/>
            <w:vAlign w:val="center"/>
          </w:tcPr>
          <w:p w14:paraId="0D1D50B8">
            <w:pPr>
              <w:ind w:left="-31" w:leftChars="-15" w:right="-21" w:rightChars="-1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有机质含量</w:t>
            </w:r>
          </w:p>
        </w:tc>
        <w:tc>
          <w:tcPr>
            <w:tcW w:w="709" w:type="dxa"/>
            <w:vAlign w:val="center"/>
          </w:tcPr>
          <w:p w14:paraId="3A46050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土地利用现状</w:t>
            </w:r>
          </w:p>
        </w:tc>
        <w:tc>
          <w:tcPr>
            <w:tcW w:w="992" w:type="dxa"/>
            <w:vAlign w:val="center"/>
          </w:tcPr>
          <w:p w14:paraId="539B10C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地质灾害危险性程度</w:t>
            </w:r>
          </w:p>
        </w:tc>
        <w:tc>
          <w:tcPr>
            <w:tcW w:w="709" w:type="dxa"/>
            <w:vAlign w:val="center"/>
          </w:tcPr>
          <w:p w14:paraId="54B9F6D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灌溉条件</w:t>
            </w:r>
          </w:p>
        </w:tc>
        <w:tc>
          <w:tcPr>
            <w:tcW w:w="709" w:type="dxa"/>
            <w:vAlign w:val="center"/>
          </w:tcPr>
          <w:p w14:paraId="237B18C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排水条件</w:t>
            </w:r>
          </w:p>
        </w:tc>
        <w:tc>
          <w:tcPr>
            <w:tcW w:w="709" w:type="dxa"/>
            <w:vAlign w:val="center"/>
          </w:tcPr>
          <w:p w14:paraId="1552244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岩土污染</w:t>
            </w:r>
          </w:p>
        </w:tc>
        <w:tc>
          <w:tcPr>
            <w:tcW w:w="850" w:type="dxa"/>
            <w:vAlign w:val="center"/>
          </w:tcPr>
          <w:p w14:paraId="33BA3DF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有效土层厚度</w:t>
            </w:r>
          </w:p>
        </w:tc>
        <w:tc>
          <w:tcPr>
            <w:tcW w:w="556" w:type="dxa"/>
            <w:vAlign w:val="center"/>
          </w:tcPr>
          <w:p w14:paraId="5EBCA3D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得分</w:t>
            </w:r>
          </w:p>
        </w:tc>
        <w:tc>
          <w:tcPr>
            <w:tcW w:w="952" w:type="dxa"/>
            <w:vAlign w:val="center"/>
          </w:tcPr>
          <w:p w14:paraId="43C33EF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适宜性</w:t>
            </w:r>
          </w:p>
        </w:tc>
      </w:tr>
      <w:tr w14:paraId="4C2D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407" w:type="dxa"/>
            <w:vAlign w:val="center"/>
          </w:tcPr>
          <w:p w14:paraId="67B15860">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终采平台区</w:t>
            </w:r>
          </w:p>
        </w:tc>
        <w:tc>
          <w:tcPr>
            <w:tcW w:w="709" w:type="dxa"/>
            <w:vAlign w:val="center"/>
          </w:tcPr>
          <w:p w14:paraId="11AE0656">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7</w:t>
            </w:r>
          </w:p>
        </w:tc>
        <w:tc>
          <w:tcPr>
            <w:tcW w:w="709" w:type="dxa"/>
            <w:vAlign w:val="center"/>
          </w:tcPr>
          <w:p w14:paraId="3261484D">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643" w:type="dxa"/>
            <w:vAlign w:val="center"/>
          </w:tcPr>
          <w:p w14:paraId="63970A76">
            <w:pPr>
              <w:spacing w:line="276" w:lineRule="auto"/>
              <w:ind w:firstLine="199" w:firstLineChars="9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709" w:type="dxa"/>
            <w:vAlign w:val="center"/>
          </w:tcPr>
          <w:p w14:paraId="476E45A3">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11</w:t>
            </w:r>
          </w:p>
        </w:tc>
        <w:tc>
          <w:tcPr>
            <w:tcW w:w="992" w:type="dxa"/>
            <w:vAlign w:val="center"/>
          </w:tcPr>
          <w:p w14:paraId="2B153418">
            <w:pPr>
              <w:spacing w:line="276" w:lineRule="auto"/>
              <w:ind w:firstLine="42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c>
          <w:tcPr>
            <w:tcW w:w="709" w:type="dxa"/>
            <w:vAlign w:val="center"/>
          </w:tcPr>
          <w:p w14:paraId="583FCAD9">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c>
          <w:tcPr>
            <w:tcW w:w="709" w:type="dxa"/>
            <w:vAlign w:val="center"/>
          </w:tcPr>
          <w:p w14:paraId="3DF2A350">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8</w:t>
            </w:r>
          </w:p>
        </w:tc>
        <w:tc>
          <w:tcPr>
            <w:tcW w:w="709" w:type="dxa"/>
            <w:vAlign w:val="center"/>
          </w:tcPr>
          <w:p w14:paraId="2051D273">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850" w:type="dxa"/>
            <w:vAlign w:val="center"/>
          </w:tcPr>
          <w:p w14:paraId="12DE06EF">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556" w:type="dxa"/>
            <w:vAlign w:val="center"/>
          </w:tcPr>
          <w:p w14:paraId="568C762E">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59</w:t>
            </w:r>
          </w:p>
        </w:tc>
        <w:tc>
          <w:tcPr>
            <w:tcW w:w="952" w:type="dxa"/>
            <w:vAlign w:val="center"/>
          </w:tcPr>
          <w:p w14:paraId="4DD952AC">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宜林地</w:t>
            </w:r>
          </w:p>
        </w:tc>
      </w:tr>
      <w:tr w14:paraId="5DF0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407" w:type="dxa"/>
            <w:vAlign w:val="center"/>
          </w:tcPr>
          <w:p w14:paraId="4DD737B2">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终采边坡区</w:t>
            </w:r>
          </w:p>
        </w:tc>
        <w:tc>
          <w:tcPr>
            <w:tcW w:w="709" w:type="dxa"/>
            <w:vAlign w:val="center"/>
          </w:tcPr>
          <w:p w14:paraId="044A9AF8">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7</w:t>
            </w:r>
          </w:p>
        </w:tc>
        <w:tc>
          <w:tcPr>
            <w:tcW w:w="709" w:type="dxa"/>
            <w:vAlign w:val="center"/>
          </w:tcPr>
          <w:p w14:paraId="20759142">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c>
          <w:tcPr>
            <w:tcW w:w="643" w:type="dxa"/>
            <w:vAlign w:val="center"/>
          </w:tcPr>
          <w:p w14:paraId="520BDB73">
            <w:pPr>
              <w:spacing w:line="276" w:lineRule="auto"/>
              <w:ind w:firstLine="199" w:firstLineChars="9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709" w:type="dxa"/>
            <w:vAlign w:val="center"/>
          </w:tcPr>
          <w:p w14:paraId="10620AAE">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11</w:t>
            </w:r>
          </w:p>
        </w:tc>
        <w:tc>
          <w:tcPr>
            <w:tcW w:w="992" w:type="dxa"/>
            <w:vAlign w:val="center"/>
          </w:tcPr>
          <w:p w14:paraId="2258E73E">
            <w:pPr>
              <w:spacing w:line="276" w:lineRule="auto"/>
              <w:ind w:firstLine="42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4</w:t>
            </w:r>
          </w:p>
        </w:tc>
        <w:tc>
          <w:tcPr>
            <w:tcW w:w="709" w:type="dxa"/>
            <w:vAlign w:val="center"/>
          </w:tcPr>
          <w:p w14:paraId="58EB86D7">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w:t>
            </w:r>
          </w:p>
        </w:tc>
        <w:tc>
          <w:tcPr>
            <w:tcW w:w="709" w:type="dxa"/>
            <w:vAlign w:val="center"/>
          </w:tcPr>
          <w:p w14:paraId="3DAB9B51">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709" w:type="dxa"/>
            <w:vAlign w:val="center"/>
          </w:tcPr>
          <w:p w14:paraId="190680AB">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850" w:type="dxa"/>
            <w:vAlign w:val="center"/>
          </w:tcPr>
          <w:p w14:paraId="75F4FEED">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0</w:t>
            </w:r>
          </w:p>
        </w:tc>
        <w:tc>
          <w:tcPr>
            <w:tcW w:w="556" w:type="dxa"/>
            <w:vAlign w:val="center"/>
          </w:tcPr>
          <w:p w14:paraId="0AA6B683">
            <w:pPr>
              <w:spacing w:line="276" w:lineRule="auto"/>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45</w:t>
            </w:r>
          </w:p>
        </w:tc>
        <w:tc>
          <w:tcPr>
            <w:tcW w:w="952" w:type="dxa"/>
            <w:vAlign w:val="center"/>
          </w:tcPr>
          <w:p w14:paraId="1B951E68">
            <w:pPr>
              <w:spacing w:line="276" w:lineRule="auto"/>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宜草地</w:t>
            </w:r>
          </w:p>
        </w:tc>
      </w:tr>
    </w:tbl>
    <w:p w14:paraId="72AF7E94">
      <w:pPr>
        <w:jc w:val="center"/>
        <w:rPr>
          <w:rFonts w:ascii="Times New Roman" w:hAnsi="Times New Roman" w:eastAsia="宋体" w:cs="Times New Roman"/>
          <w:b/>
          <w:color w:val="auto"/>
          <w:highlight w:val="none"/>
        </w:rPr>
      </w:pPr>
    </w:p>
    <w:p w14:paraId="2AF5EB65">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表4-5   各参评单元土地性质表</w:t>
      </w:r>
    </w:p>
    <w:tbl>
      <w:tblPr>
        <w:tblStyle w:val="23"/>
        <w:tblW w:w="5502" w:type="pct"/>
        <w:jc w:val="center"/>
        <w:tblLayout w:type="fixed"/>
        <w:tblCellMar>
          <w:top w:w="0" w:type="dxa"/>
          <w:left w:w="108" w:type="dxa"/>
          <w:bottom w:w="0" w:type="dxa"/>
          <w:right w:w="108" w:type="dxa"/>
        </w:tblCellMar>
      </w:tblPr>
      <w:tblGrid>
        <w:gridCol w:w="768"/>
        <w:gridCol w:w="2593"/>
        <w:gridCol w:w="1229"/>
        <w:gridCol w:w="1148"/>
        <w:gridCol w:w="915"/>
        <w:gridCol w:w="1191"/>
        <w:gridCol w:w="1534"/>
      </w:tblGrid>
      <w:tr w14:paraId="1F8E148C">
        <w:tblPrEx>
          <w:tblCellMar>
            <w:top w:w="0" w:type="dxa"/>
            <w:left w:w="108" w:type="dxa"/>
            <w:bottom w:w="0" w:type="dxa"/>
            <w:right w:w="108" w:type="dxa"/>
          </w:tblCellMar>
        </w:tblPrEx>
        <w:trPr>
          <w:trHeight w:val="340" w:hRule="exact"/>
          <w:jc w:val="center"/>
        </w:trPr>
        <w:tc>
          <w:tcPr>
            <w:tcW w:w="2447" w:type="pct"/>
            <w:gridSpan w:val="3"/>
            <w:tcBorders>
              <w:top w:val="single" w:color="auto" w:sz="4" w:space="0"/>
              <w:left w:val="single" w:color="auto" w:sz="4" w:space="0"/>
              <w:bottom w:val="single" w:color="auto" w:sz="4" w:space="0"/>
              <w:right w:val="single" w:color="auto" w:sz="4" w:space="0"/>
            </w:tcBorders>
            <w:vAlign w:val="center"/>
          </w:tcPr>
          <w:p w14:paraId="28C858E9">
            <w:pPr>
              <w:widowControl/>
              <w:ind w:firstLine="42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评价单元</w:t>
            </w:r>
          </w:p>
        </w:tc>
        <w:tc>
          <w:tcPr>
            <w:tcW w:w="1734" w:type="pct"/>
            <w:gridSpan w:val="3"/>
            <w:tcBorders>
              <w:top w:val="single" w:color="auto" w:sz="4" w:space="0"/>
              <w:left w:val="nil"/>
              <w:bottom w:val="single" w:color="auto" w:sz="4" w:space="0"/>
              <w:right w:val="single" w:color="auto" w:sz="4" w:space="0"/>
            </w:tcBorders>
            <w:vAlign w:val="center"/>
          </w:tcPr>
          <w:p w14:paraId="790D382D">
            <w:pPr>
              <w:widowControl/>
              <w:ind w:firstLine="42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适宜性等级</w:t>
            </w:r>
          </w:p>
        </w:tc>
        <w:tc>
          <w:tcPr>
            <w:tcW w:w="817" w:type="pct"/>
            <w:vMerge w:val="restart"/>
            <w:tcBorders>
              <w:top w:val="single" w:color="auto" w:sz="4" w:space="0"/>
              <w:left w:val="nil"/>
              <w:right w:val="single" w:color="auto" w:sz="4" w:space="0"/>
            </w:tcBorders>
            <w:vAlign w:val="center"/>
          </w:tcPr>
          <w:p w14:paraId="5B76111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限制因子</w:t>
            </w:r>
          </w:p>
        </w:tc>
      </w:tr>
      <w:tr w14:paraId="48EBB69F">
        <w:tblPrEx>
          <w:tblCellMar>
            <w:top w:w="0" w:type="dxa"/>
            <w:left w:w="108" w:type="dxa"/>
            <w:bottom w:w="0" w:type="dxa"/>
            <w:right w:w="108" w:type="dxa"/>
          </w:tblCellMar>
        </w:tblPrEx>
        <w:trPr>
          <w:trHeight w:val="340" w:hRule="exact"/>
          <w:jc w:val="center"/>
        </w:trPr>
        <w:tc>
          <w:tcPr>
            <w:tcW w:w="409" w:type="pct"/>
            <w:tcBorders>
              <w:top w:val="nil"/>
              <w:left w:val="single" w:color="auto" w:sz="4" w:space="0"/>
              <w:bottom w:val="single" w:color="auto" w:sz="4" w:space="0"/>
              <w:right w:val="single" w:color="auto" w:sz="4" w:space="0"/>
            </w:tcBorders>
            <w:vAlign w:val="center"/>
          </w:tcPr>
          <w:p w14:paraId="4BF64AE8">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序号</w:t>
            </w:r>
          </w:p>
        </w:tc>
        <w:tc>
          <w:tcPr>
            <w:tcW w:w="1382" w:type="pct"/>
            <w:tcBorders>
              <w:top w:val="nil"/>
              <w:left w:val="nil"/>
              <w:bottom w:val="single" w:color="auto" w:sz="4" w:space="0"/>
              <w:right w:val="single" w:color="auto" w:sz="4" w:space="0"/>
            </w:tcBorders>
            <w:vAlign w:val="center"/>
          </w:tcPr>
          <w:p w14:paraId="35126BC0">
            <w:pPr>
              <w:widowControl/>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评价单元</w:t>
            </w:r>
          </w:p>
        </w:tc>
        <w:tc>
          <w:tcPr>
            <w:tcW w:w="655" w:type="pct"/>
            <w:tcBorders>
              <w:top w:val="nil"/>
              <w:left w:val="nil"/>
              <w:bottom w:val="single" w:color="auto" w:sz="4" w:space="0"/>
              <w:right w:val="single" w:color="auto" w:sz="4" w:space="0"/>
            </w:tcBorders>
            <w:vAlign w:val="center"/>
          </w:tcPr>
          <w:p w14:paraId="1111AFC1">
            <w:pPr>
              <w:widowControl/>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面积（hm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w:t>
            </w:r>
          </w:p>
        </w:tc>
        <w:tc>
          <w:tcPr>
            <w:tcW w:w="612" w:type="pct"/>
            <w:tcBorders>
              <w:top w:val="nil"/>
              <w:left w:val="nil"/>
              <w:bottom w:val="single" w:color="auto" w:sz="4" w:space="0"/>
              <w:right w:val="single" w:color="auto" w:sz="4" w:space="0"/>
            </w:tcBorders>
            <w:vAlign w:val="center"/>
          </w:tcPr>
          <w:p w14:paraId="2E94642D">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耕地</w:t>
            </w:r>
          </w:p>
        </w:tc>
        <w:tc>
          <w:tcPr>
            <w:tcW w:w="487" w:type="pct"/>
            <w:tcBorders>
              <w:top w:val="nil"/>
              <w:left w:val="nil"/>
              <w:bottom w:val="single" w:color="auto" w:sz="4" w:space="0"/>
              <w:right w:val="single" w:color="auto" w:sz="4" w:space="0"/>
            </w:tcBorders>
            <w:vAlign w:val="center"/>
          </w:tcPr>
          <w:p w14:paraId="76494348">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林地</w:t>
            </w:r>
          </w:p>
        </w:tc>
        <w:tc>
          <w:tcPr>
            <w:tcW w:w="634" w:type="pct"/>
            <w:tcBorders>
              <w:top w:val="nil"/>
              <w:left w:val="nil"/>
              <w:bottom w:val="single" w:color="auto" w:sz="4" w:space="0"/>
              <w:right w:val="single" w:color="auto" w:sz="4" w:space="0"/>
            </w:tcBorders>
            <w:vAlign w:val="center"/>
          </w:tcPr>
          <w:p w14:paraId="42B9E4E0">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草地</w:t>
            </w:r>
          </w:p>
        </w:tc>
        <w:tc>
          <w:tcPr>
            <w:tcW w:w="817" w:type="pct"/>
            <w:vMerge w:val="continue"/>
            <w:tcBorders>
              <w:left w:val="nil"/>
              <w:bottom w:val="single" w:color="auto" w:sz="4" w:space="0"/>
              <w:right w:val="single" w:color="auto" w:sz="4" w:space="0"/>
            </w:tcBorders>
            <w:vAlign w:val="center"/>
          </w:tcPr>
          <w:p w14:paraId="09D705BF">
            <w:pPr>
              <w:widowControl/>
              <w:ind w:firstLine="420"/>
              <w:jc w:val="center"/>
              <w:rPr>
                <w:rFonts w:ascii="Times New Roman" w:hAnsi="Times New Roman" w:eastAsia="宋体" w:cs="Times New Roman"/>
                <w:color w:val="auto"/>
                <w:kern w:val="0"/>
                <w:highlight w:val="none"/>
              </w:rPr>
            </w:pPr>
          </w:p>
        </w:tc>
      </w:tr>
      <w:tr w14:paraId="3002FC38">
        <w:tblPrEx>
          <w:tblCellMar>
            <w:top w:w="0" w:type="dxa"/>
            <w:left w:w="108" w:type="dxa"/>
            <w:bottom w:w="0" w:type="dxa"/>
            <w:right w:w="108" w:type="dxa"/>
          </w:tblCellMar>
        </w:tblPrEx>
        <w:trPr>
          <w:trHeight w:val="340" w:hRule="exact"/>
          <w:jc w:val="center"/>
        </w:trPr>
        <w:tc>
          <w:tcPr>
            <w:tcW w:w="409" w:type="pct"/>
            <w:tcBorders>
              <w:top w:val="nil"/>
              <w:left w:val="single" w:color="auto" w:sz="4" w:space="0"/>
              <w:bottom w:val="single" w:color="auto" w:sz="4" w:space="0"/>
              <w:right w:val="single" w:color="auto" w:sz="4" w:space="0"/>
            </w:tcBorders>
            <w:vAlign w:val="center"/>
          </w:tcPr>
          <w:p w14:paraId="52637D2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w:t>
            </w:r>
          </w:p>
        </w:tc>
        <w:tc>
          <w:tcPr>
            <w:tcW w:w="1382" w:type="pct"/>
            <w:tcBorders>
              <w:top w:val="nil"/>
              <w:left w:val="nil"/>
              <w:bottom w:val="single" w:color="auto" w:sz="4" w:space="0"/>
              <w:right w:val="single" w:color="auto" w:sz="4" w:space="0"/>
            </w:tcBorders>
            <w:vAlign w:val="center"/>
          </w:tcPr>
          <w:p w14:paraId="1287779B">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终采平台区</w:t>
            </w:r>
          </w:p>
        </w:tc>
        <w:tc>
          <w:tcPr>
            <w:tcW w:w="655" w:type="pct"/>
            <w:tcBorders>
              <w:top w:val="nil"/>
              <w:left w:val="nil"/>
              <w:bottom w:val="single" w:color="auto" w:sz="4" w:space="0"/>
              <w:right w:val="single" w:color="auto" w:sz="4" w:space="0"/>
            </w:tcBorders>
            <w:vAlign w:val="center"/>
          </w:tcPr>
          <w:p w14:paraId="1399BD86">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0.6</w:t>
            </w:r>
          </w:p>
        </w:tc>
        <w:tc>
          <w:tcPr>
            <w:tcW w:w="612" w:type="pct"/>
            <w:tcBorders>
              <w:top w:val="nil"/>
              <w:left w:val="nil"/>
              <w:bottom w:val="single" w:color="auto" w:sz="4" w:space="0"/>
              <w:right w:val="single" w:color="auto" w:sz="4" w:space="0"/>
            </w:tcBorders>
            <w:vAlign w:val="center"/>
          </w:tcPr>
          <w:p w14:paraId="60A7D798">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3等</w:t>
            </w:r>
          </w:p>
        </w:tc>
        <w:tc>
          <w:tcPr>
            <w:tcW w:w="487" w:type="pct"/>
            <w:tcBorders>
              <w:top w:val="nil"/>
              <w:left w:val="nil"/>
              <w:bottom w:val="single" w:color="auto" w:sz="4" w:space="0"/>
              <w:right w:val="single" w:color="auto" w:sz="4" w:space="0"/>
            </w:tcBorders>
            <w:vAlign w:val="center"/>
          </w:tcPr>
          <w:p w14:paraId="51D5D894">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2等</w:t>
            </w:r>
          </w:p>
        </w:tc>
        <w:tc>
          <w:tcPr>
            <w:tcW w:w="634" w:type="pct"/>
            <w:tcBorders>
              <w:top w:val="nil"/>
              <w:left w:val="nil"/>
              <w:bottom w:val="single" w:color="auto" w:sz="4" w:space="0"/>
              <w:right w:val="single" w:color="auto" w:sz="4" w:space="0"/>
            </w:tcBorders>
            <w:vAlign w:val="center"/>
          </w:tcPr>
          <w:p w14:paraId="00D04A2D">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1等</w:t>
            </w:r>
          </w:p>
        </w:tc>
        <w:tc>
          <w:tcPr>
            <w:tcW w:w="817" w:type="pct"/>
            <w:tcBorders>
              <w:top w:val="nil"/>
              <w:left w:val="nil"/>
              <w:bottom w:val="single" w:color="auto" w:sz="4" w:space="0"/>
              <w:right w:val="single" w:color="auto" w:sz="4" w:space="0"/>
            </w:tcBorders>
            <w:vAlign w:val="center"/>
          </w:tcPr>
          <w:p w14:paraId="6CA3E051">
            <w:pPr>
              <w:widowControl/>
              <w:jc w:val="both"/>
              <w:rPr>
                <w:rFonts w:ascii="Times New Roman" w:hAnsi="Times New Roman" w:eastAsia="宋体" w:cs="Times New Roman"/>
                <w:color w:val="auto"/>
                <w:kern w:val="0"/>
                <w:highlight w:val="none"/>
              </w:rPr>
            </w:pPr>
            <w:r>
              <w:rPr>
                <w:rFonts w:ascii="Times New Roman" w:hAnsi="Times New Roman" w:eastAsia="宋体" w:cs="Times New Roman"/>
                <w:color w:val="auto"/>
                <w:highlight w:val="none"/>
              </w:rPr>
              <w:t>有效土层厚度</w:t>
            </w:r>
          </w:p>
        </w:tc>
      </w:tr>
      <w:tr w14:paraId="64487199">
        <w:tblPrEx>
          <w:tblCellMar>
            <w:top w:w="0" w:type="dxa"/>
            <w:left w:w="108" w:type="dxa"/>
            <w:bottom w:w="0" w:type="dxa"/>
            <w:right w:w="108" w:type="dxa"/>
          </w:tblCellMar>
        </w:tblPrEx>
        <w:trPr>
          <w:trHeight w:val="340" w:hRule="exact"/>
          <w:jc w:val="center"/>
        </w:trPr>
        <w:tc>
          <w:tcPr>
            <w:tcW w:w="409" w:type="pct"/>
            <w:tcBorders>
              <w:top w:val="nil"/>
              <w:left w:val="single" w:color="auto" w:sz="4" w:space="0"/>
              <w:bottom w:val="single" w:color="auto" w:sz="4" w:space="0"/>
              <w:right w:val="single" w:color="auto" w:sz="4" w:space="0"/>
            </w:tcBorders>
            <w:vAlign w:val="center"/>
          </w:tcPr>
          <w:p w14:paraId="4D322D0C">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p>
        </w:tc>
        <w:tc>
          <w:tcPr>
            <w:tcW w:w="1382" w:type="pct"/>
            <w:tcBorders>
              <w:top w:val="nil"/>
              <w:left w:val="nil"/>
              <w:bottom w:val="single" w:color="auto" w:sz="4" w:space="0"/>
              <w:right w:val="single" w:color="auto" w:sz="4" w:space="0"/>
            </w:tcBorders>
            <w:vAlign w:val="center"/>
          </w:tcPr>
          <w:p w14:paraId="6E1F46B9">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终采边坡区</w:t>
            </w:r>
          </w:p>
        </w:tc>
        <w:tc>
          <w:tcPr>
            <w:tcW w:w="655" w:type="pct"/>
            <w:tcBorders>
              <w:top w:val="nil"/>
              <w:left w:val="nil"/>
              <w:bottom w:val="single" w:color="auto" w:sz="4" w:space="0"/>
              <w:right w:val="single" w:color="auto" w:sz="4" w:space="0"/>
            </w:tcBorders>
            <w:vAlign w:val="center"/>
          </w:tcPr>
          <w:p w14:paraId="5FFF20A6">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0.2</w:t>
            </w:r>
          </w:p>
        </w:tc>
        <w:tc>
          <w:tcPr>
            <w:tcW w:w="612" w:type="pct"/>
            <w:tcBorders>
              <w:top w:val="nil"/>
              <w:left w:val="nil"/>
              <w:bottom w:val="single" w:color="auto" w:sz="4" w:space="0"/>
              <w:right w:val="single" w:color="auto" w:sz="4" w:space="0"/>
            </w:tcBorders>
            <w:vAlign w:val="center"/>
          </w:tcPr>
          <w:p w14:paraId="2EF9CDE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N</w:t>
            </w:r>
          </w:p>
        </w:tc>
        <w:tc>
          <w:tcPr>
            <w:tcW w:w="487" w:type="pct"/>
            <w:tcBorders>
              <w:top w:val="nil"/>
              <w:left w:val="nil"/>
              <w:bottom w:val="single" w:color="auto" w:sz="4" w:space="0"/>
              <w:right w:val="single" w:color="auto" w:sz="4" w:space="0"/>
            </w:tcBorders>
            <w:vAlign w:val="center"/>
          </w:tcPr>
          <w:p w14:paraId="56BB2AA9">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3</w:t>
            </w:r>
            <w:r>
              <w:rPr>
                <w:rFonts w:ascii="Times New Roman" w:hAnsi="Times New Roman" w:eastAsia="宋体" w:cs="Times New Roman"/>
                <w:color w:val="auto"/>
                <w:kern w:val="0"/>
                <w:highlight w:val="none"/>
              </w:rPr>
              <w:t>等</w:t>
            </w:r>
          </w:p>
        </w:tc>
        <w:tc>
          <w:tcPr>
            <w:tcW w:w="634" w:type="pct"/>
            <w:tcBorders>
              <w:top w:val="nil"/>
              <w:left w:val="nil"/>
              <w:bottom w:val="single" w:color="auto" w:sz="4" w:space="0"/>
              <w:right w:val="single" w:color="auto" w:sz="4" w:space="0"/>
            </w:tcBorders>
            <w:vAlign w:val="center"/>
          </w:tcPr>
          <w:p w14:paraId="1B723773">
            <w:pPr>
              <w:widowControl/>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2</w:t>
            </w:r>
            <w:r>
              <w:rPr>
                <w:rFonts w:ascii="Times New Roman" w:hAnsi="Times New Roman" w:eastAsia="宋体" w:cs="Times New Roman"/>
                <w:color w:val="auto"/>
                <w:kern w:val="0"/>
                <w:highlight w:val="none"/>
              </w:rPr>
              <w:t>等</w:t>
            </w:r>
          </w:p>
        </w:tc>
        <w:tc>
          <w:tcPr>
            <w:tcW w:w="817" w:type="pct"/>
            <w:tcBorders>
              <w:top w:val="nil"/>
              <w:left w:val="nil"/>
              <w:bottom w:val="single" w:color="auto" w:sz="4" w:space="0"/>
              <w:right w:val="single" w:color="auto" w:sz="4" w:space="0"/>
            </w:tcBorders>
            <w:vAlign w:val="center"/>
          </w:tcPr>
          <w:p w14:paraId="7909B0EE">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地形坡度</w:t>
            </w:r>
          </w:p>
        </w:tc>
      </w:tr>
      <w:tr w14:paraId="3CF477A8">
        <w:tblPrEx>
          <w:tblCellMar>
            <w:top w:w="0" w:type="dxa"/>
            <w:left w:w="108" w:type="dxa"/>
            <w:bottom w:w="0" w:type="dxa"/>
            <w:right w:w="108" w:type="dxa"/>
          </w:tblCellMar>
        </w:tblPrEx>
        <w:trPr>
          <w:trHeight w:val="340" w:hRule="exact"/>
          <w:jc w:val="center"/>
        </w:trPr>
        <w:tc>
          <w:tcPr>
            <w:tcW w:w="1791" w:type="pct"/>
            <w:gridSpan w:val="2"/>
            <w:tcBorders>
              <w:top w:val="single" w:color="auto" w:sz="4" w:space="0"/>
              <w:left w:val="single" w:color="auto" w:sz="4" w:space="0"/>
              <w:bottom w:val="single" w:color="auto" w:sz="4" w:space="0"/>
              <w:right w:val="single" w:color="auto" w:sz="4" w:space="0"/>
            </w:tcBorders>
            <w:noWrap/>
            <w:vAlign w:val="center"/>
          </w:tcPr>
          <w:p w14:paraId="75E12CC2">
            <w:pPr>
              <w:widowControl/>
              <w:ind w:firstLine="42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合计</w:t>
            </w:r>
          </w:p>
        </w:tc>
        <w:tc>
          <w:tcPr>
            <w:tcW w:w="655" w:type="pct"/>
            <w:tcBorders>
              <w:top w:val="nil"/>
              <w:left w:val="nil"/>
              <w:bottom w:val="single" w:color="auto" w:sz="4" w:space="0"/>
              <w:right w:val="single" w:color="auto" w:sz="4" w:space="0"/>
            </w:tcBorders>
            <w:vAlign w:val="center"/>
          </w:tcPr>
          <w:p w14:paraId="61E2EDF0">
            <w:pPr>
              <w:widowControl/>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0.8</w:t>
            </w:r>
          </w:p>
        </w:tc>
        <w:tc>
          <w:tcPr>
            <w:tcW w:w="612" w:type="pct"/>
            <w:tcBorders>
              <w:top w:val="nil"/>
              <w:left w:val="nil"/>
              <w:bottom w:val="single" w:color="auto" w:sz="4" w:space="0"/>
              <w:right w:val="single" w:color="auto" w:sz="4" w:space="0"/>
            </w:tcBorders>
            <w:noWrap/>
            <w:vAlign w:val="center"/>
          </w:tcPr>
          <w:p w14:paraId="49B97888">
            <w:pPr>
              <w:widowControl/>
              <w:ind w:firstLine="420"/>
              <w:jc w:val="center"/>
              <w:rPr>
                <w:rFonts w:ascii="Times New Roman" w:hAnsi="Times New Roman" w:eastAsia="宋体" w:cs="Times New Roman"/>
                <w:color w:val="auto"/>
                <w:kern w:val="0"/>
                <w:highlight w:val="none"/>
              </w:rPr>
            </w:pPr>
          </w:p>
        </w:tc>
        <w:tc>
          <w:tcPr>
            <w:tcW w:w="487" w:type="pct"/>
            <w:tcBorders>
              <w:top w:val="nil"/>
              <w:left w:val="nil"/>
              <w:bottom w:val="single" w:color="auto" w:sz="4" w:space="0"/>
              <w:right w:val="single" w:color="auto" w:sz="4" w:space="0"/>
            </w:tcBorders>
            <w:noWrap/>
            <w:vAlign w:val="center"/>
          </w:tcPr>
          <w:p w14:paraId="4E93F775">
            <w:pPr>
              <w:widowControl/>
              <w:ind w:firstLine="420"/>
              <w:jc w:val="center"/>
              <w:rPr>
                <w:rFonts w:ascii="Times New Roman" w:hAnsi="Times New Roman" w:eastAsia="宋体" w:cs="Times New Roman"/>
                <w:color w:val="auto"/>
                <w:kern w:val="0"/>
                <w:highlight w:val="none"/>
              </w:rPr>
            </w:pPr>
          </w:p>
        </w:tc>
        <w:tc>
          <w:tcPr>
            <w:tcW w:w="634" w:type="pct"/>
            <w:tcBorders>
              <w:top w:val="nil"/>
              <w:left w:val="nil"/>
              <w:bottom w:val="single" w:color="auto" w:sz="4" w:space="0"/>
              <w:right w:val="single" w:color="auto" w:sz="4" w:space="0"/>
            </w:tcBorders>
            <w:noWrap/>
            <w:vAlign w:val="center"/>
          </w:tcPr>
          <w:p w14:paraId="6800F477">
            <w:pPr>
              <w:widowControl/>
              <w:ind w:firstLine="420"/>
              <w:jc w:val="center"/>
              <w:rPr>
                <w:rFonts w:ascii="Times New Roman" w:hAnsi="Times New Roman" w:eastAsia="宋体" w:cs="Times New Roman"/>
                <w:color w:val="auto"/>
                <w:kern w:val="0"/>
                <w:highlight w:val="none"/>
              </w:rPr>
            </w:pPr>
          </w:p>
        </w:tc>
        <w:tc>
          <w:tcPr>
            <w:tcW w:w="817" w:type="pct"/>
            <w:tcBorders>
              <w:top w:val="nil"/>
              <w:left w:val="nil"/>
              <w:bottom w:val="single" w:color="auto" w:sz="4" w:space="0"/>
              <w:right w:val="single" w:color="auto" w:sz="4" w:space="0"/>
            </w:tcBorders>
            <w:noWrap/>
            <w:vAlign w:val="center"/>
          </w:tcPr>
          <w:p w14:paraId="57E53674">
            <w:pPr>
              <w:widowControl/>
              <w:ind w:firstLine="420"/>
              <w:jc w:val="center"/>
              <w:rPr>
                <w:rFonts w:ascii="Times New Roman" w:hAnsi="Times New Roman" w:eastAsia="宋体" w:cs="Times New Roman"/>
                <w:color w:val="auto"/>
                <w:kern w:val="0"/>
                <w:highlight w:val="none"/>
              </w:rPr>
            </w:pPr>
          </w:p>
        </w:tc>
      </w:tr>
    </w:tbl>
    <w:p w14:paraId="7671DB1D">
      <w:pPr>
        <w:ind w:firstLine="42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注：①“1”为非常适宜，“2”为较适宜，“3”为一般适宜，“N”为不适宜。</w:t>
      </w:r>
    </w:p>
    <w:p w14:paraId="36319F7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7、矿区土地复垦目标</w:t>
      </w:r>
    </w:p>
    <w:p w14:paraId="73F6644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根据矿区土地利用现状图，矿区周边土地类型</w:t>
      </w:r>
      <w:r>
        <w:rPr>
          <w:rFonts w:hint="eastAsia" w:ascii="仿宋" w:hAnsi="仿宋" w:eastAsia="仿宋" w:cs="仿宋"/>
          <w:color w:val="auto"/>
          <w:sz w:val="28"/>
          <w:szCs w:val="28"/>
          <w:highlight w:val="none"/>
          <w:lang w:val="en-US" w:eastAsia="zh-CN"/>
        </w:rPr>
        <w:t>主要</w:t>
      </w:r>
      <w:r>
        <w:rPr>
          <w:rFonts w:hint="eastAsia" w:ascii="仿宋" w:hAnsi="仿宋" w:eastAsia="仿宋" w:cs="仿宋"/>
          <w:color w:val="auto"/>
          <w:sz w:val="28"/>
          <w:szCs w:val="28"/>
          <w:highlight w:val="none"/>
        </w:rPr>
        <w:t>为</w:t>
      </w:r>
      <w:r>
        <w:rPr>
          <w:rFonts w:hint="eastAsia" w:ascii="仿宋" w:hAnsi="仿宋" w:eastAsia="仿宋" w:cs="仿宋"/>
          <w:color w:val="auto"/>
          <w:sz w:val="28"/>
          <w:szCs w:val="28"/>
          <w:highlight w:val="none"/>
          <w:lang w:val="en-US" w:eastAsia="zh-CN"/>
        </w:rPr>
        <w:t>林地</w:t>
      </w:r>
      <w:r>
        <w:rPr>
          <w:rFonts w:hint="eastAsia" w:ascii="仿宋" w:hAnsi="仿宋" w:eastAsia="仿宋" w:cs="仿宋"/>
          <w:color w:val="auto"/>
          <w:sz w:val="28"/>
          <w:szCs w:val="28"/>
          <w:highlight w:val="none"/>
        </w:rPr>
        <w:t>。为了使得与周边环境相协调，结合矿山开采实际情况</w:t>
      </w:r>
      <w:r>
        <w:rPr>
          <w:rFonts w:hint="eastAsia" w:ascii="仿宋" w:hAnsi="仿宋" w:eastAsia="仿宋" w:cs="仿宋"/>
          <w:color w:val="auto"/>
          <w:sz w:val="28"/>
          <w:szCs w:val="28"/>
          <w:highlight w:val="none"/>
          <w:lang w:val="en-US" w:eastAsia="zh-CN"/>
        </w:rPr>
        <w:t>及</w:t>
      </w:r>
      <w:r>
        <w:rPr>
          <w:rFonts w:hint="eastAsia" w:ascii="仿宋" w:hAnsi="仿宋" w:eastAsia="仿宋" w:cs="仿宋"/>
          <w:color w:val="auto"/>
          <w:sz w:val="28"/>
          <w:szCs w:val="28"/>
          <w:highlight w:val="none"/>
        </w:rPr>
        <w:t>待复垦土地适宜性评价结果，确定露天采场终采平台区复垦方向为</w:t>
      </w:r>
      <w:r>
        <w:rPr>
          <w:rFonts w:hint="eastAsia" w:ascii="仿宋" w:hAnsi="仿宋" w:eastAsia="仿宋" w:cs="仿宋"/>
          <w:color w:val="auto"/>
          <w:sz w:val="28"/>
          <w:szCs w:val="28"/>
          <w:highlight w:val="none"/>
          <w:lang w:val="en-US" w:eastAsia="zh-CN"/>
        </w:rPr>
        <w:t>林地</w:t>
      </w:r>
      <w:r>
        <w:rPr>
          <w:rFonts w:hint="eastAsia" w:ascii="仿宋" w:hAnsi="仿宋" w:eastAsia="仿宋" w:cs="仿宋"/>
          <w:color w:val="auto"/>
          <w:sz w:val="28"/>
          <w:szCs w:val="28"/>
          <w:highlight w:val="none"/>
        </w:rPr>
        <w:t>；露天采场终采边坡区为其他草地。详见表4-6。</w:t>
      </w:r>
    </w:p>
    <w:p w14:paraId="0029B82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矿区复垦责任范围面积</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，拟复垦为</w:t>
      </w:r>
      <w:r>
        <w:rPr>
          <w:rFonts w:hint="eastAsia" w:ascii="仿宋" w:hAnsi="仿宋" w:eastAsia="仿宋" w:cs="仿宋"/>
          <w:color w:val="auto"/>
          <w:sz w:val="28"/>
          <w:szCs w:val="28"/>
          <w:highlight w:val="none"/>
          <w:lang w:val="en-US" w:eastAsia="zh-CN"/>
        </w:rPr>
        <w:t>林地</w:t>
      </w:r>
      <w:r>
        <w:rPr>
          <w:rFonts w:hint="eastAsia" w:ascii="仿宋" w:hAnsi="仿宋" w:eastAsia="仿宋" w:cs="仿宋"/>
          <w:color w:val="auto"/>
          <w:sz w:val="28"/>
          <w:szCs w:val="28"/>
          <w:highlight w:val="none"/>
        </w:rPr>
        <w:t>面积</w:t>
      </w:r>
      <w:r>
        <w:rPr>
          <w:rFonts w:hint="eastAsia" w:ascii="仿宋" w:hAnsi="仿宋" w:eastAsia="仿宋" w:cs="仿宋"/>
          <w:color w:val="auto"/>
          <w:sz w:val="28"/>
          <w:szCs w:val="28"/>
          <w:highlight w:val="none"/>
          <w:lang w:val="en-US" w:eastAsia="zh-CN"/>
        </w:rPr>
        <w:t>0.65</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，草地面积为</w:t>
      </w:r>
      <w:r>
        <w:rPr>
          <w:rFonts w:hint="eastAsia" w:ascii="仿宋" w:hAnsi="仿宋" w:eastAsia="仿宋" w:cs="仿宋"/>
          <w:color w:val="auto"/>
          <w:sz w:val="28"/>
          <w:szCs w:val="28"/>
          <w:highlight w:val="none"/>
          <w:lang w:val="en-US" w:eastAsia="zh-CN"/>
        </w:rPr>
        <w:t>0.05</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旱地面积为0.1</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复垦前后土地利用结构对比见表4-7。</w:t>
      </w: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1121"/>
        <w:gridCol w:w="1939"/>
        <w:gridCol w:w="2712"/>
      </w:tblGrid>
      <w:tr w14:paraId="5E48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22" w:type="dxa"/>
            <w:gridSpan w:val="4"/>
            <w:tcBorders>
              <w:top w:val="nil"/>
              <w:left w:val="nil"/>
              <w:right w:val="nil"/>
            </w:tcBorders>
            <w:vAlign w:val="center"/>
          </w:tcPr>
          <w:p w14:paraId="1C1ABD1D">
            <w:pPr>
              <w:jc w:val="center"/>
              <w:rPr>
                <w:rFonts w:ascii="Times New Roman" w:hAnsi="Times New Roman" w:eastAsia="宋体" w:cs="Times New Roman"/>
                <w:color w:val="auto"/>
                <w:highlight w:val="none"/>
              </w:rPr>
            </w:pPr>
            <w:r>
              <w:rPr>
                <w:rFonts w:ascii="Times New Roman" w:hAnsi="Times New Roman" w:eastAsia="宋体" w:cs="Times New Roman"/>
                <w:b/>
                <w:bCs/>
                <w:color w:val="auto"/>
                <w:highlight w:val="none"/>
              </w:rPr>
              <w:t>表4-6 各评价单元复垦方向</w:t>
            </w:r>
          </w:p>
        </w:tc>
      </w:tr>
      <w:tr w14:paraId="5D8E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0" w:type="dxa"/>
            <w:vAlign w:val="center"/>
          </w:tcPr>
          <w:p w14:paraId="7C1732F7">
            <w:pPr>
              <w:ind w:left="4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评价单元</w:t>
            </w:r>
          </w:p>
        </w:tc>
        <w:tc>
          <w:tcPr>
            <w:tcW w:w="1121" w:type="dxa"/>
            <w:vAlign w:val="center"/>
          </w:tcPr>
          <w:p w14:paraId="482BD598">
            <w:pPr>
              <w:ind w:left="4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复垦方向</w:t>
            </w:r>
          </w:p>
        </w:tc>
        <w:tc>
          <w:tcPr>
            <w:tcW w:w="1939" w:type="dxa"/>
            <w:vAlign w:val="center"/>
          </w:tcPr>
          <w:p w14:paraId="0DAB678F">
            <w:pPr>
              <w:ind w:left="4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复垦面积（hm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w:t>
            </w:r>
          </w:p>
        </w:tc>
        <w:tc>
          <w:tcPr>
            <w:tcW w:w="2712" w:type="dxa"/>
            <w:vAlign w:val="center"/>
          </w:tcPr>
          <w:p w14:paraId="594F0BC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复垦单元</w:t>
            </w:r>
          </w:p>
        </w:tc>
      </w:tr>
      <w:tr w14:paraId="359F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0" w:type="dxa"/>
            <w:vAlign w:val="center"/>
          </w:tcPr>
          <w:p w14:paraId="4B7E71CC">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终采平台区</w:t>
            </w:r>
          </w:p>
        </w:tc>
        <w:tc>
          <w:tcPr>
            <w:tcW w:w="1121" w:type="dxa"/>
            <w:vAlign w:val="center"/>
          </w:tcPr>
          <w:p w14:paraId="097D4035">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乔木</w:t>
            </w:r>
            <w:r>
              <w:rPr>
                <w:rFonts w:ascii="Times New Roman" w:hAnsi="Times New Roman" w:eastAsia="宋体" w:cs="Times New Roman"/>
                <w:color w:val="auto"/>
                <w:highlight w:val="none"/>
              </w:rPr>
              <w:t>林地</w:t>
            </w:r>
          </w:p>
        </w:tc>
        <w:tc>
          <w:tcPr>
            <w:tcW w:w="1939" w:type="dxa"/>
            <w:vAlign w:val="center"/>
          </w:tcPr>
          <w:p w14:paraId="14CDB1DB">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0.6</w:t>
            </w:r>
          </w:p>
        </w:tc>
        <w:tc>
          <w:tcPr>
            <w:tcW w:w="2712" w:type="dxa"/>
            <w:vAlign w:val="center"/>
          </w:tcPr>
          <w:p w14:paraId="1CC0E09D">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终采平台区</w:t>
            </w:r>
          </w:p>
        </w:tc>
      </w:tr>
      <w:tr w14:paraId="7537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50" w:type="dxa"/>
            <w:vAlign w:val="center"/>
          </w:tcPr>
          <w:p w14:paraId="61599916">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终采边坡区</w:t>
            </w:r>
          </w:p>
        </w:tc>
        <w:tc>
          <w:tcPr>
            <w:tcW w:w="1121" w:type="dxa"/>
            <w:vAlign w:val="center"/>
          </w:tcPr>
          <w:p w14:paraId="4EA6E1C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其他草地</w:t>
            </w:r>
          </w:p>
        </w:tc>
        <w:tc>
          <w:tcPr>
            <w:tcW w:w="1939" w:type="dxa"/>
            <w:vAlign w:val="center"/>
          </w:tcPr>
          <w:p w14:paraId="427B94D4">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0.2</w:t>
            </w:r>
          </w:p>
        </w:tc>
        <w:tc>
          <w:tcPr>
            <w:tcW w:w="2712" w:type="dxa"/>
            <w:vAlign w:val="center"/>
          </w:tcPr>
          <w:p w14:paraId="5115FC0C">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露天采场</w:t>
            </w:r>
            <w:r>
              <w:rPr>
                <w:rFonts w:ascii="Times New Roman" w:hAnsi="Times New Roman" w:eastAsia="宋体" w:cs="Times New Roman"/>
                <w:color w:val="auto"/>
                <w:highlight w:val="none"/>
              </w:rPr>
              <w:t>终采边坡区</w:t>
            </w:r>
          </w:p>
        </w:tc>
      </w:tr>
      <w:tr w14:paraId="211A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71" w:type="dxa"/>
            <w:gridSpan w:val="2"/>
            <w:vAlign w:val="center"/>
          </w:tcPr>
          <w:p w14:paraId="3571B03F">
            <w:pPr>
              <w:ind w:left="45"/>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合计</w:t>
            </w:r>
          </w:p>
        </w:tc>
        <w:tc>
          <w:tcPr>
            <w:tcW w:w="1939" w:type="dxa"/>
            <w:vAlign w:val="center"/>
          </w:tcPr>
          <w:p w14:paraId="7339580E">
            <w:pPr>
              <w:ind w:left="45"/>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0.8</w:t>
            </w:r>
          </w:p>
        </w:tc>
        <w:tc>
          <w:tcPr>
            <w:tcW w:w="2712" w:type="dxa"/>
            <w:vAlign w:val="center"/>
          </w:tcPr>
          <w:p w14:paraId="141C051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p>
        </w:tc>
      </w:tr>
    </w:tbl>
    <w:p w14:paraId="7E6E61DF">
      <w:pPr>
        <w:jc w:val="center"/>
        <w:rPr>
          <w:rFonts w:eastAsia="宋体"/>
          <w:b/>
          <w:color w:val="auto"/>
          <w:highlight w:val="none"/>
        </w:rPr>
      </w:pPr>
    </w:p>
    <w:p w14:paraId="0D28FD4B">
      <w:pPr>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表4-</w:t>
      </w:r>
      <w:r>
        <w:rPr>
          <w:rFonts w:hint="eastAsia" w:ascii="Times New Roman" w:hAnsi="Times New Roman" w:eastAsia="宋体" w:cs="Times New Roman"/>
          <w:b/>
          <w:bCs/>
          <w:color w:val="auto"/>
          <w:highlight w:val="none"/>
        </w:rPr>
        <w:t>7</w:t>
      </w:r>
      <w:r>
        <w:rPr>
          <w:rFonts w:ascii="Times New Roman" w:hAnsi="Times New Roman" w:eastAsia="宋体" w:cs="Times New Roman"/>
          <w:b/>
          <w:bCs/>
          <w:color w:val="auto"/>
          <w:highlight w:val="none"/>
        </w:rPr>
        <w:t xml:space="preserve">  复垦前后土地利用结构对比表</w:t>
      </w:r>
    </w:p>
    <w:tbl>
      <w:tblPr>
        <w:tblStyle w:val="23"/>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89"/>
        <w:gridCol w:w="1225"/>
        <w:gridCol w:w="1360"/>
        <w:gridCol w:w="1090"/>
        <w:gridCol w:w="1225"/>
        <w:gridCol w:w="1230"/>
      </w:tblGrid>
      <w:tr w14:paraId="31DF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61" w:type="dxa"/>
            <w:vAlign w:val="center"/>
          </w:tcPr>
          <w:p w14:paraId="4A559572">
            <w:pPr>
              <w:widowControl/>
              <w:jc w:val="center"/>
              <w:rPr>
                <w:rFonts w:eastAsia="宋体"/>
                <w:color w:val="auto"/>
                <w:highlight w:val="none"/>
              </w:rPr>
            </w:pPr>
            <w:r>
              <w:rPr>
                <w:rFonts w:hint="eastAsia" w:eastAsia="宋体"/>
                <w:color w:val="auto"/>
                <w:highlight w:val="none"/>
              </w:rPr>
              <w:t>地类编码</w:t>
            </w:r>
          </w:p>
        </w:tc>
        <w:tc>
          <w:tcPr>
            <w:tcW w:w="1489" w:type="dxa"/>
            <w:vAlign w:val="center"/>
          </w:tcPr>
          <w:p w14:paraId="2252EF24">
            <w:pPr>
              <w:widowControl/>
              <w:jc w:val="center"/>
              <w:rPr>
                <w:rFonts w:eastAsia="宋体"/>
                <w:color w:val="auto"/>
                <w:highlight w:val="none"/>
              </w:rPr>
            </w:pPr>
            <w:r>
              <w:rPr>
                <w:rFonts w:hint="eastAsia" w:eastAsia="宋体"/>
                <w:color w:val="auto"/>
                <w:highlight w:val="none"/>
              </w:rPr>
              <w:t>一级地类</w:t>
            </w:r>
          </w:p>
        </w:tc>
        <w:tc>
          <w:tcPr>
            <w:tcW w:w="1225" w:type="dxa"/>
            <w:vAlign w:val="center"/>
          </w:tcPr>
          <w:p w14:paraId="402B5DD2">
            <w:pPr>
              <w:widowControl/>
              <w:jc w:val="center"/>
              <w:rPr>
                <w:rFonts w:eastAsia="宋体"/>
                <w:color w:val="auto"/>
                <w:highlight w:val="none"/>
              </w:rPr>
            </w:pPr>
            <w:r>
              <w:rPr>
                <w:rFonts w:hint="eastAsia" w:eastAsia="宋体"/>
                <w:color w:val="auto"/>
                <w:highlight w:val="none"/>
              </w:rPr>
              <w:t>地类编码</w:t>
            </w:r>
          </w:p>
        </w:tc>
        <w:tc>
          <w:tcPr>
            <w:tcW w:w="1360" w:type="dxa"/>
            <w:vAlign w:val="center"/>
          </w:tcPr>
          <w:p w14:paraId="7AC2BD86">
            <w:pPr>
              <w:widowControl/>
              <w:jc w:val="center"/>
              <w:rPr>
                <w:rFonts w:eastAsia="宋体"/>
                <w:color w:val="auto"/>
                <w:highlight w:val="none"/>
              </w:rPr>
            </w:pPr>
            <w:r>
              <w:rPr>
                <w:rFonts w:hint="eastAsia" w:eastAsia="宋体"/>
                <w:color w:val="auto"/>
                <w:highlight w:val="none"/>
              </w:rPr>
              <w:t>二级地类</w:t>
            </w:r>
          </w:p>
        </w:tc>
        <w:tc>
          <w:tcPr>
            <w:tcW w:w="1090" w:type="dxa"/>
            <w:vAlign w:val="center"/>
          </w:tcPr>
          <w:p w14:paraId="74253EDD">
            <w:pPr>
              <w:widowControl/>
              <w:jc w:val="center"/>
              <w:rPr>
                <w:rFonts w:eastAsia="宋体"/>
                <w:color w:val="auto"/>
                <w:highlight w:val="none"/>
              </w:rPr>
            </w:pPr>
            <w:r>
              <w:rPr>
                <w:rFonts w:hint="eastAsia" w:eastAsia="宋体"/>
                <w:color w:val="auto"/>
                <w:highlight w:val="none"/>
              </w:rPr>
              <w:t>复垦前(hm</w:t>
            </w:r>
            <w:r>
              <w:rPr>
                <w:rFonts w:hint="eastAsia" w:eastAsia="宋体"/>
                <w:color w:val="auto"/>
                <w:highlight w:val="none"/>
                <w:vertAlign w:val="superscript"/>
              </w:rPr>
              <w:t>2</w:t>
            </w:r>
            <w:r>
              <w:rPr>
                <w:rFonts w:hint="eastAsia" w:eastAsia="宋体"/>
                <w:color w:val="auto"/>
                <w:highlight w:val="none"/>
              </w:rPr>
              <w:t>)</w:t>
            </w:r>
          </w:p>
        </w:tc>
        <w:tc>
          <w:tcPr>
            <w:tcW w:w="1225" w:type="dxa"/>
            <w:vAlign w:val="center"/>
          </w:tcPr>
          <w:p w14:paraId="03660632">
            <w:pPr>
              <w:widowControl/>
              <w:jc w:val="center"/>
              <w:rPr>
                <w:rFonts w:eastAsia="宋体"/>
                <w:color w:val="auto"/>
                <w:highlight w:val="none"/>
              </w:rPr>
            </w:pPr>
            <w:r>
              <w:rPr>
                <w:rFonts w:hint="eastAsia" w:eastAsia="宋体"/>
                <w:color w:val="auto"/>
                <w:highlight w:val="none"/>
              </w:rPr>
              <w:t>复垦后(hm</w:t>
            </w:r>
            <w:r>
              <w:rPr>
                <w:rFonts w:hint="eastAsia" w:eastAsia="宋体"/>
                <w:color w:val="auto"/>
                <w:highlight w:val="none"/>
                <w:vertAlign w:val="superscript"/>
              </w:rPr>
              <w:t>2</w:t>
            </w:r>
            <w:r>
              <w:rPr>
                <w:rFonts w:hint="eastAsia" w:eastAsia="宋体"/>
                <w:color w:val="auto"/>
                <w:highlight w:val="none"/>
              </w:rPr>
              <w:t>)</w:t>
            </w:r>
          </w:p>
        </w:tc>
        <w:tc>
          <w:tcPr>
            <w:tcW w:w="1230" w:type="dxa"/>
            <w:vAlign w:val="center"/>
          </w:tcPr>
          <w:p w14:paraId="31D9D295">
            <w:pPr>
              <w:widowControl/>
              <w:jc w:val="center"/>
              <w:rPr>
                <w:rFonts w:eastAsia="宋体"/>
                <w:color w:val="auto"/>
                <w:highlight w:val="none"/>
              </w:rPr>
            </w:pPr>
            <w:r>
              <w:rPr>
                <w:rFonts w:hint="eastAsia" w:eastAsia="宋体"/>
                <w:color w:val="auto"/>
                <w:highlight w:val="none"/>
              </w:rPr>
              <w:t>增减(hm</w:t>
            </w:r>
            <w:r>
              <w:rPr>
                <w:rFonts w:hint="eastAsia" w:eastAsia="宋体"/>
                <w:color w:val="auto"/>
                <w:highlight w:val="none"/>
                <w:vertAlign w:val="superscript"/>
              </w:rPr>
              <w:t>2</w:t>
            </w:r>
            <w:r>
              <w:rPr>
                <w:rFonts w:hint="eastAsia" w:eastAsia="宋体"/>
                <w:color w:val="auto"/>
                <w:highlight w:val="none"/>
              </w:rPr>
              <w:t>)</w:t>
            </w:r>
          </w:p>
        </w:tc>
      </w:tr>
      <w:tr w14:paraId="29C5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noWrap/>
            <w:vAlign w:val="center"/>
          </w:tcPr>
          <w:p w14:paraId="650CFDB5">
            <w:pPr>
              <w:widowControl/>
              <w:spacing w:line="240" w:lineRule="auto"/>
              <w:ind w:firstLine="0" w:firstLineChars="0"/>
              <w:jc w:val="center"/>
              <w:rPr>
                <w:rFonts w:hint="default" w:eastAsia="宋体"/>
                <w:color w:val="auto"/>
                <w:highlight w:val="none"/>
                <w:lang w:val="en-US" w:eastAsia="zh-CN"/>
              </w:rPr>
            </w:pPr>
            <w:r>
              <w:rPr>
                <w:rFonts w:hint="eastAsia" w:cs="宋体" w:asciiTheme="minorEastAsia" w:hAnsiTheme="minorEastAsia"/>
                <w:color w:val="auto"/>
                <w:kern w:val="0"/>
                <w:sz w:val="21"/>
                <w:lang w:val="en-US" w:eastAsia="zh-CN"/>
              </w:rPr>
              <w:t>03</w:t>
            </w:r>
          </w:p>
        </w:tc>
        <w:tc>
          <w:tcPr>
            <w:tcW w:w="1489" w:type="dxa"/>
            <w:noWrap/>
            <w:vAlign w:val="center"/>
          </w:tcPr>
          <w:p w14:paraId="44C83C7F">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林地</w:t>
            </w:r>
          </w:p>
        </w:tc>
        <w:tc>
          <w:tcPr>
            <w:tcW w:w="1225" w:type="dxa"/>
            <w:noWrap/>
            <w:vAlign w:val="center"/>
          </w:tcPr>
          <w:p w14:paraId="74D57CDB">
            <w:pPr>
              <w:widowControl/>
              <w:spacing w:line="240" w:lineRule="auto"/>
              <w:ind w:firstLine="0" w:firstLineChars="0"/>
              <w:jc w:val="center"/>
              <w:rPr>
                <w:rFonts w:eastAsia="宋体"/>
                <w:color w:val="auto"/>
                <w:highlight w:val="none"/>
              </w:rPr>
            </w:pPr>
            <w:r>
              <w:rPr>
                <w:rFonts w:hint="eastAsia" w:cs="宋体" w:asciiTheme="minorEastAsia" w:hAnsiTheme="minorEastAsia"/>
                <w:color w:val="auto"/>
                <w:kern w:val="0"/>
                <w:sz w:val="21"/>
                <w:lang w:val="en-US" w:eastAsia="zh-CN"/>
              </w:rPr>
              <w:t>0301</w:t>
            </w:r>
          </w:p>
        </w:tc>
        <w:tc>
          <w:tcPr>
            <w:tcW w:w="1360" w:type="dxa"/>
            <w:noWrap/>
            <w:vAlign w:val="center"/>
          </w:tcPr>
          <w:p w14:paraId="758609B9">
            <w:pPr>
              <w:widowControl/>
              <w:jc w:val="center"/>
              <w:textAlignment w:val="center"/>
              <w:rPr>
                <w:rFonts w:hint="eastAsia" w:eastAsia="宋体"/>
                <w:color w:val="auto"/>
                <w:highlight w:val="none"/>
                <w:lang w:eastAsia="zh-CN"/>
              </w:rPr>
            </w:pPr>
            <w:r>
              <w:rPr>
                <w:rFonts w:hint="eastAsia" w:ascii="宋体" w:hAnsi="宋体" w:eastAsia="宋体" w:cs="宋体"/>
                <w:color w:val="auto"/>
                <w:kern w:val="0"/>
                <w:highlight w:val="none"/>
                <w:lang w:val="en-US" w:eastAsia="zh-CN" w:bidi="ar"/>
              </w:rPr>
              <w:t>乔木林地</w:t>
            </w:r>
          </w:p>
        </w:tc>
        <w:tc>
          <w:tcPr>
            <w:tcW w:w="1090" w:type="dxa"/>
            <w:noWrap/>
            <w:vAlign w:val="center"/>
          </w:tcPr>
          <w:p w14:paraId="5550F5F4">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0.65</w:t>
            </w:r>
          </w:p>
        </w:tc>
        <w:tc>
          <w:tcPr>
            <w:tcW w:w="1225" w:type="dxa"/>
            <w:vAlign w:val="center"/>
          </w:tcPr>
          <w:p w14:paraId="25AAF306">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0.6</w:t>
            </w:r>
          </w:p>
        </w:tc>
        <w:tc>
          <w:tcPr>
            <w:tcW w:w="1230" w:type="dxa"/>
            <w:vAlign w:val="center"/>
          </w:tcPr>
          <w:p w14:paraId="69B35318">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+0.05</w:t>
            </w:r>
          </w:p>
        </w:tc>
      </w:tr>
      <w:tr w14:paraId="70D2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noWrap/>
            <w:vAlign w:val="center"/>
          </w:tcPr>
          <w:p w14:paraId="480FFFDA">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04</w:t>
            </w:r>
          </w:p>
        </w:tc>
        <w:tc>
          <w:tcPr>
            <w:tcW w:w="1489" w:type="dxa"/>
            <w:vAlign w:val="center"/>
          </w:tcPr>
          <w:p w14:paraId="1110D9D2">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草地</w:t>
            </w:r>
          </w:p>
        </w:tc>
        <w:tc>
          <w:tcPr>
            <w:tcW w:w="1225" w:type="dxa"/>
            <w:noWrap/>
            <w:vAlign w:val="center"/>
          </w:tcPr>
          <w:p w14:paraId="4DB81283">
            <w:pPr>
              <w:widowControl/>
              <w:spacing w:line="240" w:lineRule="auto"/>
              <w:ind w:firstLine="0" w:firstLineChars="0"/>
              <w:jc w:val="center"/>
              <w:rPr>
                <w:rFonts w:eastAsia="宋体"/>
                <w:color w:val="auto"/>
                <w:highlight w:val="none"/>
              </w:rPr>
            </w:pPr>
            <w:r>
              <w:rPr>
                <w:rFonts w:hint="eastAsia" w:cs="宋体" w:asciiTheme="minorEastAsia" w:hAnsiTheme="minorEastAsia"/>
                <w:color w:val="auto"/>
                <w:kern w:val="0"/>
                <w:sz w:val="21"/>
                <w:lang w:val="en-US" w:eastAsia="zh-CN"/>
              </w:rPr>
              <w:t>0404</w:t>
            </w:r>
          </w:p>
        </w:tc>
        <w:tc>
          <w:tcPr>
            <w:tcW w:w="1360" w:type="dxa"/>
            <w:noWrap/>
            <w:vAlign w:val="center"/>
          </w:tcPr>
          <w:p w14:paraId="2B8A2A3A">
            <w:pPr>
              <w:widowControl/>
              <w:jc w:val="center"/>
              <w:textAlignment w:val="center"/>
              <w:rPr>
                <w:rFonts w:eastAsia="宋体"/>
                <w:color w:val="auto"/>
                <w:highlight w:val="none"/>
              </w:rPr>
            </w:pPr>
            <w:r>
              <w:rPr>
                <w:rFonts w:hint="eastAsia" w:ascii="宋体" w:hAnsi="宋体" w:eastAsia="宋体" w:cs="宋体"/>
                <w:color w:val="auto"/>
                <w:kern w:val="0"/>
                <w:highlight w:val="none"/>
                <w:lang w:val="en-US" w:eastAsia="zh-CN" w:bidi="ar"/>
              </w:rPr>
              <w:t>其他草地</w:t>
            </w:r>
          </w:p>
        </w:tc>
        <w:tc>
          <w:tcPr>
            <w:tcW w:w="1090" w:type="dxa"/>
            <w:noWrap/>
            <w:vAlign w:val="center"/>
          </w:tcPr>
          <w:p w14:paraId="1D9B6235">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0.05</w:t>
            </w:r>
          </w:p>
        </w:tc>
        <w:tc>
          <w:tcPr>
            <w:tcW w:w="1225" w:type="dxa"/>
            <w:vAlign w:val="center"/>
          </w:tcPr>
          <w:p w14:paraId="5DD28C98">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0.2</w:t>
            </w:r>
          </w:p>
        </w:tc>
        <w:tc>
          <w:tcPr>
            <w:tcW w:w="1230" w:type="dxa"/>
            <w:vAlign w:val="center"/>
          </w:tcPr>
          <w:p w14:paraId="3633A6CC">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+0.15</w:t>
            </w:r>
          </w:p>
        </w:tc>
      </w:tr>
      <w:tr w14:paraId="6484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noWrap/>
            <w:vAlign w:val="center"/>
          </w:tcPr>
          <w:p w14:paraId="2740EF72">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01</w:t>
            </w:r>
          </w:p>
        </w:tc>
        <w:tc>
          <w:tcPr>
            <w:tcW w:w="1489" w:type="dxa"/>
            <w:vAlign w:val="center"/>
          </w:tcPr>
          <w:p w14:paraId="3FB3A129">
            <w:pPr>
              <w:widowControl/>
              <w:spacing w:line="240" w:lineRule="auto"/>
              <w:ind w:firstLine="0" w:firstLineChars="0"/>
              <w:jc w:val="center"/>
              <w:rPr>
                <w:rFonts w:hint="default" w:eastAsia="宋体"/>
                <w:color w:val="auto"/>
                <w:highlight w:val="none"/>
                <w:lang w:val="en-US" w:eastAsia="zh-CN"/>
              </w:rPr>
            </w:pPr>
            <w:r>
              <w:rPr>
                <w:rFonts w:hint="eastAsia" w:cs="宋体" w:asciiTheme="minorEastAsia" w:hAnsiTheme="minorEastAsia"/>
                <w:color w:val="auto"/>
                <w:kern w:val="0"/>
                <w:sz w:val="21"/>
                <w:lang w:val="en-US" w:eastAsia="zh-CN"/>
              </w:rPr>
              <w:t>耕地</w:t>
            </w:r>
          </w:p>
        </w:tc>
        <w:tc>
          <w:tcPr>
            <w:tcW w:w="1225" w:type="dxa"/>
            <w:noWrap/>
            <w:vAlign w:val="center"/>
          </w:tcPr>
          <w:p w14:paraId="56907FBA">
            <w:pPr>
              <w:widowControl/>
              <w:spacing w:line="240" w:lineRule="auto"/>
              <w:ind w:firstLine="0" w:firstLineChars="0"/>
              <w:jc w:val="center"/>
              <w:rPr>
                <w:rFonts w:eastAsia="宋体"/>
                <w:color w:val="auto"/>
                <w:highlight w:val="none"/>
              </w:rPr>
            </w:pPr>
            <w:r>
              <w:rPr>
                <w:rFonts w:hint="eastAsia" w:cs="宋体" w:asciiTheme="minorEastAsia" w:hAnsiTheme="minorEastAsia"/>
                <w:color w:val="auto"/>
                <w:kern w:val="0"/>
                <w:sz w:val="21"/>
                <w:lang w:val="en-US" w:eastAsia="zh-CN"/>
              </w:rPr>
              <w:t>0103</w:t>
            </w:r>
          </w:p>
        </w:tc>
        <w:tc>
          <w:tcPr>
            <w:tcW w:w="1360" w:type="dxa"/>
            <w:noWrap/>
            <w:vAlign w:val="center"/>
          </w:tcPr>
          <w:p w14:paraId="381DEFA5">
            <w:pPr>
              <w:widowControl/>
              <w:jc w:val="center"/>
              <w:textAlignment w:val="center"/>
              <w:rPr>
                <w:rFonts w:eastAsia="宋体"/>
                <w:color w:val="auto"/>
                <w:highlight w:val="none"/>
              </w:rPr>
            </w:pPr>
            <w:r>
              <w:rPr>
                <w:rFonts w:hint="eastAsia" w:ascii="宋体" w:hAnsi="宋体" w:eastAsia="宋体" w:cs="宋体"/>
                <w:color w:val="auto"/>
                <w:kern w:val="0"/>
                <w:highlight w:val="none"/>
                <w:lang w:val="en-US" w:eastAsia="zh-CN" w:bidi="ar"/>
              </w:rPr>
              <w:t>旱地</w:t>
            </w:r>
          </w:p>
        </w:tc>
        <w:tc>
          <w:tcPr>
            <w:tcW w:w="1090" w:type="dxa"/>
            <w:noWrap/>
            <w:vAlign w:val="center"/>
          </w:tcPr>
          <w:p w14:paraId="5EE379A2">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0.1</w:t>
            </w:r>
          </w:p>
        </w:tc>
        <w:tc>
          <w:tcPr>
            <w:tcW w:w="1225" w:type="dxa"/>
            <w:vAlign w:val="center"/>
          </w:tcPr>
          <w:p w14:paraId="30EA6720">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w:t>
            </w:r>
          </w:p>
        </w:tc>
        <w:tc>
          <w:tcPr>
            <w:tcW w:w="1230" w:type="dxa"/>
            <w:vAlign w:val="center"/>
          </w:tcPr>
          <w:p w14:paraId="6AC3DF98">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-0.1</w:t>
            </w:r>
          </w:p>
        </w:tc>
      </w:tr>
      <w:tr w14:paraId="627E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vAlign w:val="center"/>
          </w:tcPr>
          <w:p w14:paraId="06DAFD33">
            <w:pPr>
              <w:widowControl/>
              <w:jc w:val="center"/>
              <w:rPr>
                <w:rFonts w:eastAsia="宋体"/>
                <w:color w:val="auto"/>
                <w:highlight w:val="none"/>
              </w:rPr>
            </w:pPr>
            <w:r>
              <w:rPr>
                <w:rFonts w:hint="eastAsia" w:eastAsia="宋体"/>
                <w:color w:val="auto"/>
                <w:highlight w:val="none"/>
              </w:rPr>
              <w:t>合计</w:t>
            </w:r>
          </w:p>
        </w:tc>
        <w:tc>
          <w:tcPr>
            <w:tcW w:w="1489" w:type="dxa"/>
            <w:vAlign w:val="center"/>
          </w:tcPr>
          <w:p w14:paraId="4B45F844">
            <w:pPr>
              <w:widowControl/>
              <w:jc w:val="center"/>
              <w:rPr>
                <w:rFonts w:eastAsia="宋体"/>
                <w:color w:val="auto"/>
                <w:highlight w:val="none"/>
              </w:rPr>
            </w:pPr>
            <w:r>
              <w:rPr>
                <w:rFonts w:hint="eastAsia" w:eastAsia="宋体"/>
                <w:color w:val="auto"/>
                <w:highlight w:val="none"/>
              </w:rPr>
              <w:t>　</w:t>
            </w:r>
          </w:p>
        </w:tc>
        <w:tc>
          <w:tcPr>
            <w:tcW w:w="1225" w:type="dxa"/>
            <w:vAlign w:val="center"/>
          </w:tcPr>
          <w:p w14:paraId="75381CBE">
            <w:pPr>
              <w:widowControl/>
              <w:jc w:val="center"/>
              <w:rPr>
                <w:rFonts w:eastAsia="宋体"/>
                <w:color w:val="auto"/>
                <w:highlight w:val="none"/>
              </w:rPr>
            </w:pPr>
            <w:r>
              <w:rPr>
                <w:rFonts w:hint="eastAsia" w:eastAsia="宋体"/>
                <w:color w:val="auto"/>
                <w:highlight w:val="none"/>
              </w:rPr>
              <w:t>　</w:t>
            </w:r>
          </w:p>
        </w:tc>
        <w:tc>
          <w:tcPr>
            <w:tcW w:w="1360" w:type="dxa"/>
            <w:vAlign w:val="center"/>
          </w:tcPr>
          <w:p w14:paraId="52FBF1AF">
            <w:pPr>
              <w:widowControl/>
              <w:jc w:val="center"/>
              <w:rPr>
                <w:rFonts w:eastAsia="宋体"/>
                <w:color w:val="auto"/>
                <w:highlight w:val="none"/>
              </w:rPr>
            </w:pPr>
            <w:r>
              <w:rPr>
                <w:rFonts w:hint="eastAsia" w:eastAsia="宋体"/>
                <w:color w:val="auto"/>
                <w:highlight w:val="none"/>
              </w:rPr>
              <w:t>　</w:t>
            </w:r>
          </w:p>
        </w:tc>
        <w:tc>
          <w:tcPr>
            <w:tcW w:w="1090" w:type="dxa"/>
            <w:vAlign w:val="center"/>
          </w:tcPr>
          <w:p w14:paraId="07786242">
            <w:pPr>
              <w:widowControl/>
              <w:jc w:val="center"/>
              <w:rPr>
                <w:rFonts w:hint="default" w:eastAsia="宋体"/>
                <w:color w:val="auto"/>
                <w:highlight w:val="none"/>
                <w:lang w:val="en-US" w:eastAsia="zh-CN"/>
              </w:rPr>
            </w:pPr>
            <w:r>
              <w:rPr>
                <w:rFonts w:hint="eastAsia" w:eastAsia="宋体"/>
                <w:color w:val="auto"/>
                <w:highlight w:val="none"/>
                <w:lang w:val="en-US" w:eastAsia="zh-CN"/>
              </w:rPr>
              <w:t>0.8</w:t>
            </w:r>
          </w:p>
        </w:tc>
        <w:tc>
          <w:tcPr>
            <w:tcW w:w="1225" w:type="dxa"/>
            <w:vAlign w:val="center"/>
          </w:tcPr>
          <w:p w14:paraId="520BF454">
            <w:pPr>
              <w:widowControl/>
              <w:jc w:val="center"/>
              <w:rPr>
                <w:rFonts w:hint="default" w:eastAsia="宋体"/>
                <w:color w:val="auto"/>
                <w:highlight w:val="none"/>
                <w:lang w:val="en-US" w:eastAsia="zh-CN"/>
              </w:rPr>
            </w:pPr>
            <w:r>
              <w:rPr>
                <w:rFonts w:hint="eastAsia" w:eastAsia="宋体"/>
                <w:color w:val="auto"/>
                <w:highlight w:val="none"/>
                <w:lang w:val="en-US" w:eastAsia="zh-CN"/>
              </w:rPr>
              <w:t>0.8</w:t>
            </w:r>
          </w:p>
        </w:tc>
        <w:tc>
          <w:tcPr>
            <w:tcW w:w="1230" w:type="dxa"/>
            <w:vAlign w:val="center"/>
          </w:tcPr>
          <w:p w14:paraId="09465606">
            <w:pPr>
              <w:widowControl/>
              <w:jc w:val="center"/>
              <w:rPr>
                <w:rFonts w:eastAsia="宋体"/>
                <w:color w:val="auto"/>
                <w:highlight w:val="none"/>
              </w:rPr>
            </w:pPr>
            <w:r>
              <w:rPr>
                <w:rFonts w:hint="eastAsia" w:eastAsia="宋体"/>
                <w:color w:val="auto"/>
                <w:highlight w:val="none"/>
              </w:rPr>
              <w:t>0</w:t>
            </w:r>
          </w:p>
        </w:tc>
      </w:tr>
    </w:tbl>
    <w:p w14:paraId="135F736B">
      <w:pPr>
        <w:pStyle w:val="4"/>
        <w:rPr>
          <w:rFonts w:ascii="Times New Roman" w:hAnsi="Times New Roman" w:eastAsia="宋体" w:cs="Times New Roman"/>
          <w:color w:val="auto"/>
          <w:sz w:val="28"/>
          <w:szCs w:val="28"/>
          <w:highlight w:val="none"/>
        </w:rPr>
      </w:pPr>
      <w:bookmarkStart w:id="123" w:name="_Toc28541"/>
      <w:r>
        <w:rPr>
          <w:rFonts w:ascii="Times New Roman" w:hAnsi="Times New Roman" w:eastAsia="宋体" w:cs="Times New Roman"/>
          <w:color w:val="auto"/>
          <w:sz w:val="28"/>
          <w:szCs w:val="28"/>
          <w:highlight w:val="none"/>
        </w:rPr>
        <w:t>（三）水土资源平衡分析</w:t>
      </w:r>
      <w:bookmarkEnd w:id="123"/>
    </w:p>
    <w:p w14:paraId="29D21237">
      <w:pPr>
        <w:spacing w:line="360" w:lineRule="auto"/>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rPr>
        <w:t>、</w:t>
      </w:r>
      <w:r>
        <w:rPr>
          <w:rFonts w:ascii="Times New Roman" w:hAnsi="Times New Roman" w:eastAsia="宋体" w:cs="Times New Roman"/>
          <w:b/>
          <w:bCs/>
          <w:color w:val="auto"/>
          <w:sz w:val="24"/>
          <w:szCs w:val="24"/>
          <w:highlight w:val="none"/>
        </w:rPr>
        <w:t>水资源平衡</w:t>
      </w:r>
      <w:r>
        <w:rPr>
          <w:rFonts w:hint="eastAsia" w:ascii="Times New Roman" w:hAnsi="Times New Roman" w:eastAsia="宋体" w:cs="Times New Roman"/>
          <w:b/>
          <w:bCs/>
          <w:color w:val="auto"/>
          <w:sz w:val="24"/>
          <w:szCs w:val="24"/>
          <w:highlight w:val="none"/>
        </w:rPr>
        <w:t>分析</w:t>
      </w:r>
    </w:p>
    <w:p w14:paraId="4F83179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本项目复垦的方向是乔木林地、其他草地。项目区土地复垦后，其主要用水对象是植被用水。</w:t>
      </w:r>
    </w:p>
    <w:p w14:paraId="1AC622E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1）复垦乔木林地需水分析</w:t>
      </w:r>
    </w:p>
    <w:p w14:paraId="67AFBE2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复垦后乔木林地面积为</w:t>
      </w:r>
      <w:r>
        <w:rPr>
          <w:rFonts w:hint="eastAsia" w:ascii="仿宋" w:hAnsi="仿宋" w:eastAsia="仿宋" w:cs="仿宋"/>
          <w:color w:val="auto"/>
          <w:sz w:val="28"/>
          <w:szCs w:val="28"/>
          <w:highlight w:val="none"/>
          <w:lang w:val="en-US" w:eastAsia="zh-CN"/>
        </w:rPr>
        <w:t>0.6</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（约合</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亩），林地在幼苗期内需要灌溉，成活后靠大气降水自然补给。根据《四川省农业灌溉用水定额》中四川省农业灌溉用水定额表，“林木的培育和种植”，灌溉用水基准定额(m0)为160 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/亩。项目区累计复垦乔木林地</w:t>
      </w:r>
      <w:r>
        <w:rPr>
          <w:rFonts w:hint="eastAsia" w:ascii="仿宋" w:hAnsi="仿宋" w:eastAsia="仿宋" w:cs="仿宋"/>
          <w:color w:val="auto"/>
          <w:sz w:val="28"/>
          <w:szCs w:val="28"/>
          <w:highlight w:val="none"/>
          <w:lang w:val="en-US" w:eastAsia="zh-CN"/>
        </w:rPr>
        <w:t>0.6</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（约合</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亩），计算出乔木林地复垦区累计需水量约为</w:t>
      </w:r>
      <w:r>
        <w:rPr>
          <w:rFonts w:hint="eastAsia" w:ascii="仿宋" w:hAnsi="仿宋" w:eastAsia="仿宋" w:cs="仿宋"/>
          <w:color w:val="auto"/>
          <w:sz w:val="28"/>
          <w:szCs w:val="28"/>
          <w:highlight w:val="none"/>
          <w:lang w:val="en-US" w:eastAsia="zh-CN"/>
        </w:rPr>
        <w:t>1440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w:t>
      </w:r>
    </w:p>
    <w:p w14:paraId="75AB2A6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2）复垦草地需水分析</w:t>
      </w:r>
    </w:p>
    <w:p w14:paraId="3D4F4D2B">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复垦草地区域按复垦林地灌溉标准80%计，即128m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/亩。复垦草地面积</w:t>
      </w:r>
      <w:r>
        <w:rPr>
          <w:rFonts w:hint="eastAsia" w:ascii="仿宋" w:hAnsi="仿宋" w:eastAsia="仿宋" w:cs="仿宋"/>
          <w:color w:val="auto"/>
          <w:sz w:val="28"/>
          <w:szCs w:val="28"/>
          <w:highlight w:val="none"/>
          <w:lang w:val="en-US" w:eastAsia="zh-CN"/>
        </w:rPr>
        <w:t>0.2</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（约合</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亩），计算出草地复垦区累计需水量约为</w:t>
      </w:r>
      <w:r>
        <w:rPr>
          <w:rFonts w:hint="eastAsia" w:ascii="仿宋" w:hAnsi="仿宋" w:eastAsia="仿宋" w:cs="仿宋"/>
          <w:color w:val="auto"/>
          <w:sz w:val="28"/>
          <w:szCs w:val="28"/>
          <w:highlight w:val="none"/>
          <w:lang w:val="en-US" w:eastAsia="zh-CN"/>
        </w:rPr>
        <w:t>384</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w:t>
      </w:r>
    </w:p>
    <w:p w14:paraId="19DA102D">
      <w:pPr>
        <w:spacing w:line="360" w:lineRule="auto"/>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w:t>
      </w:r>
      <w:r>
        <w:rPr>
          <w:rFonts w:ascii="Times New Roman" w:hAnsi="Times New Roman" w:eastAsia="宋体" w:cs="Times New Roman"/>
          <w:b/>
          <w:bCs/>
          <w:color w:val="auto"/>
          <w:sz w:val="24"/>
          <w:szCs w:val="24"/>
          <w:highlight w:val="none"/>
        </w:rPr>
        <w:t>土资源平衡</w:t>
      </w:r>
    </w:p>
    <w:p w14:paraId="60BD0842">
      <w:pPr>
        <w:spacing w:line="360" w:lineRule="auto"/>
        <w:ind w:firstLine="480"/>
        <w:jc w:val="left"/>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1）需土分析</w:t>
      </w:r>
    </w:p>
    <w:p w14:paraId="2AAF2DEE">
      <w:pPr>
        <w:pStyle w:val="14"/>
        <w:spacing w:line="360" w:lineRule="auto"/>
        <w:ind w:firstLine="480"/>
        <w:rPr>
          <w:rFonts w:ascii="Times New Roman" w:hAnsi="Times New Roman" w:cs="Times New Roman"/>
          <w:color w:val="auto"/>
          <w:sz w:val="24"/>
          <w:szCs w:val="24"/>
          <w:highlight w:val="none"/>
        </w:rPr>
      </w:pPr>
      <w:r>
        <w:rPr>
          <w:rFonts w:hint="eastAsia" w:ascii="仿宋" w:hAnsi="仿宋" w:eastAsia="仿宋" w:cs="仿宋"/>
          <w:color w:val="auto"/>
          <w:sz w:val="28"/>
          <w:szCs w:val="28"/>
          <w:highlight w:val="none"/>
        </w:rPr>
        <w:t>根据评价单元的复垦适宜性评价，本项目复垦方向为乔木林地、其他草地。复垦为乔木林地面积</w:t>
      </w:r>
      <w:r>
        <w:rPr>
          <w:rFonts w:hint="eastAsia" w:ascii="仿宋" w:hAnsi="仿宋" w:eastAsia="仿宋" w:cs="仿宋"/>
          <w:color w:val="auto"/>
          <w:sz w:val="28"/>
          <w:szCs w:val="28"/>
          <w:highlight w:val="none"/>
          <w:lang w:val="en-US" w:eastAsia="zh-CN"/>
        </w:rPr>
        <w:t>0.6</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、其他草地面积为</w:t>
      </w:r>
      <w:r>
        <w:rPr>
          <w:rFonts w:hint="eastAsia" w:ascii="仿宋" w:hAnsi="仿宋" w:eastAsia="仿宋" w:cs="仿宋"/>
          <w:color w:val="auto"/>
          <w:sz w:val="28"/>
          <w:szCs w:val="28"/>
          <w:highlight w:val="none"/>
          <w:lang w:val="en-US" w:eastAsia="zh-CN"/>
        </w:rPr>
        <w:t>0.2</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。对复垦乔木林地区域，回填表土标准按照0.3m进行覆土，计算出土壤需求为</w:t>
      </w:r>
      <w:r>
        <w:rPr>
          <w:rFonts w:hint="eastAsia" w:ascii="仿宋" w:hAnsi="仿宋" w:eastAsia="仿宋" w:cs="仿宋"/>
          <w:color w:val="auto"/>
          <w:sz w:val="28"/>
          <w:szCs w:val="28"/>
          <w:highlight w:val="none"/>
          <w:lang w:val="en-US" w:eastAsia="zh-CN"/>
        </w:rPr>
        <w:t>1800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；复垦其他草地区域由于终采边坡区坡度较陡，不进行覆土，直接清理浮石后，在</w:t>
      </w:r>
      <w:r>
        <w:rPr>
          <w:rFonts w:hint="eastAsia" w:ascii="仿宋" w:hAnsi="仿宋" w:eastAsia="仿宋" w:cs="仿宋"/>
          <w:color w:val="auto"/>
          <w:sz w:val="28"/>
          <w:szCs w:val="28"/>
          <w:highlight w:val="none"/>
          <w:lang w:val="en-US" w:eastAsia="zh-CN"/>
        </w:rPr>
        <w:t>边坡处</w:t>
      </w:r>
      <w:r>
        <w:rPr>
          <w:rFonts w:hint="eastAsia" w:ascii="仿宋" w:hAnsi="仿宋" w:eastAsia="仿宋" w:cs="仿宋"/>
          <w:color w:val="auto"/>
          <w:sz w:val="28"/>
          <w:szCs w:val="28"/>
          <w:highlight w:val="none"/>
        </w:rPr>
        <w:t>种植爬藤。因此项目区需覆表土量</w:t>
      </w:r>
      <w:r>
        <w:rPr>
          <w:rFonts w:hint="eastAsia" w:ascii="仿宋" w:hAnsi="仿宋" w:eastAsia="仿宋" w:cs="仿宋"/>
          <w:color w:val="auto"/>
          <w:sz w:val="28"/>
          <w:szCs w:val="28"/>
          <w:highlight w:val="none"/>
          <w:lang w:val="en-US" w:eastAsia="zh-CN"/>
        </w:rPr>
        <w:t>1800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w:t>
      </w:r>
    </w:p>
    <w:p w14:paraId="796F4649">
      <w:pPr>
        <w:jc w:val="center"/>
        <w:rPr>
          <w:rFonts w:eastAsia="宋体"/>
          <w:b/>
          <w:color w:val="auto"/>
          <w:highlight w:val="none"/>
        </w:rPr>
      </w:pPr>
      <w:r>
        <w:rPr>
          <w:rFonts w:eastAsia="宋体"/>
          <w:b/>
          <w:color w:val="auto"/>
          <w:highlight w:val="none"/>
        </w:rPr>
        <w:t>表4-</w:t>
      </w:r>
      <w:r>
        <w:rPr>
          <w:rFonts w:hint="eastAsia" w:eastAsia="宋体"/>
          <w:b/>
          <w:color w:val="auto"/>
          <w:highlight w:val="none"/>
        </w:rPr>
        <w:t>9</w:t>
      </w:r>
      <w:r>
        <w:rPr>
          <w:rFonts w:eastAsia="宋体"/>
          <w:b/>
          <w:color w:val="auto"/>
          <w:highlight w:val="none"/>
        </w:rPr>
        <w:t xml:space="preserve">   项目区覆土量分析表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2142"/>
        <w:gridCol w:w="2125"/>
        <w:gridCol w:w="2137"/>
      </w:tblGrid>
      <w:tr w14:paraId="2867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8" w:type="dxa"/>
            <w:vAlign w:val="center"/>
          </w:tcPr>
          <w:p w14:paraId="68A96180">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复垦地类</w:t>
            </w:r>
          </w:p>
        </w:tc>
        <w:tc>
          <w:tcPr>
            <w:tcW w:w="2142" w:type="dxa"/>
            <w:vAlign w:val="center"/>
          </w:tcPr>
          <w:p w14:paraId="1507FA81">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复垦面积（hm</w:t>
            </w:r>
            <w:r>
              <w:rPr>
                <w:rFonts w:ascii="Times New Roman" w:hAnsi="Times New Roman"/>
                <w:color w:val="auto"/>
                <w:sz w:val="21"/>
                <w:highlight w:val="none"/>
                <w:vertAlign w:val="superscript"/>
              </w:rPr>
              <w:t>2</w:t>
            </w:r>
            <w:r>
              <w:rPr>
                <w:rFonts w:ascii="Times New Roman" w:hAnsi="Times New Roman"/>
                <w:color w:val="auto"/>
                <w:sz w:val="21"/>
                <w:highlight w:val="none"/>
              </w:rPr>
              <w:t>）</w:t>
            </w:r>
          </w:p>
        </w:tc>
        <w:tc>
          <w:tcPr>
            <w:tcW w:w="2125" w:type="dxa"/>
            <w:vAlign w:val="center"/>
          </w:tcPr>
          <w:p w14:paraId="657CF4DE">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覆土厚度(m)</w:t>
            </w:r>
          </w:p>
        </w:tc>
        <w:tc>
          <w:tcPr>
            <w:tcW w:w="2137" w:type="dxa"/>
            <w:vAlign w:val="center"/>
          </w:tcPr>
          <w:p w14:paraId="68C23F47">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覆土量(m</w:t>
            </w:r>
            <w:r>
              <w:rPr>
                <w:rFonts w:ascii="Times New Roman" w:hAnsi="Times New Roman"/>
                <w:color w:val="auto"/>
                <w:sz w:val="21"/>
                <w:highlight w:val="none"/>
                <w:vertAlign w:val="superscript"/>
              </w:rPr>
              <w:t>3</w:t>
            </w:r>
            <w:r>
              <w:rPr>
                <w:rFonts w:ascii="Times New Roman" w:hAnsi="Times New Roman"/>
                <w:color w:val="auto"/>
                <w:sz w:val="21"/>
                <w:highlight w:val="none"/>
              </w:rPr>
              <w:t>)</w:t>
            </w:r>
          </w:p>
        </w:tc>
      </w:tr>
      <w:tr w14:paraId="54D7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8" w:type="dxa"/>
            <w:vAlign w:val="center"/>
          </w:tcPr>
          <w:p w14:paraId="6F8111A4">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乔木林地</w:t>
            </w:r>
          </w:p>
        </w:tc>
        <w:tc>
          <w:tcPr>
            <w:tcW w:w="2142" w:type="dxa"/>
            <w:vAlign w:val="center"/>
          </w:tcPr>
          <w:p w14:paraId="6B0664F4">
            <w:pPr>
              <w:pStyle w:val="14"/>
              <w:spacing w:line="240" w:lineRule="auto"/>
              <w:ind w:firstLine="0" w:firstLineChars="0"/>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0.6</w:t>
            </w:r>
          </w:p>
        </w:tc>
        <w:tc>
          <w:tcPr>
            <w:tcW w:w="2125" w:type="dxa"/>
            <w:vAlign w:val="center"/>
          </w:tcPr>
          <w:p w14:paraId="43BFBABE">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0.3</w:t>
            </w:r>
          </w:p>
        </w:tc>
        <w:tc>
          <w:tcPr>
            <w:tcW w:w="2137" w:type="dxa"/>
            <w:vAlign w:val="center"/>
          </w:tcPr>
          <w:p w14:paraId="3277C057">
            <w:pPr>
              <w:pStyle w:val="14"/>
              <w:spacing w:line="240" w:lineRule="auto"/>
              <w:ind w:firstLine="0" w:firstLineChars="0"/>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1800</w:t>
            </w:r>
          </w:p>
        </w:tc>
      </w:tr>
      <w:tr w14:paraId="5E36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18" w:type="dxa"/>
            <w:vAlign w:val="center"/>
          </w:tcPr>
          <w:p w14:paraId="7C8EBCBC">
            <w:pPr>
              <w:pStyle w:val="14"/>
              <w:spacing w:line="240" w:lineRule="auto"/>
              <w:ind w:firstLine="0" w:firstLineChars="0"/>
              <w:jc w:val="center"/>
              <w:rPr>
                <w:rFonts w:ascii="Times New Roman" w:hAnsi="Times New Roman"/>
                <w:color w:val="auto"/>
                <w:sz w:val="21"/>
                <w:highlight w:val="none"/>
              </w:rPr>
            </w:pPr>
            <w:r>
              <w:rPr>
                <w:rFonts w:ascii="Times New Roman" w:hAnsi="Times New Roman"/>
                <w:color w:val="auto"/>
                <w:sz w:val="21"/>
                <w:highlight w:val="none"/>
              </w:rPr>
              <w:t>合计</w:t>
            </w:r>
          </w:p>
        </w:tc>
        <w:tc>
          <w:tcPr>
            <w:tcW w:w="4267" w:type="dxa"/>
            <w:gridSpan w:val="2"/>
            <w:vAlign w:val="center"/>
          </w:tcPr>
          <w:p w14:paraId="6997E718">
            <w:pPr>
              <w:pStyle w:val="14"/>
              <w:spacing w:line="240" w:lineRule="auto"/>
              <w:ind w:firstLine="0" w:firstLineChars="0"/>
              <w:jc w:val="center"/>
              <w:rPr>
                <w:rFonts w:ascii="Times New Roman" w:hAnsi="Times New Roman"/>
                <w:color w:val="auto"/>
                <w:sz w:val="21"/>
                <w:highlight w:val="none"/>
              </w:rPr>
            </w:pPr>
          </w:p>
        </w:tc>
        <w:tc>
          <w:tcPr>
            <w:tcW w:w="2137" w:type="dxa"/>
            <w:vAlign w:val="center"/>
          </w:tcPr>
          <w:p w14:paraId="2C9BCBB8">
            <w:pPr>
              <w:pStyle w:val="14"/>
              <w:spacing w:line="240" w:lineRule="auto"/>
              <w:ind w:firstLine="0" w:firstLineChars="0"/>
              <w:jc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1800</w:t>
            </w:r>
          </w:p>
        </w:tc>
      </w:tr>
    </w:tbl>
    <w:p w14:paraId="0AC238EA">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2）供土量分析</w:t>
      </w:r>
    </w:p>
    <w:p w14:paraId="2066A4A1">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矿山采场土壤厚度为0.</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lang w:val="en-US" w:eastAsia="zh-CN"/>
        </w:rPr>
        <w:t>0.6</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通过估算，矿山拟损毁区域涉可以进行表土剥离</w:t>
      </w:r>
      <w:r>
        <w:rPr>
          <w:rFonts w:hint="eastAsia" w:ascii="仿宋" w:hAnsi="仿宋" w:eastAsia="仿宋" w:cs="仿宋"/>
          <w:color w:val="auto"/>
          <w:sz w:val="28"/>
          <w:szCs w:val="28"/>
          <w:highlight w:val="none"/>
          <w:lang w:val="en-US" w:eastAsia="zh-CN"/>
        </w:rPr>
        <w:t>2400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，土壤质量满足复垦要求，剥离后保存复垦工作开展时可直接用于复垦。</w:t>
      </w:r>
    </w:p>
    <w:p w14:paraId="56F24BB4">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剥离表土设计堆存于矿山较平整处，</w:t>
      </w:r>
      <w:r>
        <w:rPr>
          <w:rFonts w:hint="eastAsia" w:ascii="仿宋" w:hAnsi="仿宋" w:eastAsia="仿宋" w:cs="仿宋"/>
          <w:bCs/>
          <w:color w:val="auto"/>
          <w:sz w:val="28"/>
          <w:szCs w:val="28"/>
          <w:highlight w:val="none"/>
        </w:rPr>
        <w:t>为防止堆土场堆放过程中产生扬尘以及降雨对松散的堆积体表面造成的冲刷，对堆积体表面铺设薄膜覆盖措施进行防护。另外，为了保持土壤肥力，在表土堆积体表面播撒草籽进行绿化养护。</w:t>
      </w:r>
    </w:p>
    <w:p w14:paraId="317958D4">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3）供需土平衡分析</w:t>
      </w:r>
    </w:p>
    <w:p w14:paraId="6F46C1B8">
      <w:pPr>
        <w:pStyle w:val="14"/>
        <w:spacing w:line="360" w:lineRule="auto"/>
        <w:ind w:firstLine="48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经统计分析项目需土量为</w:t>
      </w:r>
      <w:r>
        <w:rPr>
          <w:rFonts w:hint="eastAsia" w:ascii="仿宋" w:hAnsi="仿宋" w:eastAsia="仿宋" w:cs="仿宋"/>
          <w:bCs/>
          <w:color w:val="auto"/>
          <w:sz w:val="28"/>
          <w:szCs w:val="28"/>
          <w:highlight w:val="none"/>
          <w:lang w:val="en-US" w:eastAsia="zh-CN"/>
        </w:rPr>
        <w:t>1800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bCs/>
          <w:color w:val="auto"/>
          <w:sz w:val="28"/>
          <w:szCs w:val="28"/>
          <w:highlight w:val="none"/>
        </w:rPr>
        <w:t>，供土量为</w:t>
      </w:r>
      <w:r>
        <w:rPr>
          <w:rFonts w:hint="eastAsia" w:ascii="仿宋" w:hAnsi="仿宋" w:eastAsia="仿宋" w:cs="仿宋"/>
          <w:bCs/>
          <w:color w:val="auto"/>
          <w:sz w:val="28"/>
          <w:szCs w:val="28"/>
          <w:highlight w:val="none"/>
          <w:lang w:val="en-US" w:eastAsia="zh-CN"/>
        </w:rPr>
        <w:t>2400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bCs/>
          <w:color w:val="auto"/>
          <w:sz w:val="28"/>
          <w:szCs w:val="28"/>
          <w:highlight w:val="none"/>
        </w:rPr>
        <w:t>，供土量</w:t>
      </w:r>
      <w:r>
        <w:rPr>
          <w:rFonts w:hint="eastAsia" w:ascii="仿宋" w:hAnsi="仿宋" w:eastAsia="仿宋" w:cs="仿宋"/>
          <w:bCs/>
          <w:color w:val="auto"/>
          <w:sz w:val="28"/>
          <w:szCs w:val="28"/>
          <w:highlight w:val="none"/>
          <w:lang w:val="en-US" w:eastAsia="zh-CN"/>
        </w:rPr>
        <w:t>大</w:t>
      </w:r>
      <w:r>
        <w:rPr>
          <w:rFonts w:hint="eastAsia" w:ascii="仿宋" w:hAnsi="仿宋" w:eastAsia="仿宋" w:cs="仿宋"/>
          <w:bCs/>
          <w:color w:val="auto"/>
          <w:sz w:val="28"/>
          <w:szCs w:val="28"/>
          <w:highlight w:val="none"/>
        </w:rPr>
        <w:t>于表土覆土量。根据需土量与供土量分析，用于复垦的土源可以得到保障，满足复垦需求。</w:t>
      </w:r>
    </w:p>
    <w:p w14:paraId="443232D5">
      <w:pPr>
        <w:pStyle w:val="4"/>
        <w:rPr>
          <w:rFonts w:ascii="Times New Roman" w:hAnsi="Times New Roman" w:eastAsia="宋体" w:cs="Times New Roman"/>
          <w:color w:val="auto"/>
          <w:sz w:val="28"/>
          <w:szCs w:val="28"/>
          <w:highlight w:val="none"/>
        </w:rPr>
      </w:pPr>
      <w:bookmarkStart w:id="124" w:name="_Toc18090"/>
      <w:r>
        <w:rPr>
          <w:rFonts w:ascii="Times New Roman" w:hAnsi="Times New Roman" w:eastAsia="宋体" w:cs="Times New Roman"/>
          <w:color w:val="auto"/>
          <w:sz w:val="28"/>
          <w:szCs w:val="28"/>
          <w:highlight w:val="none"/>
        </w:rPr>
        <w:t>（四）土地复垦质量要求</w:t>
      </w:r>
      <w:bookmarkEnd w:id="124"/>
    </w:p>
    <w:p w14:paraId="16E1E26F">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土地复垦质量要求参照《土地复垦质量控制标准》（TD/T1036-2013）中表D.8西南山地丘陵区土地复垦质量控制标准，具体详见表4-10。</w:t>
      </w:r>
    </w:p>
    <w:p w14:paraId="503BF65D">
      <w:pPr>
        <w:pStyle w:val="14"/>
        <w:ind w:firstLine="0" w:firstLineChars="0"/>
        <w:jc w:val="center"/>
        <w:rPr>
          <w:rFonts w:ascii="Times New Roman" w:hAnsi="Times New Roman"/>
          <w:b/>
          <w:bCs/>
          <w:snapToGrid w:val="0"/>
          <w:color w:val="auto"/>
          <w:sz w:val="21"/>
          <w:highlight w:val="none"/>
        </w:rPr>
      </w:pPr>
      <w:r>
        <w:rPr>
          <w:rFonts w:ascii="Times New Roman" w:hAnsi="Times New Roman"/>
          <w:b/>
          <w:bCs/>
          <w:snapToGrid w:val="0"/>
          <w:color w:val="auto"/>
          <w:sz w:val="21"/>
          <w:highlight w:val="none"/>
        </w:rPr>
        <w:t>表4-</w:t>
      </w:r>
      <w:r>
        <w:rPr>
          <w:rFonts w:hint="eastAsia" w:ascii="Times New Roman" w:hAnsi="Times New Roman"/>
          <w:b/>
          <w:bCs/>
          <w:snapToGrid w:val="0"/>
          <w:color w:val="auto"/>
          <w:sz w:val="21"/>
          <w:highlight w:val="none"/>
        </w:rPr>
        <w:t>10</w:t>
      </w:r>
      <w:r>
        <w:rPr>
          <w:rFonts w:ascii="Times New Roman" w:hAnsi="Times New Roman"/>
          <w:b/>
          <w:bCs/>
          <w:snapToGrid w:val="0"/>
          <w:color w:val="auto"/>
          <w:sz w:val="21"/>
          <w:highlight w:val="none"/>
        </w:rPr>
        <w:t xml:space="preserve">   西南山地丘陵区土地复垦质量控制标准</w:t>
      </w:r>
    </w:p>
    <w:tbl>
      <w:tblPr>
        <w:tblStyle w:val="23"/>
        <w:tblW w:w="8806" w:type="dxa"/>
        <w:jc w:val="center"/>
        <w:tblLayout w:type="autofit"/>
        <w:tblCellMar>
          <w:top w:w="0" w:type="dxa"/>
          <w:left w:w="108" w:type="dxa"/>
          <w:bottom w:w="0" w:type="dxa"/>
          <w:right w:w="108" w:type="dxa"/>
        </w:tblCellMar>
      </w:tblPr>
      <w:tblGrid>
        <w:gridCol w:w="864"/>
        <w:gridCol w:w="1661"/>
        <w:gridCol w:w="2029"/>
        <w:gridCol w:w="2153"/>
        <w:gridCol w:w="2099"/>
      </w:tblGrid>
      <w:tr w14:paraId="556D7C5A">
        <w:tblPrEx>
          <w:tblCellMar>
            <w:top w:w="0" w:type="dxa"/>
            <w:left w:w="108" w:type="dxa"/>
            <w:bottom w:w="0" w:type="dxa"/>
            <w:right w:w="108" w:type="dxa"/>
          </w:tblCellMar>
        </w:tblPrEx>
        <w:trPr>
          <w:trHeight w:val="314" w:hRule="atLeast"/>
          <w:tblHeader/>
          <w:jc w:val="center"/>
        </w:trPr>
        <w:tc>
          <w:tcPr>
            <w:tcW w:w="2525" w:type="dxa"/>
            <w:gridSpan w:val="2"/>
            <w:tcBorders>
              <w:top w:val="single" w:color="auto" w:sz="4" w:space="0"/>
              <w:left w:val="single" w:color="auto" w:sz="4" w:space="0"/>
              <w:bottom w:val="single" w:color="auto" w:sz="4" w:space="0"/>
              <w:right w:val="single" w:color="auto" w:sz="4" w:space="0"/>
            </w:tcBorders>
            <w:vAlign w:val="center"/>
          </w:tcPr>
          <w:p w14:paraId="031ED632">
            <w:pPr>
              <w:widowControl/>
              <w:jc w:val="center"/>
              <w:rPr>
                <w:rFonts w:eastAsia="宋体"/>
                <w:color w:val="auto"/>
                <w:kern w:val="0"/>
                <w:highlight w:val="none"/>
              </w:rPr>
            </w:pPr>
            <w:r>
              <w:rPr>
                <w:rFonts w:eastAsia="宋体"/>
                <w:color w:val="auto"/>
                <w:kern w:val="0"/>
                <w:highlight w:val="none"/>
              </w:rPr>
              <w:t>复垦方向</w:t>
            </w:r>
          </w:p>
        </w:tc>
        <w:tc>
          <w:tcPr>
            <w:tcW w:w="2029" w:type="dxa"/>
            <w:tcBorders>
              <w:top w:val="single" w:color="auto" w:sz="4" w:space="0"/>
              <w:left w:val="nil"/>
              <w:bottom w:val="single" w:color="auto" w:sz="4" w:space="0"/>
              <w:right w:val="single" w:color="auto" w:sz="4" w:space="0"/>
            </w:tcBorders>
            <w:vAlign w:val="center"/>
          </w:tcPr>
          <w:p w14:paraId="54AF2EA6">
            <w:pPr>
              <w:widowControl/>
              <w:jc w:val="center"/>
              <w:rPr>
                <w:rFonts w:eastAsia="宋体"/>
                <w:color w:val="auto"/>
                <w:kern w:val="0"/>
                <w:highlight w:val="none"/>
              </w:rPr>
            </w:pPr>
            <w:r>
              <w:rPr>
                <w:rFonts w:eastAsia="宋体"/>
                <w:color w:val="auto"/>
                <w:kern w:val="0"/>
                <w:highlight w:val="none"/>
              </w:rPr>
              <w:t>指标类型</w:t>
            </w:r>
          </w:p>
        </w:tc>
        <w:tc>
          <w:tcPr>
            <w:tcW w:w="2153" w:type="dxa"/>
            <w:tcBorders>
              <w:top w:val="single" w:color="auto" w:sz="4" w:space="0"/>
              <w:left w:val="nil"/>
              <w:bottom w:val="single" w:color="auto" w:sz="4" w:space="0"/>
              <w:right w:val="single" w:color="auto" w:sz="4" w:space="0"/>
            </w:tcBorders>
            <w:vAlign w:val="center"/>
          </w:tcPr>
          <w:p w14:paraId="27B54293">
            <w:pPr>
              <w:widowControl/>
              <w:jc w:val="center"/>
              <w:rPr>
                <w:rFonts w:eastAsia="宋体"/>
                <w:color w:val="auto"/>
                <w:kern w:val="0"/>
                <w:highlight w:val="none"/>
              </w:rPr>
            </w:pPr>
            <w:r>
              <w:rPr>
                <w:rFonts w:eastAsia="宋体"/>
                <w:color w:val="auto"/>
                <w:kern w:val="0"/>
                <w:highlight w:val="none"/>
              </w:rPr>
              <w:t>基本指标</w:t>
            </w:r>
          </w:p>
        </w:tc>
        <w:tc>
          <w:tcPr>
            <w:tcW w:w="2099" w:type="dxa"/>
            <w:tcBorders>
              <w:top w:val="single" w:color="auto" w:sz="4" w:space="0"/>
              <w:left w:val="nil"/>
              <w:bottom w:val="single" w:color="auto" w:sz="4" w:space="0"/>
              <w:right w:val="single" w:color="auto" w:sz="4" w:space="0"/>
            </w:tcBorders>
            <w:vAlign w:val="center"/>
          </w:tcPr>
          <w:p w14:paraId="6E9ED0F4">
            <w:pPr>
              <w:widowControl/>
              <w:jc w:val="center"/>
              <w:rPr>
                <w:rFonts w:eastAsia="宋体"/>
                <w:color w:val="auto"/>
                <w:kern w:val="0"/>
                <w:highlight w:val="none"/>
              </w:rPr>
            </w:pPr>
            <w:r>
              <w:rPr>
                <w:rFonts w:eastAsia="宋体"/>
                <w:color w:val="auto"/>
                <w:kern w:val="0"/>
                <w:highlight w:val="none"/>
              </w:rPr>
              <w:t>控制标准</w:t>
            </w:r>
          </w:p>
        </w:tc>
      </w:tr>
      <w:tr w14:paraId="14154528">
        <w:tblPrEx>
          <w:tblCellMar>
            <w:top w:w="0" w:type="dxa"/>
            <w:left w:w="108" w:type="dxa"/>
            <w:bottom w:w="0" w:type="dxa"/>
            <w:right w:w="108" w:type="dxa"/>
          </w:tblCellMar>
        </w:tblPrEx>
        <w:trPr>
          <w:trHeight w:val="342" w:hRule="atLeast"/>
          <w:jc w:val="center"/>
        </w:trPr>
        <w:tc>
          <w:tcPr>
            <w:tcW w:w="864" w:type="dxa"/>
            <w:vMerge w:val="restart"/>
            <w:tcBorders>
              <w:left w:val="single" w:color="auto" w:sz="4" w:space="0"/>
              <w:right w:val="single" w:color="auto" w:sz="4" w:space="0"/>
            </w:tcBorders>
            <w:vAlign w:val="center"/>
          </w:tcPr>
          <w:p w14:paraId="54FD2AFC">
            <w:pPr>
              <w:widowControl/>
              <w:jc w:val="center"/>
              <w:rPr>
                <w:rFonts w:eastAsia="宋体"/>
                <w:color w:val="auto"/>
                <w:kern w:val="0"/>
                <w:highlight w:val="none"/>
              </w:rPr>
            </w:pPr>
            <w:r>
              <w:rPr>
                <w:rFonts w:hint="eastAsia" w:eastAsia="宋体"/>
                <w:color w:val="auto"/>
                <w:kern w:val="0"/>
                <w:highlight w:val="none"/>
              </w:rPr>
              <w:t>耕地</w:t>
            </w:r>
          </w:p>
        </w:tc>
        <w:tc>
          <w:tcPr>
            <w:tcW w:w="1661" w:type="dxa"/>
            <w:vMerge w:val="restart"/>
            <w:tcBorders>
              <w:top w:val="nil"/>
              <w:left w:val="single" w:color="auto" w:sz="4" w:space="0"/>
              <w:bottom w:val="single" w:color="auto" w:sz="4" w:space="0"/>
              <w:right w:val="single" w:color="auto" w:sz="4" w:space="0"/>
            </w:tcBorders>
            <w:vAlign w:val="center"/>
          </w:tcPr>
          <w:p w14:paraId="5FB6944C">
            <w:pPr>
              <w:widowControl/>
              <w:jc w:val="center"/>
              <w:rPr>
                <w:rFonts w:eastAsia="宋体"/>
                <w:color w:val="auto"/>
                <w:kern w:val="0"/>
                <w:highlight w:val="none"/>
              </w:rPr>
            </w:pPr>
            <w:r>
              <w:rPr>
                <w:rFonts w:hint="eastAsia" w:eastAsia="宋体"/>
                <w:color w:val="auto"/>
                <w:kern w:val="0"/>
                <w:highlight w:val="none"/>
              </w:rPr>
              <w:t>旱地</w:t>
            </w:r>
          </w:p>
        </w:tc>
        <w:tc>
          <w:tcPr>
            <w:tcW w:w="2029" w:type="dxa"/>
            <w:vMerge w:val="restart"/>
            <w:tcBorders>
              <w:top w:val="nil"/>
              <w:left w:val="single" w:color="auto" w:sz="4" w:space="0"/>
              <w:bottom w:val="single" w:color="auto" w:sz="4" w:space="0"/>
              <w:right w:val="single" w:color="auto" w:sz="4" w:space="0"/>
            </w:tcBorders>
            <w:vAlign w:val="center"/>
          </w:tcPr>
          <w:p w14:paraId="0E4A0774">
            <w:pPr>
              <w:widowControl/>
              <w:jc w:val="center"/>
              <w:rPr>
                <w:rFonts w:eastAsia="宋体"/>
                <w:color w:val="auto"/>
                <w:kern w:val="0"/>
                <w:highlight w:val="none"/>
              </w:rPr>
            </w:pPr>
            <w:r>
              <w:rPr>
                <w:rFonts w:eastAsia="宋体"/>
                <w:color w:val="auto"/>
                <w:kern w:val="0"/>
                <w:highlight w:val="none"/>
              </w:rPr>
              <w:t>地形</w:t>
            </w:r>
          </w:p>
        </w:tc>
        <w:tc>
          <w:tcPr>
            <w:tcW w:w="2153" w:type="dxa"/>
            <w:tcBorders>
              <w:top w:val="nil"/>
              <w:left w:val="nil"/>
              <w:bottom w:val="single" w:color="auto" w:sz="4" w:space="0"/>
              <w:right w:val="single" w:color="auto" w:sz="4" w:space="0"/>
            </w:tcBorders>
            <w:vAlign w:val="center"/>
          </w:tcPr>
          <w:p w14:paraId="379F5CE1">
            <w:pPr>
              <w:widowControl/>
              <w:jc w:val="center"/>
              <w:rPr>
                <w:rFonts w:eastAsia="宋体"/>
                <w:color w:val="auto"/>
                <w:kern w:val="0"/>
                <w:highlight w:val="none"/>
              </w:rPr>
            </w:pPr>
            <w:r>
              <w:rPr>
                <w:rFonts w:eastAsia="宋体"/>
                <w:color w:val="auto"/>
                <w:kern w:val="0"/>
                <w:highlight w:val="none"/>
              </w:rPr>
              <w:t>地面坡度/（°）</w:t>
            </w:r>
          </w:p>
        </w:tc>
        <w:tc>
          <w:tcPr>
            <w:tcW w:w="2099" w:type="dxa"/>
            <w:tcBorders>
              <w:top w:val="nil"/>
              <w:left w:val="nil"/>
              <w:bottom w:val="single" w:color="auto" w:sz="4" w:space="0"/>
              <w:right w:val="single" w:color="auto" w:sz="4" w:space="0"/>
            </w:tcBorders>
            <w:vAlign w:val="center"/>
          </w:tcPr>
          <w:p w14:paraId="651C7A5B">
            <w:pPr>
              <w:widowControl/>
              <w:jc w:val="center"/>
              <w:rPr>
                <w:rFonts w:eastAsia="宋体"/>
                <w:color w:val="auto"/>
                <w:kern w:val="0"/>
                <w:highlight w:val="none"/>
              </w:rPr>
            </w:pPr>
            <w:r>
              <w:rPr>
                <w:rFonts w:eastAsia="宋体"/>
                <w:color w:val="auto"/>
                <w:kern w:val="0"/>
                <w:highlight w:val="none"/>
              </w:rPr>
              <w:t>≤15°</w:t>
            </w:r>
          </w:p>
        </w:tc>
      </w:tr>
      <w:tr w14:paraId="36F84DF5">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21AB1A67">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10E4177D">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0D4653BA">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14EFB043">
            <w:pPr>
              <w:widowControl/>
              <w:jc w:val="center"/>
              <w:rPr>
                <w:rFonts w:eastAsia="宋体"/>
                <w:color w:val="auto"/>
                <w:kern w:val="0"/>
                <w:highlight w:val="none"/>
              </w:rPr>
            </w:pPr>
            <w:r>
              <w:rPr>
                <w:rFonts w:eastAsia="宋体"/>
                <w:color w:val="auto"/>
                <w:kern w:val="0"/>
                <w:highlight w:val="none"/>
              </w:rPr>
              <w:t>平整度</w:t>
            </w:r>
          </w:p>
        </w:tc>
        <w:tc>
          <w:tcPr>
            <w:tcW w:w="2099" w:type="dxa"/>
            <w:tcBorders>
              <w:top w:val="nil"/>
              <w:left w:val="nil"/>
              <w:bottom w:val="single" w:color="auto" w:sz="4" w:space="0"/>
              <w:right w:val="single" w:color="auto" w:sz="4" w:space="0"/>
            </w:tcBorders>
            <w:vAlign w:val="center"/>
          </w:tcPr>
          <w:p w14:paraId="26ED889D">
            <w:pPr>
              <w:widowControl/>
              <w:jc w:val="center"/>
              <w:rPr>
                <w:rFonts w:eastAsia="宋体"/>
                <w:color w:val="auto"/>
                <w:kern w:val="0"/>
                <w:highlight w:val="none"/>
              </w:rPr>
            </w:pPr>
            <w:r>
              <w:rPr>
                <w:rFonts w:eastAsia="宋体"/>
                <w:color w:val="auto"/>
                <w:kern w:val="0"/>
                <w:highlight w:val="none"/>
              </w:rPr>
              <w:t>田面高差±3cm之内</w:t>
            </w:r>
          </w:p>
        </w:tc>
      </w:tr>
      <w:tr w14:paraId="03BCE331">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45FCBF03">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24A93765">
            <w:pPr>
              <w:widowControl/>
              <w:jc w:val="center"/>
              <w:rPr>
                <w:rFonts w:eastAsia="宋体"/>
                <w:color w:val="auto"/>
                <w:kern w:val="0"/>
                <w:highlight w:val="none"/>
              </w:rPr>
            </w:pPr>
          </w:p>
        </w:tc>
        <w:tc>
          <w:tcPr>
            <w:tcW w:w="2029" w:type="dxa"/>
            <w:vMerge w:val="restart"/>
            <w:tcBorders>
              <w:top w:val="nil"/>
              <w:left w:val="single" w:color="auto" w:sz="4" w:space="0"/>
              <w:bottom w:val="single" w:color="auto" w:sz="4" w:space="0"/>
              <w:right w:val="single" w:color="auto" w:sz="4" w:space="0"/>
            </w:tcBorders>
            <w:vAlign w:val="center"/>
          </w:tcPr>
          <w:p w14:paraId="651B5391">
            <w:pPr>
              <w:widowControl/>
              <w:jc w:val="center"/>
              <w:rPr>
                <w:rFonts w:eastAsia="宋体"/>
                <w:color w:val="auto"/>
                <w:kern w:val="0"/>
                <w:highlight w:val="none"/>
              </w:rPr>
            </w:pPr>
            <w:r>
              <w:rPr>
                <w:rFonts w:eastAsia="宋体"/>
                <w:color w:val="auto"/>
                <w:kern w:val="0"/>
                <w:highlight w:val="none"/>
              </w:rPr>
              <w:t>土壤质量</w:t>
            </w:r>
          </w:p>
        </w:tc>
        <w:tc>
          <w:tcPr>
            <w:tcW w:w="2153" w:type="dxa"/>
            <w:tcBorders>
              <w:top w:val="nil"/>
              <w:left w:val="nil"/>
              <w:bottom w:val="single" w:color="auto" w:sz="4" w:space="0"/>
              <w:right w:val="single" w:color="auto" w:sz="4" w:space="0"/>
            </w:tcBorders>
            <w:vAlign w:val="center"/>
          </w:tcPr>
          <w:p w14:paraId="308A1C14">
            <w:pPr>
              <w:widowControl/>
              <w:jc w:val="center"/>
              <w:rPr>
                <w:rFonts w:eastAsia="宋体"/>
                <w:color w:val="auto"/>
                <w:kern w:val="0"/>
                <w:highlight w:val="none"/>
              </w:rPr>
            </w:pPr>
            <w:r>
              <w:rPr>
                <w:rFonts w:eastAsia="宋体"/>
                <w:color w:val="auto"/>
                <w:kern w:val="0"/>
                <w:highlight w:val="none"/>
              </w:rPr>
              <w:t>有效土层厚度/cm</w:t>
            </w:r>
          </w:p>
        </w:tc>
        <w:tc>
          <w:tcPr>
            <w:tcW w:w="2099" w:type="dxa"/>
            <w:tcBorders>
              <w:top w:val="nil"/>
              <w:left w:val="nil"/>
              <w:bottom w:val="single" w:color="auto" w:sz="4" w:space="0"/>
              <w:right w:val="single" w:color="auto" w:sz="4" w:space="0"/>
            </w:tcBorders>
            <w:vAlign w:val="center"/>
          </w:tcPr>
          <w:p w14:paraId="518A44C0">
            <w:pPr>
              <w:widowControl/>
              <w:jc w:val="center"/>
              <w:rPr>
                <w:rFonts w:eastAsia="宋体"/>
                <w:color w:val="auto"/>
                <w:kern w:val="0"/>
                <w:highlight w:val="none"/>
              </w:rPr>
            </w:pPr>
            <w:r>
              <w:rPr>
                <w:rFonts w:eastAsia="宋体"/>
                <w:color w:val="auto"/>
                <w:kern w:val="0"/>
                <w:highlight w:val="none"/>
              </w:rPr>
              <w:t>≥50</w:t>
            </w:r>
          </w:p>
        </w:tc>
      </w:tr>
      <w:tr w14:paraId="6C0E864F">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0C9E09FE">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11542F78">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6B95B404">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4F475FF7">
            <w:pPr>
              <w:widowControl/>
              <w:jc w:val="center"/>
              <w:rPr>
                <w:rFonts w:eastAsia="宋体"/>
                <w:color w:val="auto"/>
                <w:kern w:val="0"/>
                <w:highlight w:val="none"/>
              </w:rPr>
            </w:pPr>
            <w:r>
              <w:rPr>
                <w:rFonts w:eastAsia="宋体"/>
                <w:color w:val="auto"/>
                <w:kern w:val="0"/>
                <w:highlight w:val="none"/>
              </w:rPr>
              <w:t>土壤容重/（g/cm</w:t>
            </w:r>
            <w:r>
              <w:rPr>
                <w:rFonts w:eastAsia="宋体"/>
                <w:color w:val="auto"/>
                <w:kern w:val="0"/>
                <w:highlight w:val="none"/>
                <w:vertAlign w:val="superscript"/>
              </w:rPr>
              <w:t>3</w:t>
            </w:r>
            <w:r>
              <w:rPr>
                <w:rFonts w:eastAsia="宋体"/>
                <w:color w:val="auto"/>
                <w:kern w:val="0"/>
                <w:highlight w:val="none"/>
              </w:rPr>
              <w:t>）</w:t>
            </w:r>
          </w:p>
        </w:tc>
        <w:tc>
          <w:tcPr>
            <w:tcW w:w="2099" w:type="dxa"/>
            <w:tcBorders>
              <w:top w:val="nil"/>
              <w:left w:val="nil"/>
              <w:bottom w:val="single" w:color="auto" w:sz="4" w:space="0"/>
              <w:right w:val="single" w:color="auto" w:sz="4" w:space="0"/>
            </w:tcBorders>
            <w:vAlign w:val="center"/>
          </w:tcPr>
          <w:p w14:paraId="1AE5A927">
            <w:pPr>
              <w:widowControl/>
              <w:jc w:val="center"/>
              <w:rPr>
                <w:rFonts w:eastAsia="宋体"/>
                <w:color w:val="auto"/>
                <w:kern w:val="0"/>
                <w:highlight w:val="none"/>
              </w:rPr>
            </w:pPr>
            <w:r>
              <w:rPr>
                <w:rFonts w:eastAsia="宋体"/>
                <w:color w:val="auto"/>
                <w:kern w:val="0"/>
                <w:highlight w:val="none"/>
              </w:rPr>
              <w:t>≤1.35</w:t>
            </w:r>
          </w:p>
        </w:tc>
      </w:tr>
      <w:tr w14:paraId="306F58EA">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6BECC3A8">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1C6F17BF">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67750317">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7E9C7731">
            <w:pPr>
              <w:widowControl/>
              <w:jc w:val="center"/>
              <w:rPr>
                <w:rFonts w:eastAsia="宋体"/>
                <w:color w:val="auto"/>
                <w:kern w:val="0"/>
                <w:highlight w:val="none"/>
              </w:rPr>
            </w:pPr>
            <w:r>
              <w:rPr>
                <w:rFonts w:eastAsia="宋体"/>
                <w:color w:val="auto"/>
                <w:kern w:val="0"/>
                <w:highlight w:val="none"/>
              </w:rPr>
              <w:t>土壤质地</w:t>
            </w:r>
          </w:p>
        </w:tc>
        <w:tc>
          <w:tcPr>
            <w:tcW w:w="2099" w:type="dxa"/>
            <w:tcBorders>
              <w:top w:val="nil"/>
              <w:left w:val="nil"/>
              <w:bottom w:val="single" w:color="auto" w:sz="4" w:space="0"/>
              <w:right w:val="single" w:color="auto" w:sz="4" w:space="0"/>
            </w:tcBorders>
            <w:vAlign w:val="center"/>
          </w:tcPr>
          <w:p w14:paraId="37B7AC50">
            <w:pPr>
              <w:widowControl/>
              <w:jc w:val="center"/>
              <w:rPr>
                <w:rFonts w:eastAsia="宋体"/>
                <w:color w:val="auto"/>
                <w:kern w:val="0"/>
                <w:highlight w:val="none"/>
              </w:rPr>
            </w:pPr>
            <w:r>
              <w:rPr>
                <w:rFonts w:eastAsia="宋体"/>
                <w:color w:val="auto"/>
                <w:kern w:val="0"/>
                <w:highlight w:val="none"/>
              </w:rPr>
              <w:t>砂质壤土至壤质壤土</w:t>
            </w:r>
          </w:p>
        </w:tc>
      </w:tr>
      <w:tr w14:paraId="30314479">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75A254AE">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7AAB11AA">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06A5D593">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0FE96841">
            <w:pPr>
              <w:widowControl/>
              <w:jc w:val="center"/>
              <w:rPr>
                <w:rFonts w:eastAsia="宋体"/>
                <w:color w:val="auto"/>
                <w:kern w:val="0"/>
                <w:highlight w:val="none"/>
              </w:rPr>
            </w:pPr>
            <w:r>
              <w:rPr>
                <w:rFonts w:eastAsia="宋体"/>
                <w:color w:val="auto"/>
                <w:kern w:val="0"/>
                <w:highlight w:val="none"/>
              </w:rPr>
              <w:t>砾石含量/%</w:t>
            </w:r>
          </w:p>
        </w:tc>
        <w:tc>
          <w:tcPr>
            <w:tcW w:w="2099" w:type="dxa"/>
            <w:tcBorders>
              <w:top w:val="nil"/>
              <w:left w:val="nil"/>
              <w:bottom w:val="single" w:color="auto" w:sz="4" w:space="0"/>
              <w:right w:val="single" w:color="auto" w:sz="4" w:space="0"/>
            </w:tcBorders>
            <w:vAlign w:val="center"/>
          </w:tcPr>
          <w:p w14:paraId="51462FC7">
            <w:pPr>
              <w:widowControl/>
              <w:jc w:val="center"/>
              <w:rPr>
                <w:rFonts w:eastAsia="宋体"/>
                <w:color w:val="auto"/>
                <w:kern w:val="0"/>
                <w:highlight w:val="none"/>
              </w:rPr>
            </w:pPr>
            <w:r>
              <w:rPr>
                <w:rFonts w:eastAsia="宋体"/>
                <w:color w:val="auto"/>
                <w:kern w:val="0"/>
                <w:highlight w:val="none"/>
              </w:rPr>
              <w:t>≤10</w:t>
            </w:r>
          </w:p>
        </w:tc>
      </w:tr>
      <w:tr w14:paraId="3F37622A">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71D73EF4">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5DE3EB8C">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04EB170B">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47BAA262">
            <w:pPr>
              <w:widowControl/>
              <w:jc w:val="center"/>
              <w:rPr>
                <w:rFonts w:eastAsia="宋体"/>
                <w:color w:val="auto"/>
                <w:kern w:val="0"/>
                <w:highlight w:val="none"/>
              </w:rPr>
            </w:pPr>
            <w:r>
              <w:rPr>
                <w:rFonts w:eastAsia="宋体"/>
                <w:color w:val="auto"/>
                <w:kern w:val="0"/>
                <w:highlight w:val="none"/>
              </w:rPr>
              <w:t>pH值</w:t>
            </w:r>
          </w:p>
        </w:tc>
        <w:tc>
          <w:tcPr>
            <w:tcW w:w="2099" w:type="dxa"/>
            <w:tcBorders>
              <w:top w:val="nil"/>
              <w:left w:val="nil"/>
              <w:bottom w:val="single" w:color="auto" w:sz="4" w:space="0"/>
              <w:right w:val="single" w:color="auto" w:sz="4" w:space="0"/>
            </w:tcBorders>
            <w:vAlign w:val="center"/>
          </w:tcPr>
          <w:p w14:paraId="328B9F8B">
            <w:pPr>
              <w:widowControl/>
              <w:jc w:val="center"/>
              <w:rPr>
                <w:rFonts w:eastAsia="宋体"/>
                <w:color w:val="auto"/>
                <w:kern w:val="0"/>
                <w:highlight w:val="none"/>
              </w:rPr>
            </w:pPr>
            <w:r>
              <w:rPr>
                <w:rFonts w:eastAsia="宋体"/>
                <w:color w:val="auto"/>
                <w:kern w:val="0"/>
                <w:highlight w:val="none"/>
              </w:rPr>
              <w:t>5.5-8.0</w:t>
            </w:r>
          </w:p>
        </w:tc>
      </w:tr>
      <w:tr w14:paraId="4E35A58B">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1CFB9FED">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65E8158F">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6B14FA55">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45A26412">
            <w:pPr>
              <w:widowControl/>
              <w:jc w:val="center"/>
              <w:rPr>
                <w:rFonts w:eastAsia="宋体"/>
                <w:color w:val="auto"/>
                <w:kern w:val="0"/>
                <w:highlight w:val="none"/>
              </w:rPr>
            </w:pPr>
            <w:r>
              <w:rPr>
                <w:rFonts w:eastAsia="宋体"/>
                <w:color w:val="auto"/>
                <w:kern w:val="0"/>
                <w:highlight w:val="none"/>
              </w:rPr>
              <w:t>有机质/%</w:t>
            </w:r>
          </w:p>
        </w:tc>
        <w:tc>
          <w:tcPr>
            <w:tcW w:w="2099" w:type="dxa"/>
            <w:tcBorders>
              <w:top w:val="nil"/>
              <w:left w:val="nil"/>
              <w:bottom w:val="single" w:color="auto" w:sz="4" w:space="0"/>
              <w:right w:val="single" w:color="auto" w:sz="4" w:space="0"/>
            </w:tcBorders>
            <w:vAlign w:val="center"/>
          </w:tcPr>
          <w:p w14:paraId="2C89C05B">
            <w:pPr>
              <w:widowControl/>
              <w:jc w:val="center"/>
              <w:rPr>
                <w:rFonts w:eastAsia="宋体"/>
                <w:color w:val="auto"/>
                <w:kern w:val="0"/>
                <w:highlight w:val="none"/>
              </w:rPr>
            </w:pPr>
            <w:r>
              <w:rPr>
                <w:rFonts w:eastAsia="宋体"/>
                <w:color w:val="auto"/>
                <w:kern w:val="0"/>
                <w:highlight w:val="none"/>
              </w:rPr>
              <w:t>≥1.2</w:t>
            </w:r>
          </w:p>
        </w:tc>
      </w:tr>
      <w:tr w14:paraId="7B7F9047">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3F5BADAD">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3677E0AC">
            <w:pPr>
              <w:widowControl/>
              <w:jc w:val="center"/>
              <w:rPr>
                <w:rFonts w:eastAsia="宋体"/>
                <w:color w:val="auto"/>
                <w:kern w:val="0"/>
                <w:highlight w:val="none"/>
              </w:rPr>
            </w:pPr>
          </w:p>
        </w:tc>
        <w:tc>
          <w:tcPr>
            <w:tcW w:w="2029" w:type="dxa"/>
            <w:vMerge w:val="restart"/>
            <w:tcBorders>
              <w:top w:val="nil"/>
              <w:left w:val="single" w:color="auto" w:sz="4" w:space="0"/>
              <w:bottom w:val="single" w:color="auto" w:sz="4" w:space="0"/>
              <w:right w:val="single" w:color="auto" w:sz="4" w:space="0"/>
            </w:tcBorders>
            <w:vAlign w:val="center"/>
          </w:tcPr>
          <w:p w14:paraId="02B7B52B">
            <w:pPr>
              <w:widowControl/>
              <w:jc w:val="center"/>
              <w:rPr>
                <w:rFonts w:eastAsia="宋体"/>
                <w:color w:val="auto"/>
                <w:kern w:val="0"/>
                <w:highlight w:val="none"/>
              </w:rPr>
            </w:pPr>
            <w:r>
              <w:rPr>
                <w:rFonts w:eastAsia="宋体"/>
                <w:color w:val="auto"/>
                <w:kern w:val="0"/>
                <w:highlight w:val="none"/>
              </w:rPr>
              <w:t>配套设施</w:t>
            </w:r>
          </w:p>
        </w:tc>
        <w:tc>
          <w:tcPr>
            <w:tcW w:w="2153" w:type="dxa"/>
            <w:tcBorders>
              <w:top w:val="nil"/>
              <w:left w:val="nil"/>
              <w:bottom w:val="single" w:color="auto" w:sz="4" w:space="0"/>
              <w:right w:val="single" w:color="auto" w:sz="4" w:space="0"/>
            </w:tcBorders>
            <w:vAlign w:val="center"/>
          </w:tcPr>
          <w:p w14:paraId="5C6481B3">
            <w:pPr>
              <w:widowControl/>
              <w:jc w:val="center"/>
              <w:rPr>
                <w:rFonts w:eastAsia="宋体"/>
                <w:color w:val="auto"/>
                <w:kern w:val="0"/>
                <w:highlight w:val="none"/>
              </w:rPr>
            </w:pPr>
            <w:r>
              <w:rPr>
                <w:rFonts w:eastAsia="宋体"/>
                <w:color w:val="auto"/>
                <w:kern w:val="0"/>
                <w:highlight w:val="none"/>
              </w:rPr>
              <w:t>排水</w:t>
            </w:r>
          </w:p>
        </w:tc>
        <w:tc>
          <w:tcPr>
            <w:tcW w:w="2099" w:type="dxa"/>
            <w:vMerge w:val="restart"/>
            <w:tcBorders>
              <w:top w:val="nil"/>
              <w:left w:val="single" w:color="auto" w:sz="4" w:space="0"/>
              <w:bottom w:val="single" w:color="auto" w:sz="4" w:space="0"/>
              <w:right w:val="single" w:color="auto" w:sz="4" w:space="0"/>
            </w:tcBorders>
            <w:vAlign w:val="center"/>
          </w:tcPr>
          <w:p w14:paraId="79DE192D">
            <w:pPr>
              <w:widowControl/>
              <w:jc w:val="center"/>
              <w:rPr>
                <w:rFonts w:eastAsia="宋体"/>
                <w:color w:val="auto"/>
                <w:kern w:val="0"/>
                <w:highlight w:val="none"/>
              </w:rPr>
            </w:pPr>
            <w:r>
              <w:rPr>
                <w:rFonts w:eastAsia="宋体"/>
                <w:color w:val="auto"/>
                <w:kern w:val="0"/>
                <w:highlight w:val="none"/>
              </w:rPr>
              <w:t>达到当地各行业工程建设标准要求</w:t>
            </w:r>
          </w:p>
        </w:tc>
      </w:tr>
      <w:tr w14:paraId="365859AF">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4F2102F1">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12A9E92F">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2552E16C">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0A9CB5FB">
            <w:pPr>
              <w:widowControl/>
              <w:jc w:val="center"/>
              <w:rPr>
                <w:rFonts w:eastAsia="宋体"/>
                <w:color w:val="auto"/>
                <w:kern w:val="0"/>
                <w:highlight w:val="none"/>
              </w:rPr>
            </w:pPr>
            <w:r>
              <w:rPr>
                <w:rFonts w:eastAsia="宋体"/>
                <w:color w:val="auto"/>
                <w:kern w:val="0"/>
                <w:highlight w:val="none"/>
              </w:rPr>
              <w:t>道路</w:t>
            </w:r>
          </w:p>
        </w:tc>
        <w:tc>
          <w:tcPr>
            <w:tcW w:w="2099" w:type="dxa"/>
            <w:vMerge w:val="continue"/>
            <w:tcBorders>
              <w:top w:val="nil"/>
              <w:left w:val="single" w:color="auto" w:sz="4" w:space="0"/>
              <w:bottom w:val="single" w:color="auto" w:sz="4" w:space="0"/>
              <w:right w:val="single" w:color="auto" w:sz="4" w:space="0"/>
            </w:tcBorders>
            <w:vAlign w:val="center"/>
          </w:tcPr>
          <w:p w14:paraId="7EB92839">
            <w:pPr>
              <w:widowControl/>
              <w:jc w:val="left"/>
              <w:rPr>
                <w:rFonts w:eastAsia="宋体"/>
                <w:color w:val="auto"/>
                <w:kern w:val="0"/>
                <w:highlight w:val="none"/>
              </w:rPr>
            </w:pPr>
          </w:p>
        </w:tc>
      </w:tr>
      <w:tr w14:paraId="428751E4">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373988EB">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76993EFB">
            <w:pPr>
              <w:widowControl/>
              <w:jc w:val="center"/>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49AF1F3C">
            <w:pPr>
              <w:widowControl/>
              <w:jc w:val="center"/>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55F149FC">
            <w:pPr>
              <w:widowControl/>
              <w:jc w:val="center"/>
              <w:rPr>
                <w:rFonts w:eastAsia="宋体"/>
                <w:color w:val="auto"/>
                <w:kern w:val="0"/>
                <w:highlight w:val="none"/>
              </w:rPr>
            </w:pPr>
            <w:r>
              <w:rPr>
                <w:rFonts w:eastAsia="宋体"/>
                <w:color w:val="auto"/>
                <w:kern w:val="0"/>
                <w:highlight w:val="none"/>
              </w:rPr>
              <w:t>林网</w:t>
            </w:r>
          </w:p>
        </w:tc>
        <w:tc>
          <w:tcPr>
            <w:tcW w:w="2099" w:type="dxa"/>
            <w:vMerge w:val="continue"/>
            <w:tcBorders>
              <w:top w:val="nil"/>
              <w:left w:val="single" w:color="auto" w:sz="4" w:space="0"/>
              <w:bottom w:val="single" w:color="auto" w:sz="4" w:space="0"/>
              <w:right w:val="single" w:color="auto" w:sz="4" w:space="0"/>
            </w:tcBorders>
            <w:vAlign w:val="center"/>
          </w:tcPr>
          <w:p w14:paraId="4A44C2AB">
            <w:pPr>
              <w:widowControl/>
              <w:jc w:val="left"/>
              <w:rPr>
                <w:rFonts w:eastAsia="宋体"/>
                <w:color w:val="auto"/>
                <w:kern w:val="0"/>
                <w:highlight w:val="none"/>
              </w:rPr>
            </w:pPr>
          </w:p>
        </w:tc>
      </w:tr>
      <w:tr w14:paraId="5A9345A6">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0BFD7059">
            <w:pPr>
              <w:widowControl/>
              <w:jc w:val="center"/>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04134C7B">
            <w:pPr>
              <w:widowControl/>
              <w:jc w:val="center"/>
              <w:rPr>
                <w:rFonts w:eastAsia="宋体"/>
                <w:color w:val="auto"/>
                <w:kern w:val="0"/>
                <w:highlight w:val="none"/>
              </w:rPr>
            </w:pPr>
          </w:p>
        </w:tc>
        <w:tc>
          <w:tcPr>
            <w:tcW w:w="2029" w:type="dxa"/>
            <w:tcBorders>
              <w:top w:val="nil"/>
              <w:left w:val="nil"/>
              <w:bottom w:val="single" w:color="auto" w:sz="4" w:space="0"/>
              <w:right w:val="single" w:color="auto" w:sz="4" w:space="0"/>
            </w:tcBorders>
            <w:vAlign w:val="center"/>
          </w:tcPr>
          <w:p w14:paraId="64C32928">
            <w:pPr>
              <w:widowControl/>
              <w:jc w:val="center"/>
              <w:rPr>
                <w:rFonts w:eastAsia="宋体"/>
                <w:color w:val="auto"/>
                <w:kern w:val="0"/>
                <w:highlight w:val="none"/>
              </w:rPr>
            </w:pPr>
            <w:r>
              <w:rPr>
                <w:rFonts w:eastAsia="宋体"/>
                <w:color w:val="auto"/>
                <w:kern w:val="0"/>
                <w:highlight w:val="none"/>
              </w:rPr>
              <w:t>生产力水平</w:t>
            </w:r>
          </w:p>
        </w:tc>
        <w:tc>
          <w:tcPr>
            <w:tcW w:w="2153" w:type="dxa"/>
            <w:tcBorders>
              <w:top w:val="nil"/>
              <w:left w:val="nil"/>
              <w:bottom w:val="single" w:color="auto" w:sz="4" w:space="0"/>
              <w:right w:val="single" w:color="auto" w:sz="4" w:space="0"/>
            </w:tcBorders>
            <w:vAlign w:val="center"/>
          </w:tcPr>
          <w:p w14:paraId="0EE67FFB">
            <w:pPr>
              <w:widowControl/>
              <w:jc w:val="center"/>
              <w:rPr>
                <w:rFonts w:eastAsia="宋体"/>
                <w:color w:val="auto"/>
                <w:kern w:val="0"/>
                <w:highlight w:val="none"/>
              </w:rPr>
            </w:pPr>
            <w:r>
              <w:rPr>
                <w:rFonts w:eastAsia="宋体"/>
                <w:color w:val="auto"/>
                <w:kern w:val="0"/>
                <w:highlight w:val="none"/>
              </w:rPr>
              <w:t>产量/（kg/hm</w:t>
            </w:r>
            <w:r>
              <w:rPr>
                <w:rFonts w:hint="eastAsia" w:eastAsia="宋体"/>
                <w:color w:val="auto"/>
                <w:kern w:val="0"/>
                <w:highlight w:val="none"/>
                <w:vertAlign w:val="superscript"/>
              </w:rPr>
              <w:t>2</w:t>
            </w:r>
            <w:r>
              <w:rPr>
                <w:rFonts w:eastAsia="宋体"/>
                <w:color w:val="auto"/>
                <w:kern w:val="0"/>
                <w:highlight w:val="none"/>
              </w:rPr>
              <w:t>）</w:t>
            </w:r>
          </w:p>
        </w:tc>
        <w:tc>
          <w:tcPr>
            <w:tcW w:w="2099" w:type="dxa"/>
            <w:tcBorders>
              <w:top w:val="nil"/>
              <w:left w:val="nil"/>
              <w:bottom w:val="single" w:color="auto" w:sz="4" w:space="0"/>
              <w:right w:val="single" w:color="auto" w:sz="4" w:space="0"/>
            </w:tcBorders>
            <w:vAlign w:val="center"/>
          </w:tcPr>
          <w:p w14:paraId="1593A429">
            <w:pPr>
              <w:widowControl/>
              <w:jc w:val="center"/>
              <w:rPr>
                <w:rFonts w:eastAsia="宋体"/>
                <w:color w:val="auto"/>
                <w:kern w:val="0"/>
                <w:highlight w:val="none"/>
              </w:rPr>
            </w:pPr>
            <w:r>
              <w:rPr>
                <w:rFonts w:eastAsia="宋体"/>
                <w:color w:val="auto"/>
                <w:kern w:val="0"/>
                <w:highlight w:val="none"/>
              </w:rPr>
              <w:t>四年后达到周边地区同等土地利用类型水平</w:t>
            </w:r>
          </w:p>
        </w:tc>
      </w:tr>
      <w:tr w14:paraId="5F54F4C2">
        <w:tblPrEx>
          <w:tblCellMar>
            <w:top w:w="0" w:type="dxa"/>
            <w:left w:w="108" w:type="dxa"/>
            <w:bottom w:w="0" w:type="dxa"/>
            <w:right w:w="108" w:type="dxa"/>
          </w:tblCellMar>
        </w:tblPrEx>
        <w:trPr>
          <w:trHeight w:val="342" w:hRule="atLeast"/>
          <w:jc w:val="center"/>
        </w:trPr>
        <w:tc>
          <w:tcPr>
            <w:tcW w:w="864" w:type="dxa"/>
            <w:vMerge w:val="restart"/>
            <w:tcBorders>
              <w:top w:val="single" w:color="auto" w:sz="4" w:space="0"/>
              <w:left w:val="single" w:color="auto" w:sz="4" w:space="0"/>
              <w:bottom w:val="single" w:color="auto" w:sz="4" w:space="0"/>
              <w:right w:val="single" w:color="auto" w:sz="4" w:space="0"/>
            </w:tcBorders>
            <w:vAlign w:val="center"/>
          </w:tcPr>
          <w:p w14:paraId="2CFAAB76">
            <w:pPr>
              <w:widowControl/>
              <w:jc w:val="center"/>
              <w:rPr>
                <w:rFonts w:eastAsia="宋体"/>
                <w:color w:val="auto"/>
                <w:kern w:val="0"/>
                <w:highlight w:val="none"/>
              </w:rPr>
            </w:pPr>
          </w:p>
          <w:p w14:paraId="6BE12B6C">
            <w:pPr>
              <w:widowControl/>
              <w:jc w:val="center"/>
              <w:rPr>
                <w:rFonts w:eastAsia="宋体"/>
                <w:color w:val="auto"/>
                <w:kern w:val="0"/>
                <w:highlight w:val="none"/>
              </w:rPr>
            </w:pPr>
            <w:r>
              <w:rPr>
                <w:rFonts w:eastAsia="宋体"/>
                <w:color w:val="auto"/>
                <w:kern w:val="0"/>
                <w:highlight w:val="none"/>
              </w:rPr>
              <w:t>林地</w:t>
            </w:r>
          </w:p>
        </w:tc>
        <w:tc>
          <w:tcPr>
            <w:tcW w:w="1661" w:type="dxa"/>
            <w:vMerge w:val="restart"/>
            <w:tcBorders>
              <w:top w:val="single" w:color="auto" w:sz="4" w:space="0"/>
              <w:left w:val="single" w:color="auto" w:sz="4" w:space="0"/>
              <w:bottom w:val="single" w:color="auto" w:sz="4" w:space="0"/>
              <w:right w:val="single" w:color="auto" w:sz="4" w:space="0"/>
            </w:tcBorders>
            <w:vAlign w:val="center"/>
          </w:tcPr>
          <w:p w14:paraId="007342F5">
            <w:pPr>
              <w:widowControl/>
              <w:jc w:val="center"/>
              <w:rPr>
                <w:rFonts w:eastAsia="宋体"/>
                <w:color w:val="auto"/>
                <w:kern w:val="0"/>
                <w:highlight w:val="none"/>
              </w:rPr>
            </w:pPr>
            <w:r>
              <w:rPr>
                <w:rFonts w:eastAsia="宋体"/>
                <w:color w:val="auto"/>
                <w:kern w:val="0"/>
                <w:highlight w:val="none"/>
              </w:rPr>
              <w:t>乔木林地</w:t>
            </w:r>
          </w:p>
        </w:tc>
        <w:tc>
          <w:tcPr>
            <w:tcW w:w="2029" w:type="dxa"/>
            <w:vMerge w:val="restart"/>
            <w:tcBorders>
              <w:top w:val="single" w:color="auto" w:sz="4" w:space="0"/>
              <w:left w:val="single" w:color="auto" w:sz="4" w:space="0"/>
              <w:bottom w:val="single" w:color="auto" w:sz="4" w:space="0"/>
              <w:right w:val="single" w:color="auto" w:sz="4" w:space="0"/>
            </w:tcBorders>
            <w:vAlign w:val="center"/>
          </w:tcPr>
          <w:p w14:paraId="59AAD731">
            <w:pPr>
              <w:widowControl/>
              <w:jc w:val="center"/>
              <w:rPr>
                <w:rFonts w:eastAsia="宋体"/>
                <w:color w:val="auto"/>
                <w:kern w:val="0"/>
                <w:highlight w:val="none"/>
              </w:rPr>
            </w:pPr>
            <w:r>
              <w:rPr>
                <w:rFonts w:eastAsia="宋体"/>
                <w:color w:val="auto"/>
                <w:kern w:val="0"/>
                <w:highlight w:val="none"/>
              </w:rPr>
              <w:t>土壤质量</w:t>
            </w:r>
          </w:p>
        </w:tc>
        <w:tc>
          <w:tcPr>
            <w:tcW w:w="2153" w:type="dxa"/>
            <w:tcBorders>
              <w:top w:val="single" w:color="auto" w:sz="4" w:space="0"/>
              <w:left w:val="nil"/>
              <w:bottom w:val="single" w:color="auto" w:sz="4" w:space="0"/>
              <w:right w:val="single" w:color="auto" w:sz="4" w:space="0"/>
            </w:tcBorders>
            <w:vAlign w:val="center"/>
          </w:tcPr>
          <w:p w14:paraId="72F79027">
            <w:pPr>
              <w:widowControl/>
              <w:jc w:val="center"/>
              <w:rPr>
                <w:rFonts w:eastAsia="宋体"/>
                <w:color w:val="auto"/>
                <w:kern w:val="0"/>
                <w:highlight w:val="none"/>
              </w:rPr>
            </w:pPr>
            <w:r>
              <w:rPr>
                <w:rFonts w:eastAsia="宋体"/>
                <w:color w:val="auto"/>
                <w:kern w:val="0"/>
                <w:highlight w:val="none"/>
              </w:rPr>
              <w:t>有效土层厚度/（cm）</w:t>
            </w:r>
          </w:p>
        </w:tc>
        <w:tc>
          <w:tcPr>
            <w:tcW w:w="2099" w:type="dxa"/>
            <w:tcBorders>
              <w:top w:val="single" w:color="auto" w:sz="4" w:space="0"/>
              <w:left w:val="nil"/>
              <w:bottom w:val="single" w:color="auto" w:sz="4" w:space="0"/>
              <w:right w:val="single" w:color="auto" w:sz="4" w:space="0"/>
            </w:tcBorders>
            <w:vAlign w:val="center"/>
          </w:tcPr>
          <w:p w14:paraId="5FF2AFE9">
            <w:pPr>
              <w:widowControl/>
              <w:jc w:val="center"/>
              <w:rPr>
                <w:rFonts w:eastAsia="宋体"/>
                <w:color w:val="auto"/>
                <w:kern w:val="0"/>
                <w:highlight w:val="none"/>
              </w:rPr>
            </w:pPr>
            <w:r>
              <w:rPr>
                <w:rFonts w:eastAsia="宋体"/>
                <w:color w:val="auto"/>
                <w:kern w:val="0"/>
                <w:highlight w:val="none"/>
              </w:rPr>
              <w:t>≥30</w:t>
            </w:r>
          </w:p>
        </w:tc>
      </w:tr>
      <w:tr w14:paraId="538945B4">
        <w:tblPrEx>
          <w:tblCellMar>
            <w:top w:w="0" w:type="dxa"/>
            <w:left w:w="108" w:type="dxa"/>
            <w:bottom w:w="0" w:type="dxa"/>
            <w:right w:w="108" w:type="dxa"/>
          </w:tblCellMar>
        </w:tblPrEx>
        <w:trPr>
          <w:trHeight w:val="342" w:hRule="atLeast"/>
          <w:jc w:val="center"/>
        </w:trPr>
        <w:tc>
          <w:tcPr>
            <w:tcW w:w="864" w:type="dxa"/>
            <w:vMerge w:val="continue"/>
            <w:tcBorders>
              <w:top w:val="single" w:color="auto" w:sz="4" w:space="0"/>
              <w:left w:val="single" w:color="auto" w:sz="4" w:space="0"/>
              <w:bottom w:val="single" w:color="auto" w:sz="4" w:space="0"/>
              <w:right w:val="single" w:color="auto" w:sz="4" w:space="0"/>
            </w:tcBorders>
            <w:vAlign w:val="center"/>
          </w:tcPr>
          <w:p w14:paraId="6F2CFE97">
            <w:pPr>
              <w:widowControl/>
              <w:jc w:val="left"/>
              <w:rPr>
                <w:rFonts w:eastAsia="宋体"/>
                <w:color w:val="auto"/>
                <w:kern w:val="0"/>
                <w:highlight w:val="none"/>
              </w:rPr>
            </w:pPr>
          </w:p>
        </w:tc>
        <w:tc>
          <w:tcPr>
            <w:tcW w:w="1661" w:type="dxa"/>
            <w:vMerge w:val="continue"/>
            <w:tcBorders>
              <w:top w:val="single" w:color="auto" w:sz="4" w:space="0"/>
              <w:left w:val="single" w:color="auto" w:sz="4" w:space="0"/>
              <w:bottom w:val="single" w:color="auto" w:sz="4" w:space="0"/>
              <w:right w:val="single" w:color="auto" w:sz="4" w:space="0"/>
            </w:tcBorders>
            <w:vAlign w:val="center"/>
          </w:tcPr>
          <w:p w14:paraId="06DB2493">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14:paraId="5EDDBCEE">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14:paraId="0CE91AEE">
            <w:pPr>
              <w:widowControl/>
              <w:jc w:val="center"/>
              <w:rPr>
                <w:rFonts w:eastAsia="宋体"/>
                <w:color w:val="auto"/>
                <w:kern w:val="0"/>
                <w:highlight w:val="none"/>
              </w:rPr>
            </w:pPr>
            <w:r>
              <w:rPr>
                <w:rFonts w:eastAsia="宋体"/>
                <w:color w:val="auto"/>
                <w:kern w:val="0"/>
                <w:highlight w:val="none"/>
              </w:rPr>
              <w:t>土壤容重/（g/cm</w:t>
            </w:r>
            <w:r>
              <w:rPr>
                <w:rFonts w:eastAsia="宋体"/>
                <w:color w:val="auto"/>
                <w:kern w:val="0"/>
                <w:highlight w:val="none"/>
                <w:vertAlign w:val="superscript"/>
              </w:rPr>
              <w:t>3</w:t>
            </w:r>
            <w:r>
              <w:rPr>
                <w:rFonts w:eastAsia="宋体"/>
                <w:color w:val="auto"/>
                <w:kern w:val="0"/>
                <w:highlight w:val="none"/>
              </w:rPr>
              <w:t>）</w:t>
            </w:r>
          </w:p>
        </w:tc>
        <w:tc>
          <w:tcPr>
            <w:tcW w:w="2099" w:type="dxa"/>
            <w:tcBorders>
              <w:top w:val="single" w:color="auto" w:sz="4" w:space="0"/>
              <w:left w:val="nil"/>
              <w:bottom w:val="single" w:color="auto" w:sz="4" w:space="0"/>
              <w:right w:val="single" w:color="auto" w:sz="4" w:space="0"/>
            </w:tcBorders>
            <w:vAlign w:val="center"/>
          </w:tcPr>
          <w:p w14:paraId="3DB02205">
            <w:pPr>
              <w:widowControl/>
              <w:jc w:val="center"/>
              <w:rPr>
                <w:rFonts w:eastAsia="宋体"/>
                <w:color w:val="auto"/>
                <w:kern w:val="0"/>
                <w:highlight w:val="none"/>
              </w:rPr>
            </w:pPr>
            <w:r>
              <w:rPr>
                <w:rFonts w:eastAsia="宋体"/>
                <w:color w:val="auto"/>
                <w:kern w:val="0"/>
                <w:highlight w:val="none"/>
              </w:rPr>
              <w:t>≤1.5</w:t>
            </w:r>
          </w:p>
        </w:tc>
      </w:tr>
      <w:tr w14:paraId="1EA6147C">
        <w:tblPrEx>
          <w:tblCellMar>
            <w:top w:w="0" w:type="dxa"/>
            <w:left w:w="108" w:type="dxa"/>
            <w:bottom w:w="0" w:type="dxa"/>
            <w:right w:w="108" w:type="dxa"/>
          </w:tblCellMar>
        </w:tblPrEx>
        <w:trPr>
          <w:trHeight w:val="342" w:hRule="atLeast"/>
          <w:jc w:val="center"/>
        </w:trPr>
        <w:tc>
          <w:tcPr>
            <w:tcW w:w="864" w:type="dxa"/>
            <w:vMerge w:val="continue"/>
            <w:tcBorders>
              <w:top w:val="single" w:color="auto" w:sz="4" w:space="0"/>
              <w:left w:val="single" w:color="auto" w:sz="4" w:space="0"/>
              <w:bottom w:val="single" w:color="auto" w:sz="4" w:space="0"/>
              <w:right w:val="single" w:color="auto" w:sz="4" w:space="0"/>
            </w:tcBorders>
            <w:vAlign w:val="center"/>
          </w:tcPr>
          <w:p w14:paraId="17B89E66">
            <w:pPr>
              <w:widowControl/>
              <w:jc w:val="left"/>
              <w:rPr>
                <w:rFonts w:eastAsia="宋体"/>
                <w:color w:val="auto"/>
                <w:kern w:val="0"/>
                <w:highlight w:val="none"/>
              </w:rPr>
            </w:pPr>
          </w:p>
        </w:tc>
        <w:tc>
          <w:tcPr>
            <w:tcW w:w="1661" w:type="dxa"/>
            <w:vMerge w:val="continue"/>
            <w:tcBorders>
              <w:top w:val="single" w:color="auto" w:sz="4" w:space="0"/>
              <w:left w:val="single" w:color="auto" w:sz="4" w:space="0"/>
              <w:bottom w:val="single" w:color="auto" w:sz="4" w:space="0"/>
              <w:right w:val="single" w:color="auto" w:sz="4" w:space="0"/>
            </w:tcBorders>
            <w:vAlign w:val="center"/>
          </w:tcPr>
          <w:p w14:paraId="2D06200D">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14:paraId="78539338">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14:paraId="496E52F4">
            <w:pPr>
              <w:widowControl/>
              <w:jc w:val="center"/>
              <w:rPr>
                <w:rFonts w:eastAsia="宋体"/>
                <w:color w:val="auto"/>
                <w:kern w:val="0"/>
                <w:highlight w:val="none"/>
              </w:rPr>
            </w:pPr>
            <w:r>
              <w:rPr>
                <w:rFonts w:eastAsia="宋体"/>
                <w:color w:val="auto"/>
                <w:kern w:val="0"/>
                <w:highlight w:val="none"/>
              </w:rPr>
              <w:t>土壤质地</w:t>
            </w:r>
          </w:p>
        </w:tc>
        <w:tc>
          <w:tcPr>
            <w:tcW w:w="2099" w:type="dxa"/>
            <w:tcBorders>
              <w:top w:val="single" w:color="auto" w:sz="4" w:space="0"/>
              <w:left w:val="nil"/>
              <w:bottom w:val="single" w:color="auto" w:sz="4" w:space="0"/>
              <w:right w:val="single" w:color="auto" w:sz="4" w:space="0"/>
            </w:tcBorders>
            <w:vAlign w:val="center"/>
          </w:tcPr>
          <w:p w14:paraId="6E261E6D">
            <w:pPr>
              <w:widowControl/>
              <w:jc w:val="center"/>
              <w:rPr>
                <w:rFonts w:eastAsia="宋体"/>
                <w:color w:val="auto"/>
                <w:kern w:val="0"/>
                <w:highlight w:val="none"/>
              </w:rPr>
            </w:pPr>
            <w:r>
              <w:rPr>
                <w:rFonts w:eastAsia="宋体"/>
                <w:color w:val="auto"/>
                <w:kern w:val="0"/>
                <w:highlight w:val="none"/>
              </w:rPr>
              <w:t>砂土至壤质粘土</w:t>
            </w:r>
          </w:p>
        </w:tc>
      </w:tr>
      <w:tr w14:paraId="0C5C3768">
        <w:tblPrEx>
          <w:tblCellMar>
            <w:top w:w="0" w:type="dxa"/>
            <w:left w:w="108" w:type="dxa"/>
            <w:bottom w:w="0" w:type="dxa"/>
            <w:right w:w="108" w:type="dxa"/>
          </w:tblCellMar>
        </w:tblPrEx>
        <w:trPr>
          <w:trHeight w:val="342" w:hRule="atLeast"/>
          <w:jc w:val="center"/>
        </w:trPr>
        <w:tc>
          <w:tcPr>
            <w:tcW w:w="864" w:type="dxa"/>
            <w:vMerge w:val="continue"/>
            <w:tcBorders>
              <w:top w:val="nil"/>
              <w:left w:val="single" w:color="auto" w:sz="4" w:space="0"/>
              <w:bottom w:val="single" w:color="auto" w:sz="4" w:space="0"/>
              <w:right w:val="single" w:color="auto" w:sz="4" w:space="0"/>
            </w:tcBorders>
            <w:vAlign w:val="center"/>
          </w:tcPr>
          <w:p w14:paraId="45E1DA17">
            <w:pPr>
              <w:widowControl/>
              <w:jc w:val="left"/>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17F8B978">
            <w:pPr>
              <w:widowControl/>
              <w:jc w:val="left"/>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6C5EEDCD">
            <w:pPr>
              <w:widowControl/>
              <w:jc w:val="left"/>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32A4DEDC">
            <w:pPr>
              <w:widowControl/>
              <w:jc w:val="center"/>
              <w:rPr>
                <w:rFonts w:eastAsia="宋体"/>
                <w:color w:val="auto"/>
                <w:kern w:val="0"/>
                <w:highlight w:val="none"/>
              </w:rPr>
            </w:pPr>
            <w:r>
              <w:rPr>
                <w:rFonts w:eastAsia="宋体"/>
                <w:color w:val="auto"/>
                <w:kern w:val="0"/>
                <w:highlight w:val="none"/>
              </w:rPr>
              <w:t>砾石含量/%</w:t>
            </w:r>
          </w:p>
        </w:tc>
        <w:tc>
          <w:tcPr>
            <w:tcW w:w="2099" w:type="dxa"/>
            <w:tcBorders>
              <w:top w:val="nil"/>
              <w:left w:val="nil"/>
              <w:bottom w:val="single" w:color="auto" w:sz="4" w:space="0"/>
              <w:right w:val="single" w:color="auto" w:sz="4" w:space="0"/>
            </w:tcBorders>
            <w:vAlign w:val="center"/>
          </w:tcPr>
          <w:p w14:paraId="312DA1BB">
            <w:pPr>
              <w:widowControl/>
              <w:jc w:val="center"/>
              <w:rPr>
                <w:rFonts w:eastAsia="宋体"/>
                <w:color w:val="auto"/>
                <w:kern w:val="0"/>
                <w:highlight w:val="none"/>
              </w:rPr>
            </w:pPr>
            <w:r>
              <w:rPr>
                <w:rFonts w:eastAsia="宋体"/>
                <w:color w:val="auto"/>
                <w:kern w:val="0"/>
                <w:highlight w:val="none"/>
              </w:rPr>
              <w:t>≤50</w:t>
            </w:r>
          </w:p>
        </w:tc>
      </w:tr>
      <w:tr w14:paraId="6240BE6E">
        <w:tblPrEx>
          <w:tblCellMar>
            <w:top w:w="0" w:type="dxa"/>
            <w:left w:w="108" w:type="dxa"/>
            <w:bottom w:w="0" w:type="dxa"/>
            <w:right w:w="108" w:type="dxa"/>
          </w:tblCellMar>
        </w:tblPrEx>
        <w:trPr>
          <w:trHeight w:val="342" w:hRule="atLeast"/>
          <w:jc w:val="center"/>
        </w:trPr>
        <w:tc>
          <w:tcPr>
            <w:tcW w:w="864" w:type="dxa"/>
            <w:vMerge w:val="continue"/>
            <w:tcBorders>
              <w:top w:val="nil"/>
              <w:left w:val="single" w:color="auto" w:sz="4" w:space="0"/>
              <w:bottom w:val="single" w:color="auto" w:sz="4" w:space="0"/>
              <w:right w:val="single" w:color="auto" w:sz="4" w:space="0"/>
            </w:tcBorders>
            <w:vAlign w:val="center"/>
          </w:tcPr>
          <w:p w14:paraId="3DD425A3">
            <w:pPr>
              <w:widowControl/>
              <w:jc w:val="left"/>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22022C02">
            <w:pPr>
              <w:widowControl/>
              <w:jc w:val="left"/>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53628E33">
            <w:pPr>
              <w:widowControl/>
              <w:jc w:val="left"/>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33C63D87">
            <w:pPr>
              <w:widowControl/>
              <w:jc w:val="center"/>
              <w:rPr>
                <w:rFonts w:eastAsia="宋体"/>
                <w:color w:val="auto"/>
                <w:kern w:val="0"/>
                <w:highlight w:val="none"/>
              </w:rPr>
            </w:pPr>
            <w:r>
              <w:rPr>
                <w:rFonts w:eastAsia="宋体"/>
                <w:color w:val="auto"/>
                <w:kern w:val="0"/>
                <w:highlight w:val="none"/>
              </w:rPr>
              <w:t>pH值</w:t>
            </w:r>
          </w:p>
        </w:tc>
        <w:tc>
          <w:tcPr>
            <w:tcW w:w="2099" w:type="dxa"/>
            <w:tcBorders>
              <w:top w:val="nil"/>
              <w:left w:val="nil"/>
              <w:bottom w:val="single" w:color="auto" w:sz="4" w:space="0"/>
              <w:right w:val="single" w:color="auto" w:sz="4" w:space="0"/>
            </w:tcBorders>
            <w:vAlign w:val="center"/>
          </w:tcPr>
          <w:p w14:paraId="497D2ABC">
            <w:pPr>
              <w:widowControl/>
              <w:jc w:val="center"/>
              <w:rPr>
                <w:rFonts w:eastAsia="宋体"/>
                <w:color w:val="auto"/>
                <w:kern w:val="0"/>
                <w:highlight w:val="none"/>
              </w:rPr>
            </w:pPr>
            <w:r>
              <w:rPr>
                <w:rFonts w:eastAsia="宋体"/>
                <w:color w:val="auto"/>
                <w:kern w:val="0"/>
                <w:highlight w:val="none"/>
              </w:rPr>
              <w:t>5.5～8.0</w:t>
            </w:r>
          </w:p>
        </w:tc>
      </w:tr>
      <w:tr w14:paraId="75B0BDF6">
        <w:tblPrEx>
          <w:tblCellMar>
            <w:top w:w="0" w:type="dxa"/>
            <w:left w:w="108" w:type="dxa"/>
            <w:bottom w:w="0" w:type="dxa"/>
            <w:right w:w="108" w:type="dxa"/>
          </w:tblCellMar>
        </w:tblPrEx>
        <w:trPr>
          <w:trHeight w:val="342" w:hRule="atLeast"/>
          <w:jc w:val="center"/>
        </w:trPr>
        <w:tc>
          <w:tcPr>
            <w:tcW w:w="864" w:type="dxa"/>
            <w:vMerge w:val="continue"/>
            <w:tcBorders>
              <w:top w:val="nil"/>
              <w:left w:val="single" w:color="auto" w:sz="4" w:space="0"/>
              <w:bottom w:val="single" w:color="auto" w:sz="4" w:space="0"/>
              <w:right w:val="single" w:color="auto" w:sz="4" w:space="0"/>
            </w:tcBorders>
            <w:vAlign w:val="center"/>
          </w:tcPr>
          <w:p w14:paraId="4D248D35">
            <w:pPr>
              <w:widowControl/>
              <w:jc w:val="left"/>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43751F1D">
            <w:pPr>
              <w:widowControl/>
              <w:jc w:val="left"/>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46E342D9">
            <w:pPr>
              <w:widowControl/>
              <w:jc w:val="left"/>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51AD7484">
            <w:pPr>
              <w:widowControl/>
              <w:jc w:val="center"/>
              <w:rPr>
                <w:rFonts w:eastAsia="宋体"/>
                <w:color w:val="auto"/>
                <w:kern w:val="0"/>
                <w:highlight w:val="none"/>
              </w:rPr>
            </w:pPr>
            <w:r>
              <w:rPr>
                <w:rFonts w:eastAsia="宋体"/>
                <w:color w:val="auto"/>
                <w:kern w:val="0"/>
                <w:highlight w:val="none"/>
              </w:rPr>
              <w:t>有机质/%</w:t>
            </w:r>
          </w:p>
        </w:tc>
        <w:tc>
          <w:tcPr>
            <w:tcW w:w="2099" w:type="dxa"/>
            <w:tcBorders>
              <w:top w:val="nil"/>
              <w:left w:val="nil"/>
              <w:bottom w:val="single" w:color="auto" w:sz="4" w:space="0"/>
              <w:right w:val="single" w:color="auto" w:sz="4" w:space="0"/>
            </w:tcBorders>
            <w:vAlign w:val="center"/>
          </w:tcPr>
          <w:p w14:paraId="729C30F0">
            <w:pPr>
              <w:widowControl/>
              <w:jc w:val="center"/>
              <w:rPr>
                <w:rFonts w:eastAsia="宋体"/>
                <w:color w:val="auto"/>
                <w:kern w:val="0"/>
                <w:highlight w:val="none"/>
              </w:rPr>
            </w:pPr>
            <w:r>
              <w:rPr>
                <w:rFonts w:eastAsia="宋体"/>
                <w:color w:val="auto"/>
                <w:kern w:val="0"/>
                <w:highlight w:val="none"/>
              </w:rPr>
              <w:t>≥1</w:t>
            </w:r>
          </w:p>
        </w:tc>
      </w:tr>
      <w:tr w14:paraId="6F643EE4">
        <w:tblPrEx>
          <w:tblCellMar>
            <w:top w:w="0" w:type="dxa"/>
            <w:left w:w="108" w:type="dxa"/>
            <w:bottom w:w="0" w:type="dxa"/>
            <w:right w:w="108" w:type="dxa"/>
          </w:tblCellMar>
        </w:tblPrEx>
        <w:trPr>
          <w:trHeight w:val="342" w:hRule="atLeast"/>
          <w:jc w:val="center"/>
        </w:trPr>
        <w:tc>
          <w:tcPr>
            <w:tcW w:w="864" w:type="dxa"/>
            <w:vMerge w:val="continue"/>
            <w:tcBorders>
              <w:top w:val="nil"/>
              <w:left w:val="single" w:color="auto" w:sz="4" w:space="0"/>
              <w:bottom w:val="single" w:color="auto" w:sz="4" w:space="0"/>
              <w:right w:val="single" w:color="auto" w:sz="4" w:space="0"/>
            </w:tcBorders>
            <w:vAlign w:val="center"/>
          </w:tcPr>
          <w:p w14:paraId="5B730C90">
            <w:pPr>
              <w:widowControl/>
              <w:jc w:val="left"/>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1E5FA1E8">
            <w:pPr>
              <w:widowControl/>
              <w:jc w:val="left"/>
              <w:rPr>
                <w:rFonts w:eastAsia="宋体"/>
                <w:color w:val="auto"/>
                <w:kern w:val="0"/>
                <w:highlight w:val="none"/>
              </w:rPr>
            </w:pPr>
          </w:p>
        </w:tc>
        <w:tc>
          <w:tcPr>
            <w:tcW w:w="2029" w:type="dxa"/>
            <w:vMerge w:val="restart"/>
            <w:tcBorders>
              <w:top w:val="nil"/>
              <w:left w:val="single" w:color="auto" w:sz="4" w:space="0"/>
              <w:bottom w:val="single" w:color="auto" w:sz="4" w:space="0"/>
              <w:right w:val="single" w:color="auto" w:sz="4" w:space="0"/>
            </w:tcBorders>
            <w:vAlign w:val="center"/>
          </w:tcPr>
          <w:p w14:paraId="1857EDF4">
            <w:pPr>
              <w:widowControl/>
              <w:jc w:val="center"/>
              <w:rPr>
                <w:rFonts w:eastAsia="宋体"/>
                <w:color w:val="auto"/>
                <w:kern w:val="0"/>
                <w:highlight w:val="none"/>
              </w:rPr>
            </w:pPr>
            <w:r>
              <w:rPr>
                <w:rFonts w:eastAsia="宋体"/>
                <w:color w:val="auto"/>
                <w:kern w:val="0"/>
                <w:highlight w:val="none"/>
              </w:rPr>
              <w:t>生产力水平</w:t>
            </w:r>
          </w:p>
        </w:tc>
        <w:tc>
          <w:tcPr>
            <w:tcW w:w="2153" w:type="dxa"/>
            <w:tcBorders>
              <w:top w:val="nil"/>
              <w:left w:val="nil"/>
              <w:bottom w:val="single" w:color="auto" w:sz="4" w:space="0"/>
              <w:right w:val="single" w:color="auto" w:sz="4" w:space="0"/>
            </w:tcBorders>
            <w:vAlign w:val="center"/>
          </w:tcPr>
          <w:p w14:paraId="41B49E7C">
            <w:pPr>
              <w:widowControl/>
              <w:jc w:val="center"/>
              <w:rPr>
                <w:rFonts w:eastAsia="宋体"/>
                <w:color w:val="auto"/>
                <w:kern w:val="0"/>
                <w:highlight w:val="none"/>
              </w:rPr>
            </w:pPr>
            <w:r>
              <w:rPr>
                <w:rFonts w:eastAsia="宋体"/>
                <w:color w:val="auto"/>
                <w:kern w:val="0"/>
                <w:highlight w:val="none"/>
              </w:rPr>
              <w:t>定植密度/（株/hm</w:t>
            </w:r>
            <w:r>
              <w:rPr>
                <w:rFonts w:eastAsia="宋体"/>
                <w:color w:val="auto"/>
                <w:kern w:val="0"/>
                <w:highlight w:val="none"/>
                <w:vertAlign w:val="superscript"/>
              </w:rPr>
              <w:t>2</w:t>
            </w:r>
            <w:r>
              <w:rPr>
                <w:rFonts w:eastAsia="宋体"/>
                <w:color w:val="auto"/>
                <w:kern w:val="0"/>
                <w:highlight w:val="none"/>
              </w:rPr>
              <w:t>）</w:t>
            </w:r>
          </w:p>
        </w:tc>
        <w:tc>
          <w:tcPr>
            <w:tcW w:w="2099" w:type="dxa"/>
            <w:tcBorders>
              <w:top w:val="nil"/>
              <w:left w:val="nil"/>
              <w:bottom w:val="single" w:color="auto" w:sz="4" w:space="0"/>
              <w:right w:val="single" w:color="auto" w:sz="4" w:space="0"/>
            </w:tcBorders>
            <w:vAlign w:val="center"/>
          </w:tcPr>
          <w:p w14:paraId="523B9872">
            <w:pPr>
              <w:widowControl/>
              <w:jc w:val="center"/>
              <w:rPr>
                <w:rFonts w:eastAsia="宋体"/>
                <w:color w:val="auto"/>
                <w:kern w:val="0"/>
                <w:highlight w:val="none"/>
              </w:rPr>
            </w:pPr>
            <w:r>
              <w:rPr>
                <w:rFonts w:eastAsia="宋体"/>
                <w:color w:val="auto"/>
                <w:kern w:val="0"/>
                <w:highlight w:val="none"/>
              </w:rPr>
              <w:t>满足《造林作业设计规程》（LY/T 1607）要求</w:t>
            </w:r>
          </w:p>
        </w:tc>
      </w:tr>
      <w:tr w14:paraId="62710890">
        <w:tblPrEx>
          <w:tblCellMar>
            <w:top w:w="0" w:type="dxa"/>
            <w:left w:w="108" w:type="dxa"/>
            <w:bottom w:w="0" w:type="dxa"/>
            <w:right w:w="108" w:type="dxa"/>
          </w:tblCellMar>
        </w:tblPrEx>
        <w:trPr>
          <w:trHeight w:val="342" w:hRule="atLeast"/>
          <w:jc w:val="center"/>
        </w:trPr>
        <w:tc>
          <w:tcPr>
            <w:tcW w:w="864" w:type="dxa"/>
            <w:vMerge w:val="continue"/>
            <w:tcBorders>
              <w:top w:val="nil"/>
              <w:left w:val="single" w:color="auto" w:sz="4" w:space="0"/>
              <w:bottom w:val="single" w:color="auto" w:sz="4" w:space="0"/>
              <w:right w:val="single" w:color="auto" w:sz="4" w:space="0"/>
            </w:tcBorders>
            <w:vAlign w:val="center"/>
          </w:tcPr>
          <w:p w14:paraId="115E6937">
            <w:pPr>
              <w:widowControl/>
              <w:jc w:val="left"/>
              <w:rPr>
                <w:rFonts w:eastAsia="宋体"/>
                <w:color w:val="auto"/>
                <w:kern w:val="0"/>
                <w:highlight w:val="none"/>
              </w:rPr>
            </w:pPr>
          </w:p>
        </w:tc>
        <w:tc>
          <w:tcPr>
            <w:tcW w:w="1661" w:type="dxa"/>
            <w:vMerge w:val="continue"/>
            <w:tcBorders>
              <w:top w:val="nil"/>
              <w:left w:val="single" w:color="auto" w:sz="4" w:space="0"/>
              <w:bottom w:val="single" w:color="auto" w:sz="4" w:space="0"/>
              <w:right w:val="single" w:color="auto" w:sz="4" w:space="0"/>
            </w:tcBorders>
            <w:vAlign w:val="center"/>
          </w:tcPr>
          <w:p w14:paraId="23761811">
            <w:pPr>
              <w:widowControl/>
              <w:jc w:val="left"/>
              <w:rPr>
                <w:rFonts w:eastAsia="宋体"/>
                <w:color w:val="auto"/>
                <w:kern w:val="0"/>
                <w:highlight w:val="none"/>
              </w:rPr>
            </w:pPr>
          </w:p>
        </w:tc>
        <w:tc>
          <w:tcPr>
            <w:tcW w:w="2029" w:type="dxa"/>
            <w:vMerge w:val="continue"/>
            <w:tcBorders>
              <w:top w:val="nil"/>
              <w:left w:val="single" w:color="auto" w:sz="4" w:space="0"/>
              <w:bottom w:val="single" w:color="auto" w:sz="4" w:space="0"/>
              <w:right w:val="single" w:color="auto" w:sz="4" w:space="0"/>
            </w:tcBorders>
            <w:vAlign w:val="center"/>
          </w:tcPr>
          <w:p w14:paraId="54735FB6">
            <w:pPr>
              <w:widowControl/>
              <w:jc w:val="left"/>
              <w:rPr>
                <w:rFonts w:eastAsia="宋体"/>
                <w:color w:val="auto"/>
                <w:kern w:val="0"/>
                <w:highlight w:val="none"/>
              </w:rPr>
            </w:pPr>
          </w:p>
        </w:tc>
        <w:tc>
          <w:tcPr>
            <w:tcW w:w="2153" w:type="dxa"/>
            <w:tcBorders>
              <w:top w:val="nil"/>
              <w:left w:val="nil"/>
              <w:bottom w:val="single" w:color="auto" w:sz="4" w:space="0"/>
              <w:right w:val="single" w:color="auto" w:sz="4" w:space="0"/>
            </w:tcBorders>
            <w:vAlign w:val="center"/>
          </w:tcPr>
          <w:p w14:paraId="28EF067E">
            <w:pPr>
              <w:widowControl/>
              <w:jc w:val="center"/>
              <w:rPr>
                <w:rFonts w:eastAsia="宋体"/>
                <w:color w:val="auto"/>
                <w:kern w:val="0"/>
                <w:highlight w:val="none"/>
              </w:rPr>
            </w:pPr>
            <w:r>
              <w:rPr>
                <w:rFonts w:eastAsia="宋体"/>
                <w:color w:val="auto"/>
                <w:kern w:val="0"/>
                <w:highlight w:val="none"/>
              </w:rPr>
              <w:t>郁闭度</w:t>
            </w:r>
          </w:p>
        </w:tc>
        <w:tc>
          <w:tcPr>
            <w:tcW w:w="2099" w:type="dxa"/>
            <w:tcBorders>
              <w:top w:val="nil"/>
              <w:left w:val="nil"/>
              <w:bottom w:val="single" w:color="auto" w:sz="4" w:space="0"/>
              <w:right w:val="single" w:color="auto" w:sz="4" w:space="0"/>
            </w:tcBorders>
            <w:vAlign w:val="center"/>
          </w:tcPr>
          <w:p w14:paraId="20990BB7">
            <w:pPr>
              <w:widowControl/>
              <w:jc w:val="center"/>
              <w:rPr>
                <w:rFonts w:eastAsia="宋体"/>
                <w:color w:val="auto"/>
                <w:kern w:val="0"/>
                <w:highlight w:val="none"/>
              </w:rPr>
            </w:pPr>
            <w:r>
              <w:rPr>
                <w:rFonts w:eastAsia="宋体"/>
                <w:color w:val="auto"/>
                <w:kern w:val="0"/>
                <w:highlight w:val="none"/>
              </w:rPr>
              <w:t>≥0.30</w:t>
            </w:r>
          </w:p>
        </w:tc>
      </w:tr>
      <w:tr w14:paraId="23DF4588">
        <w:tblPrEx>
          <w:tblCellMar>
            <w:top w:w="0" w:type="dxa"/>
            <w:left w:w="108" w:type="dxa"/>
            <w:bottom w:w="0" w:type="dxa"/>
            <w:right w:w="108" w:type="dxa"/>
          </w:tblCellMar>
        </w:tblPrEx>
        <w:trPr>
          <w:trHeight w:val="342" w:hRule="atLeast"/>
          <w:jc w:val="center"/>
        </w:trPr>
        <w:tc>
          <w:tcPr>
            <w:tcW w:w="864" w:type="dxa"/>
            <w:vMerge w:val="restart"/>
            <w:tcBorders>
              <w:top w:val="single" w:color="auto" w:sz="4" w:space="0"/>
              <w:left w:val="single" w:color="auto" w:sz="4" w:space="0"/>
              <w:right w:val="single" w:color="auto" w:sz="4" w:space="0"/>
            </w:tcBorders>
            <w:vAlign w:val="center"/>
          </w:tcPr>
          <w:p w14:paraId="75364217">
            <w:pPr>
              <w:widowControl/>
              <w:jc w:val="center"/>
              <w:rPr>
                <w:rFonts w:eastAsia="宋体"/>
                <w:color w:val="auto"/>
                <w:kern w:val="0"/>
                <w:highlight w:val="none"/>
              </w:rPr>
            </w:pPr>
            <w:r>
              <w:rPr>
                <w:rFonts w:eastAsia="宋体"/>
                <w:color w:val="auto"/>
                <w:kern w:val="0"/>
                <w:highlight w:val="none"/>
              </w:rPr>
              <w:t>草地</w:t>
            </w:r>
          </w:p>
        </w:tc>
        <w:tc>
          <w:tcPr>
            <w:tcW w:w="1661" w:type="dxa"/>
            <w:vMerge w:val="restart"/>
            <w:tcBorders>
              <w:top w:val="single" w:color="auto" w:sz="4" w:space="0"/>
              <w:left w:val="single" w:color="auto" w:sz="4" w:space="0"/>
              <w:right w:val="single" w:color="auto" w:sz="4" w:space="0"/>
            </w:tcBorders>
            <w:vAlign w:val="center"/>
          </w:tcPr>
          <w:p w14:paraId="34B760EC">
            <w:pPr>
              <w:widowControl/>
              <w:jc w:val="center"/>
              <w:rPr>
                <w:rFonts w:eastAsia="宋体"/>
                <w:color w:val="auto"/>
                <w:kern w:val="0"/>
                <w:highlight w:val="none"/>
              </w:rPr>
            </w:pPr>
            <w:r>
              <w:rPr>
                <w:rFonts w:eastAsia="宋体"/>
                <w:color w:val="auto"/>
                <w:kern w:val="0"/>
                <w:highlight w:val="none"/>
              </w:rPr>
              <w:t>其他草地</w:t>
            </w:r>
          </w:p>
        </w:tc>
        <w:tc>
          <w:tcPr>
            <w:tcW w:w="2029" w:type="dxa"/>
            <w:vMerge w:val="restart"/>
            <w:tcBorders>
              <w:top w:val="single" w:color="auto" w:sz="4" w:space="0"/>
              <w:left w:val="single" w:color="auto" w:sz="4" w:space="0"/>
              <w:bottom w:val="single" w:color="auto" w:sz="4" w:space="0"/>
              <w:right w:val="single" w:color="auto" w:sz="4" w:space="0"/>
            </w:tcBorders>
            <w:vAlign w:val="center"/>
          </w:tcPr>
          <w:p w14:paraId="67B5A0F7">
            <w:pPr>
              <w:widowControl/>
              <w:jc w:val="center"/>
              <w:rPr>
                <w:rFonts w:eastAsia="宋体"/>
                <w:color w:val="auto"/>
                <w:kern w:val="0"/>
                <w:highlight w:val="none"/>
              </w:rPr>
            </w:pPr>
            <w:r>
              <w:rPr>
                <w:rFonts w:eastAsia="宋体"/>
                <w:color w:val="auto"/>
                <w:kern w:val="0"/>
                <w:highlight w:val="none"/>
              </w:rPr>
              <w:t>土壤质量</w:t>
            </w:r>
          </w:p>
        </w:tc>
        <w:tc>
          <w:tcPr>
            <w:tcW w:w="2153" w:type="dxa"/>
            <w:tcBorders>
              <w:top w:val="single" w:color="auto" w:sz="4" w:space="0"/>
              <w:left w:val="nil"/>
              <w:bottom w:val="single" w:color="auto" w:sz="4" w:space="0"/>
              <w:right w:val="single" w:color="auto" w:sz="4" w:space="0"/>
            </w:tcBorders>
            <w:vAlign w:val="center"/>
          </w:tcPr>
          <w:p w14:paraId="29C53829">
            <w:pPr>
              <w:widowControl/>
              <w:jc w:val="center"/>
              <w:rPr>
                <w:rFonts w:eastAsia="宋体"/>
                <w:color w:val="auto"/>
                <w:kern w:val="0"/>
                <w:highlight w:val="none"/>
              </w:rPr>
            </w:pPr>
            <w:r>
              <w:rPr>
                <w:rFonts w:eastAsia="宋体"/>
                <w:color w:val="auto"/>
                <w:kern w:val="0"/>
                <w:highlight w:val="none"/>
              </w:rPr>
              <w:t>有效土层厚度/cm</w:t>
            </w:r>
          </w:p>
        </w:tc>
        <w:tc>
          <w:tcPr>
            <w:tcW w:w="2099" w:type="dxa"/>
            <w:tcBorders>
              <w:top w:val="single" w:color="auto" w:sz="4" w:space="0"/>
              <w:left w:val="nil"/>
              <w:bottom w:val="single" w:color="auto" w:sz="4" w:space="0"/>
              <w:right w:val="single" w:color="auto" w:sz="4" w:space="0"/>
            </w:tcBorders>
            <w:vAlign w:val="center"/>
          </w:tcPr>
          <w:p w14:paraId="786F96EF">
            <w:pPr>
              <w:widowControl/>
              <w:jc w:val="center"/>
              <w:rPr>
                <w:rFonts w:eastAsia="宋体"/>
                <w:color w:val="auto"/>
                <w:kern w:val="0"/>
                <w:highlight w:val="none"/>
              </w:rPr>
            </w:pPr>
            <w:r>
              <w:rPr>
                <w:rFonts w:eastAsia="宋体"/>
                <w:color w:val="auto"/>
                <w:kern w:val="0"/>
                <w:highlight w:val="none"/>
              </w:rPr>
              <w:t>≥10</w:t>
            </w:r>
          </w:p>
        </w:tc>
      </w:tr>
      <w:tr w14:paraId="3A110EF4">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17E09280">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14:paraId="1FE6446E">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14:paraId="6E599697">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14:paraId="27D01650">
            <w:pPr>
              <w:widowControl/>
              <w:jc w:val="center"/>
              <w:rPr>
                <w:rFonts w:eastAsia="宋体"/>
                <w:color w:val="auto"/>
                <w:kern w:val="0"/>
                <w:highlight w:val="none"/>
              </w:rPr>
            </w:pPr>
            <w:r>
              <w:rPr>
                <w:rFonts w:eastAsia="宋体"/>
                <w:color w:val="auto"/>
                <w:kern w:val="0"/>
                <w:highlight w:val="none"/>
              </w:rPr>
              <w:t>土壤容重/（g/cm</w:t>
            </w:r>
            <w:r>
              <w:rPr>
                <w:rFonts w:eastAsia="宋体"/>
                <w:color w:val="auto"/>
                <w:kern w:val="0"/>
                <w:highlight w:val="none"/>
                <w:vertAlign w:val="superscript"/>
              </w:rPr>
              <w:t>3</w:t>
            </w:r>
            <w:r>
              <w:rPr>
                <w:rFonts w:eastAsia="宋体"/>
                <w:color w:val="auto"/>
                <w:kern w:val="0"/>
                <w:highlight w:val="none"/>
              </w:rPr>
              <w:t>）</w:t>
            </w:r>
          </w:p>
        </w:tc>
        <w:tc>
          <w:tcPr>
            <w:tcW w:w="2099" w:type="dxa"/>
            <w:tcBorders>
              <w:top w:val="single" w:color="auto" w:sz="4" w:space="0"/>
              <w:left w:val="nil"/>
              <w:bottom w:val="single" w:color="auto" w:sz="4" w:space="0"/>
              <w:right w:val="single" w:color="auto" w:sz="4" w:space="0"/>
            </w:tcBorders>
            <w:vAlign w:val="center"/>
          </w:tcPr>
          <w:p w14:paraId="1C9BFE77">
            <w:pPr>
              <w:widowControl/>
              <w:jc w:val="center"/>
              <w:rPr>
                <w:rFonts w:eastAsia="宋体"/>
                <w:color w:val="auto"/>
                <w:kern w:val="0"/>
                <w:highlight w:val="none"/>
              </w:rPr>
            </w:pPr>
            <w:r>
              <w:rPr>
                <w:rFonts w:eastAsia="宋体"/>
                <w:color w:val="auto"/>
                <w:kern w:val="0"/>
                <w:highlight w:val="none"/>
              </w:rPr>
              <w:t>≤1.45</w:t>
            </w:r>
          </w:p>
        </w:tc>
      </w:tr>
      <w:tr w14:paraId="70E96D72">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39A463B1">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14:paraId="416073EB">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14:paraId="3AC4F347">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14:paraId="76E3C758">
            <w:pPr>
              <w:widowControl/>
              <w:jc w:val="center"/>
              <w:rPr>
                <w:rFonts w:eastAsia="宋体"/>
                <w:color w:val="auto"/>
                <w:kern w:val="0"/>
                <w:highlight w:val="none"/>
              </w:rPr>
            </w:pPr>
            <w:r>
              <w:rPr>
                <w:rFonts w:eastAsia="宋体"/>
                <w:color w:val="auto"/>
                <w:kern w:val="0"/>
                <w:highlight w:val="none"/>
              </w:rPr>
              <w:t>土壤质地</w:t>
            </w:r>
          </w:p>
        </w:tc>
        <w:tc>
          <w:tcPr>
            <w:tcW w:w="2099" w:type="dxa"/>
            <w:tcBorders>
              <w:top w:val="single" w:color="auto" w:sz="4" w:space="0"/>
              <w:left w:val="nil"/>
              <w:bottom w:val="single" w:color="auto" w:sz="4" w:space="0"/>
              <w:right w:val="single" w:color="auto" w:sz="4" w:space="0"/>
            </w:tcBorders>
            <w:vAlign w:val="center"/>
          </w:tcPr>
          <w:p w14:paraId="681DBA17">
            <w:pPr>
              <w:widowControl/>
              <w:jc w:val="center"/>
              <w:rPr>
                <w:rFonts w:eastAsia="宋体"/>
                <w:color w:val="auto"/>
                <w:kern w:val="0"/>
                <w:highlight w:val="none"/>
              </w:rPr>
            </w:pPr>
            <w:r>
              <w:rPr>
                <w:rFonts w:eastAsia="宋体"/>
                <w:color w:val="auto"/>
                <w:kern w:val="0"/>
                <w:highlight w:val="none"/>
              </w:rPr>
              <w:t>砂质壤土至壤质粘土</w:t>
            </w:r>
          </w:p>
        </w:tc>
      </w:tr>
      <w:tr w14:paraId="729028C0">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4A18A83C">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14:paraId="43C5A3B9">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14:paraId="05E915EC">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14:paraId="31709B84">
            <w:pPr>
              <w:widowControl/>
              <w:jc w:val="center"/>
              <w:rPr>
                <w:rFonts w:eastAsia="宋体"/>
                <w:color w:val="auto"/>
                <w:kern w:val="0"/>
                <w:highlight w:val="none"/>
              </w:rPr>
            </w:pPr>
            <w:r>
              <w:rPr>
                <w:rFonts w:eastAsia="宋体"/>
                <w:color w:val="auto"/>
                <w:kern w:val="0"/>
                <w:highlight w:val="none"/>
              </w:rPr>
              <w:t>砾石含量/%</w:t>
            </w:r>
          </w:p>
        </w:tc>
        <w:tc>
          <w:tcPr>
            <w:tcW w:w="2099" w:type="dxa"/>
            <w:tcBorders>
              <w:top w:val="single" w:color="auto" w:sz="4" w:space="0"/>
              <w:left w:val="nil"/>
              <w:bottom w:val="single" w:color="auto" w:sz="4" w:space="0"/>
              <w:right w:val="single" w:color="auto" w:sz="4" w:space="0"/>
            </w:tcBorders>
            <w:vAlign w:val="center"/>
          </w:tcPr>
          <w:p w14:paraId="79BCF591">
            <w:pPr>
              <w:widowControl/>
              <w:jc w:val="center"/>
              <w:rPr>
                <w:rFonts w:eastAsia="宋体"/>
                <w:color w:val="auto"/>
                <w:kern w:val="0"/>
                <w:highlight w:val="none"/>
              </w:rPr>
            </w:pPr>
            <w:r>
              <w:rPr>
                <w:rFonts w:eastAsia="宋体"/>
                <w:color w:val="auto"/>
                <w:kern w:val="0"/>
                <w:highlight w:val="none"/>
              </w:rPr>
              <w:t>≤50</w:t>
            </w:r>
          </w:p>
        </w:tc>
      </w:tr>
      <w:tr w14:paraId="64F58602">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203D7CC8">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14:paraId="421530E2">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14:paraId="5FDF401A">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14:paraId="0C6281D1">
            <w:pPr>
              <w:widowControl/>
              <w:jc w:val="center"/>
              <w:rPr>
                <w:rFonts w:eastAsia="宋体"/>
                <w:color w:val="auto"/>
                <w:kern w:val="0"/>
                <w:highlight w:val="none"/>
              </w:rPr>
            </w:pPr>
            <w:r>
              <w:rPr>
                <w:rFonts w:eastAsia="宋体"/>
                <w:color w:val="auto"/>
                <w:kern w:val="0"/>
                <w:highlight w:val="none"/>
              </w:rPr>
              <w:t>pH值</w:t>
            </w:r>
          </w:p>
        </w:tc>
        <w:tc>
          <w:tcPr>
            <w:tcW w:w="2099" w:type="dxa"/>
            <w:tcBorders>
              <w:top w:val="single" w:color="auto" w:sz="4" w:space="0"/>
              <w:left w:val="nil"/>
              <w:bottom w:val="single" w:color="auto" w:sz="4" w:space="0"/>
              <w:right w:val="single" w:color="auto" w:sz="4" w:space="0"/>
            </w:tcBorders>
            <w:vAlign w:val="center"/>
          </w:tcPr>
          <w:p w14:paraId="6D7096D2">
            <w:pPr>
              <w:widowControl/>
              <w:jc w:val="center"/>
              <w:rPr>
                <w:rFonts w:eastAsia="宋体"/>
                <w:color w:val="auto"/>
                <w:kern w:val="0"/>
                <w:highlight w:val="none"/>
              </w:rPr>
            </w:pPr>
            <w:r>
              <w:rPr>
                <w:rFonts w:eastAsia="宋体"/>
                <w:color w:val="auto"/>
                <w:kern w:val="0"/>
                <w:highlight w:val="none"/>
              </w:rPr>
              <w:t>5.5-8.0</w:t>
            </w:r>
          </w:p>
        </w:tc>
      </w:tr>
      <w:tr w14:paraId="49BA34D9">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37D378EE">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14:paraId="4D776D51">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14:paraId="72E873DA">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14:paraId="72731D7E">
            <w:pPr>
              <w:widowControl/>
              <w:jc w:val="center"/>
              <w:rPr>
                <w:rFonts w:eastAsia="宋体"/>
                <w:color w:val="auto"/>
                <w:kern w:val="0"/>
                <w:highlight w:val="none"/>
              </w:rPr>
            </w:pPr>
            <w:r>
              <w:rPr>
                <w:rFonts w:eastAsia="宋体"/>
                <w:color w:val="auto"/>
                <w:kern w:val="0"/>
                <w:highlight w:val="none"/>
              </w:rPr>
              <w:t>有机质/%</w:t>
            </w:r>
          </w:p>
        </w:tc>
        <w:tc>
          <w:tcPr>
            <w:tcW w:w="2099" w:type="dxa"/>
            <w:tcBorders>
              <w:top w:val="single" w:color="auto" w:sz="4" w:space="0"/>
              <w:left w:val="nil"/>
              <w:bottom w:val="single" w:color="auto" w:sz="4" w:space="0"/>
              <w:right w:val="single" w:color="auto" w:sz="4" w:space="0"/>
            </w:tcBorders>
            <w:vAlign w:val="center"/>
          </w:tcPr>
          <w:p w14:paraId="15253633">
            <w:pPr>
              <w:widowControl/>
              <w:jc w:val="center"/>
              <w:rPr>
                <w:rFonts w:eastAsia="宋体"/>
                <w:color w:val="auto"/>
                <w:kern w:val="0"/>
                <w:highlight w:val="none"/>
              </w:rPr>
            </w:pPr>
            <w:r>
              <w:rPr>
                <w:rFonts w:eastAsia="宋体"/>
                <w:color w:val="auto"/>
                <w:kern w:val="0"/>
                <w:highlight w:val="none"/>
              </w:rPr>
              <w:t>≥1</w:t>
            </w:r>
          </w:p>
        </w:tc>
      </w:tr>
      <w:tr w14:paraId="10F20BC6">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5E05611F">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14:paraId="1D1009AA">
            <w:pPr>
              <w:widowControl/>
              <w:jc w:val="left"/>
              <w:rPr>
                <w:rFonts w:eastAsia="宋体"/>
                <w:color w:val="auto"/>
                <w:kern w:val="0"/>
                <w:highlight w:val="none"/>
              </w:rPr>
            </w:pPr>
          </w:p>
        </w:tc>
        <w:tc>
          <w:tcPr>
            <w:tcW w:w="2029" w:type="dxa"/>
            <w:vMerge w:val="continue"/>
            <w:tcBorders>
              <w:top w:val="single" w:color="auto" w:sz="4" w:space="0"/>
              <w:left w:val="single" w:color="auto" w:sz="4" w:space="0"/>
              <w:bottom w:val="single" w:color="auto" w:sz="4" w:space="0"/>
              <w:right w:val="single" w:color="auto" w:sz="4" w:space="0"/>
            </w:tcBorders>
            <w:vAlign w:val="center"/>
          </w:tcPr>
          <w:p w14:paraId="1BDC07AB">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14:paraId="16167875">
            <w:pPr>
              <w:widowControl/>
              <w:jc w:val="center"/>
              <w:rPr>
                <w:rFonts w:eastAsia="宋体"/>
                <w:color w:val="auto"/>
                <w:kern w:val="0"/>
                <w:highlight w:val="none"/>
              </w:rPr>
            </w:pPr>
            <w:r>
              <w:rPr>
                <w:rFonts w:eastAsia="宋体"/>
                <w:color w:val="auto"/>
                <w:kern w:val="0"/>
                <w:highlight w:val="none"/>
              </w:rPr>
              <w:t>产量/（kg/hm</w:t>
            </w:r>
            <w:r>
              <w:rPr>
                <w:rFonts w:eastAsia="宋体"/>
                <w:color w:val="auto"/>
                <w:kern w:val="0"/>
                <w:highlight w:val="none"/>
                <w:vertAlign w:val="superscript"/>
              </w:rPr>
              <w:t>2</w:t>
            </w:r>
            <w:r>
              <w:rPr>
                <w:rFonts w:eastAsia="宋体"/>
                <w:color w:val="auto"/>
                <w:kern w:val="0"/>
                <w:highlight w:val="none"/>
              </w:rPr>
              <w:t>）</w:t>
            </w:r>
          </w:p>
        </w:tc>
        <w:tc>
          <w:tcPr>
            <w:tcW w:w="2099" w:type="dxa"/>
            <w:tcBorders>
              <w:top w:val="single" w:color="auto" w:sz="4" w:space="0"/>
              <w:left w:val="nil"/>
              <w:bottom w:val="single" w:color="auto" w:sz="4" w:space="0"/>
              <w:right w:val="single" w:color="auto" w:sz="4" w:space="0"/>
            </w:tcBorders>
            <w:vAlign w:val="center"/>
          </w:tcPr>
          <w:p w14:paraId="5AEDF4E0">
            <w:pPr>
              <w:widowControl/>
              <w:jc w:val="center"/>
              <w:rPr>
                <w:rFonts w:eastAsia="宋体"/>
                <w:color w:val="auto"/>
                <w:kern w:val="0"/>
                <w:highlight w:val="none"/>
              </w:rPr>
            </w:pPr>
            <w:r>
              <w:rPr>
                <w:rFonts w:eastAsia="宋体"/>
                <w:color w:val="auto"/>
                <w:kern w:val="0"/>
                <w:highlight w:val="none"/>
              </w:rPr>
              <w:t>四年后达到周边地区同等土地利用类型水平</w:t>
            </w:r>
          </w:p>
        </w:tc>
      </w:tr>
      <w:tr w14:paraId="6ECE94FE">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29C9EEB5">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14:paraId="4F6AA06F">
            <w:pPr>
              <w:widowControl/>
              <w:jc w:val="left"/>
              <w:rPr>
                <w:rFonts w:eastAsia="宋体"/>
                <w:color w:val="auto"/>
                <w:kern w:val="0"/>
                <w:highlight w:val="none"/>
              </w:rPr>
            </w:pPr>
          </w:p>
        </w:tc>
        <w:tc>
          <w:tcPr>
            <w:tcW w:w="2029" w:type="dxa"/>
            <w:vMerge w:val="restart"/>
            <w:tcBorders>
              <w:top w:val="single" w:color="auto" w:sz="4" w:space="0"/>
              <w:left w:val="single" w:color="auto" w:sz="4" w:space="0"/>
              <w:right w:val="single" w:color="auto" w:sz="4" w:space="0"/>
            </w:tcBorders>
            <w:vAlign w:val="center"/>
          </w:tcPr>
          <w:p w14:paraId="0109500E">
            <w:pPr>
              <w:widowControl/>
              <w:jc w:val="center"/>
              <w:rPr>
                <w:rFonts w:eastAsia="宋体"/>
                <w:color w:val="auto"/>
                <w:kern w:val="0"/>
                <w:highlight w:val="none"/>
              </w:rPr>
            </w:pPr>
            <w:r>
              <w:rPr>
                <w:rFonts w:eastAsia="宋体"/>
                <w:color w:val="auto"/>
                <w:kern w:val="0"/>
                <w:highlight w:val="none"/>
              </w:rPr>
              <w:t>配套设施</w:t>
            </w:r>
          </w:p>
        </w:tc>
        <w:tc>
          <w:tcPr>
            <w:tcW w:w="2153" w:type="dxa"/>
            <w:tcBorders>
              <w:top w:val="single" w:color="auto" w:sz="4" w:space="0"/>
              <w:left w:val="nil"/>
              <w:bottom w:val="single" w:color="auto" w:sz="4" w:space="0"/>
              <w:right w:val="single" w:color="auto" w:sz="4" w:space="0"/>
            </w:tcBorders>
            <w:vAlign w:val="center"/>
          </w:tcPr>
          <w:p w14:paraId="43E3C65A">
            <w:pPr>
              <w:widowControl/>
              <w:jc w:val="center"/>
              <w:rPr>
                <w:rFonts w:eastAsia="宋体"/>
                <w:color w:val="auto"/>
                <w:kern w:val="0"/>
                <w:highlight w:val="none"/>
              </w:rPr>
            </w:pPr>
            <w:r>
              <w:rPr>
                <w:rFonts w:eastAsia="宋体"/>
                <w:color w:val="auto"/>
                <w:kern w:val="0"/>
                <w:highlight w:val="none"/>
              </w:rPr>
              <w:t>灌溉</w:t>
            </w:r>
          </w:p>
        </w:tc>
        <w:tc>
          <w:tcPr>
            <w:tcW w:w="2099" w:type="dxa"/>
            <w:vMerge w:val="restart"/>
            <w:tcBorders>
              <w:top w:val="single" w:color="auto" w:sz="4" w:space="0"/>
              <w:left w:val="nil"/>
              <w:right w:val="single" w:color="auto" w:sz="4" w:space="0"/>
            </w:tcBorders>
            <w:vAlign w:val="center"/>
          </w:tcPr>
          <w:p w14:paraId="5BA37229">
            <w:pPr>
              <w:widowControl/>
              <w:jc w:val="center"/>
              <w:rPr>
                <w:rFonts w:eastAsia="宋体"/>
                <w:color w:val="auto"/>
                <w:kern w:val="0"/>
                <w:highlight w:val="none"/>
              </w:rPr>
            </w:pPr>
            <w:r>
              <w:rPr>
                <w:rFonts w:eastAsia="宋体"/>
                <w:color w:val="auto"/>
                <w:kern w:val="0"/>
                <w:highlight w:val="none"/>
              </w:rPr>
              <w:t>四年后达到周边地区同等土地利用类型水平</w:t>
            </w:r>
          </w:p>
        </w:tc>
      </w:tr>
      <w:tr w14:paraId="5B7B4686">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304D2700">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14:paraId="5F1CDFFD">
            <w:pPr>
              <w:widowControl/>
              <w:jc w:val="left"/>
              <w:rPr>
                <w:rFonts w:eastAsia="宋体"/>
                <w:color w:val="auto"/>
                <w:kern w:val="0"/>
                <w:highlight w:val="none"/>
              </w:rPr>
            </w:pPr>
          </w:p>
        </w:tc>
        <w:tc>
          <w:tcPr>
            <w:tcW w:w="2029" w:type="dxa"/>
            <w:vMerge w:val="continue"/>
            <w:tcBorders>
              <w:left w:val="single" w:color="auto" w:sz="4" w:space="0"/>
              <w:bottom w:val="single" w:color="auto" w:sz="4" w:space="0"/>
              <w:right w:val="single" w:color="auto" w:sz="4" w:space="0"/>
            </w:tcBorders>
            <w:vAlign w:val="center"/>
          </w:tcPr>
          <w:p w14:paraId="3696253D">
            <w:pPr>
              <w:widowControl/>
              <w:jc w:val="center"/>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14:paraId="7EDFD4F8">
            <w:pPr>
              <w:widowControl/>
              <w:jc w:val="center"/>
              <w:rPr>
                <w:rFonts w:eastAsia="宋体"/>
                <w:color w:val="auto"/>
                <w:kern w:val="0"/>
                <w:highlight w:val="none"/>
              </w:rPr>
            </w:pPr>
            <w:r>
              <w:rPr>
                <w:rFonts w:eastAsia="宋体"/>
                <w:color w:val="auto"/>
                <w:kern w:val="0"/>
                <w:highlight w:val="none"/>
              </w:rPr>
              <w:t>道路</w:t>
            </w:r>
          </w:p>
        </w:tc>
        <w:tc>
          <w:tcPr>
            <w:tcW w:w="2099" w:type="dxa"/>
            <w:vMerge w:val="continue"/>
            <w:tcBorders>
              <w:left w:val="nil"/>
              <w:bottom w:val="single" w:color="auto" w:sz="4" w:space="0"/>
              <w:right w:val="single" w:color="auto" w:sz="4" w:space="0"/>
            </w:tcBorders>
            <w:vAlign w:val="center"/>
          </w:tcPr>
          <w:p w14:paraId="386ABA4F">
            <w:pPr>
              <w:widowControl/>
              <w:jc w:val="center"/>
              <w:rPr>
                <w:rFonts w:eastAsia="宋体"/>
                <w:color w:val="auto"/>
                <w:kern w:val="0"/>
                <w:highlight w:val="none"/>
              </w:rPr>
            </w:pPr>
          </w:p>
        </w:tc>
      </w:tr>
      <w:tr w14:paraId="1D75A84F">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right w:val="single" w:color="auto" w:sz="4" w:space="0"/>
            </w:tcBorders>
            <w:vAlign w:val="center"/>
          </w:tcPr>
          <w:p w14:paraId="7E1E6E41">
            <w:pPr>
              <w:widowControl/>
              <w:jc w:val="left"/>
              <w:rPr>
                <w:rFonts w:eastAsia="宋体"/>
                <w:color w:val="auto"/>
                <w:kern w:val="0"/>
                <w:highlight w:val="none"/>
              </w:rPr>
            </w:pPr>
          </w:p>
        </w:tc>
        <w:tc>
          <w:tcPr>
            <w:tcW w:w="1661" w:type="dxa"/>
            <w:vMerge w:val="continue"/>
            <w:tcBorders>
              <w:left w:val="single" w:color="auto" w:sz="4" w:space="0"/>
              <w:right w:val="single" w:color="auto" w:sz="4" w:space="0"/>
            </w:tcBorders>
            <w:vAlign w:val="center"/>
          </w:tcPr>
          <w:p w14:paraId="50D4A373">
            <w:pPr>
              <w:widowControl/>
              <w:jc w:val="left"/>
              <w:rPr>
                <w:rFonts w:eastAsia="宋体"/>
                <w:color w:val="auto"/>
                <w:kern w:val="0"/>
                <w:highlight w:val="none"/>
              </w:rPr>
            </w:pPr>
          </w:p>
        </w:tc>
        <w:tc>
          <w:tcPr>
            <w:tcW w:w="2029" w:type="dxa"/>
            <w:vMerge w:val="restart"/>
            <w:tcBorders>
              <w:top w:val="single" w:color="auto" w:sz="4" w:space="0"/>
              <w:left w:val="single" w:color="auto" w:sz="4" w:space="0"/>
              <w:right w:val="single" w:color="auto" w:sz="4" w:space="0"/>
            </w:tcBorders>
            <w:vAlign w:val="center"/>
          </w:tcPr>
          <w:p w14:paraId="3C6259B6">
            <w:pPr>
              <w:widowControl/>
              <w:jc w:val="center"/>
              <w:rPr>
                <w:rFonts w:eastAsia="宋体"/>
                <w:color w:val="auto"/>
                <w:kern w:val="0"/>
                <w:highlight w:val="none"/>
              </w:rPr>
            </w:pPr>
            <w:r>
              <w:rPr>
                <w:rFonts w:eastAsia="宋体"/>
                <w:color w:val="auto"/>
                <w:kern w:val="0"/>
                <w:highlight w:val="none"/>
              </w:rPr>
              <w:t>生产力水平</w:t>
            </w:r>
          </w:p>
        </w:tc>
        <w:tc>
          <w:tcPr>
            <w:tcW w:w="2153" w:type="dxa"/>
            <w:tcBorders>
              <w:top w:val="single" w:color="auto" w:sz="4" w:space="0"/>
              <w:left w:val="nil"/>
              <w:bottom w:val="single" w:color="auto" w:sz="4" w:space="0"/>
              <w:right w:val="single" w:color="auto" w:sz="4" w:space="0"/>
            </w:tcBorders>
            <w:vAlign w:val="center"/>
          </w:tcPr>
          <w:p w14:paraId="47BA44A7">
            <w:pPr>
              <w:widowControl/>
              <w:jc w:val="center"/>
              <w:rPr>
                <w:rFonts w:eastAsia="宋体"/>
                <w:color w:val="auto"/>
                <w:kern w:val="0"/>
                <w:highlight w:val="none"/>
              </w:rPr>
            </w:pPr>
            <w:r>
              <w:rPr>
                <w:rFonts w:eastAsia="宋体"/>
                <w:color w:val="auto"/>
                <w:kern w:val="0"/>
                <w:highlight w:val="none"/>
              </w:rPr>
              <w:t>覆盖度/%</w:t>
            </w:r>
          </w:p>
        </w:tc>
        <w:tc>
          <w:tcPr>
            <w:tcW w:w="2099" w:type="dxa"/>
            <w:tcBorders>
              <w:top w:val="single" w:color="auto" w:sz="4" w:space="0"/>
              <w:left w:val="nil"/>
              <w:bottom w:val="single" w:color="auto" w:sz="4" w:space="0"/>
              <w:right w:val="single" w:color="auto" w:sz="4" w:space="0"/>
            </w:tcBorders>
            <w:vAlign w:val="center"/>
          </w:tcPr>
          <w:p w14:paraId="3D4FE3AF">
            <w:pPr>
              <w:widowControl/>
              <w:jc w:val="center"/>
              <w:rPr>
                <w:rFonts w:eastAsia="宋体"/>
                <w:color w:val="auto"/>
                <w:kern w:val="0"/>
                <w:highlight w:val="none"/>
              </w:rPr>
            </w:pPr>
            <w:r>
              <w:rPr>
                <w:rFonts w:eastAsia="宋体"/>
                <w:color w:val="auto"/>
                <w:kern w:val="0"/>
                <w:highlight w:val="none"/>
              </w:rPr>
              <w:t>≥40</w:t>
            </w:r>
          </w:p>
        </w:tc>
      </w:tr>
      <w:tr w14:paraId="143EA9B4">
        <w:tblPrEx>
          <w:tblCellMar>
            <w:top w:w="0" w:type="dxa"/>
            <w:left w:w="108" w:type="dxa"/>
            <w:bottom w:w="0" w:type="dxa"/>
            <w:right w:w="108" w:type="dxa"/>
          </w:tblCellMar>
        </w:tblPrEx>
        <w:trPr>
          <w:trHeight w:val="342" w:hRule="atLeast"/>
          <w:jc w:val="center"/>
        </w:trPr>
        <w:tc>
          <w:tcPr>
            <w:tcW w:w="864" w:type="dxa"/>
            <w:vMerge w:val="continue"/>
            <w:tcBorders>
              <w:left w:val="single" w:color="auto" w:sz="4" w:space="0"/>
              <w:bottom w:val="single" w:color="auto" w:sz="4" w:space="0"/>
              <w:right w:val="single" w:color="auto" w:sz="4" w:space="0"/>
            </w:tcBorders>
            <w:vAlign w:val="center"/>
          </w:tcPr>
          <w:p w14:paraId="02FAB220">
            <w:pPr>
              <w:widowControl/>
              <w:jc w:val="left"/>
              <w:rPr>
                <w:rFonts w:eastAsia="宋体"/>
                <w:color w:val="auto"/>
                <w:kern w:val="0"/>
                <w:highlight w:val="none"/>
              </w:rPr>
            </w:pPr>
          </w:p>
        </w:tc>
        <w:tc>
          <w:tcPr>
            <w:tcW w:w="1661" w:type="dxa"/>
            <w:vMerge w:val="continue"/>
            <w:tcBorders>
              <w:left w:val="single" w:color="auto" w:sz="4" w:space="0"/>
              <w:bottom w:val="single" w:color="auto" w:sz="4" w:space="0"/>
              <w:right w:val="single" w:color="auto" w:sz="4" w:space="0"/>
            </w:tcBorders>
            <w:vAlign w:val="center"/>
          </w:tcPr>
          <w:p w14:paraId="7F67F973">
            <w:pPr>
              <w:widowControl/>
              <w:jc w:val="left"/>
              <w:rPr>
                <w:rFonts w:eastAsia="宋体"/>
                <w:color w:val="auto"/>
                <w:kern w:val="0"/>
                <w:highlight w:val="none"/>
              </w:rPr>
            </w:pPr>
          </w:p>
        </w:tc>
        <w:tc>
          <w:tcPr>
            <w:tcW w:w="2029" w:type="dxa"/>
            <w:vMerge w:val="continue"/>
            <w:tcBorders>
              <w:left w:val="single" w:color="auto" w:sz="4" w:space="0"/>
              <w:bottom w:val="single" w:color="auto" w:sz="4" w:space="0"/>
              <w:right w:val="single" w:color="auto" w:sz="4" w:space="0"/>
            </w:tcBorders>
            <w:vAlign w:val="center"/>
          </w:tcPr>
          <w:p w14:paraId="2A80B70E">
            <w:pPr>
              <w:widowControl/>
              <w:jc w:val="left"/>
              <w:rPr>
                <w:rFonts w:eastAsia="宋体"/>
                <w:color w:val="auto"/>
                <w:kern w:val="0"/>
                <w:highlight w:val="none"/>
              </w:rPr>
            </w:pPr>
          </w:p>
        </w:tc>
        <w:tc>
          <w:tcPr>
            <w:tcW w:w="2153" w:type="dxa"/>
            <w:tcBorders>
              <w:top w:val="single" w:color="auto" w:sz="4" w:space="0"/>
              <w:left w:val="nil"/>
              <w:bottom w:val="single" w:color="auto" w:sz="4" w:space="0"/>
              <w:right w:val="single" w:color="auto" w:sz="4" w:space="0"/>
            </w:tcBorders>
            <w:vAlign w:val="center"/>
          </w:tcPr>
          <w:p w14:paraId="3CAAEF13">
            <w:pPr>
              <w:widowControl/>
              <w:jc w:val="center"/>
              <w:rPr>
                <w:rFonts w:eastAsia="宋体"/>
                <w:color w:val="auto"/>
                <w:kern w:val="0"/>
                <w:highlight w:val="none"/>
              </w:rPr>
            </w:pPr>
            <w:r>
              <w:rPr>
                <w:rFonts w:eastAsia="宋体"/>
                <w:color w:val="auto"/>
                <w:kern w:val="0"/>
                <w:highlight w:val="none"/>
              </w:rPr>
              <w:t>产量/（kg/hm</w:t>
            </w:r>
            <w:r>
              <w:rPr>
                <w:rFonts w:eastAsia="宋体"/>
                <w:color w:val="auto"/>
                <w:kern w:val="0"/>
                <w:highlight w:val="none"/>
                <w:vertAlign w:val="superscript"/>
              </w:rPr>
              <w:t>2</w:t>
            </w:r>
            <w:r>
              <w:rPr>
                <w:rFonts w:eastAsia="宋体"/>
                <w:color w:val="auto"/>
                <w:kern w:val="0"/>
                <w:highlight w:val="none"/>
              </w:rPr>
              <w:t>）</w:t>
            </w:r>
          </w:p>
        </w:tc>
        <w:tc>
          <w:tcPr>
            <w:tcW w:w="2099" w:type="dxa"/>
            <w:tcBorders>
              <w:top w:val="single" w:color="auto" w:sz="4" w:space="0"/>
              <w:left w:val="nil"/>
              <w:bottom w:val="single" w:color="auto" w:sz="4" w:space="0"/>
              <w:right w:val="single" w:color="auto" w:sz="4" w:space="0"/>
            </w:tcBorders>
            <w:vAlign w:val="center"/>
          </w:tcPr>
          <w:p w14:paraId="7E782949">
            <w:pPr>
              <w:widowControl/>
              <w:jc w:val="center"/>
              <w:rPr>
                <w:rFonts w:eastAsia="宋体"/>
                <w:color w:val="auto"/>
                <w:kern w:val="0"/>
                <w:highlight w:val="none"/>
              </w:rPr>
            </w:pPr>
            <w:r>
              <w:rPr>
                <w:rFonts w:eastAsia="宋体"/>
                <w:color w:val="auto"/>
                <w:kern w:val="0"/>
                <w:highlight w:val="none"/>
              </w:rPr>
              <w:t>四年后达到周边地区同等土地利用类型水平</w:t>
            </w:r>
          </w:p>
        </w:tc>
      </w:tr>
    </w:tbl>
    <w:p w14:paraId="30CB8463">
      <w:pPr>
        <w:rPr>
          <w:rFonts w:ascii="Times New Roman" w:hAnsi="Times New Roman" w:eastAsia="宋体" w:cs="Times New Roman"/>
          <w:color w:val="auto"/>
          <w:highlight w:val="none"/>
        </w:rPr>
        <w:sectPr>
          <w:pgSz w:w="11906" w:h="16838"/>
          <w:pgMar w:top="1440" w:right="1800" w:bottom="1440" w:left="1800" w:header="851" w:footer="992" w:gutter="0"/>
          <w:cols w:space="425" w:num="1"/>
          <w:docGrid w:type="lines" w:linePitch="312" w:charSpace="0"/>
        </w:sectPr>
      </w:pPr>
    </w:p>
    <w:p w14:paraId="43D3B3E8">
      <w:pPr>
        <w:pStyle w:val="2"/>
        <w:spacing w:line="360" w:lineRule="auto"/>
        <w:jc w:val="center"/>
        <w:rPr>
          <w:rFonts w:ascii="Times New Roman" w:hAnsi="Times New Roman" w:eastAsia="宋体" w:cs="Times New Roman"/>
          <w:color w:val="auto"/>
          <w:sz w:val="32"/>
          <w:szCs w:val="32"/>
          <w:highlight w:val="none"/>
        </w:rPr>
      </w:pPr>
      <w:bookmarkStart w:id="125" w:name="_Toc2917"/>
      <w:r>
        <w:rPr>
          <w:rFonts w:ascii="Times New Roman" w:hAnsi="Times New Roman" w:eastAsia="宋体" w:cs="Times New Roman"/>
          <w:color w:val="auto"/>
          <w:sz w:val="32"/>
          <w:szCs w:val="32"/>
          <w:highlight w:val="none"/>
        </w:rPr>
        <w:t>第5章  矿山地质环境治理与土地复垦工程</w:t>
      </w:r>
      <w:bookmarkEnd w:id="125"/>
    </w:p>
    <w:p w14:paraId="1EEB7388">
      <w:pPr>
        <w:pStyle w:val="3"/>
        <w:rPr>
          <w:rFonts w:ascii="Times New Roman" w:hAnsi="Times New Roman" w:eastAsia="宋体" w:cs="Times New Roman"/>
          <w:color w:val="auto"/>
          <w:sz w:val="30"/>
          <w:szCs w:val="30"/>
          <w:highlight w:val="none"/>
        </w:rPr>
      </w:pPr>
      <w:bookmarkStart w:id="126" w:name="_Toc18849"/>
      <w:r>
        <w:rPr>
          <w:rFonts w:ascii="Times New Roman" w:hAnsi="Times New Roman" w:eastAsia="宋体" w:cs="Times New Roman"/>
          <w:color w:val="auto"/>
          <w:sz w:val="30"/>
          <w:szCs w:val="30"/>
          <w:highlight w:val="none"/>
        </w:rPr>
        <w:t>一、矿山地质环境保护与土地复垦预防</w:t>
      </w:r>
      <w:bookmarkEnd w:id="126"/>
    </w:p>
    <w:p w14:paraId="0229516C">
      <w:pPr>
        <w:pStyle w:val="4"/>
        <w:rPr>
          <w:rFonts w:ascii="Times New Roman" w:hAnsi="Times New Roman" w:eastAsia="宋体" w:cs="Times New Roman"/>
          <w:color w:val="auto"/>
          <w:sz w:val="28"/>
          <w:szCs w:val="28"/>
          <w:highlight w:val="none"/>
        </w:rPr>
      </w:pPr>
      <w:bookmarkStart w:id="127" w:name="_Toc26647"/>
      <w:r>
        <w:rPr>
          <w:rFonts w:ascii="Times New Roman" w:hAnsi="Times New Roman" w:eastAsia="宋体" w:cs="Times New Roman"/>
          <w:color w:val="auto"/>
          <w:sz w:val="28"/>
          <w:szCs w:val="28"/>
          <w:highlight w:val="none"/>
        </w:rPr>
        <w:t>（一）目标任务</w:t>
      </w:r>
      <w:bookmarkEnd w:id="127"/>
    </w:p>
    <w:p w14:paraId="4E102D3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1、矿山地质环境保护预防目标任务</w:t>
      </w:r>
    </w:p>
    <w:p w14:paraId="15A7009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治理目标是：在掌握矿山地质环境问题的分布状况与危害程度的基础上，建立相对完善的矿山地质环境治理的防治体系和监督管理体系，以期实现矿产资源开发与矿山地质环境保护的协调发展，提高矿产资源开发利用效率；采取切实可行的方法，避免和减少矿业活动对矿区地质环境的破坏，使矿区和周边的地质环境得到明显改善。</w:t>
      </w:r>
    </w:p>
    <w:p w14:paraId="0D1B965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治理方案规划年限内，以因矿业活动造成的地质灾害及对土地、植被资源破坏为重点，开展矿山地质环境治理工程，确保矿山安全生产，改善、恢复矿山地质环境。具体针对该矿矿山地质环境治理提出如下目标：</w:t>
      </w:r>
    </w:p>
    <w:p w14:paraId="19DA739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a）最大程度地减少矿山地质环境问题的发生，避免和减缓地质灾害造成的损失，有效遏制矿山生产对地形地貌景观的影响和破坏，保护矿区地质环境，实现矿产资源开发利用与地质环境保护协调发展，实现矿区经济可持续发展。</w:t>
      </w:r>
    </w:p>
    <w:p w14:paraId="3830CF6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b）对采矿活动形成的高陡、弃渣边坡进行有效治理，避免和减缓由此可能引发的滑坡、弃渣泥石流及其伴生的地质灾害造成的损失；避免和减轻不必要的经济损失和人员伤亡；保障建设场地、道路以及人员安全。</w:t>
      </w:r>
    </w:p>
    <w:p w14:paraId="5461AD6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c）降低矿山开采活动对含水层破坏的影响。</w:t>
      </w:r>
    </w:p>
    <w:p w14:paraId="5ED592B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d）及时开展治理与土地复垦工程措施，避免和减缓矿山开发对地形地貌景观的影响，恢复周围植被。矿山闭坑后矿山地质环境与周边生态环境相协调，达到与区位条件相适应的环境功能。</w:t>
      </w:r>
    </w:p>
    <w:p w14:paraId="1EEFB3C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e）对损毁的土地，通过土地复垦措施，使其恢复原貌或适宜用途。使采矿活动对土地破坏最小，使被损毁的土地得到合理的恢复和利用，提高土地利用效率。</w:t>
      </w:r>
    </w:p>
    <w:p w14:paraId="7F1A516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根据矿山地质环境治理目标，结合本矿山实际情况，其地质环境治理的任务如下：</w:t>
      </w:r>
    </w:p>
    <w:p w14:paraId="2F3FFB8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1）对露天采场周围及边坡中存在的危岩及时清理，加强边坡管理，减少或避免由于危岩及斜坡失稳造成人员和财产损失。</w:t>
      </w:r>
    </w:p>
    <w:p w14:paraId="4009688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2）加强废石综合利用，减少废石堆放量。按照相关技术要求对废石、废渣分层堆放，避免其发生崩塌、滑坡等地质灾害。</w:t>
      </w:r>
    </w:p>
    <w:p w14:paraId="6B57010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3）优化开采方案、减少破坏范围。</w:t>
      </w:r>
    </w:p>
    <w:p w14:paraId="4493B57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4）开展地质灾害预警监测工程，包括灾害隐患点的监测、采场边坡变形监测、水环境、水量的动态监测等内容。</w:t>
      </w:r>
    </w:p>
    <w:p w14:paraId="51278A4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5）生产过程中及时对损毁土地、植被进行修复。闭坑后，对所占用、破坏的土地进行复垦工作并恢复植被。</w:t>
      </w:r>
    </w:p>
    <w:p w14:paraId="56A6BEA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2、土地复垦预防控制原则</w:t>
      </w:r>
    </w:p>
    <w:p w14:paraId="63FC31A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针对露天矿山对地表生态损毁的特点，项目土地复垦及生态重建规划应遵循以下原则：</w:t>
      </w:r>
    </w:p>
    <w:p w14:paraId="0DB1C6C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1）贯彻矿产资源开发与环境保护并重，坚持“预防为主，防治结合”和“在保护中开发，在开发中保护”的原则；</w:t>
      </w:r>
    </w:p>
    <w:p w14:paraId="79D9BE3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2）坚持“谁引发，谁治理；谁破坏，谁恢复”的原则，</w:t>
      </w:r>
    </w:p>
    <w:p w14:paraId="6A3F788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3）“依靠科技进步，发展循环经济，建设绿色矿业”的原则；</w:t>
      </w:r>
    </w:p>
    <w:p w14:paraId="215F32B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4）坚持“安全第一，因地制宜，经济效益服从社会、环境效益”的原则； </w:t>
      </w:r>
    </w:p>
    <w:p w14:paraId="2603FB8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5）“统筹规划、突出重点、分段实施”的原则；</w:t>
      </w:r>
    </w:p>
    <w:p w14:paraId="7761CF1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6）“技术可行、经济合理”的原则；</w:t>
      </w:r>
    </w:p>
    <w:p w14:paraId="18768E8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7）综合利用、经济合理，经济效益、社会效益、环境效益相得益彰；</w:t>
      </w:r>
    </w:p>
    <w:p w14:paraId="266DFC05">
      <w:pPr>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8）实事求是、因地制宜，最大限度恢复生态环境。</w:t>
      </w:r>
    </w:p>
    <w:p w14:paraId="50B663EF">
      <w:pPr>
        <w:pStyle w:val="4"/>
        <w:rPr>
          <w:rFonts w:ascii="Times New Roman" w:hAnsi="Times New Roman" w:eastAsia="宋体" w:cs="Times New Roman"/>
          <w:color w:val="auto"/>
          <w:sz w:val="28"/>
          <w:szCs w:val="28"/>
          <w:highlight w:val="none"/>
        </w:rPr>
      </w:pPr>
      <w:bookmarkStart w:id="128" w:name="_Toc17894"/>
      <w:r>
        <w:rPr>
          <w:rFonts w:ascii="Times New Roman" w:hAnsi="Times New Roman" w:eastAsia="宋体" w:cs="Times New Roman"/>
          <w:color w:val="auto"/>
          <w:sz w:val="28"/>
          <w:szCs w:val="28"/>
          <w:highlight w:val="none"/>
        </w:rPr>
        <w:t>（二）主要技术措施</w:t>
      </w:r>
      <w:bookmarkEnd w:id="128"/>
    </w:p>
    <w:p w14:paraId="04369EFC">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针对不同恢复治理区的地质环境问题的形式、强度及其危害程度，按照轻重缓急的原则合理布设防治措施，建立工程措施、植物措施和复垦措施相结合的地质环境保护与恢复治理体系。通过措施布局，力求使矿山开采造成的地质环境问题得以集中和全面的治理，在发挥工程措施控制性和速效性特点的同时，充分发挥植物措施和复垦措施的长效性和美化效果，有效防止地质环境问题，恢复和改善项目区的生态环境。</w:t>
      </w:r>
    </w:p>
    <w:p w14:paraId="288C24AE">
      <w:pPr>
        <w:pStyle w:val="14"/>
        <w:ind w:firstLine="48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1、地质环境保护预防措施</w:t>
      </w:r>
    </w:p>
    <w:p w14:paraId="4476A3B2">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1）矿山地质灾害预防措施</w:t>
      </w:r>
    </w:p>
    <w:p w14:paraId="1EEA97DD">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矿山地质环境影响评价结果，矿山开采可能导致的地质灾害类型为滑坡、崩塌，针对可能产生的滑坡、崩塌主要采取以下预付措施：对存在滑坡、崩塌隐患的区域采矿，应当对隐患地带进行清方、排险或者削坡等措施及时消除隐患。固体废弃物有序、合理堆放，设计稳定的边坡角。</w:t>
      </w:r>
    </w:p>
    <w:p w14:paraId="68571E8D">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2）含水层保护措施</w:t>
      </w:r>
    </w:p>
    <w:p w14:paraId="42CC4E85">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矿山设计为露天开采页岩的</w:t>
      </w:r>
      <w:r>
        <w:rPr>
          <w:rFonts w:hint="eastAsia" w:ascii="仿宋" w:hAnsi="仿宋" w:eastAsia="仿宋" w:cs="仿宋"/>
          <w:color w:val="auto"/>
          <w:sz w:val="28"/>
          <w:szCs w:val="28"/>
          <w:highlight w:val="none"/>
          <w:lang w:val="en-US" w:eastAsia="zh-CN"/>
        </w:rPr>
        <w:t>小</w:t>
      </w:r>
      <w:r>
        <w:rPr>
          <w:rFonts w:hint="eastAsia" w:ascii="仿宋" w:hAnsi="仿宋" w:eastAsia="仿宋" w:cs="仿宋"/>
          <w:color w:val="auto"/>
          <w:sz w:val="28"/>
          <w:szCs w:val="28"/>
          <w:highlight w:val="none"/>
        </w:rPr>
        <w:t>型矿山，根据含水层结构及地下水赋存条件，结合采矿工程，本次未设计工程。</w:t>
      </w:r>
    </w:p>
    <w:p w14:paraId="688BE174">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3）地形地貌景观（地质遗迹、人文景观）保护措施</w:t>
      </w:r>
    </w:p>
    <w:p w14:paraId="725568E6">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取以下措施，避免或减少采矿活动对矿区地形地貌景观的破坏：优化开采方案尽量避免或少破坏耕地；合理堆放固体废弃物，选用合适的综合利用技术，加大综合利用量，减少对地形地貌的破坏；边开采边治理，及时恢复植被；采取围栏、警示牌、避让、加固等措施保护具有重大科学文化价值的地质遗迹和人文景观。</w:t>
      </w:r>
    </w:p>
    <w:p w14:paraId="01161850">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4）土地资源环境污染预防措施</w:t>
      </w:r>
    </w:p>
    <w:p w14:paraId="0CBE6364">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区开采所需机械设备定期检修保养，避免机械设备漏油引起汽油、机油等废液污染土壤和水体；废液应委托专业机构进行回收与处理。同时对剥离的表土层进行收集后堆放在安全位置并散播草种，待复垦时回填利用。</w:t>
      </w:r>
    </w:p>
    <w:p w14:paraId="0994C2FD">
      <w:pPr>
        <w:pStyle w:val="14"/>
        <w:ind w:firstLine="48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2、土地复垦预防控制措施</w:t>
      </w:r>
    </w:p>
    <w:p w14:paraId="2C0BE7FC">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按照“统一规划、源头控制、防复结合”的原则，按照项目特点、施工方式及工艺等，制定工程土地复垦的预防控制措施。</w:t>
      </w:r>
    </w:p>
    <w:p w14:paraId="3558506B">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预防控制措施主要包括以下几个方面：</w:t>
      </w:r>
    </w:p>
    <w:p w14:paraId="298E8DC7">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1）本工程取土采用矿区熟土，由于取土是对土地损毁最严重的方式，会完全改变原有土体的自然结构，因此，本工程为避免新增损毁土地，采用矿区熟土，可完全避免这种土地损毁方式，减少土地损毁面积。</w:t>
      </w:r>
    </w:p>
    <w:p w14:paraId="0D9436EA">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2）占地的选择。为减少工程损毁土地资源，工程应尽量选择未利用地或低产田地，避免占用良田、好田，将保护土地特别是耕地资源的理念切实纳入工程选线、选址中去，从源头上减少、避免土地资源的损毁。</w:t>
      </w:r>
    </w:p>
    <w:p w14:paraId="17B4075C">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3）考虑合理优化工程施工计划及设施布局，如施工便道、施工生活营地尽量就近利用既有乡村道路或农村居民设施，以减少临时占地数量，最大程度地减缓对土地的损毁。</w:t>
      </w:r>
    </w:p>
    <w:p w14:paraId="262C6895">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由于矿山开采为生产破坏性行动，只有在闭矿期后才能进行土地复垦，但在施工期间工程也对各类场地采取了相应的工程及植物防护措施，减少及避免水土流失的发生，尤其是对原有土地的表土、耕植土要进行妥善的单独堆存，为以后的土地复垦提供可用的土源。</w:t>
      </w:r>
    </w:p>
    <w:p w14:paraId="44F28BF2">
      <w:pPr>
        <w:pStyle w:val="14"/>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5）土地复垦方案的编制，应当根据经济合理的原则和自然条件以及土地损毁状态，因地制宜地确定复垦后的土地用途。土地复垦规划应当符合项目所在地土地利用总体规划，并与其他相关规划协调。</w:t>
      </w:r>
    </w:p>
    <w:p w14:paraId="6A2C593F">
      <w:pPr>
        <w:pStyle w:val="14"/>
        <w:ind w:firstLine="48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6）本项目矿山地质环境保护与土地复垦方案应报相关部门审查，经审查同意后，与建设同步实施。土地复垦规划设计方案确定的任务纳入建设计划和投资概算。</w:t>
      </w:r>
    </w:p>
    <w:p w14:paraId="493E56B2">
      <w:pPr>
        <w:pStyle w:val="4"/>
        <w:spacing w:line="360" w:lineRule="auto"/>
        <w:rPr>
          <w:rFonts w:ascii="Times New Roman" w:hAnsi="Times New Roman" w:eastAsia="宋体" w:cs="Times New Roman"/>
          <w:bCs/>
          <w:color w:val="auto"/>
          <w:highlight w:val="none"/>
        </w:rPr>
      </w:pPr>
      <w:bookmarkStart w:id="129" w:name="_Toc29390"/>
      <w:r>
        <w:rPr>
          <w:rFonts w:ascii="Times New Roman" w:hAnsi="Times New Roman" w:eastAsia="宋体" w:cs="Times New Roman"/>
          <w:bCs/>
          <w:color w:val="auto"/>
          <w:highlight w:val="none"/>
        </w:rPr>
        <w:t>（三）主要工程量</w:t>
      </w:r>
      <w:bookmarkEnd w:id="129"/>
    </w:p>
    <w:p w14:paraId="5502FDB1">
      <w:pPr>
        <w:pStyle w:val="14"/>
        <w:spacing w:line="360" w:lineRule="auto"/>
        <w:ind w:firstLine="480"/>
        <w:jc w:val="left"/>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项目区为露天开采项目，在今后的开采中，矿山需要将矿区范围内的表土资源进行剥离后统一存放，用于矿山开展土地复垦工作的覆土来源。经现场调查，根据矿山矿产资源开发利用方案和经现场调查，项目区可剥离表土区为预测开采区。方案设计剥离表土</w:t>
      </w:r>
      <w:r>
        <w:rPr>
          <w:rFonts w:hint="eastAsia" w:ascii="仿宋" w:hAnsi="仿宋" w:eastAsia="仿宋" w:cs="仿宋"/>
          <w:color w:val="auto"/>
          <w:sz w:val="28"/>
          <w:szCs w:val="28"/>
          <w:highlight w:val="none"/>
          <w:lang w:val="en-US" w:eastAsia="zh-CN"/>
        </w:rPr>
        <w:t>2400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，剥离表土堆存于采场内堆场地质平缓处即可。剥离表土应加强管护，保持土壤肥力。</w:t>
      </w:r>
      <w:r>
        <w:rPr>
          <w:rFonts w:ascii="Times New Roman" w:hAnsi="Times New Roman" w:eastAsia="宋体" w:cs="Times New Roman"/>
          <w:color w:val="auto"/>
          <w:sz w:val="24"/>
          <w:szCs w:val="24"/>
          <w:highlight w:val="none"/>
        </w:rPr>
        <w:br w:type="page"/>
      </w:r>
    </w:p>
    <w:p w14:paraId="3E33437A">
      <w:pPr>
        <w:pStyle w:val="3"/>
        <w:rPr>
          <w:rFonts w:ascii="Times New Roman" w:hAnsi="Times New Roman" w:eastAsia="宋体" w:cs="Times New Roman"/>
          <w:color w:val="auto"/>
          <w:sz w:val="30"/>
          <w:szCs w:val="30"/>
          <w:highlight w:val="none"/>
        </w:rPr>
      </w:pPr>
      <w:bookmarkStart w:id="130" w:name="_Toc841"/>
      <w:r>
        <w:rPr>
          <w:rFonts w:ascii="Times New Roman" w:hAnsi="Times New Roman" w:eastAsia="宋体" w:cs="Times New Roman"/>
          <w:color w:val="auto"/>
          <w:sz w:val="30"/>
          <w:szCs w:val="30"/>
          <w:highlight w:val="none"/>
        </w:rPr>
        <w:t>二、矿山地质灾害治理</w:t>
      </w:r>
      <w:bookmarkEnd w:id="130"/>
    </w:p>
    <w:p w14:paraId="34CB161F">
      <w:pPr>
        <w:pStyle w:val="4"/>
        <w:spacing w:line="360" w:lineRule="auto"/>
        <w:rPr>
          <w:rFonts w:ascii="Times New Roman" w:hAnsi="Times New Roman" w:eastAsia="宋体" w:cs="Times New Roman"/>
          <w:color w:val="auto"/>
          <w:sz w:val="28"/>
          <w:szCs w:val="28"/>
          <w:highlight w:val="none"/>
        </w:rPr>
      </w:pPr>
      <w:bookmarkStart w:id="131" w:name="_Toc3507"/>
      <w:r>
        <w:rPr>
          <w:rFonts w:ascii="Times New Roman" w:hAnsi="Times New Roman" w:eastAsia="宋体" w:cs="Times New Roman"/>
          <w:color w:val="auto"/>
          <w:sz w:val="28"/>
          <w:szCs w:val="28"/>
          <w:highlight w:val="none"/>
        </w:rPr>
        <w:t>（一）目标任务</w:t>
      </w:r>
      <w:bookmarkEnd w:id="131"/>
    </w:p>
    <w:p w14:paraId="675E71F2">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矿山地质灾害治理的目的是通过各种治理工程手段，综合治理因矿山开展引发和诱发的地质灾害，达到控制或消除矿山存在的地质灾害隐患，消除地质灾害对人员、设备的危害，使矿山生产建设恢复到安全状态。</w:t>
      </w:r>
    </w:p>
    <w:p w14:paraId="34A714F9">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结合本矿山实际，矿山地质灾害治理的任务主要包括：</w:t>
      </w:r>
    </w:p>
    <w:p w14:paraId="64ED74BF">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1、针对不稳定边坡采取及时清理危岩、排除存在崩塌、垮塌的危岩体。逐步修正开采工作平台和开采时序，使开采工作按开发利用方案设计进行施工，避免因开采不当而引发或诱发新的地质灾害产生。</w:t>
      </w:r>
    </w:p>
    <w:p w14:paraId="45904416">
      <w:pPr>
        <w:adjustRightInd w:val="0"/>
        <w:snapToGrid w:val="0"/>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2、加强废石综合利用的研究，减少废石堆放量，按照相关技术要求废石、废渣分层堆放，避免其发生崩塌、滑坡等地质灾害。</w:t>
      </w:r>
    </w:p>
    <w:p w14:paraId="272C430D">
      <w:pPr>
        <w:pStyle w:val="4"/>
        <w:spacing w:line="360" w:lineRule="auto"/>
        <w:rPr>
          <w:rFonts w:ascii="Times New Roman" w:hAnsi="Times New Roman" w:eastAsia="宋体" w:cs="Times New Roman"/>
          <w:color w:val="auto"/>
          <w:sz w:val="28"/>
          <w:szCs w:val="28"/>
          <w:highlight w:val="none"/>
        </w:rPr>
      </w:pPr>
      <w:bookmarkStart w:id="132" w:name="_Toc30355"/>
      <w:r>
        <w:rPr>
          <w:rFonts w:ascii="Times New Roman" w:hAnsi="Times New Roman" w:eastAsia="宋体" w:cs="Times New Roman"/>
          <w:color w:val="auto"/>
          <w:sz w:val="28"/>
          <w:szCs w:val="28"/>
          <w:highlight w:val="none"/>
        </w:rPr>
        <w:t>（二）工程设计</w:t>
      </w:r>
      <w:bookmarkEnd w:id="132"/>
    </w:p>
    <w:p w14:paraId="78C6F91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根据开发利用方案结合现场调查，矿山开采可能导致或诱发的地质灾害类型主要是：露天采场不稳定边坡可能形成的滑坡、崩塌，针对可能形成的地质灾害制定了以下三项治理工程。</w:t>
      </w:r>
    </w:p>
    <w:p w14:paraId="2F0823C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经调查矿山范围内现无成规模的地质灾害发生，且通过地质灾害现状评估与预测分析，矿山在开采时，采动引起的地表移动变形较小，结合地质灾害现状评估与预测评估结果：矿山的开采形成高陡斜坡整体稳定性较好，开采区域不会出现严重塌陷、地裂缝、积水区。设置警示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开采过程中主要做好监测工作，如发现地质灾害问题再及时做处理。</w:t>
      </w:r>
    </w:p>
    <w:p w14:paraId="1927C58B">
      <w:pPr>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相应地质灾害监测工程设计见本章第六节“矿山地质环境监测”。</w:t>
      </w:r>
    </w:p>
    <w:p w14:paraId="6FE4129C">
      <w:pPr>
        <w:pStyle w:val="3"/>
        <w:numPr>
          <w:ilvl w:val="0"/>
          <w:numId w:val="4"/>
        </w:numPr>
        <w:rPr>
          <w:rFonts w:ascii="Times New Roman" w:hAnsi="Times New Roman" w:eastAsia="宋体" w:cs="Times New Roman"/>
          <w:color w:val="auto"/>
          <w:sz w:val="30"/>
          <w:szCs w:val="30"/>
          <w:highlight w:val="none"/>
        </w:rPr>
      </w:pPr>
      <w:bookmarkStart w:id="133" w:name="_Toc12423"/>
      <w:r>
        <w:rPr>
          <w:rFonts w:ascii="Times New Roman" w:hAnsi="Times New Roman" w:eastAsia="宋体" w:cs="Times New Roman"/>
          <w:color w:val="auto"/>
          <w:sz w:val="30"/>
          <w:szCs w:val="30"/>
          <w:highlight w:val="none"/>
        </w:rPr>
        <w:t>矿区土地复垦</w:t>
      </w:r>
      <w:bookmarkEnd w:id="133"/>
    </w:p>
    <w:p w14:paraId="2DAA1B33">
      <w:pPr>
        <w:pStyle w:val="4"/>
        <w:spacing w:line="360" w:lineRule="auto"/>
        <w:rPr>
          <w:rFonts w:ascii="Times New Roman" w:hAnsi="Times New Roman" w:eastAsia="宋体" w:cs="Times New Roman"/>
          <w:color w:val="auto"/>
          <w:sz w:val="28"/>
          <w:szCs w:val="28"/>
          <w:highlight w:val="none"/>
        </w:rPr>
      </w:pPr>
      <w:bookmarkStart w:id="134" w:name="_Toc15901"/>
      <w:r>
        <w:rPr>
          <w:rFonts w:ascii="Times New Roman" w:hAnsi="Times New Roman" w:eastAsia="宋体" w:cs="Times New Roman"/>
          <w:color w:val="auto"/>
          <w:sz w:val="28"/>
          <w:szCs w:val="28"/>
          <w:highlight w:val="none"/>
        </w:rPr>
        <w:t>（一）目标任务</w:t>
      </w:r>
      <w:bookmarkEnd w:id="134"/>
    </w:p>
    <w:p w14:paraId="5B929482">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1、复垦责任范围面积：</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14:paraId="7E8AE0F6">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2、本方案复垦率：100%。</w:t>
      </w:r>
    </w:p>
    <w:p w14:paraId="5BA47CB0">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依据土地复垦适宜性评价结果，本项目拟复垦土地面积</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，其中复垦为乔木林地面积</w:t>
      </w:r>
      <w:r>
        <w:rPr>
          <w:rFonts w:hint="eastAsia" w:ascii="仿宋" w:hAnsi="仿宋" w:eastAsia="仿宋" w:cs="仿宋"/>
          <w:color w:val="auto"/>
          <w:sz w:val="28"/>
          <w:szCs w:val="28"/>
          <w:highlight w:val="none"/>
          <w:lang w:val="en-US" w:eastAsia="zh-CN"/>
        </w:rPr>
        <w:t>0.6</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、其他草地面积为</w:t>
      </w:r>
      <w:r>
        <w:rPr>
          <w:rFonts w:hint="eastAsia" w:ascii="仿宋" w:hAnsi="仿宋" w:eastAsia="仿宋" w:cs="仿宋"/>
          <w:color w:val="auto"/>
          <w:sz w:val="28"/>
          <w:szCs w:val="28"/>
          <w:highlight w:val="none"/>
          <w:lang w:val="en-US" w:eastAsia="zh-CN"/>
        </w:rPr>
        <w:t>0.2</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。其复垦前后土地利用结构见表5-2。</w:t>
      </w:r>
    </w:p>
    <w:p w14:paraId="16EFA29A">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表5-</w:t>
      </w:r>
      <w:r>
        <w:rPr>
          <w:rFonts w:hint="eastAsia" w:ascii="Times New Roman" w:hAnsi="Times New Roman" w:eastAsia="宋体" w:cs="Times New Roman"/>
          <w:b/>
          <w:color w:val="auto"/>
          <w:highlight w:val="none"/>
        </w:rPr>
        <w:t>2</w:t>
      </w:r>
      <w:r>
        <w:rPr>
          <w:rFonts w:ascii="Times New Roman" w:hAnsi="Times New Roman" w:eastAsia="宋体" w:cs="Times New Roman"/>
          <w:b/>
          <w:color w:val="auto"/>
          <w:highlight w:val="none"/>
        </w:rPr>
        <w:t xml:space="preserve">  复垦前后土地利用结构表</w:t>
      </w:r>
    </w:p>
    <w:p w14:paraId="7E3F0AA0">
      <w:pPr>
        <w:rPr>
          <w:rFonts w:ascii="Times New Roman" w:hAnsi="Times New Roman" w:eastAsia="宋体" w:cs="Times New Roman"/>
          <w:b/>
          <w:color w:val="auto"/>
          <w:sz w:val="24"/>
          <w:highlight w:val="none"/>
        </w:rPr>
      </w:pPr>
    </w:p>
    <w:tbl>
      <w:tblPr>
        <w:tblStyle w:val="23"/>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89"/>
        <w:gridCol w:w="1225"/>
        <w:gridCol w:w="1209"/>
        <w:gridCol w:w="1241"/>
        <w:gridCol w:w="1225"/>
        <w:gridCol w:w="1230"/>
      </w:tblGrid>
      <w:tr w14:paraId="77D8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961" w:type="dxa"/>
            <w:vAlign w:val="center"/>
          </w:tcPr>
          <w:p w14:paraId="22A4ACFB">
            <w:pPr>
              <w:widowControl/>
              <w:jc w:val="center"/>
              <w:rPr>
                <w:rFonts w:eastAsia="宋体"/>
                <w:color w:val="auto"/>
                <w:highlight w:val="none"/>
              </w:rPr>
            </w:pPr>
            <w:r>
              <w:rPr>
                <w:rFonts w:hint="eastAsia" w:eastAsia="宋体"/>
                <w:color w:val="auto"/>
                <w:highlight w:val="none"/>
              </w:rPr>
              <w:t>地类编码</w:t>
            </w:r>
          </w:p>
        </w:tc>
        <w:tc>
          <w:tcPr>
            <w:tcW w:w="1489" w:type="dxa"/>
            <w:vAlign w:val="center"/>
          </w:tcPr>
          <w:p w14:paraId="668E5197">
            <w:pPr>
              <w:widowControl/>
              <w:jc w:val="center"/>
              <w:rPr>
                <w:rFonts w:eastAsia="宋体"/>
                <w:color w:val="auto"/>
                <w:highlight w:val="none"/>
              </w:rPr>
            </w:pPr>
            <w:r>
              <w:rPr>
                <w:rFonts w:hint="eastAsia" w:eastAsia="宋体"/>
                <w:color w:val="auto"/>
                <w:highlight w:val="none"/>
              </w:rPr>
              <w:t>一级地类</w:t>
            </w:r>
          </w:p>
        </w:tc>
        <w:tc>
          <w:tcPr>
            <w:tcW w:w="1225" w:type="dxa"/>
            <w:vAlign w:val="center"/>
          </w:tcPr>
          <w:p w14:paraId="249722F5">
            <w:pPr>
              <w:widowControl/>
              <w:jc w:val="center"/>
              <w:rPr>
                <w:rFonts w:eastAsia="宋体"/>
                <w:color w:val="auto"/>
                <w:highlight w:val="none"/>
              </w:rPr>
            </w:pPr>
            <w:r>
              <w:rPr>
                <w:rFonts w:hint="eastAsia" w:eastAsia="宋体"/>
                <w:color w:val="auto"/>
                <w:highlight w:val="none"/>
              </w:rPr>
              <w:t>地类编码</w:t>
            </w:r>
          </w:p>
        </w:tc>
        <w:tc>
          <w:tcPr>
            <w:tcW w:w="1209" w:type="dxa"/>
            <w:vAlign w:val="center"/>
          </w:tcPr>
          <w:p w14:paraId="51EBF9BF">
            <w:pPr>
              <w:widowControl/>
              <w:jc w:val="center"/>
              <w:rPr>
                <w:rFonts w:eastAsia="宋体"/>
                <w:color w:val="auto"/>
                <w:highlight w:val="none"/>
              </w:rPr>
            </w:pPr>
            <w:r>
              <w:rPr>
                <w:rFonts w:hint="eastAsia" w:eastAsia="宋体"/>
                <w:color w:val="auto"/>
                <w:highlight w:val="none"/>
              </w:rPr>
              <w:t>二级地类</w:t>
            </w:r>
          </w:p>
        </w:tc>
        <w:tc>
          <w:tcPr>
            <w:tcW w:w="1241" w:type="dxa"/>
            <w:vAlign w:val="center"/>
          </w:tcPr>
          <w:p w14:paraId="1BB6C8CD">
            <w:pPr>
              <w:widowControl/>
              <w:jc w:val="center"/>
              <w:rPr>
                <w:rFonts w:eastAsia="宋体"/>
                <w:color w:val="auto"/>
                <w:highlight w:val="none"/>
              </w:rPr>
            </w:pPr>
            <w:r>
              <w:rPr>
                <w:rFonts w:hint="eastAsia" w:eastAsia="宋体"/>
                <w:color w:val="auto"/>
                <w:highlight w:val="none"/>
              </w:rPr>
              <w:t>复垦前(hm</w:t>
            </w:r>
            <w:r>
              <w:rPr>
                <w:rFonts w:hint="eastAsia" w:eastAsia="宋体"/>
                <w:color w:val="auto"/>
                <w:highlight w:val="none"/>
                <w:vertAlign w:val="superscript"/>
              </w:rPr>
              <w:t>2</w:t>
            </w:r>
            <w:r>
              <w:rPr>
                <w:rFonts w:hint="eastAsia" w:eastAsia="宋体"/>
                <w:color w:val="auto"/>
                <w:highlight w:val="none"/>
              </w:rPr>
              <w:t>)</w:t>
            </w:r>
          </w:p>
        </w:tc>
        <w:tc>
          <w:tcPr>
            <w:tcW w:w="1225" w:type="dxa"/>
            <w:vAlign w:val="center"/>
          </w:tcPr>
          <w:p w14:paraId="4A68EB90">
            <w:pPr>
              <w:widowControl/>
              <w:jc w:val="center"/>
              <w:rPr>
                <w:rFonts w:eastAsia="宋体"/>
                <w:color w:val="auto"/>
                <w:highlight w:val="none"/>
              </w:rPr>
            </w:pPr>
            <w:r>
              <w:rPr>
                <w:rFonts w:hint="eastAsia" w:eastAsia="宋体"/>
                <w:color w:val="auto"/>
                <w:highlight w:val="none"/>
              </w:rPr>
              <w:t>复垦后(hm</w:t>
            </w:r>
            <w:r>
              <w:rPr>
                <w:rFonts w:hint="eastAsia" w:eastAsia="宋体"/>
                <w:color w:val="auto"/>
                <w:highlight w:val="none"/>
                <w:vertAlign w:val="superscript"/>
              </w:rPr>
              <w:t>2</w:t>
            </w:r>
            <w:r>
              <w:rPr>
                <w:rFonts w:hint="eastAsia" w:eastAsia="宋体"/>
                <w:color w:val="auto"/>
                <w:highlight w:val="none"/>
              </w:rPr>
              <w:t>)</w:t>
            </w:r>
          </w:p>
        </w:tc>
        <w:tc>
          <w:tcPr>
            <w:tcW w:w="1230" w:type="dxa"/>
            <w:vAlign w:val="center"/>
          </w:tcPr>
          <w:p w14:paraId="2CB52F01">
            <w:pPr>
              <w:widowControl/>
              <w:jc w:val="center"/>
              <w:rPr>
                <w:rFonts w:eastAsia="宋体"/>
                <w:color w:val="auto"/>
                <w:highlight w:val="none"/>
              </w:rPr>
            </w:pPr>
            <w:r>
              <w:rPr>
                <w:rFonts w:hint="eastAsia" w:eastAsia="宋体"/>
                <w:color w:val="auto"/>
                <w:highlight w:val="none"/>
              </w:rPr>
              <w:t>增减(hm</w:t>
            </w:r>
            <w:r>
              <w:rPr>
                <w:rFonts w:hint="eastAsia" w:eastAsia="宋体"/>
                <w:color w:val="auto"/>
                <w:highlight w:val="none"/>
                <w:vertAlign w:val="superscript"/>
              </w:rPr>
              <w:t>2</w:t>
            </w:r>
            <w:r>
              <w:rPr>
                <w:rFonts w:hint="eastAsia" w:eastAsia="宋体"/>
                <w:color w:val="auto"/>
                <w:highlight w:val="none"/>
              </w:rPr>
              <w:t>)</w:t>
            </w:r>
          </w:p>
        </w:tc>
      </w:tr>
      <w:tr w14:paraId="2B12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noWrap/>
            <w:vAlign w:val="center"/>
          </w:tcPr>
          <w:p w14:paraId="45FFC694">
            <w:pPr>
              <w:widowControl/>
              <w:spacing w:line="240" w:lineRule="auto"/>
              <w:ind w:firstLine="0" w:firstLineChars="0"/>
              <w:jc w:val="center"/>
              <w:rPr>
                <w:rFonts w:hint="default" w:eastAsia="宋体"/>
                <w:color w:val="auto"/>
                <w:highlight w:val="none"/>
                <w:lang w:val="en-US" w:eastAsia="zh-CN"/>
              </w:rPr>
            </w:pPr>
            <w:r>
              <w:rPr>
                <w:rFonts w:hint="eastAsia" w:cs="宋体" w:asciiTheme="minorEastAsia" w:hAnsiTheme="minorEastAsia"/>
                <w:color w:val="auto"/>
                <w:kern w:val="0"/>
                <w:sz w:val="21"/>
                <w:lang w:val="en-US" w:eastAsia="zh-CN"/>
              </w:rPr>
              <w:t>03</w:t>
            </w:r>
          </w:p>
        </w:tc>
        <w:tc>
          <w:tcPr>
            <w:tcW w:w="1489" w:type="dxa"/>
            <w:noWrap/>
            <w:vAlign w:val="center"/>
          </w:tcPr>
          <w:p w14:paraId="325BE16B">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林地</w:t>
            </w:r>
          </w:p>
        </w:tc>
        <w:tc>
          <w:tcPr>
            <w:tcW w:w="1225" w:type="dxa"/>
            <w:noWrap/>
            <w:vAlign w:val="center"/>
          </w:tcPr>
          <w:p w14:paraId="6D6EA9B9">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0301</w:t>
            </w:r>
          </w:p>
        </w:tc>
        <w:tc>
          <w:tcPr>
            <w:tcW w:w="1209" w:type="dxa"/>
            <w:noWrap/>
            <w:vAlign w:val="center"/>
          </w:tcPr>
          <w:p w14:paraId="023E1E97">
            <w:pPr>
              <w:widowControl/>
              <w:jc w:val="center"/>
              <w:textAlignment w:val="center"/>
              <w:rPr>
                <w:rFonts w:hint="eastAsia" w:eastAsia="宋体"/>
                <w:color w:val="auto"/>
                <w:highlight w:val="none"/>
                <w:lang w:eastAsia="zh-CN"/>
              </w:rPr>
            </w:pPr>
            <w:r>
              <w:rPr>
                <w:rFonts w:hint="eastAsia" w:ascii="宋体" w:hAnsi="宋体" w:eastAsia="宋体" w:cs="宋体"/>
                <w:color w:val="auto"/>
                <w:kern w:val="0"/>
                <w:highlight w:val="none"/>
                <w:lang w:val="en-US" w:eastAsia="zh-CN" w:bidi="ar"/>
              </w:rPr>
              <w:t>乔木林地</w:t>
            </w:r>
          </w:p>
        </w:tc>
        <w:tc>
          <w:tcPr>
            <w:tcW w:w="1241" w:type="dxa"/>
            <w:noWrap/>
            <w:vAlign w:val="center"/>
          </w:tcPr>
          <w:p w14:paraId="0383905A">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0.65</w:t>
            </w:r>
          </w:p>
        </w:tc>
        <w:tc>
          <w:tcPr>
            <w:tcW w:w="1225" w:type="dxa"/>
            <w:vAlign w:val="center"/>
          </w:tcPr>
          <w:p w14:paraId="082BB425">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0.6</w:t>
            </w:r>
          </w:p>
        </w:tc>
        <w:tc>
          <w:tcPr>
            <w:tcW w:w="1230" w:type="dxa"/>
            <w:vAlign w:val="center"/>
          </w:tcPr>
          <w:p w14:paraId="00994C69">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+0.05</w:t>
            </w:r>
          </w:p>
        </w:tc>
      </w:tr>
      <w:tr w14:paraId="225D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noWrap/>
            <w:vAlign w:val="center"/>
          </w:tcPr>
          <w:p w14:paraId="6A955E28">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04</w:t>
            </w:r>
          </w:p>
        </w:tc>
        <w:tc>
          <w:tcPr>
            <w:tcW w:w="1489" w:type="dxa"/>
            <w:vAlign w:val="center"/>
          </w:tcPr>
          <w:p w14:paraId="40B47DF9">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草地</w:t>
            </w:r>
          </w:p>
        </w:tc>
        <w:tc>
          <w:tcPr>
            <w:tcW w:w="1225" w:type="dxa"/>
            <w:noWrap/>
            <w:vAlign w:val="center"/>
          </w:tcPr>
          <w:p w14:paraId="449AEBE5">
            <w:pPr>
              <w:widowControl/>
              <w:spacing w:line="240" w:lineRule="auto"/>
              <w:ind w:firstLine="0" w:firstLineChars="0"/>
              <w:jc w:val="center"/>
              <w:rPr>
                <w:rFonts w:eastAsia="宋体"/>
                <w:color w:val="auto"/>
                <w:highlight w:val="none"/>
              </w:rPr>
            </w:pPr>
            <w:r>
              <w:rPr>
                <w:rFonts w:hint="eastAsia" w:cs="宋体" w:asciiTheme="minorEastAsia" w:hAnsiTheme="minorEastAsia"/>
                <w:color w:val="auto"/>
                <w:kern w:val="0"/>
                <w:sz w:val="21"/>
                <w:lang w:val="en-US" w:eastAsia="zh-CN"/>
              </w:rPr>
              <w:t>0404</w:t>
            </w:r>
          </w:p>
        </w:tc>
        <w:tc>
          <w:tcPr>
            <w:tcW w:w="1209" w:type="dxa"/>
            <w:noWrap/>
            <w:vAlign w:val="center"/>
          </w:tcPr>
          <w:p w14:paraId="2D3FF90F">
            <w:pPr>
              <w:widowControl/>
              <w:jc w:val="center"/>
              <w:textAlignment w:val="center"/>
              <w:rPr>
                <w:rFonts w:hint="default" w:eastAsia="宋体"/>
                <w:color w:val="auto"/>
                <w:highlight w:val="none"/>
                <w:lang w:val="en-US"/>
              </w:rPr>
            </w:pPr>
            <w:r>
              <w:rPr>
                <w:rFonts w:hint="eastAsia" w:ascii="宋体" w:hAnsi="宋体" w:eastAsia="宋体" w:cs="宋体"/>
                <w:color w:val="auto"/>
                <w:kern w:val="0"/>
                <w:highlight w:val="none"/>
                <w:lang w:val="en-US" w:eastAsia="zh-CN" w:bidi="ar"/>
              </w:rPr>
              <w:t>其他草地</w:t>
            </w:r>
          </w:p>
        </w:tc>
        <w:tc>
          <w:tcPr>
            <w:tcW w:w="1241" w:type="dxa"/>
            <w:noWrap/>
            <w:vAlign w:val="center"/>
          </w:tcPr>
          <w:p w14:paraId="100E5D31">
            <w:pPr>
              <w:widowControl/>
              <w:jc w:val="center"/>
              <w:textAlignment w:val="center"/>
              <w:rPr>
                <w:rFonts w:hint="default" w:eastAsia="宋体"/>
                <w:color w:val="auto"/>
                <w:highlight w:val="none"/>
                <w:lang w:val="en-US" w:eastAsia="zh-CN"/>
              </w:rPr>
            </w:pPr>
            <w:r>
              <w:rPr>
                <w:rFonts w:hint="eastAsia" w:ascii="宋体" w:hAnsi="宋体" w:eastAsia="宋体" w:cs="宋体"/>
                <w:color w:val="auto"/>
                <w:kern w:val="0"/>
                <w:sz w:val="22"/>
                <w:szCs w:val="22"/>
                <w:highlight w:val="none"/>
                <w:lang w:val="en-US" w:eastAsia="zh-CN" w:bidi="ar"/>
              </w:rPr>
              <w:t>0.05</w:t>
            </w:r>
          </w:p>
        </w:tc>
        <w:tc>
          <w:tcPr>
            <w:tcW w:w="1225" w:type="dxa"/>
            <w:vAlign w:val="center"/>
          </w:tcPr>
          <w:p w14:paraId="4346E0A9">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0.2</w:t>
            </w:r>
          </w:p>
        </w:tc>
        <w:tc>
          <w:tcPr>
            <w:tcW w:w="1230" w:type="dxa"/>
            <w:vAlign w:val="center"/>
          </w:tcPr>
          <w:p w14:paraId="3208D487">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+0.15</w:t>
            </w:r>
          </w:p>
        </w:tc>
      </w:tr>
      <w:tr w14:paraId="37C6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noWrap/>
            <w:vAlign w:val="center"/>
          </w:tcPr>
          <w:p w14:paraId="01CA773F">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01</w:t>
            </w:r>
          </w:p>
        </w:tc>
        <w:tc>
          <w:tcPr>
            <w:tcW w:w="1489" w:type="dxa"/>
            <w:vAlign w:val="center"/>
          </w:tcPr>
          <w:p w14:paraId="2B359A3B">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耕地</w:t>
            </w:r>
          </w:p>
        </w:tc>
        <w:tc>
          <w:tcPr>
            <w:tcW w:w="1225" w:type="dxa"/>
            <w:noWrap/>
            <w:vAlign w:val="center"/>
          </w:tcPr>
          <w:p w14:paraId="0FE215C7">
            <w:pPr>
              <w:widowControl/>
              <w:spacing w:line="240" w:lineRule="auto"/>
              <w:ind w:firstLine="0" w:firstLineChars="0"/>
              <w:jc w:val="center"/>
              <w:rPr>
                <w:rFonts w:hint="eastAsia" w:eastAsia="宋体"/>
                <w:color w:val="auto"/>
                <w:highlight w:val="none"/>
                <w:lang w:eastAsia="zh-CN"/>
              </w:rPr>
            </w:pPr>
            <w:r>
              <w:rPr>
                <w:rFonts w:hint="eastAsia" w:cs="宋体" w:asciiTheme="minorEastAsia" w:hAnsiTheme="minorEastAsia"/>
                <w:color w:val="auto"/>
                <w:kern w:val="0"/>
                <w:sz w:val="21"/>
                <w:lang w:val="en-US" w:eastAsia="zh-CN"/>
              </w:rPr>
              <w:t>0103</w:t>
            </w:r>
          </w:p>
        </w:tc>
        <w:tc>
          <w:tcPr>
            <w:tcW w:w="1209" w:type="dxa"/>
            <w:noWrap/>
            <w:vAlign w:val="center"/>
          </w:tcPr>
          <w:p w14:paraId="0B69630E">
            <w:pPr>
              <w:widowControl/>
              <w:jc w:val="center"/>
              <w:textAlignment w:val="center"/>
              <w:rPr>
                <w:rFonts w:hint="eastAsia" w:eastAsia="宋体"/>
                <w:color w:val="auto"/>
                <w:highlight w:val="none"/>
                <w:lang w:eastAsia="zh-CN"/>
              </w:rPr>
            </w:pPr>
            <w:r>
              <w:rPr>
                <w:rFonts w:hint="eastAsia" w:ascii="宋体" w:hAnsi="宋体" w:eastAsia="宋体" w:cs="宋体"/>
                <w:color w:val="auto"/>
                <w:kern w:val="0"/>
                <w:highlight w:val="none"/>
                <w:lang w:val="en-US" w:eastAsia="zh-CN" w:bidi="ar"/>
              </w:rPr>
              <w:t>旱地</w:t>
            </w:r>
          </w:p>
        </w:tc>
        <w:tc>
          <w:tcPr>
            <w:tcW w:w="1241" w:type="dxa"/>
            <w:noWrap/>
            <w:vAlign w:val="center"/>
          </w:tcPr>
          <w:p w14:paraId="75DA8007">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0.1</w:t>
            </w:r>
          </w:p>
        </w:tc>
        <w:tc>
          <w:tcPr>
            <w:tcW w:w="1225" w:type="dxa"/>
            <w:vAlign w:val="center"/>
          </w:tcPr>
          <w:p w14:paraId="33452F48">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w:t>
            </w:r>
          </w:p>
        </w:tc>
        <w:tc>
          <w:tcPr>
            <w:tcW w:w="1230" w:type="dxa"/>
            <w:vAlign w:val="center"/>
          </w:tcPr>
          <w:p w14:paraId="7EB6F4FD">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bidi="ar"/>
              </w:rPr>
              <w:t>-0.1</w:t>
            </w:r>
          </w:p>
        </w:tc>
      </w:tr>
      <w:tr w14:paraId="4AE5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61" w:type="dxa"/>
            <w:vAlign w:val="center"/>
          </w:tcPr>
          <w:p w14:paraId="73BC83F1">
            <w:pPr>
              <w:widowControl/>
              <w:jc w:val="center"/>
              <w:rPr>
                <w:rFonts w:eastAsia="宋体"/>
                <w:color w:val="auto"/>
                <w:highlight w:val="none"/>
              </w:rPr>
            </w:pPr>
            <w:r>
              <w:rPr>
                <w:rFonts w:hint="eastAsia" w:eastAsia="宋体"/>
                <w:color w:val="auto"/>
                <w:highlight w:val="none"/>
              </w:rPr>
              <w:t>合计</w:t>
            </w:r>
          </w:p>
        </w:tc>
        <w:tc>
          <w:tcPr>
            <w:tcW w:w="1489" w:type="dxa"/>
            <w:vAlign w:val="center"/>
          </w:tcPr>
          <w:p w14:paraId="04B47850">
            <w:pPr>
              <w:widowControl/>
              <w:jc w:val="center"/>
              <w:rPr>
                <w:rFonts w:eastAsia="宋体"/>
                <w:color w:val="auto"/>
                <w:highlight w:val="none"/>
              </w:rPr>
            </w:pPr>
            <w:r>
              <w:rPr>
                <w:rFonts w:hint="eastAsia" w:eastAsia="宋体"/>
                <w:color w:val="auto"/>
                <w:highlight w:val="none"/>
              </w:rPr>
              <w:t>　</w:t>
            </w:r>
          </w:p>
        </w:tc>
        <w:tc>
          <w:tcPr>
            <w:tcW w:w="1225" w:type="dxa"/>
            <w:vAlign w:val="center"/>
          </w:tcPr>
          <w:p w14:paraId="38B83770">
            <w:pPr>
              <w:widowControl/>
              <w:jc w:val="center"/>
              <w:rPr>
                <w:rFonts w:eastAsia="宋体"/>
                <w:color w:val="auto"/>
                <w:highlight w:val="none"/>
              </w:rPr>
            </w:pPr>
            <w:r>
              <w:rPr>
                <w:rFonts w:hint="eastAsia" w:eastAsia="宋体"/>
                <w:color w:val="auto"/>
                <w:highlight w:val="none"/>
              </w:rPr>
              <w:t>　</w:t>
            </w:r>
          </w:p>
        </w:tc>
        <w:tc>
          <w:tcPr>
            <w:tcW w:w="1209" w:type="dxa"/>
            <w:vAlign w:val="center"/>
          </w:tcPr>
          <w:p w14:paraId="79E4A10F">
            <w:pPr>
              <w:widowControl/>
              <w:jc w:val="center"/>
              <w:rPr>
                <w:rFonts w:eastAsia="宋体"/>
                <w:color w:val="auto"/>
                <w:highlight w:val="none"/>
              </w:rPr>
            </w:pPr>
            <w:r>
              <w:rPr>
                <w:rFonts w:hint="eastAsia" w:eastAsia="宋体"/>
                <w:color w:val="auto"/>
                <w:highlight w:val="none"/>
              </w:rPr>
              <w:t>　</w:t>
            </w:r>
          </w:p>
        </w:tc>
        <w:tc>
          <w:tcPr>
            <w:tcW w:w="1241" w:type="dxa"/>
            <w:vAlign w:val="center"/>
          </w:tcPr>
          <w:p w14:paraId="52E21FC5">
            <w:pPr>
              <w:widowControl/>
              <w:jc w:val="center"/>
              <w:rPr>
                <w:rFonts w:hint="default" w:eastAsia="宋体"/>
                <w:color w:val="auto"/>
                <w:highlight w:val="none"/>
                <w:lang w:val="en-US" w:eastAsia="zh-CN"/>
              </w:rPr>
            </w:pPr>
            <w:r>
              <w:rPr>
                <w:rFonts w:hint="eastAsia" w:eastAsia="宋体"/>
                <w:color w:val="auto"/>
                <w:highlight w:val="none"/>
                <w:lang w:val="en-US" w:eastAsia="zh-CN"/>
              </w:rPr>
              <w:t>0.8</w:t>
            </w:r>
          </w:p>
        </w:tc>
        <w:tc>
          <w:tcPr>
            <w:tcW w:w="1225" w:type="dxa"/>
            <w:vAlign w:val="center"/>
          </w:tcPr>
          <w:p w14:paraId="15CCAF8D">
            <w:pPr>
              <w:widowControl/>
              <w:jc w:val="center"/>
              <w:rPr>
                <w:rFonts w:hint="default" w:eastAsia="宋体"/>
                <w:color w:val="auto"/>
                <w:highlight w:val="none"/>
                <w:lang w:val="en-US" w:eastAsia="zh-CN"/>
              </w:rPr>
            </w:pPr>
            <w:r>
              <w:rPr>
                <w:rFonts w:hint="eastAsia" w:eastAsia="宋体"/>
                <w:color w:val="auto"/>
                <w:highlight w:val="none"/>
                <w:lang w:val="en-US" w:eastAsia="zh-CN"/>
              </w:rPr>
              <w:t>0.8</w:t>
            </w:r>
          </w:p>
        </w:tc>
        <w:tc>
          <w:tcPr>
            <w:tcW w:w="1230" w:type="dxa"/>
            <w:vAlign w:val="center"/>
          </w:tcPr>
          <w:p w14:paraId="6A812E5E">
            <w:pPr>
              <w:widowControl/>
              <w:jc w:val="center"/>
              <w:rPr>
                <w:rFonts w:eastAsia="宋体"/>
                <w:color w:val="auto"/>
                <w:highlight w:val="none"/>
              </w:rPr>
            </w:pPr>
            <w:r>
              <w:rPr>
                <w:rFonts w:hint="eastAsia" w:eastAsia="宋体"/>
                <w:color w:val="auto"/>
                <w:highlight w:val="none"/>
              </w:rPr>
              <w:t>0</w:t>
            </w:r>
          </w:p>
        </w:tc>
      </w:tr>
    </w:tbl>
    <w:p w14:paraId="5BEB688F">
      <w:pPr>
        <w:pStyle w:val="13"/>
        <w:rPr>
          <w:color w:val="auto"/>
        </w:rPr>
      </w:pPr>
    </w:p>
    <w:p w14:paraId="40DE87D0">
      <w:pPr>
        <w:pStyle w:val="4"/>
        <w:spacing w:line="360" w:lineRule="auto"/>
        <w:rPr>
          <w:rFonts w:ascii="Times New Roman" w:hAnsi="Times New Roman" w:eastAsia="宋体" w:cs="Times New Roman"/>
          <w:color w:val="auto"/>
          <w:sz w:val="28"/>
          <w:szCs w:val="28"/>
          <w:highlight w:val="none"/>
        </w:rPr>
      </w:pPr>
      <w:bookmarkStart w:id="135" w:name="_Toc22388"/>
      <w:r>
        <w:rPr>
          <w:rFonts w:ascii="Times New Roman" w:hAnsi="Times New Roman" w:eastAsia="宋体" w:cs="Times New Roman"/>
          <w:color w:val="auto"/>
          <w:sz w:val="28"/>
          <w:szCs w:val="28"/>
          <w:highlight w:val="none"/>
        </w:rPr>
        <w:t>（二）工程设计</w:t>
      </w:r>
      <w:bookmarkEnd w:id="135"/>
    </w:p>
    <w:p w14:paraId="14098BDD">
      <w:pPr>
        <w:pStyle w:val="58"/>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按照复垦适宜性评价结果，矿区土地复垦可分为</w:t>
      </w:r>
      <w:r>
        <w:rPr>
          <w:rFonts w:hint="eastAsia" w:ascii="仿宋" w:hAnsi="仿宋" w:eastAsia="仿宋" w:cs="仿宋"/>
          <w:color w:val="auto"/>
          <w:sz w:val="28"/>
          <w:szCs w:val="28"/>
          <w:highlight w:val="none"/>
          <w:lang w:val="en-US" w:eastAsia="zh-CN"/>
        </w:rPr>
        <w:t>两</w:t>
      </w:r>
      <w:r>
        <w:rPr>
          <w:rFonts w:hint="eastAsia" w:ascii="仿宋" w:hAnsi="仿宋" w:eastAsia="仿宋" w:cs="仿宋"/>
          <w:color w:val="auto"/>
          <w:sz w:val="28"/>
          <w:szCs w:val="28"/>
          <w:highlight w:val="none"/>
        </w:rPr>
        <w:t>大复垦单元，复垦后地类主要为乔木林地、其他草地。按照不同复垦单元分述如下：</w:t>
      </w:r>
    </w:p>
    <w:p w14:paraId="1508EF1D">
      <w:pPr>
        <w:autoSpaceDE w:val="0"/>
        <w:autoSpaceDN w:val="0"/>
        <w:adjustRightInd w:val="0"/>
        <w:spacing w:line="360" w:lineRule="auto"/>
        <w:ind w:firstLine="482" w:firstLineChars="200"/>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1</w:t>
      </w:r>
      <w:r>
        <w:rPr>
          <w:rFonts w:ascii="Times New Roman" w:hAnsi="Times New Roman" w:eastAsia="宋体" w:cs="Times New Roman"/>
          <w:b/>
          <w:color w:val="auto"/>
          <w:sz w:val="24"/>
          <w:szCs w:val="24"/>
          <w:highlight w:val="none"/>
        </w:rPr>
        <w:t>）复垦</w:t>
      </w:r>
      <w:r>
        <w:rPr>
          <w:rFonts w:hint="eastAsia" w:ascii="Times New Roman" w:hAnsi="Times New Roman" w:eastAsia="宋体" w:cs="Times New Roman"/>
          <w:b/>
          <w:color w:val="auto"/>
          <w:sz w:val="24"/>
          <w:szCs w:val="24"/>
          <w:highlight w:val="none"/>
        </w:rPr>
        <w:t>乔木</w:t>
      </w:r>
      <w:r>
        <w:rPr>
          <w:rFonts w:ascii="Times New Roman" w:hAnsi="Times New Roman" w:eastAsia="宋体" w:cs="Times New Roman"/>
          <w:b/>
          <w:color w:val="auto"/>
          <w:sz w:val="24"/>
          <w:szCs w:val="24"/>
          <w:highlight w:val="none"/>
        </w:rPr>
        <w:t>林地单元（</w:t>
      </w:r>
      <w:r>
        <w:rPr>
          <w:rFonts w:hint="eastAsia" w:ascii="Times New Roman" w:hAnsi="Times New Roman" w:eastAsia="宋体" w:cs="Times New Roman"/>
          <w:b/>
          <w:color w:val="auto"/>
          <w:sz w:val="24"/>
          <w:szCs w:val="24"/>
          <w:highlight w:val="none"/>
        </w:rPr>
        <w:t>露天采场终采平台区</w:t>
      </w:r>
      <w:r>
        <w:rPr>
          <w:rFonts w:hint="eastAsia" w:ascii="Times New Roman" w:hAnsi="Times New Roman" w:eastAsia="宋体" w:cs="Times New Roman"/>
          <w:b/>
          <w:color w:val="auto"/>
          <w:sz w:val="24"/>
          <w:szCs w:val="24"/>
          <w:highlight w:val="none"/>
          <w:lang w:val="en-US" w:eastAsia="zh-CN"/>
        </w:rPr>
        <w:t>0.6</w:t>
      </w:r>
      <w:r>
        <w:rPr>
          <w:rFonts w:ascii="Times New Roman" w:hAnsi="Times New Roman" w:eastAsia="宋体" w:cs="Times New Roman"/>
          <w:b/>
          <w:color w:val="auto"/>
          <w:sz w:val="24"/>
          <w:szCs w:val="24"/>
          <w:highlight w:val="none"/>
        </w:rPr>
        <w:t>hm</w:t>
      </w:r>
      <w:r>
        <w:rPr>
          <w:rFonts w:ascii="Times New Roman" w:hAnsi="Times New Roman" w:eastAsia="宋体" w:cs="Times New Roman"/>
          <w:b/>
          <w:color w:val="auto"/>
          <w:sz w:val="24"/>
          <w:szCs w:val="24"/>
          <w:highlight w:val="none"/>
          <w:vertAlign w:val="superscript"/>
        </w:rPr>
        <w:t>2</w:t>
      </w:r>
      <w:r>
        <w:rPr>
          <w:rFonts w:ascii="Times New Roman" w:hAnsi="Times New Roman" w:eastAsia="宋体" w:cs="Times New Roman"/>
          <w:b/>
          <w:color w:val="auto"/>
          <w:sz w:val="24"/>
          <w:szCs w:val="24"/>
          <w:highlight w:val="none"/>
        </w:rPr>
        <w:t>）</w:t>
      </w:r>
    </w:p>
    <w:p w14:paraId="0542FDF5">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（1）表土剥离及养护工程</w:t>
      </w:r>
    </w:p>
    <w:p w14:paraId="6F41326B">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矿山露天采场开采</w:t>
      </w:r>
      <w:r>
        <w:rPr>
          <w:rFonts w:hint="eastAsia" w:ascii="仿宋" w:hAnsi="仿宋" w:eastAsia="仿宋" w:cs="仿宋"/>
          <w:color w:val="auto"/>
          <w:sz w:val="28"/>
          <w:szCs w:val="28"/>
          <w:highlight w:val="none"/>
          <w:lang w:val="en-US" w:eastAsia="zh-CN"/>
        </w:rPr>
        <w:t>预计</w:t>
      </w:r>
      <w:r>
        <w:rPr>
          <w:rFonts w:hint="eastAsia" w:ascii="仿宋" w:hAnsi="仿宋" w:eastAsia="仿宋" w:cs="仿宋"/>
          <w:color w:val="auto"/>
          <w:sz w:val="28"/>
          <w:szCs w:val="28"/>
          <w:highlight w:val="none"/>
        </w:rPr>
        <w:t>可剥离区域占地类型为乔木林地</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其他草地</w:t>
      </w:r>
      <w:r>
        <w:rPr>
          <w:rFonts w:hint="eastAsia" w:ascii="仿宋" w:hAnsi="仿宋" w:eastAsia="仿宋" w:cs="仿宋"/>
          <w:color w:val="auto"/>
          <w:sz w:val="28"/>
          <w:szCs w:val="28"/>
          <w:highlight w:val="none"/>
        </w:rPr>
        <w:t>，剥离厚度为</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cm，表土剥离面积为</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hm²，剥离量为</w:t>
      </w:r>
      <w:r>
        <w:rPr>
          <w:rFonts w:hint="eastAsia" w:ascii="仿宋" w:hAnsi="仿宋" w:eastAsia="仿宋" w:cs="仿宋"/>
          <w:color w:val="auto"/>
          <w:sz w:val="28"/>
          <w:szCs w:val="28"/>
          <w:highlight w:val="none"/>
          <w:lang w:val="en-US" w:eastAsia="zh-CN"/>
        </w:rPr>
        <w:t>2400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。剥离表土</w:t>
      </w:r>
      <w:r>
        <w:rPr>
          <w:rFonts w:hint="eastAsia" w:ascii="仿宋" w:hAnsi="仿宋" w:eastAsia="仿宋" w:cs="仿宋"/>
          <w:color w:val="auto"/>
          <w:sz w:val="28"/>
          <w:szCs w:val="28"/>
          <w:highlight w:val="none"/>
          <w:lang w:val="en-US" w:eastAsia="zh-CN"/>
        </w:rPr>
        <w:t>在拟设采矿权西部</w:t>
      </w:r>
      <w:r>
        <w:rPr>
          <w:rFonts w:hint="eastAsia" w:ascii="仿宋" w:hAnsi="仿宋" w:eastAsia="仿宋" w:cs="仿宋"/>
          <w:color w:val="auto"/>
          <w:sz w:val="28"/>
          <w:szCs w:val="28"/>
          <w:highlight w:val="none"/>
        </w:rPr>
        <w:t>平整处堆放。</w:t>
      </w:r>
    </w:p>
    <w:p w14:paraId="06B458D9">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堆放过程中，表土堆放高度一般不超过3m，堆土边坡角不超过50°。此外，须压实土壤以防止降雨的入侵。要求在土堆上播种深根植物或铺上草皮，保持土堆最深处的氧气供给。堆放表土应由里向外进行，后退行驶并将表土倾倒于距入口最远的地方，禁止机械穿越已堆积的土壤。另外，还需要进行施肥，以促进植物在贫瘠亚层土或成土材料上的生长，并使用化学除草剂控制杂草。一旦堆成土堆，任何机械不得从上穿行，直到土壤复原为止。堆土时应边堆放边加固土堆边缘，修整土堆坡面，提高防渗防风能力，必要时采用土挡装满表土堆放于表土堆场周围，防止表土流失。表土堆放完成后，在土堆表面种植绿肥来培肥土壤，可适量施肥，注意防治病虫害。在土堆上坡面处开挖截流沟，在堆放场内做好截排水设施，防止雨水对堆土场下方的土壤造成水力侵蚀。为防止临时堆放过程中产生扬尘以及降雨对松散的堆积体表面造成的冲刷，对堆积体表面采取薄膜覆盖、选取撒播草籽绿化的防护措施。薄膜覆盖面积</w:t>
      </w:r>
      <w:r>
        <w:rPr>
          <w:rFonts w:hint="eastAsia" w:ascii="仿宋" w:hAnsi="仿宋" w:eastAsia="仿宋" w:cs="仿宋"/>
          <w:color w:val="auto"/>
          <w:sz w:val="28"/>
          <w:szCs w:val="28"/>
          <w:highlight w:val="none"/>
          <w:lang w:val="en-US" w:eastAsia="zh-CN"/>
        </w:rPr>
        <w:t>0.027</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三年</w:t>
      </w:r>
      <w:r>
        <w:rPr>
          <w:rFonts w:hint="eastAsia" w:ascii="仿宋" w:hAnsi="仿宋" w:eastAsia="仿宋" w:cs="仿宋"/>
          <w:color w:val="auto"/>
          <w:sz w:val="28"/>
          <w:szCs w:val="28"/>
          <w:highlight w:val="none"/>
        </w:rPr>
        <w:t>草籽绿化面积</w:t>
      </w:r>
      <w:r>
        <w:rPr>
          <w:rFonts w:hint="eastAsia" w:ascii="仿宋" w:hAnsi="仿宋" w:eastAsia="仿宋" w:cs="仿宋"/>
          <w:color w:val="auto"/>
          <w:sz w:val="28"/>
          <w:szCs w:val="28"/>
          <w:highlight w:val="none"/>
          <w:lang w:val="en-US" w:eastAsia="zh-CN"/>
        </w:rPr>
        <w:t>共计0.8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。矿山服务年限为</w:t>
      </w:r>
      <w:r>
        <w:rPr>
          <w:rFonts w:hint="eastAsia" w:ascii="仿宋" w:hAnsi="仿宋" w:eastAsia="仿宋" w:cs="仿宋"/>
          <w:color w:val="auto"/>
          <w:sz w:val="28"/>
          <w:szCs w:val="28"/>
          <w:highlight w:val="none"/>
          <w:lang w:val="en-US" w:eastAsia="zh-CN"/>
        </w:rPr>
        <w:t>9.14年</w:t>
      </w:r>
      <w:r>
        <w:rPr>
          <w:rFonts w:hint="eastAsia" w:ascii="仿宋" w:hAnsi="仿宋" w:eastAsia="仿宋" w:cs="仿宋"/>
          <w:color w:val="auto"/>
          <w:sz w:val="28"/>
          <w:szCs w:val="28"/>
          <w:highlight w:val="none"/>
        </w:rPr>
        <w:t>，故表土养护期按</w:t>
      </w:r>
      <w:r>
        <w:rPr>
          <w:rFonts w:hint="eastAsia" w:ascii="仿宋" w:hAnsi="仿宋" w:eastAsia="仿宋" w:cs="仿宋"/>
          <w:color w:val="auto"/>
          <w:sz w:val="28"/>
          <w:szCs w:val="28"/>
          <w:highlight w:val="none"/>
          <w:lang w:val="en-US" w:eastAsia="zh-CN"/>
        </w:rPr>
        <w:t>9.14年</w:t>
      </w:r>
      <w:r>
        <w:rPr>
          <w:rFonts w:hint="eastAsia" w:ascii="仿宋" w:hAnsi="仿宋" w:eastAsia="仿宋" w:cs="仿宋"/>
          <w:color w:val="auto"/>
          <w:sz w:val="28"/>
          <w:szCs w:val="28"/>
          <w:highlight w:val="none"/>
        </w:rPr>
        <w:t>计算。</w:t>
      </w:r>
    </w:p>
    <w:p w14:paraId="19465B7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（2）平整工程</w:t>
      </w:r>
    </w:p>
    <w:p w14:paraId="6594D068">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单元需要对场地进行平整。具体做法是用机械和人工辅助相结合施工方法，对局部需要平整的地方，采取铲除高出部分，填平低洼部分，局部高差应小于0.1m。对局部土层回填较多的地方，进行适当碾压，以确保土层沉降后不形成土坑。土地平整厚度30cm，平整面积为</w:t>
      </w:r>
      <w:r>
        <w:rPr>
          <w:rFonts w:hint="eastAsia" w:ascii="仿宋" w:hAnsi="仿宋" w:eastAsia="仿宋" w:cs="仿宋"/>
          <w:color w:val="auto"/>
          <w:sz w:val="28"/>
          <w:szCs w:val="28"/>
          <w:highlight w:val="none"/>
          <w:lang w:val="en-US" w:eastAsia="zh-CN"/>
        </w:rPr>
        <w:t>0.6</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14:paraId="7EECBB86">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（3）覆土工程</w:t>
      </w:r>
    </w:p>
    <w:p w14:paraId="11F5418F">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覆土工程按照复垦标准，覆土来源是矿区先期剥离堆存的土壤，从堆存处采用自卸汽车输至复垦区域。项目区复垦方向是乔木林地，面积</w:t>
      </w:r>
      <w:r>
        <w:rPr>
          <w:rFonts w:hint="eastAsia" w:ascii="仿宋" w:hAnsi="仿宋" w:eastAsia="仿宋" w:cs="仿宋"/>
          <w:color w:val="auto"/>
          <w:sz w:val="28"/>
          <w:szCs w:val="28"/>
          <w:highlight w:val="none"/>
          <w:lang w:val="en-US" w:eastAsia="zh-CN"/>
        </w:rPr>
        <w:t>0.6</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。复垦标准为覆土后有效土层厚度达30cm，在覆土的同时应注意预留出排灌沟渠的工作面，以便于地表水排出。最后进行人工精细平整。设计案覆土方量约为</w:t>
      </w:r>
      <w:r>
        <w:rPr>
          <w:rFonts w:hint="eastAsia" w:ascii="仿宋" w:hAnsi="仿宋" w:eastAsia="仿宋" w:cs="仿宋"/>
          <w:color w:val="auto"/>
          <w:sz w:val="28"/>
          <w:szCs w:val="28"/>
          <w:highlight w:val="none"/>
          <w:lang w:val="en-US" w:eastAsia="zh-CN"/>
        </w:rPr>
        <w:t>1800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w:t>
      </w:r>
    </w:p>
    <w:p w14:paraId="172FD9EE">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（3）植被重建工程</w:t>
      </w:r>
    </w:p>
    <w:p w14:paraId="5A3A6881">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复垦为乔木林地的区域，进行整平、覆土工程后，再进行穴状整地，</w:t>
      </w:r>
      <w:r>
        <w:rPr>
          <w:rFonts w:hint="eastAsia" w:ascii="仿宋" w:hAnsi="仿宋" w:eastAsia="仿宋" w:cs="仿宋"/>
          <w:color w:val="auto"/>
          <w:sz w:val="28"/>
          <w:szCs w:val="28"/>
          <w:highlight w:val="none"/>
          <w:lang w:val="en-US" w:eastAsia="zh-CN"/>
        </w:rPr>
        <w:t>椿树与杨树混种，混种比例为1：1</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种植2年生树苗</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rPr>
        <w:t>整地方式：春、夏、秋季均可进行穴状整地，规格为长40cm，宽40cm，深40cm，株行距为2.0m×</w:t>
      </w:r>
      <w:r>
        <w:rPr>
          <w:rFonts w:hint="eastAsia" w:ascii="仿宋" w:hAnsi="仿宋" w:eastAsia="仿宋" w:cs="仿宋"/>
          <w:color w:val="auto"/>
          <w:sz w:val="28"/>
          <w:szCs w:val="28"/>
          <w:highlight w:val="none"/>
          <w:lang w:val="en-US" w:eastAsia="zh-CN"/>
        </w:rPr>
        <w:t>4.0</w:t>
      </w:r>
      <w:r>
        <w:rPr>
          <w:rFonts w:hint="eastAsia" w:ascii="仿宋" w:hAnsi="仿宋" w:eastAsia="仿宋" w:cs="仿宋"/>
          <w:color w:val="auto"/>
          <w:sz w:val="28"/>
          <w:szCs w:val="28"/>
          <w:highlight w:val="none"/>
        </w:rPr>
        <w:t>m，需要进行植树的面积和撒播草籽的面积为</w:t>
      </w:r>
      <w:r>
        <w:rPr>
          <w:rFonts w:hint="eastAsia" w:ascii="仿宋" w:hAnsi="仿宋" w:eastAsia="仿宋" w:cs="仿宋"/>
          <w:color w:val="auto"/>
          <w:sz w:val="28"/>
          <w:szCs w:val="28"/>
          <w:highlight w:val="none"/>
          <w:lang w:val="en-US" w:eastAsia="zh-CN"/>
        </w:rPr>
        <w:t>0.6</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，累计需种植</w:t>
      </w:r>
      <w:r>
        <w:rPr>
          <w:rFonts w:hint="eastAsia" w:ascii="仿宋" w:hAnsi="仿宋" w:eastAsia="仿宋" w:cs="仿宋"/>
          <w:color w:val="auto"/>
          <w:sz w:val="28"/>
          <w:szCs w:val="28"/>
          <w:highlight w:val="none"/>
          <w:lang w:val="en-US" w:eastAsia="zh-CN"/>
        </w:rPr>
        <w:t>树木750</w:t>
      </w:r>
      <w:r>
        <w:rPr>
          <w:rFonts w:hint="eastAsia" w:ascii="仿宋" w:hAnsi="仿宋" w:eastAsia="仿宋" w:cs="仿宋"/>
          <w:color w:val="auto"/>
          <w:sz w:val="28"/>
          <w:szCs w:val="28"/>
          <w:highlight w:val="none"/>
        </w:rPr>
        <w:t>株。</w:t>
      </w:r>
    </w:p>
    <w:p w14:paraId="50D48CD8">
      <w:pPr>
        <w:pStyle w:val="14"/>
        <w:spacing w:line="360" w:lineRule="auto"/>
        <w:ind w:firstLine="567"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春季3-4月中旬人工植苗造林。人工植苗造林，每穴栽植1株，苗木直立穴中，分层覆土、踏实，埋土至地径以上2cm，栽后浇水。</w:t>
      </w:r>
    </w:p>
    <w:p w14:paraId="39085D8E">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栽植完毕后，林间撒播狗牙根草籽，以保持水土，撒播密度按照</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0kg/hm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，本区撒播草籽面积为</w:t>
      </w:r>
      <w:r>
        <w:rPr>
          <w:rFonts w:hint="eastAsia" w:ascii="仿宋" w:hAnsi="仿宋" w:eastAsia="仿宋" w:cs="仿宋"/>
          <w:color w:val="auto"/>
          <w:sz w:val="28"/>
          <w:szCs w:val="28"/>
          <w:highlight w:val="none"/>
          <w:lang w:val="en-US" w:eastAsia="zh-CN"/>
        </w:rPr>
        <w:t>0.6</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14:paraId="0D3A79D8">
      <w:pPr>
        <w:autoSpaceDE w:val="0"/>
        <w:autoSpaceDN w:val="0"/>
        <w:adjustRightInd w:val="0"/>
        <w:spacing w:line="360" w:lineRule="auto"/>
        <w:ind w:firstLine="562" w:firstLineChars="200"/>
        <w:rPr>
          <w:rFonts w:hint="eastAsia" w:ascii="仿宋" w:hAnsi="仿宋" w:eastAsia="仿宋" w:cs="仿宋"/>
          <w:b/>
          <w:color w:val="auto"/>
          <w:kern w:val="0"/>
          <w:sz w:val="28"/>
          <w:szCs w:val="28"/>
          <w:highlight w:val="none"/>
        </w:rPr>
      </w:pP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t>）复垦草地复垦单元（露天采场终采边坡区面积</w:t>
      </w:r>
      <w:r>
        <w:rPr>
          <w:rFonts w:hint="eastAsia" w:ascii="仿宋" w:hAnsi="仿宋" w:eastAsia="仿宋" w:cs="仿宋"/>
          <w:b/>
          <w:color w:val="auto"/>
          <w:kern w:val="0"/>
          <w:sz w:val="28"/>
          <w:szCs w:val="28"/>
          <w:highlight w:val="none"/>
          <w:lang w:val="en-US" w:eastAsia="zh-CN"/>
        </w:rPr>
        <w:t>0.2</w:t>
      </w:r>
      <w:r>
        <w:rPr>
          <w:rFonts w:hint="eastAsia" w:ascii="仿宋" w:hAnsi="仿宋" w:eastAsia="仿宋" w:cs="仿宋"/>
          <w:b/>
          <w:color w:val="auto"/>
          <w:sz w:val="28"/>
          <w:szCs w:val="28"/>
          <w:highlight w:val="none"/>
        </w:rPr>
        <w:t>hm</w:t>
      </w:r>
      <w:r>
        <w:rPr>
          <w:rFonts w:hint="eastAsia" w:ascii="仿宋" w:hAnsi="仿宋" w:eastAsia="仿宋" w:cs="仿宋"/>
          <w:b/>
          <w:color w:val="auto"/>
          <w:sz w:val="28"/>
          <w:szCs w:val="28"/>
          <w:highlight w:val="none"/>
          <w:vertAlign w:val="superscript"/>
        </w:rPr>
        <w:t>2</w:t>
      </w:r>
      <w:r>
        <w:rPr>
          <w:rFonts w:hint="eastAsia" w:ascii="仿宋" w:hAnsi="仿宋" w:eastAsia="仿宋" w:cs="仿宋"/>
          <w:b/>
          <w:color w:val="auto"/>
          <w:sz w:val="28"/>
          <w:szCs w:val="28"/>
          <w:highlight w:val="none"/>
        </w:rPr>
        <w:t>）</w:t>
      </w:r>
    </w:p>
    <w:p w14:paraId="668B3417">
      <w:pPr>
        <w:autoSpaceDE w:val="0"/>
        <w:autoSpaceDN w:val="0"/>
        <w:adjustRightInd w:val="0"/>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针对矿山终采边坡区实际特点，本次设计的复垦工程措施有：</w:t>
      </w:r>
    </w:p>
    <w:p w14:paraId="1B3ABE39">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（1）边坡修整</w:t>
      </w:r>
    </w:p>
    <w:p w14:paraId="30ECAA81">
      <w:pPr>
        <w:tabs>
          <w:tab w:val="left" w:pos="3030"/>
        </w:tabs>
        <w:spacing w:line="360" w:lineRule="auto"/>
        <w:ind w:firstLine="48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设计采用人工清理坡面松动浮石及其它危险掉块区域，清理的土石方运至矿山采空区回填。</w:t>
      </w:r>
    </w:p>
    <w:p w14:paraId="43B9CDDA">
      <w:pPr>
        <w:autoSpaceDE w:val="0"/>
        <w:autoSpaceDN w:val="0"/>
        <w:adjustRightInd w:val="0"/>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）播撒草籽</w:t>
      </w:r>
    </w:p>
    <w:p w14:paraId="467BAAF3">
      <w:pPr>
        <w:pStyle w:val="14"/>
        <w:spacing w:line="360" w:lineRule="auto"/>
        <w:ind w:firstLine="567" w:firstLineChars="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在终采边坡区坡面无法进行覆土，边坡为页岩，设计对该区域播撒草籽，撒播密度按照</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0kg/hm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，播撒面积为</w:t>
      </w:r>
      <w:r>
        <w:rPr>
          <w:rFonts w:hint="eastAsia" w:ascii="仿宋" w:hAnsi="仿宋" w:eastAsia="仿宋" w:cs="仿宋"/>
          <w:bCs/>
          <w:color w:val="auto"/>
          <w:kern w:val="0"/>
          <w:sz w:val="28"/>
          <w:szCs w:val="28"/>
          <w:highlight w:val="none"/>
          <w:lang w:val="en-US" w:eastAsia="zh-CN"/>
        </w:rPr>
        <w:t>0.2</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总计：16kg。</w:t>
      </w:r>
    </w:p>
    <w:p w14:paraId="5899CE47">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）在边坡坡脚处种植葛藤</w:t>
      </w:r>
    </w:p>
    <w:p w14:paraId="648AEAB1">
      <w:pPr>
        <w:pStyle w:val="14"/>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工程整地：块状整地，穴(坑)规格：40cm×40cm×40cm，每穴(坑)植苗1株。</w:t>
      </w:r>
    </w:p>
    <w:p w14:paraId="18D68DC1">
      <w:pPr>
        <w:pStyle w:val="14"/>
        <w:spacing w:line="360" w:lineRule="auto"/>
        <w:ind w:firstLine="567" w:firstLineChars="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造林要求：为木质化枝条进行扦插种植，规格30cm/株，种植密度为1m。终采边坡需</w:t>
      </w:r>
      <w:r>
        <w:rPr>
          <w:rFonts w:hint="eastAsia" w:ascii="仿宋" w:hAnsi="仿宋" w:eastAsia="仿宋" w:cs="仿宋"/>
          <w:color w:val="auto"/>
          <w:sz w:val="28"/>
          <w:szCs w:val="28"/>
          <w:highlight w:val="none"/>
          <w:lang w:val="en-US" w:eastAsia="zh-CN"/>
        </w:rPr>
        <w:t>上下</w:t>
      </w:r>
      <w:r>
        <w:rPr>
          <w:rFonts w:hint="eastAsia" w:ascii="仿宋" w:hAnsi="仿宋" w:eastAsia="仿宋" w:cs="仿宋"/>
          <w:color w:val="auto"/>
          <w:sz w:val="28"/>
          <w:szCs w:val="28"/>
          <w:highlight w:val="none"/>
        </w:rPr>
        <w:t>种植葛藤，</w:t>
      </w:r>
      <w:r>
        <w:rPr>
          <w:rFonts w:hint="eastAsia" w:ascii="仿宋" w:hAnsi="仿宋" w:eastAsia="仿宋" w:cs="仿宋"/>
          <w:color w:val="auto"/>
          <w:sz w:val="28"/>
          <w:szCs w:val="28"/>
          <w:highlight w:val="none"/>
          <w:lang w:val="en-US" w:eastAsia="zh-CN"/>
        </w:rPr>
        <w:t>边坡</w:t>
      </w:r>
      <w:r>
        <w:rPr>
          <w:rFonts w:hint="eastAsia" w:ascii="仿宋" w:hAnsi="仿宋" w:eastAsia="仿宋" w:cs="仿宋"/>
          <w:color w:val="auto"/>
          <w:sz w:val="28"/>
          <w:szCs w:val="28"/>
          <w:highlight w:val="none"/>
        </w:rPr>
        <w:t>长度约</w:t>
      </w:r>
      <w:r>
        <w:rPr>
          <w:rFonts w:hint="eastAsia" w:ascii="仿宋" w:hAnsi="仿宋" w:eastAsia="仿宋" w:cs="仿宋"/>
          <w:color w:val="auto"/>
          <w:sz w:val="28"/>
          <w:szCs w:val="28"/>
          <w:lang w:val="en-US" w:eastAsia="zh-CN"/>
        </w:rPr>
        <w:t>627</w:t>
      </w:r>
      <w:r>
        <w:rPr>
          <w:rFonts w:hint="eastAsia" w:ascii="仿宋" w:hAnsi="仿宋" w:eastAsia="仿宋" w:cs="仿宋"/>
          <w:color w:val="auto"/>
          <w:sz w:val="28"/>
          <w:szCs w:val="28"/>
          <w:highlight w:val="none"/>
        </w:rPr>
        <w:t>m，共需葛藤</w:t>
      </w:r>
      <w:r>
        <w:rPr>
          <w:rFonts w:hint="eastAsia" w:ascii="仿宋" w:hAnsi="仿宋" w:eastAsia="仿宋" w:cs="仿宋"/>
          <w:color w:val="auto"/>
          <w:sz w:val="28"/>
          <w:szCs w:val="28"/>
          <w:highlight w:val="none"/>
          <w:lang w:val="en-US" w:eastAsia="zh-CN"/>
        </w:rPr>
        <w:t>627</w:t>
      </w:r>
      <w:r>
        <w:rPr>
          <w:rFonts w:hint="eastAsia" w:ascii="仿宋" w:hAnsi="仿宋" w:eastAsia="仿宋" w:cs="仿宋"/>
          <w:color w:val="auto"/>
          <w:sz w:val="28"/>
          <w:szCs w:val="28"/>
          <w:highlight w:val="none"/>
        </w:rPr>
        <w:t>株。边坡底部铺设土工格栅，高两米，埋入地下20cm</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共设计土工格栅627m</w:t>
      </w:r>
      <w:r>
        <w:rPr>
          <w:rFonts w:hint="eastAsia" w:ascii="仿宋" w:hAnsi="仿宋" w:eastAsia="仿宋" w:cs="仿宋"/>
          <w:color w:val="auto"/>
          <w:sz w:val="28"/>
          <w:szCs w:val="28"/>
          <w:highlight w:val="none"/>
          <w:vertAlign w:val="superscript"/>
          <w:lang w:val="en-US" w:eastAsia="zh-CN"/>
        </w:rPr>
        <w:t>2</w:t>
      </w:r>
    </w:p>
    <w:p w14:paraId="6E9295FA">
      <w:pPr>
        <w:pStyle w:val="14"/>
        <w:numPr>
          <w:ilvl w:val="0"/>
          <w:numId w:val="5"/>
        </w:numPr>
        <w:spacing w:line="360" w:lineRule="auto"/>
        <w:ind w:left="273" w:leftChars="0" w:firstLine="567" w:firstLineChars="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配套工程</w:t>
      </w:r>
    </w:p>
    <w:p w14:paraId="4181DD98">
      <w:pPr>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（1）喷灌工程</w:t>
      </w:r>
    </w:p>
    <w:p w14:paraId="52961DC0">
      <w:pPr>
        <w:ind w:firstLine="48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可利用矿山</w:t>
      </w:r>
      <w:r>
        <w:rPr>
          <w:rFonts w:hint="eastAsia" w:ascii="仿宋" w:hAnsi="仿宋" w:eastAsia="仿宋" w:cs="仿宋"/>
          <w:color w:val="auto"/>
          <w:sz w:val="28"/>
          <w:szCs w:val="28"/>
          <w:lang w:val="en-US" w:eastAsia="zh-CN"/>
        </w:rPr>
        <w:t>开发利用方案设计中已对矿山进行了排水沟设计，此处不再设计。</w:t>
      </w:r>
    </w:p>
    <w:p w14:paraId="48482C90">
      <w:pPr>
        <w:ind w:firstLine="480"/>
        <w:jc w:val="left"/>
        <w:rPr>
          <w:rFonts w:hint="eastAsia" w:ascii="仿宋" w:hAnsi="仿宋" w:eastAsia="仿宋" w:cs="仿宋"/>
          <w:color w:val="auto"/>
          <w:sz w:val="28"/>
          <w:szCs w:val="28"/>
        </w:rPr>
      </w:pPr>
      <w:r>
        <w:rPr>
          <w:rFonts w:hint="eastAsia" w:ascii="仿宋" w:hAnsi="仿宋" w:eastAsia="仿宋" w:cs="仿宋"/>
          <w:color w:val="auto"/>
          <w:sz w:val="28"/>
          <w:szCs w:val="28"/>
        </w:rPr>
        <w:t>（2）水工建筑物</w:t>
      </w:r>
    </w:p>
    <w:p w14:paraId="21BA56E9">
      <w:pPr>
        <w:pStyle w:val="14"/>
        <w:numPr>
          <w:ilvl w:val="0"/>
          <w:numId w:val="0"/>
        </w:numPr>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rPr>
        <w:t>可利用矿山设计生产系统的供水管路进行灌溉，此处不再设计</w:t>
      </w:r>
      <w:r>
        <w:rPr>
          <w:rFonts w:hint="eastAsia" w:ascii="仿宋" w:hAnsi="仿宋" w:eastAsia="仿宋" w:cs="仿宋"/>
          <w:color w:val="auto"/>
          <w:sz w:val="28"/>
          <w:szCs w:val="28"/>
          <w:highlight w:val="none"/>
          <w:lang w:val="en-US" w:eastAsia="zh-CN"/>
        </w:rPr>
        <w:t>。</w:t>
      </w:r>
    </w:p>
    <w:p w14:paraId="16B031D6">
      <w:pPr>
        <w:pStyle w:val="4"/>
        <w:rPr>
          <w:rFonts w:ascii="Times New Roman" w:hAnsi="Times New Roman" w:eastAsia="宋体" w:cs="Times New Roman"/>
          <w:color w:val="auto"/>
          <w:sz w:val="28"/>
          <w:szCs w:val="28"/>
          <w:highlight w:val="none"/>
        </w:rPr>
      </w:pPr>
      <w:bookmarkStart w:id="136" w:name="_Toc10197"/>
      <w:r>
        <w:rPr>
          <w:rFonts w:ascii="Times New Roman" w:hAnsi="Times New Roman" w:eastAsia="宋体" w:cs="Times New Roman"/>
          <w:color w:val="auto"/>
          <w:sz w:val="28"/>
          <w:szCs w:val="28"/>
          <w:highlight w:val="none"/>
        </w:rPr>
        <w:t>（三）技术措施</w:t>
      </w:r>
      <w:bookmarkEnd w:id="136"/>
    </w:p>
    <w:p w14:paraId="3E09266E">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复垦是贯穿于采矿全过程的防、治结合，工程措施与生物措施相辅相成的土地退化防治与土地再利用工程。项目本着“统一规划、源头控制、防治结合”的原则，对矿山开采过程中可能产生的不利于复垦的危害因素采取适当的控制措施，进行提前预防，尽可能使土地资源破坏面积和破坏程度控制在最小范围和最低限度。</w:t>
      </w:r>
    </w:p>
    <w:p w14:paraId="356F365F">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1、工程技术措施</w:t>
      </w:r>
    </w:p>
    <w:p w14:paraId="46121692">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复垦技术是指在工程复垦中，按照所在地区自然环境条件和复垦利用方向要求，对受影响的土地采取回填、堆砌、平整等各种手段，并结合一定的防洪防涝等措施进行处理。项目区土地复垦要采取的工程措施有拆除工程、平整工程、覆土工程、地力培肥、植被恢复工程等。本矿山复垦对象是露天采场（终采平台区）、露天采场（终采边坡区）。</w:t>
      </w:r>
    </w:p>
    <w:p w14:paraId="4BA2DBC7">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1）拆除工程</w:t>
      </w:r>
    </w:p>
    <w:p w14:paraId="40DF3F3C">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业广场等区域的砖房、板房、生产线机械设备等需进行拆除，拆除容易，工程量较大。待矿山采矿活动结束后，应及时拆除板房、机械设备，清除建筑垃圾，覆盖表土。拆除流程按照农村建设用地复垦方案中的拆除工程设计。拆除工程主要包括场地内的砖房、板房、生产线机械设备和少量混凝土块体的拆除，</w:t>
      </w:r>
      <w:r>
        <w:rPr>
          <w:rFonts w:hint="eastAsia" w:ascii="仿宋" w:hAnsi="仿宋" w:eastAsia="仿宋" w:cs="仿宋"/>
          <w:color w:val="auto"/>
          <w:sz w:val="28"/>
          <w:szCs w:val="28"/>
          <w:highlight w:val="none"/>
          <w:lang w:val="en-US" w:eastAsia="zh-CN"/>
        </w:rPr>
        <w:t>因拆除建渣有回收价值，复垦施工时撤除的建筑垃圾，由矿山企业自行进行回收</w:t>
      </w:r>
      <w:r>
        <w:rPr>
          <w:rFonts w:hint="eastAsia" w:ascii="仿宋" w:hAnsi="仿宋" w:eastAsia="仿宋" w:cs="仿宋"/>
          <w:color w:val="auto"/>
          <w:sz w:val="28"/>
          <w:szCs w:val="28"/>
          <w:highlight w:val="none"/>
        </w:rPr>
        <w:t>。</w:t>
      </w:r>
    </w:p>
    <w:p w14:paraId="56D7535A">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2)土地平整措施</w:t>
      </w:r>
    </w:p>
    <w:p w14:paraId="6F0A14BD">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根据土地复垦标准，复垦为耕地的损坏土地平整后，地面坡度不超过5°；复垦林地的损坏土地平整后，区域平整度控制在±10cm。对局部土层回填较多的地方，进行适当碾压，以确保土层沉降后不形成土坑。</w:t>
      </w:r>
    </w:p>
    <w:p w14:paraId="61EC76BB">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3）表土剥覆工程</w:t>
      </w:r>
    </w:p>
    <w:p w14:paraId="1D7BB920">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①表土剥离：在土地复垦中对表土进行剥离是十分关键的一点。按照《土地复垦条例》，土地复垦义务人应当首先对拟损毁的</w:t>
      </w:r>
      <w:r>
        <w:rPr>
          <w:rFonts w:hint="eastAsia" w:ascii="仿宋" w:hAnsi="仿宋" w:eastAsia="仿宋" w:cs="仿宋"/>
          <w:color w:val="auto"/>
          <w:sz w:val="28"/>
          <w:szCs w:val="28"/>
          <w:highlight w:val="none"/>
          <w:lang w:val="en-US" w:eastAsia="zh-CN"/>
        </w:rPr>
        <w:t>草地、</w:t>
      </w:r>
      <w:r>
        <w:rPr>
          <w:rFonts w:hint="eastAsia" w:ascii="仿宋" w:hAnsi="仿宋" w:eastAsia="仿宋" w:cs="仿宋"/>
          <w:color w:val="auto"/>
          <w:sz w:val="28"/>
          <w:szCs w:val="28"/>
          <w:highlight w:val="none"/>
        </w:rPr>
        <w:t>林地进行表土剥离，剥离的土壤用于被损毁的土地复垦。因此，在破坏土地前，须进行表土剥离工程，表土用于待复垦的覆土。经现场调查，矿山在进行开采活动期间，</w:t>
      </w:r>
      <w:r>
        <w:rPr>
          <w:rFonts w:hint="eastAsia" w:ascii="仿宋" w:hAnsi="仿宋" w:eastAsia="仿宋" w:cs="仿宋"/>
          <w:color w:val="auto"/>
          <w:sz w:val="28"/>
          <w:szCs w:val="28"/>
          <w:highlight w:val="none"/>
          <w:lang w:val="en-US" w:eastAsia="zh-CN"/>
        </w:rPr>
        <w:t>足够</w:t>
      </w:r>
      <w:r>
        <w:rPr>
          <w:rFonts w:hint="eastAsia" w:ascii="仿宋" w:hAnsi="仿宋" w:eastAsia="仿宋" w:cs="仿宋"/>
          <w:color w:val="auto"/>
          <w:sz w:val="28"/>
          <w:szCs w:val="28"/>
          <w:highlight w:val="none"/>
        </w:rPr>
        <w:t>满足矿山土地复垦工作，</w:t>
      </w:r>
      <w:r>
        <w:rPr>
          <w:rFonts w:hint="eastAsia" w:ascii="仿宋" w:hAnsi="仿宋" w:eastAsia="仿宋" w:cs="仿宋"/>
          <w:color w:val="auto"/>
          <w:sz w:val="28"/>
          <w:szCs w:val="28"/>
          <w:highlight w:val="none"/>
          <w:lang w:val="en-US" w:eastAsia="zh-CN"/>
        </w:rPr>
        <w:t>不</w:t>
      </w:r>
      <w:r>
        <w:rPr>
          <w:rFonts w:hint="eastAsia" w:ascii="仿宋" w:hAnsi="仿宋" w:eastAsia="仿宋" w:cs="仿宋"/>
          <w:color w:val="auto"/>
          <w:sz w:val="28"/>
          <w:szCs w:val="28"/>
          <w:highlight w:val="none"/>
        </w:rPr>
        <w:t>需进行外购表土。</w:t>
      </w:r>
    </w:p>
    <w:p w14:paraId="2BF32933">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②表土堆放：由于矿山属于</w:t>
      </w:r>
      <w:r>
        <w:rPr>
          <w:rFonts w:hint="eastAsia" w:ascii="仿宋" w:hAnsi="仿宋" w:eastAsia="仿宋" w:cs="仿宋"/>
          <w:color w:val="auto"/>
          <w:sz w:val="28"/>
          <w:szCs w:val="28"/>
          <w:highlight w:val="none"/>
          <w:lang w:val="en-US" w:eastAsia="zh-CN"/>
        </w:rPr>
        <w:t>新建</w:t>
      </w:r>
      <w:r>
        <w:rPr>
          <w:rFonts w:hint="eastAsia" w:ascii="仿宋" w:hAnsi="仿宋" w:eastAsia="仿宋" w:cs="仿宋"/>
          <w:color w:val="auto"/>
          <w:sz w:val="28"/>
          <w:szCs w:val="28"/>
          <w:highlight w:val="none"/>
        </w:rPr>
        <w:t>矿山，根据</w:t>
      </w:r>
      <w:r>
        <w:rPr>
          <w:rFonts w:hint="eastAsia" w:ascii="仿宋" w:hAnsi="仿宋" w:eastAsia="仿宋" w:cs="仿宋"/>
          <w:color w:val="auto"/>
          <w:sz w:val="28"/>
          <w:szCs w:val="28"/>
          <w:highlight w:val="none"/>
          <w:lang w:val="en-US" w:eastAsia="zh-CN"/>
        </w:rPr>
        <w:t>勘查报告，</w:t>
      </w:r>
      <w:r>
        <w:rPr>
          <w:rFonts w:hint="eastAsia" w:ascii="仿宋" w:hAnsi="仿宋" w:eastAsia="仿宋" w:cs="仿宋"/>
          <w:color w:val="auto"/>
          <w:sz w:val="28"/>
          <w:szCs w:val="28"/>
          <w:highlight w:val="none"/>
        </w:rPr>
        <w:t>矿山服务年限为</w:t>
      </w:r>
      <w:r>
        <w:rPr>
          <w:rFonts w:hint="eastAsia" w:ascii="仿宋" w:hAnsi="仿宋" w:eastAsia="仿宋" w:cs="仿宋"/>
          <w:color w:val="auto"/>
          <w:sz w:val="28"/>
          <w:szCs w:val="28"/>
          <w:highlight w:val="none"/>
          <w:lang w:val="en-US" w:eastAsia="zh-CN"/>
        </w:rPr>
        <w:t>9.14年</w:t>
      </w:r>
      <w:r>
        <w:rPr>
          <w:rFonts w:hint="eastAsia" w:ascii="仿宋" w:hAnsi="仿宋" w:eastAsia="仿宋" w:cs="仿宋"/>
          <w:color w:val="auto"/>
          <w:sz w:val="28"/>
          <w:szCs w:val="28"/>
          <w:highlight w:val="none"/>
        </w:rPr>
        <w:t>，矿山开采过程中剥离表土需集中存放最长时间为</w:t>
      </w:r>
      <w:r>
        <w:rPr>
          <w:rFonts w:hint="eastAsia" w:ascii="仿宋" w:hAnsi="仿宋" w:eastAsia="仿宋" w:cs="仿宋"/>
          <w:color w:val="auto"/>
          <w:sz w:val="28"/>
          <w:szCs w:val="28"/>
          <w:highlight w:val="none"/>
          <w:lang w:val="en-US" w:eastAsia="zh-CN"/>
        </w:rPr>
        <w:t>9.14年</w:t>
      </w:r>
      <w:r>
        <w:rPr>
          <w:rFonts w:hint="eastAsia" w:ascii="仿宋" w:hAnsi="仿宋" w:eastAsia="仿宋" w:cs="仿宋"/>
          <w:color w:val="auto"/>
          <w:sz w:val="28"/>
          <w:szCs w:val="28"/>
          <w:highlight w:val="none"/>
        </w:rPr>
        <w:t>，并且剥离工作是动态变化的，故表土堆放于平台上单独管理，即能保证足够的场地面积又能方便动态堆放。在堆放过程中，表土堆放高度一般不超过3m，堆土边坡角不超过50°。此外，须压实土壤以防止降雨的入侵。要求在土堆上播种深根植物或铺上草皮，保持土堆最深处的氧气供给。堆放表土应由里向外进行，后退行驶并将表土倾倒于距入口最远的地方，禁止机械穿越已堆积的土壤。另外，还需要进行施肥，以促进植物在贫瘠亚层土或成土材料上的生长，并使用化学除草剂控制杂草。一旦堆成土堆，任何机械不得从上穿行，直到土壤复原为止。堆土时应边堆放边加固土堆边缘，修整土堆坡面，提高防渗防风能力，必要时采用土挡装满表土堆放于表土堆场周围，防止表土流失。表土堆放完成后，在土堆表面种植绿肥来培肥土壤，可适量施肥，注意防治病虫害。在土堆上坡面处开挖截流沟，在堆放场内做好截排水设施，防止雨水对堆土场下方的土壤造成水力侵蚀。为防止临时堆放过程中产生扬尘以及降雨对松散的堆积体表面造成的冲刷，对堆积体表面采取薄膜覆盖、选取撒播草籽绿化的防护措施。</w:t>
      </w:r>
    </w:p>
    <w:p w14:paraId="2D2E99BD">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③表土覆盖：剥离的表土最好直接覆盖在待复垦的场地上。覆土厚度应该根据复垦土地的利用方向确定。覆土后需对场地进行平整，平整时尽可能选择压力较小的机械设备。覆土范围为复垦责任范围区域，覆土厚度按照乔木林地30cm进行覆土，经计算需覆土方量为</w:t>
      </w:r>
      <w:r>
        <w:rPr>
          <w:rFonts w:hint="eastAsia" w:ascii="仿宋" w:hAnsi="仿宋" w:eastAsia="仿宋" w:cs="仿宋"/>
          <w:color w:val="auto"/>
          <w:sz w:val="28"/>
          <w:szCs w:val="28"/>
          <w:highlight w:val="none"/>
          <w:lang w:val="en-US" w:eastAsia="zh-CN"/>
        </w:rPr>
        <w:t>1800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3</w:t>
      </w:r>
      <w:r>
        <w:rPr>
          <w:rFonts w:hint="eastAsia" w:ascii="仿宋" w:hAnsi="仿宋" w:eastAsia="仿宋" w:cs="仿宋"/>
          <w:color w:val="auto"/>
          <w:sz w:val="28"/>
          <w:szCs w:val="28"/>
          <w:highlight w:val="none"/>
        </w:rPr>
        <w:t>。</w:t>
      </w:r>
    </w:p>
    <w:p w14:paraId="5C3D3D58">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3)土地培肥</w:t>
      </w:r>
    </w:p>
    <w:p w14:paraId="703B9C54">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复垦单元土源总量满足复垦工程的需要，但表土资源理化性状不好，化学养分含量较低，因此需对复垦区的土壤进行培肥。项目采取以下土壤改良培肥措施：</w:t>
      </w:r>
    </w:p>
    <w:p w14:paraId="07132DDB">
      <w:pPr>
        <w:autoSpaceDE w:val="0"/>
        <w:autoSpaceDN w:val="0"/>
        <w:adjustRightInd w:val="0"/>
        <w:spacing w:line="360" w:lineRule="auto"/>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增施有机肥料，提高土壤肥力：有机质是土壤肥力的重要影响因素，切实提高土壤有机质含量对复垦后土地快速恢复地力有非常重要的意义。在改良土壤过程中，有机肥料和无机肥料配合施用，以有机肥料为主。有机肥中总养分（N+P2O5+K2O）（以干基计）/（%）≥30），总养分（氮+五氧化二磷+氧化钾）含量（以干基计）/（%）≥4.0，水分（游离水）含量/（%）≤20，酸碱度pH值5.5～8.0。本项目</w:t>
      </w:r>
      <w:r>
        <w:rPr>
          <w:rFonts w:hint="eastAsia" w:ascii="仿宋" w:hAnsi="仿宋" w:eastAsia="仿宋" w:cs="仿宋"/>
          <w:color w:val="auto"/>
          <w:sz w:val="28"/>
          <w:szCs w:val="28"/>
          <w:highlight w:val="none"/>
          <w:lang w:val="en-US" w:eastAsia="zh-CN"/>
        </w:rPr>
        <w:t>设计按</w:t>
      </w:r>
      <w:r>
        <w:rPr>
          <w:rFonts w:hint="eastAsia" w:ascii="仿宋" w:hAnsi="仿宋" w:eastAsia="仿宋" w:cs="仿宋"/>
          <w:color w:val="auto"/>
          <w:sz w:val="28"/>
          <w:szCs w:val="28"/>
          <w:highlight w:val="none"/>
        </w:rPr>
        <w:t>照</w:t>
      </w:r>
      <w:r>
        <w:rPr>
          <w:rFonts w:hint="eastAsia" w:ascii="仿宋" w:hAnsi="仿宋" w:eastAsia="仿宋" w:cs="仿宋"/>
          <w:color w:val="auto"/>
          <w:sz w:val="28"/>
          <w:szCs w:val="28"/>
          <w:highlight w:val="none"/>
          <w:lang w:val="en-US" w:eastAsia="zh-CN"/>
        </w:rPr>
        <w:t>15t</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增施有机肥对土地进行培肥。</w:t>
      </w:r>
      <w:r>
        <w:rPr>
          <w:rFonts w:hint="eastAsia" w:ascii="仿宋" w:hAnsi="仿宋" w:eastAsia="仿宋" w:cs="仿宋"/>
          <w:bCs w:val="0"/>
          <w:color w:val="auto"/>
          <w:kern w:val="0"/>
          <w:sz w:val="28"/>
          <w:szCs w:val="28"/>
          <w:highlight w:val="none"/>
        </w:rPr>
        <w:t>复垦区域共需要施肥面积</w:t>
      </w:r>
      <w:r>
        <w:rPr>
          <w:rFonts w:hint="eastAsia" w:ascii="仿宋" w:hAnsi="仿宋" w:eastAsia="仿宋" w:cs="仿宋"/>
          <w:color w:val="auto"/>
          <w:kern w:val="0"/>
          <w:sz w:val="28"/>
          <w:szCs w:val="28"/>
          <w:highlight w:val="none"/>
          <w:lang w:val="en-US" w:eastAsia="zh-CN"/>
        </w:rPr>
        <w:t>0.8</w:t>
      </w:r>
      <w:r>
        <w:rPr>
          <w:rFonts w:hint="eastAsia" w:ascii="仿宋" w:hAnsi="仿宋" w:eastAsia="仿宋" w:cs="仿宋"/>
          <w:bCs w:val="0"/>
          <w:color w:val="auto"/>
          <w:kern w:val="0"/>
          <w:sz w:val="28"/>
          <w:szCs w:val="28"/>
          <w:highlight w:val="none"/>
        </w:rPr>
        <w:t>hm</w:t>
      </w:r>
      <w:r>
        <w:rPr>
          <w:rFonts w:hint="eastAsia" w:ascii="仿宋" w:hAnsi="仿宋" w:eastAsia="仿宋" w:cs="仿宋"/>
          <w:bCs w:val="0"/>
          <w:color w:val="auto"/>
          <w:kern w:val="0"/>
          <w:sz w:val="28"/>
          <w:szCs w:val="28"/>
          <w:highlight w:val="none"/>
          <w:vertAlign w:val="superscript"/>
        </w:rPr>
        <w:t>2</w:t>
      </w:r>
      <w:r>
        <w:rPr>
          <w:rFonts w:hint="eastAsia" w:ascii="仿宋" w:hAnsi="仿宋" w:eastAsia="仿宋" w:cs="仿宋"/>
          <w:bCs w:val="0"/>
          <w:color w:val="auto"/>
          <w:kern w:val="0"/>
          <w:sz w:val="28"/>
          <w:szCs w:val="28"/>
          <w:highlight w:val="none"/>
          <w:vertAlign w:val="superscript"/>
          <w:lang w:eastAsia="zh-CN"/>
        </w:rPr>
        <w:t>，</w:t>
      </w:r>
      <w:r>
        <w:rPr>
          <w:rFonts w:hint="eastAsia" w:ascii="仿宋" w:hAnsi="仿宋" w:eastAsia="仿宋" w:cs="仿宋"/>
          <w:bCs w:val="0"/>
          <w:color w:val="auto"/>
          <w:kern w:val="0"/>
          <w:sz w:val="28"/>
          <w:szCs w:val="28"/>
          <w:highlight w:val="none"/>
        </w:rPr>
        <w:t>。</w:t>
      </w:r>
      <w:r>
        <w:rPr>
          <w:rFonts w:hint="eastAsia" w:ascii="仿宋" w:hAnsi="仿宋" w:eastAsia="仿宋" w:cs="仿宋"/>
          <w:bCs w:val="0"/>
          <w:color w:val="auto"/>
          <w:kern w:val="0"/>
          <w:sz w:val="28"/>
          <w:szCs w:val="28"/>
          <w:highlight w:val="none"/>
          <w:lang w:val="en-US" w:eastAsia="zh-CN"/>
        </w:rPr>
        <w:t>有机肥合计：12t</w:t>
      </w:r>
    </w:p>
    <w:p w14:paraId="753556F0">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4）植被重构工程</w:t>
      </w:r>
    </w:p>
    <w:p w14:paraId="59D18B0D">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在终采平台区等区域进行植被恢复。设计在边坡底部栽植藤蔓植物葛藤，边坡上散播草籽。项目区需要</w:t>
      </w:r>
      <w:r>
        <w:rPr>
          <w:rFonts w:hint="eastAsia" w:ascii="仿宋" w:hAnsi="仿宋" w:eastAsia="仿宋" w:cs="仿宋"/>
          <w:color w:val="auto"/>
          <w:sz w:val="28"/>
          <w:szCs w:val="28"/>
          <w:highlight w:val="none"/>
          <w:lang w:val="en-US" w:eastAsia="zh-CN"/>
        </w:rPr>
        <w:t>椿</w:t>
      </w:r>
      <w:r>
        <w:rPr>
          <w:rFonts w:hint="eastAsia" w:ascii="仿宋" w:hAnsi="仿宋" w:eastAsia="仿宋" w:cs="仿宋"/>
          <w:color w:val="auto"/>
          <w:sz w:val="28"/>
          <w:szCs w:val="28"/>
          <w:highlight w:val="none"/>
        </w:rPr>
        <w:t>树苗</w:t>
      </w:r>
      <w:r>
        <w:rPr>
          <w:rFonts w:hint="eastAsia" w:ascii="仿宋" w:hAnsi="仿宋" w:eastAsia="仿宋" w:cs="仿宋"/>
          <w:color w:val="auto"/>
          <w:sz w:val="28"/>
          <w:szCs w:val="28"/>
          <w:highlight w:val="none"/>
          <w:lang w:val="en-US" w:eastAsia="zh-CN"/>
        </w:rPr>
        <w:t>325</w:t>
      </w:r>
      <w:r>
        <w:rPr>
          <w:rFonts w:hint="eastAsia" w:ascii="仿宋" w:hAnsi="仿宋" w:eastAsia="仿宋" w:cs="仿宋"/>
          <w:color w:val="auto"/>
          <w:sz w:val="28"/>
          <w:szCs w:val="28"/>
          <w:highlight w:val="none"/>
        </w:rPr>
        <w:t>株，</w:t>
      </w:r>
      <w:r>
        <w:rPr>
          <w:rFonts w:hint="eastAsia" w:ascii="仿宋" w:hAnsi="仿宋" w:eastAsia="仿宋" w:cs="仿宋"/>
          <w:color w:val="auto"/>
          <w:sz w:val="28"/>
          <w:szCs w:val="28"/>
          <w:highlight w:val="none"/>
          <w:lang w:val="en-US" w:eastAsia="zh-CN"/>
        </w:rPr>
        <w:t>杨</w:t>
      </w:r>
      <w:r>
        <w:rPr>
          <w:rFonts w:hint="eastAsia" w:ascii="仿宋" w:hAnsi="仿宋" w:eastAsia="仿宋" w:cs="仿宋"/>
          <w:color w:val="auto"/>
          <w:sz w:val="28"/>
          <w:szCs w:val="28"/>
          <w:highlight w:val="none"/>
        </w:rPr>
        <w:t>树苗</w:t>
      </w:r>
      <w:r>
        <w:rPr>
          <w:rFonts w:hint="eastAsia" w:ascii="仿宋" w:hAnsi="仿宋" w:eastAsia="仿宋" w:cs="仿宋"/>
          <w:color w:val="auto"/>
          <w:sz w:val="28"/>
          <w:szCs w:val="28"/>
          <w:highlight w:val="none"/>
          <w:lang w:val="en-US" w:eastAsia="zh-CN"/>
        </w:rPr>
        <w:t>325</w:t>
      </w:r>
      <w:r>
        <w:rPr>
          <w:rFonts w:hint="eastAsia" w:ascii="仿宋" w:hAnsi="仿宋" w:eastAsia="仿宋" w:cs="仿宋"/>
          <w:color w:val="auto"/>
          <w:sz w:val="28"/>
          <w:szCs w:val="28"/>
          <w:highlight w:val="none"/>
        </w:rPr>
        <w:t>株</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播撒草籽面积</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p>
    <w:p w14:paraId="36B3D1E7">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2、生物和化学措施</w:t>
      </w:r>
    </w:p>
    <w:p w14:paraId="74973C3C">
      <w:pPr>
        <w:autoSpaceDE w:val="0"/>
        <w:autoSpaceDN w:val="0"/>
        <w:adjustRightInd w:val="0"/>
        <w:spacing w:line="360" w:lineRule="auto"/>
        <w:ind w:firstLine="560" w:firstLineChars="200"/>
        <w:rPr>
          <w:rFonts w:ascii="Times New Roman" w:hAnsi="Times New Roman" w:eastAsia="宋体" w:cs="Times New Roman"/>
          <w:color w:val="auto"/>
          <w:sz w:val="24"/>
          <w:szCs w:val="24"/>
          <w:highlight w:val="none"/>
        </w:rPr>
      </w:pPr>
      <w:r>
        <w:rPr>
          <w:rFonts w:hint="eastAsia" w:ascii="仿宋" w:hAnsi="仿宋" w:eastAsia="仿宋" w:cs="仿宋"/>
          <w:color w:val="auto"/>
          <w:sz w:val="28"/>
          <w:szCs w:val="28"/>
          <w:highlight w:val="none"/>
        </w:rPr>
        <w:t>本项目复垦主要方向为乔木林地、其他草地，故生物化学措施主要采用土地培肥、植物复垦法。</w:t>
      </w:r>
    </w:p>
    <w:p w14:paraId="3F25CF09">
      <w:pPr>
        <w:pStyle w:val="4"/>
        <w:rPr>
          <w:rFonts w:ascii="Times New Roman" w:hAnsi="Times New Roman" w:eastAsia="宋体" w:cs="Times New Roman"/>
          <w:color w:val="auto"/>
          <w:sz w:val="28"/>
          <w:szCs w:val="28"/>
          <w:highlight w:val="none"/>
        </w:rPr>
      </w:pPr>
      <w:bookmarkStart w:id="137" w:name="_Toc31092"/>
      <w:r>
        <w:rPr>
          <w:rFonts w:ascii="Times New Roman" w:hAnsi="Times New Roman" w:eastAsia="宋体" w:cs="Times New Roman"/>
          <w:color w:val="auto"/>
          <w:sz w:val="28"/>
          <w:szCs w:val="28"/>
          <w:highlight w:val="none"/>
        </w:rPr>
        <w:t>（四）主要工程量</w:t>
      </w:r>
      <w:bookmarkEnd w:id="137"/>
    </w:p>
    <w:p w14:paraId="35360A56">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根据复垦技术措施，主要计入土壤重构工程、植被恢复工程</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配套工程</w:t>
      </w:r>
      <w:r>
        <w:rPr>
          <w:rFonts w:hint="eastAsia" w:ascii="仿宋" w:hAnsi="仿宋" w:eastAsia="仿宋" w:cs="仿宋"/>
          <w:color w:val="auto"/>
          <w:sz w:val="28"/>
          <w:szCs w:val="28"/>
          <w:highlight w:val="none"/>
        </w:rPr>
        <w:t>以及监测管护工程。其中监测管护工程在本章第七节“矿区土地复垦监测和管护”中已进行工程安排，故此处不进行工程量设计。项目区土地复垦主要工程量见下表5-</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w:t>
      </w:r>
    </w:p>
    <w:p w14:paraId="12ABF741">
      <w:pPr>
        <w:spacing w:line="276" w:lineRule="auto"/>
        <w:jc w:val="center"/>
        <w:rPr>
          <w:rFonts w:eastAsia="宋体"/>
          <w:b/>
          <w:color w:val="auto"/>
          <w:sz w:val="24"/>
          <w:highlight w:val="none"/>
        </w:rPr>
      </w:pPr>
      <w:r>
        <w:rPr>
          <w:rFonts w:eastAsia="宋体"/>
          <w:b/>
          <w:color w:val="auto"/>
          <w:sz w:val="24"/>
          <w:highlight w:val="none"/>
        </w:rPr>
        <w:t>表5-</w:t>
      </w:r>
      <w:r>
        <w:rPr>
          <w:rFonts w:hint="eastAsia" w:eastAsia="宋体"/>
          <w:b/>
          <w:color w:val="auto"/>
          <w:sz w:val="24"/>
          <w:highlight w:val="none"/>
          <w:lang w:val="en-US" w:eastAsia="zh-CN"/>
        </w:rPr>
        <w:t>7</w:t>
      </w:r>
      <w:r>
        <w:rPr>
          <w:rFonts w:eastAsia="宋体"/>
          <w:b/>
          <w:color w:val="auto"/>
          <w:sz w:val="24"/>
          <w:highlight w:val="none"/>
        </w:rPr>
        <w:t xml:space="preserve">  项目区复垦工程统计表</w:t>
      </w:r>
    </w:p>
    <w:p w14:paraId="642B4C5D">
      <w:pPr>
        <w:pStyle w:val="22"/>
        <w:ind w:firstLine="0" w:firstLineChars="0"/>
        <w:rPr>
          <w:rFonts w:ascii="Times New Roman" w:hAnsi="Times New Roman" w:eastAsia="宋体" w:cs="Times New Roman"/>
          <w:b/>
          <w:bCs/>
          <w:color w:val="auto"/>
          <w:kern w:val="0"/>
          <w:sz w:val="20"/>
          <w:szCs w:val="20"/>
          <w:highlight w:val="none"/>
        </w:rPr>
      </w:pPr>
    </w:p>
    <w:tbl>
      <w:tblPr>
        <w:tblStyle w:val="23"/>
        <w:tblW w:w="462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77"/>
        <w:gridCol w:w="3369"/>
        <w:gridCol w:w="1719"/>
        <w:gridCol w:w="1718"/>
      </w:tblGrid>
      <w:tr w14:paraId="39C54C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09A7EF78">
            <w:pPr>
              <w:widowControl/>
              <w:jc w:val="center"/>
              <w:rPr>
                <w:rFonts w:eastAsia="宋体"/>
                <w:color w:val="auto"/>
                <w:kern w:val="0"/>
                <w:highlight w:val="none"/>
              </w:rPr>
            </w:pPr>
            <w:r>
              <w:rPr>
                <w:rFonts w:eastAsia="宋体"/>
                <w:color w:val="auto"/>
                <w:kern w:val="0"/>
                <w:highlight w:val="none"/>
              </w:rPr>
              <w:t>序号</w:t>
            </w:r>
          </w:p>
        </w:tc>
        <w:tc>
          <w:tcPr>
            <w:tcW w:w="2136" w:type="pct"/>
            <w:vAlign w:val="center"/>
          </w:tcPr>
          <w:p w14:paraId="2EC56950">
            <w:pPr>
              <w:widowControl/>
              <w:jc w:val="center"/>
              <w:rPr>
                <w:rFonts w:eastAsia="宋体"/>
                <w:color w:val="auto"/>
                <w:kern w:val="0"/>
                <w:highlight w:val="none"/>
              </w:rPr>
            </w:pPr>
            <w:r>
              <w:rPr>
                <w:rFonts w:eastAsia="宋体"/>
                <w:color w:val="auto"/>
                <w:kern w:val="0"/>
                <w:highlight w:val="none"/>
              </w:rPr>
              <w:t>工程名称</w:t>
            </w:r>
          </w:p>
        </w:tc>
        <w:tc>
          <w:tcPr>
            <w:tcW w:w="1090" w:type="pct"/>
            <w:vAlign w:val="center"/>
          </w:tcPr>
          <w:p w14:paraId="6445BC72">
            <w:pPr>
              <w:widowControl/>
              <w:jc w:val="center"/>
              <w:rPr>
                <w:rFonts w:eastAsia="宋体"/>
                <w:color w:val="auto"/>
                <w:kern w:val="0"/>
                <w:highlight w:val="none"/>
              </w:rPr>
            </w:pPr>
            <w:r>
              <w:rPr>
                <w:rFonts w:eastAsia="宋体"/>
                <w:color w:val="auto"/>
                <w:kern w:val="0"/>
                <w:highlight w:val="none"/>
              </w:rPr>
              <w:t>单位</w:t>
            </w:r>
          </w:p>
        </w:tc>
        <w:tc>
          <w:tcPr>
            <w:tcW w:w="1089" w:type="pct"/>
            <w:vAlign w:val="center"/>
          </w:tcPr>
          <w:p w14:paraId="6F4B05B6">
            <w:pPr>
              <w:widowControl/>
              <w:jc w:val="center"/>
              <w:rPr>
                <w:rFonts w:eastAsia="宋体"/>
                <w:color w:val="auto"/>
                <w:kern w:val="0"/>
                <w:highlight w:val="none"/>
              </w:rPr>
            </w:pPr>
            <w:r>
              <w:rPr>
                <w:rFonts w:eastAsia="宋体"/>
                <w:color w:val="auto"/>
                <w:kern w:val="0"/>
                <w:highlight w:val="none"/>
              </w:rPr>
              <w:t>工作量</w:t>
            </w:r>
          </w:p>
        </w:tc>
      </w:tr>
      <w:tr w14:paraId="1FAA59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4DD9D451">
            <w:pPr>
              <w:widowControl/>
              <w:jc w:val="center"/>
              <w:rPr>
                <w:rFonts w:eastAsia="宋体"/>
                <w:color w:val="auto"/>
                <w:kern w:val="0"/>
                <w:highlight w:val="none"/>
              </w:rPr>
            </w:pPr>
            <w:r>
              <w:rPr>
                <w:rFonts w:hint="eastAsia" w:eastAsia="宋体"/>
                <w:color w:val="auto"/>
                <w:kern w:val="0"/>
                <w:highlight w:val="none"/>
              </w:rPr>
              <w:t>一</w:t>
            </w:r>
          </w:p>
        </w:tc>
        <w:tc>
          <w:tcPr>
            <w:tcW w:w="2136" w:type="pct"/>
            <w:vAlign w:val="center"/>
          </w:tcPr>
          <w:p w14:paraId="56805A20">
            <w:pPr>
              <w:widowControl/>
              <w:jc w:val="center"/>
              <w:rPr>
                <w:rFonts w:eastAsia="宋体"/>
                <w:color w:val="auto"/>
                <w:kern w:val="0"/>
                <w:highlight w:val="none"/>
              </w:rPr>
            </w:pPr>
            <w:r>
              <w:rPr>
                <w:rFonts w:eastAsia="宋体"/>
                <w:color w:val="auto"/>
                <w:kern w:val="0"/>
                <w:highlight w:val="none"/>
              </w:rPr>
              <w:t>土壤重构工程</w:t>
            </w:r>
          </w:p>
        </w:tc>
        <w:tc>
          <w:tcPr>
            <w:tcW w:w="1090" w:type="pct"/>
            <w:vAlign w:val="center"/>
          </w:tcPr>
          <w:p w14:paraId="2B037AF8">
            <w:pPr>
              <w:widowControl/>
              <w:jc w:val="center"/>
              <w:rPr>
                <w:rFonts w:eastAsia="宋体"/>
                <w:color w:val="auto"/>
                <w:kern w:val="0"/>
                <w:highlight w:val="none"/>
              </w:rPr>
            </w:pPr>
            <w:r>
              <w:rPr>
                <w:rFonts w:eastAsia="宋体"/>
                <w:color w:val="auto"/>
                <w:kern w:val="0"/>
                <w:highlight w:val="none"/>
              </w:rPr>
              <w:t>　</w:t>
            </w:r>
          </w:p>
        </w:tc>
        <w:tc>
          <w:tcPr>
            <w:tcW w:w="1089" w:type="pct"/>
            <w:vAlign w:val="center"/>
          </w:tcPr>
          <w:p w14:paraId="6EE1A384">
            <w:pPr>
              <w:widowControl/>
              <w:jc w:val="center"/>
              <w:rPr>
                <w:rFonts w:eastAsia="宋体"/>
                <w:color w:val="auto"/>
                <w:kern w:val="0"/>
                <w:highlight w:val="none"/>
              </w:rPr>
            </w:pPr>
            <w:r>
              <w:rPr>
                <w:rFonts w:eastAsia="宋体"/>
                <w:color w:val="auto"/>
                <w:kern w:val="0"/>
                <w:highlight w:val="none"/>
              </w:rPr>
              <w:t>　</w:t>
            </w:r>
          </w:p>
        </w:tc>
      </w:tr>
      <w:tr w14:paraId="1521EF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63354CF7">
            <w:pPr>
              <w:widowControl/>
              <w:jc w:val="center"/>
              <w:rPr>
                <w:rFonts w:eastAsia="宋体"/>
                <w:color w:val="auto"/>
                <w:kern w:val="0"/>
                <w:highlight w:val="none"/>
              </w:rPr>
            </w:pPr>
            <w:r>
              <w:rPr>
                <w:rFonts w:hint="eastAsia" w:eastAsia="宋体"/>
                <w:color w:val="auto"/>
                <w:kern w:val="0"/>
                <w:highlight w:val="none"/>
              </w:rPr>
              <w:t>1</w:t>
            </w:r>
          </w:p>
        </w:tc>
        <w:tc>
          <w:tcPr>
            <w:tcW w:w="2136" w:type="pct"/>
            <w:vAlign w:val="center"/>
          </w:tcPr>
          <w:p w14:paraId="3A971B69">
            <w:pPr>
              <w:widowControl/>
              <w:jc w:val="center"/>
              <w:rPr>
                <w:rFonts w:eastAsia="宋体"/>
                <w:color w:val="auto"/>
                <w:kern w:val="0"/>
                <w:highlight w:val="none"/>
              </w:rPr>
            </w:pPr>
            <w:r>
              <w:rPr>
                <w:rFonts w:hint="eastAsia" w:eastAsia="宋体"/>
                <w:color w:val="auto"/>
                <w:kern w:val="0"/>
                <w:highlight w:val="none"/>
              </w:rPr>
              <w:t>表土剥离</w:t>
            </w:r>
          </w:p>
        </w:tc>
        <w:tc>
          <w:tcPr>
            <w:tcW w:w="1090" w:type="pct"/>
            <w:vAlign w:val="center"/>
          </w:tcPr>
          <w:p w14:paraId="4057AE72">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3</w:t>
            </w:r>
          </w:p>
        </w:tc>
        <w:tc>
          <w:tcPr>
            <w:tcW w:w="1089" w:type="pct"/>
            <w:vAlign w:val="center"/>
          </w:tcPr>
          <w:p w14:paraId="55D8887C">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2400</w:t>
            </w:r>
          </w:p>
        </w:tc>
      </w:tr>
      <w:tr w14:paraId="4B9105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31814E61">
            <w:pPr>
              <w:widowControl/>
              <w:jc w:val="center"/>
              <w:rPr>
                <w:rFonts w:eastAsia="宋体"/>
                <w:color w:val="auto"/>
                <w:kern w:val="0"/>
                <w:highlight w:val="none"/>
              </w:rPr>
            </w:pPr>
            <w:r>
              <w:rPr>
                <w:rFonts w:hint="eastAsia" w:eastAsia="宋体"/>
                <w:color w:val="auto"/>
                <w:kern w:val="0"/>
                <w:highlight w:val="none"/>
              </w:rPr>
              <w:t>2.1</w:t>
            </w:r>
          </w:p>
        </w:tc>
        <w:tc>
          <w:tcPr>
            <w:tcW w:w="2136" w:type="pct"/>
            <w:vAlign w:val="center"/>
          </w:tcPr>
          <w:p w14:paraId="46C8163F">
            <w:pPr>
              <w:widowControl/>
              <w:jc w:val="center"/>
              <w:rPr>
                <w:rFonts w:eastAsia="宋体"/>
                <w:color w:val="auto"/>
                <w:kern w:val="0"/>
                <w:highlight w:val="none"/>
              </w:rPr>
            </w:pPr>
            <w:r>
              <w:rPr>
                <w:rFonts w:hint="eastAsia" w:eastAsia="宋体"/>
                <w:color w:val="auto"/>
                <w:kern w:val="0"/>
                <w:highlight w:val="none"/>
              </w:rPr>
              <w:t>薄膜覆盖</w:t>
            </w:r>
          </w:p>
        </w:tc>
        <w:tc>
          <w:tcPr>
            <w:tcW w:w="1090" w:type="pct"/>
            <w:vAlign w:val="center"/>
          </w:tcPr>
          <w:p w14:paraId="4888646D">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14:paraId="6DBAA907">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0.027</w:t>
            </w:r>
          </w:p>
        </w:tc>
      </w:tr>
      <w:tr w14:paraId="5A14A6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40C10101">
            <w:pPr>
              <w:widowControl/>
              <w:jc w:val="center"/>
              <w:rPr>
                <w:rFonts w:eastAsia="宋体"/>
                <w:color w:val="auto"/>
                <w:kern w:val="0"/>
                <w:highlight w:val="none"/>
              </w:rPr>
            </w:pPr>
            <w:r>
              <w:rPr>
                <w:rFonts w:hint="eastAsia" w:eastAsia="宋体"/>
                <w:color w:val="auto"/>
                <w:kern w:val="0"/>
                <w:highlight w:val="none"/>
              </w:rPr>
              <w:t>2.2</w:t>
            </w:r>
          </w:p>
        </w:tc>
        <w:tc>
          <w:tcPr>
            <w:tcW w:w="2136" w:type="pct"/>
            <w:vAlign w:val="center"/>
          </w:tcPr>
          <w:p w14:paraId="104ABBAB">
            <w:pPr>
              <w:widowControl/>
              <w:jc w:val="center"/>
              <w:rPr>
                <w:rFonts w:eastAsia="宋体"/>
                <w:color w:val="auto"/>
                <w:kern w:val="0"/>
                <w:highlight w:val="none"/>
              </w:rPr>
            </w:pPr>
            <w:r>
              <w:rPr>
                <w:rFonts w:hint="eastAsia" w:eastAsia="宋体"/>
                <w:color w:val="auto"/>
                <w:kern w:val="0"/>
                <w:highlight w:val="none"/>
              </w:rPr>
              <w:t>草籽养护</w:t>
            </w:r>
          </w:p>
        </w:tc>
        <w:tc>
          <w:tcPr>
            <w:tcW w:w="1090" w:type="pct"/>
            <w:vAlign w:val="center"/>
          </w:tcPr>
          <w:p w14:paraId="0FF19239">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14:paraId="663F5487">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0.81</w:t>
            </w:r>
          </w:p>
        </w:tc>
      </w:tr>
      <w:tr w14:paraId="5557A0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36" w:hRule="atLeast"/>
          <w:jc w:val="center"/>
        </w:trPr>
        <w:tc>
          <w:tcPr>
            <w:tcW w:w="683" w:type="pct"/>
            <w:vAlign w:val="center"/>
          </w:tcPr>
          <w:p w14:paraId="4DBBF427">
            <w:pPr>
              <w:widowControl/>
              <w:jc w:val="center"/>
              <w:rPr>
                <w:rFonts w:eastAsia="宋体"/>
                <w:color w:val="auto"/>
                <w:kern w:val="0"/>
                <w:highlight w:val="none"/>
              </w:rPr>
            </w:pPr>
            <w:r>
              <w:rPr>
                <w:rFonts w:hint="eastAsia" w:eastAsia="宋体"/>
                <w:color w:val="auto"/>
                <w:kern w:val="0"/>
                <w:highlight w:val="none"/>
              </w:rPr>
              <w:t>5</w:t>
            </w:r>
          </w:p>
        </w:tc>
        <w:tc>
          <w:tcPr>
            <w:tcW w:w="2136" w:type="pct"/>
            <w:vAlign w:val="center"/>
          </w:tcPr>
          <w:p w14:paraId="1C256B39">
            <w:pPr>
              <w:widowControl/>
              <w:jc w:val="center"/>
              <w:rPr>
                <w:rFonts w:eastAsia="宋体"/>
                <w:color w:val="auto"/>
                <w:kern w:val="0"/>
                <w:highlight w:val="none"/>
              </w:rPr>
            </w:pPr>
            <w:r>
              <w:rPr>
                <w:rFonts w:eastAsia="宋体"/>
                <w:color w:val="auto"/>
                <w:kern w:val="0"/>
                <w:highlight w:val="none"/>
              </w:rPr>
              <w:t>土地平整</w:t>
            </w:r>
          </w:p>
        </w:tc>
        <w:tc>
          <w:tcPr>
            <w:tcW w:w="1090" w:type="pct"/>
            <w:vAlign w:val="center"/>
          </w:tcPr>
          <w:p w14:paraId="29196D1F">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14:paraId="252A5C76">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0.6</w:t>
            </w:r>
          </w:p>
        </w:tc>
      </w:tr>
      <w:tr w14:paraId="60FC1F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683" w:type="pct"/>
            <w:vAlign w:val="center"/>
          </w:tcPr>
          <w:p w14:paraId="3E6D7D4B">
            <w:pPr>
              <w:widowControl/>
              <w:jc w:val="center"/>
              <w:rPr>
                <w:rFonts w:eastAsia="宋体"/>
                <w:color w:val="auto"/>
                <w:kern w:val="0"/>
                <w:highlight w:val="none"/>
              </w:rPr>
            </w:pPr>
            <w:r>
              <w:rPr>
                <w:rFonts w:hint="eastAsia" w:eastAsia="宋体"/>
                <w:color w:val="auto"/>
                <w:kern w:val="0"/>
                <w:highlight w:val="none"/>
              </w:rPr>
              <w:t>6</w:t>
            </w:r>
          </w:p>
        </w:tc>
        <w:tc>
          <w:tcPr>
            <w:tcW w:w="2136" w:type="pct"/>
            <w:vAlign w:val="center"/>
          </w:tcPr>
          <w:p w14:paraId="34225A25">
            <w:pPr>
              <w:widowControl/>
              <w:jc w:val="center"/>
              <w:rPr>
                <w:rFonts w:eastAsia="宋体"/>
                <w:color w:val="auto"/>
                <w:kern w:val="0"/>
                <w:highlight w:val="none"/>
              </w:rPr>
            </w:pPr>
            <w:r>
              <w:rPr>
                <w:rFonts w:eastAsia="宋体"/>
                <w:color w:val="auto"/>
                <w:kern w:val="0"/>
                <w:highlight w:val="none"/>
              </w:rPr>
              <w:t>表土回填</w:t>
            </w:r>
          </w:p>
        </w:tc>
        <w:tc>
          <w:tcPr>
            <w:tcW w:w="1090" w:type="pct"/>
            <w:vAlign w:val="center"/>
          </w:tcPr>
          <w:p w14:paraId="131249C1">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3</w:t>
            </w:r>
          </w:p>
        </w:tc>
        <w:tc>
          <w:tcPr>
            <w:tcW w:w="1089" w:type="pct"/>
            <w:vAlign w:val="center"/>
          </w:tcPr>
          <w:p w14:paraId="19358B7F">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1800</w:t>
            </w:r>
          </w:p>
        </w:tc>
      </w:tr>
      <w:tr w14:paraId="60A5E6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4A900FE3">
            <w:pPr>
              <w:widowControl/>
              <w:jc w:val="center"/>
              <w:rPr>
                <w:rFonts w:eastAsia="宋体"/>
                <w:color w:val="auto"/>
                <w:kern w:val="0"/>
                <w:highlight w:val="none"/>
              </w:rPr>
            </w:pPr>
            <w:r>
              <w:rPr>
                <w:rFonts w:hint="eastAsia" w:eastAsia="宋体"/>
                <w:color w:val="auto"/>
                <w:kern w:val="0"/>
                <w:highlight w:val="none"/>
              </w:rPr>
              <w:t>二</w:t>
            </w:r>
          </w:p>
        </w:tc>
        <w:tc>
          <w:tcPr>
            <w:tcW w:w="2136" w:type="pct"/>
            <w:vAlign w:val="center"/>
          </w:tcPr>
          <w:p w14:paraId="7FA23DDD">
            <w:pPr>
              <w:widowControl/>
              <w:jc w:val="center"/>
              <w:rPr>
                <w:rFonts w:eastAsia="宋体"/>
                <w:color w:val="auto"/>
                <w:kern w:val="0"/>
                <w:highlight w:val="none"/>
              </w:rPr>
            </w:pPr>
            <w:r>
              <w:rPr>
                <w:rFonts w:eastAsia="宋体"/>
                <w:color w:val="auto"/>
                <w:kern w:val="0"/>
                <w:highlight w:val="none"/>
              </w:rPr>
              <w:t>植被恢复工程</w:t>
            </w:r>
          </w:p>
        </w:tc>
        <w:tc>
          <w:tcPr>
            <w:tcW w:w="1090" w:type="pct"/>
            <w:vAlign w:val="center"/>
          </w:tcPr>
          <w:p w14:paraId="0B247F40">
            <w:pPr>
              <w:widowControl/>
              <w:jc w:val="center"/>
              <w:rPr>
                <w:rFonts w:eastAsia="宋体"/>
                <w:color w:val="auto"/>
                <w:kern w:val="0"/>
                <w:highlight w:val="none"/>
              </w:rPr>
            </w:pPr>
            <w:r>
              <w:rPr>
                <w:rFonts w:eastAsia="宋体"/>
                <w:color w:val="auto"/>
                <w:kern w:val="0"/>
                <w:highlight w:val="none"/>
              </w:rPr>
              <w:t>　</w:t>
            </w:r>
          </w:p>
        </w:tc>
        <w:tc>
          <w:tcPr>
            <w:tcW w:w="1089" w:type="pct"/>
            <w:vAlign w:val="center"/>
          </w:tcPr>
          <w:p w14:paraId="33B99E40">
            <w:pPr>
              <w:widowControl/>
              <w:jc w:val="center"/>
              <w:rPr>
                <w:rFonts w:eastAsia="宋体"/>
                <w:color w:val="auto"/>
                <w:kern w:val="0"/>
                <w:highlight w:val="none"/>
              </w:rPr>
            </w:pPr>
          </w:p>
        </w:tc>
      </w:tr>
      <w:tr w14:paraId="121AFC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3AFA01E2">
            <w:pPr>
              <w:widowControl/>
              <w:jc w:val="center"/>
              <w:rPr>
                <w:rFonts w:eastAsia="宋体"/>
                <w:color w:val="auto"/>
                <w:kern w:val="0"/>
                <w:highlight w:val="none"/>
              </w:rPr>
            </w:pPr>
            <w:r>
              <w:rPr>
                <w:rFonts w:eastAsia="宋体"/>
                <w:color w:val="auto"/>
                <w:kern w:val="0"/>
                <w:highlight w:val="none"/>
              </w:rPr>
              <w:t>1</w:t>
            </w:r>
          </w:p>
        </w:tc>
        <w:tc>
          <w:tcPr>
            <w:tcW w:w="2136" w:type="pct"/>
            <w:vAlign w:val="center"/>
          </w:tcPr>
          <w:p w14:paraId="476BE85C">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栽植椿树苗</w:t>
            </w:r>
          </w:p>
        </w:tc>
        <w:tc>
          <w:tcPr>
            <w:tcW w:w="1090" w:type="pct"/>
            <w:vAlign w:val="center"/>
          </w:tcPr>
          <w:p w14:paraId="1AD648DE">
            <w:pPr>
              <w:widowControl/>
              <w:jc w:val="center"/>
              <w:rPr>
                <w:rFonts w:eastAsia="宋体"/>
                <w:color w:val="auto"/>
                <w:kern w:val="0"/>
                <w:highlight w:val="none"/>
              </w:rPr>
            </w:pPr>
            <w:r>
              <w:rPr>
                <w:rFonts w:eastAsia="宋体"/>
                <w:color w:val="auto"/>
                <w:kern w:val="0"/>
                <w:highlight w:val="none"/>
              </w:rPr>
              <w:t>株</w:t>
            </w:r>
          </w:p>
        </w:tc>
        <w:tc>
          <w:tcPr>
            <w:tcW w:w="1089" w:type="pct"/>
            <w:vAlign w:val="center"/>
          </w:tcPr>
          <w:p w14:paraId="787BE37F">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325</w:t>
            </w:r>
          </w:p>
        </w:tc>
      </w:tr>
      <w:tr w14:paraId="135E26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49E94697">
            <w:pPr>
              <w:widowControl/>
              <w:jc w:val="center"/>
              <w:rPr>
                <w:rFonts w:hint="eastAsia" w:eastAsia="宋体"/>
                <w:color w:val="auto"/>
                <w:kern w:val="0"/>
                <w:highlight w:val="none"/>
                <w:lang w:val="en-US" w:eastAsia="zh-CN"/>
              </w:rPr>
            </w:pPr>
            <w:r>
              <w:rPr>
                <w:rFonts w:hint="eastAsia" w:eastAsia="宋体"/>
                <w:color w:val="auto"/>
                <w:kern w:val="0"/>
                <w:highlight w:val="none"/>
                <w:lang w:val="en-US" w:eastAsia="zh-CN"/>
              </w:rPr>
              <w:t>2</w:t>
            </w:r>
          </w:p>
        </w:tc>
        <w:tc>
          <w:tcPr>
            <w:tcW w:w="2136" w:type="pct"/>
            <w:vAlign w:val="center"/>
          </w:tcPr>
          <w:p w14:paraId="0239AE83">
            <w:pPr>
              <w:widowControl/>
              <w:jc w:val="center"/>
              <w:rPr>
                <w:rFonts w:hint="default" w:eastAsia="宋体" w:asciiTheme="minorHAnsi" w:hAnsiTheme="minorHAnsi" w:cstheme="minorBidi"/>
                <w:color w:val="auto"/>
                <w:kern w:val="0"/>
                <w:sz w:val="21"/>
                <w:szCs w:val="21"/>
                <w:highlight w:val="none"/>
                <w:lang w:val="en-US" w:eastAsia="zh-CN" w:bidi="ar-SA"/>
              </w:rPr>
            </w:pPr>
            <w:r>
              <w:rPr>
                <w:rFonts w:hint="eastAsia" w:eastAsia="宋体"/>
                <w:color w:val="auto"/>
                <w:kern w:val="0"/>
                <w:highlight w:val="none"/>
                <w:lang w:val="en-US" w:eastAsia="zh-CN"/>
              </w:rPr>
              <w:t>栽植杨树苗</w:t>
            </w:r>
          </w:p>
        </w:tc>
        <w:tc>
          <w:tcPr>
            <w:tcW w:w="1090" w:type="pct"/>
            <w:vAlign w:val="center"/>
          </w:tcPr>
          <w:p w14:paraId="4BCCA59A">
            <w:pPr>
              <w:widowControl/>
              <w:jc w:val="center"/>
              <w:rPr>
                <w:rFonts w:eastAsia="宋体" w:asciiTheme="minorHAnsi" w:hAnsiTheme="minorHAnsi" w:cstheme="minorBidi"/>
                <w:color w:val="auto"/>
                <w:kern w:val="0"/>
                <w:sz w:val="21"/>
                <w:szCs w:val="21"/>
                <w:highlight w:val="none"/>
                <w:lang w:val="en-US" w:eastAsia="zh-CN" w:bidi="ar-SA"/>
              </w:rPr>
            </w:pPr>
            <w:r>
              <w:rPr>
                <w:rFonts w:eastAsia="宋体"/>
                <w:color w:val="auto"/>
                <w:kern w:val="0"/>
                <w:highlight w:val="none"/>
              </w:rPr>
              <w:t>株</w:t>
            </w:r>
          </w:p>
        </w:tc>
        <w:tc>
          <w:tcPr>
            <w:tcW w:w="1089" w:type="pct"/>
            <w:vAlign w:val="center"/>
          </w:tcPr>
          <w:p w14:paraId="2D7EF949">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325</w:t>
            </w:r>
          </w:p>
        </w:tc>
      </w:tr>
      <w:tr w14:paraId="3D8879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83" w:type="pct"/>
            <w:vAlign w:val="center"/>
          </w:tcPr>
          <w:p w14:paraId="6076245C">
            <w:pPr>
              <w:widowControl/>
              <w:jc w:val="center"/>
              <w:rPr>
                <w:rFonts w:hint="eastAsia" w:eastAsia="宋体"/>
                <w:color w:val="auto"/>
                <w:kern w:val="0"/>
                <w:highlight w:val="none"/>
                <w:lang w:eastAsia="zh-CN"/>
              </w:rPr>
            </w:pPr>
            <w:r>
              <w:rPr>
                <w:rFonts w:hint="eastAsia" w:eastAsia="宋体"/>
                <w:color w:val="auto"/>
                <w:kern w:val="0"/>
                <w:highlight w:val="none"/>
                <w:lang w:val="en-US" w:eastAsia="zh-CN"/>
              </w:rPr>
              <w:t>4</w:t>
            </w:r>
          </w:p>
        </w:tc>
        <w:tc>
          <w:tcPr>
            <w:tcW w:w="2136" w:type="pct"/>
            <w:vAlign w:val="center"/>
          </w:tcPr>
          <w:p w14:paraId="255D6362">
            <w:pPr>
              <w:widowControl/>
              <w:jc w:val="center"/>
              <w:rPr>
                <w:rFonts w:eastAsia="宋体"/>
                <w:color w:val="auto"/>
                <w:kern w:val="0"/>
                <w:highlight w:val="none"/>
              </w:rPr>
            </w:pPr>
            <w:r>
              <w:rPr>
                <w:rFonts w:eastAsia="宋体"/>
                <w:color w:val="auto"/>
                <w:kern w:val="0"/>
                <w:highlight w:val="none"/>
              </w:rPr>
              <w:t>栽种葛藤</w:t>
            </w:r>
          </w:p>
        </w:tc>
        <w:tc>
          <w:tcPr>
            <w:tcW w:w="1090" w:type="pct"/>
            <w:vAlign w:val="center"/>
          </w:tcPr>
          <w:p w14:paraId="161FA33E">
            <w:pPr>
              <w:widowControl/>
              <w:jc w:val="center"/>
              <w:rPr>
                <w:rFonts w:eastAsia="宋体"/>
                <w:color w:val="auto"/>
                <w:kern w:val="0"/>
                <w:highlight w:val="none"/>
              </w:rPr>
            </w:pPr>
            <w:r>
              <w:rPr>
                <w:rFonts w:eastAsia="宋体"/>
                <w:color w:val="auto"/>
                <w:kern w:val="0"/>
                <w:highlight w:val="none"/>
              </w:rPr>
              <w:t>株</w:t>
            </w:r>
          </w:p>
        </w:tc>
        <w:tc>
          <w:tcPr>
            <w:tcW w:w="1089" w:type="pct"/>
            <w:vAlign w:val="center"/>
          </w:tcPr>
          <w:p w14:paraId="5126A3F3">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627</w:t>
            </w:r>
          </w:p>
        </w:tc>
      </w:tr>
      <w:tr w14:paraId="0839C9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4B2C6FDB">
            <w:pPr>
              <w:widowControl/>
              <w:jc w:val="center"/>
              <w:rPr>
                <w:rFonts w:hint="eastAsia" w:eastAsia="宋体"/>
                <w:color w:val="auto"/>
                <w:kern w:val="0"/>
                <w:highlight w:val="none"/>
                <w:lang w:eastAsia="zh-CN"/>
              </w:rPr>
            </w:pPr>
            <w:r>
              <w:rPr>
                <w:rFonts w:hint="eastAsia" w:eastAsia="宋体"/>
                <w:color w:val="auto"/>
                <w:kern w:val="0"/>
                <w:highlight w:val="none"/>
                <w:lang w:val="en-US" w:eastAsia="zh-CN"/>
              </w:rPr>
              <w:t>5</w:t>
            </w:r>
          </w:p>
        </w:tc>
        <w:tc>
          <w:tcPr>
            <w:tcW w:w="2136" w:type="pct"/>
            <w:vAlign w:val="center"/>
          </w:tcPr>
          <w:p w14:paraId="62EDAD7B">
            <w:pPr>
              <w:widowControl/>
              <w:jc w:val="center"/>
              <w:rPr>
                <w:rFonts w:eastAsia="宋体"/>
                <w:color w:val="auto"/>
                <w:kern w:val="0"/>
                <w:highlight w:val="none"/>
              </w:rPr>
            </w:pPr>
            <w:r>
              <w:rPr>
                <w:rFonts w:eastAsia="宋体"/>
                <w:color w:val="auto"/>
                <w:kern w:val="0"/>
                <w:highlight w:val="none"/>
              </w:rPr>
              <w:t>播撒草籽</w:t>
            </w:r>
          </w:p>
        </w:tc>
        <w:tc>
          <w:tcPr>
            <w:tcW w:w="1090" w:type="pct"/>
            <w:vAlign w:val="center"/>
          </w:tcPr>
          <w:p w14:paraId="49BDD6C0">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14:paraId="50D3EE43">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0.8</w:t>
            </w:r>
          </w:p>
        </w:tc>
      </w:tr>
      <w:tr w14:paraId="4E17B5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5B3F9471">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6</w:t>
            </w:r>
          </w:p>
        </w:tc>
        <w:tc>
          <w:tcPr>
            <w:tcW w:w="2136" w:type="pct"/>
            <w:vAlign w:val="center"/>
          </w:tcPr>
          <w:p w14:paraId="5767A11A">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木工格栅辅助</w:t>
            </w:r>
          </w:p>
        </w:tc>
        <w:tc>
          <w:tcPr>
            <w:tcW w:w="1090" w:type="pct"/>
            <w:vAlign w:val="center"/>
          </w:tcPr>
          <w:p w14:paraId="5D897B35">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2</w:t>
            </w:r>
          </w:p>
        </w:tc>
        <w:tc>
          <w:tcPr>
            <w:tcW w:w="1089" w:type="pct"/>
            <w:vAlign w:val="center"/>
          </w:tcPr>
          <w:p w14:paraId="1CC1BE59">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627</w:t>
            </w:r>
          </w:p>
        </w:tc>
      </w:tr>
    </w:tbl>
    <w:p w14:paraId="27E9B4FF">
      <w:pPr>
        <w:rPr>
          <w:color w:val="auto"/>
        </w:rPr>
      </w:pPr>
    </w:p>
    <w:p w14:paraId="43A801E0">
      <w:pPr>
        <w:pStyle w:val="3"/>
        <w:rPr>
          <w:rFonts w:ascii="Times New Roman" w:hAnsi="Times New Roman" w:eastAsia="宋体" w:cs="Times New Roman"/>
          <w:color w:val="auto"/>
          <w:sz w:val="30"/>
          <w:szCs w:val="30"/>
          <w:highlight w:val="none"/>
        </w:rPr>
      </w:pPr>
      <w:bookmarkStart w:id="138" w:name="_Toc511576353"/>
      <w:bookmarkStart w:id="139" w:name="_Toc9195"/>
      <w:bookmarkStart w:id="140" w:name="_Toc13445"/>
      <w:r>
        <w:rPr>
          <w:rFonts w:ascii="Times New Roman" w:hAnsi="Times New Roman" w:eastAsia="宋体" w:cs="Times New Roman"/>
          <w:color w:val="auto"/>
          <w:sz w:val="30"/>
          <w:szCs w:val="30"/>
          <w:highlight w:val="none"/>
        </w:rPr>
        <w:t>四、含水层破坏修复</w:t>
      </w:r>
      <w:bookmarkEnd w:id="138"/>
      <w:bookmarkEnd w:id="139"/>
      <w:bookmarkEnd w:id="140"/>
    </w:p>
    <w:p w14:paraId="2F33AEAF">
      <w:pPr>
        <w:spacing w:line="360" w:lineRule="auto"/>
        <w:ind w:firstLine="560" w:firstLineChars="200"/>
        <w:rPr>
          <w:rFonts w:ascii="Times New Roman" w:hAnsi="Times New Roman" w:cs="Times New Roman"/>
          <w:color w:val="auto"/>
          <w:sz w:val="24"/>
          <w:highlight w:val="none"/>
        </w:rPr>
      </w:pPr>
      <w:r>
        <w:rPr>
          <w:rFonts w:hint="eastAsia" w:ascii="仿宋" w:hAnsi="仿宋" w:eastAsia="仿宋" w:cs="仿宋"/>
          <w:color w:val="auto"/>
          <w:sz w:val="28"/>
          <w:szCs w:val="28"/>
          <w:highlight w:val="none"/>
        </w:rPr>
        <w:t>矿山生产对含水层破坏较轻，现阶段无需进行破坏修复，故无工程量。</w:t>
      </w:r>
    </w:p>
    <w:p w14:paraId="50443305">
      <w:pPr>
        <w:pStyle w:val="3"/>
        <w:rPr>
          <w:rFonts w:ascii="Times New Roman" w:hAnsi="Times New Roman" w:eastAsia="宋体" w:cs="Times New Roman"/>
          <w:color w:val="auto"/>
          <w:sz w:val="30"/>
          <w:szCs w:val="30"/>
          <w:highlight w:val="none"/>
        </w:rPr>
      </w:pPr>
      <w:bookmarkStart w:id="141" w:name="_Toc511576354"/>
      <w:bookmarkStart w:id="142" w:name="_Toc19190"/>
      <w:bookmarkStart w:id="143" w:name="_Toc62071901"/>
      <w:r>
        <w:rPr>
          <w:rFonts w:ascii="Times New Roman" w:hAnsi="Times New Roman" w:eastAsia="宋体" w:cs="Times New Roman"/>
          <w:color w:val="auto"/>
          <w:sz w:val="30"/>
          <w:szCs w:val="30"/>
          <w:highlight w:val="none"/>
        </w:rPr>
        <w:t>五、水土环境污染修复</w:t>
      </w:r>
      <w:bookmarkEnd w:id="141"/>
      <w:bookmarkEnd w:id="142"/>
      <w:bookmarkEnd w:id="143"/>
    </w:p>
    <w:p w14:paraId="3C7205CC">
      <w:pPr>
        <w:adjustRightInd w:val="0"/>
        <w:snapToGrid w:val="0"/>
        <w:spacing w:line="360" w:lineRule="auto"/>
        <w:ind w:firstLine="560" w:firstLineChars="200"/>
        <w:rPr>
          <w:rFonts w:hint="eastAsia" w:ascii="仿宋" w:hAnsi="仿宋" w:eastAsia="仿宋" w:cs="仿宋"/>
          <w:color w:val="auto"/>
          <w:sz w:val="28"/>
          <w:szCs w:val="28"/>
          <w:highlight w:val="none"/>
        </w:rPr>
      </w:pPr>
      <w:bookmarkStart w:id="144" w:name="_Toc62071902"/>
      <w:r>
        <w:rPr>
          <w:rFonts w:hint="eastAsia" w:ascii="仿宋" w:hAnsi="仿宋" w:eastAsia="仿宋" w:cs="仿宋"/>
          <w:color w:val="auto"/>
          <w:sz w:val="28"/>
          <w:szCs w:val="28"/>
          <w:highlight w:val="none"/>
        </w:rPr>
        <w:t>1、水环境污染修复工程</w:t>
      </w:r>
    </w:p>
    <w:p w14:paraId="7C82CE13">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生产过程中尾矿废渣少、无废水外排，且设计开采底板标高远高于该地区地下水最低侵蚀基准面高，露天采场排水条件好，矿石基本无有害成分，无放射性元素，对地下水造成污染的可能性极小。因此本方案不对水环境污染修复进行工程设计。</w:t>
      </w:r>
    </w:p>
    <w:p w14:paraId="1F236519">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2、土壤环境修复工程</w:t>
      </w:r>
    </w:p>
    <w:p w14:paraId="1AFA64A3">
      <w:pPr>
        <w:adjustRightInd w:val="0"/>
        <w:snapToGrid w:val="0"/>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矿石开采对地表土壤环境破坏较严重，但通过土地复垦的实施，被破坏的土地基本能恢复生产力，结合本方案中土地复垦的措施可知，本项目土地复垦的土壤为开采矿石时剥离表土及外购客土。因此本方案中未设计土环境修复工程。</w:t>
      </w:r>
    </w:p>
    <w:p w14:paraId="5425F69E">
      <w:pPr>
        <w:pStyle w:val="3"/>
        <w:rPr>
          <w:rFonts w:ascii="Times New Roman" w:hAnsi="Times New Roman" w:eastAsia="宋体" w:cs="Times New Roman"/>
          <w:color w:val="auto"/>
          <w:sz w:val="30"/>
          <w:szCs w:val="30"/>
          <w:highlight w:val="none"/>
        </w:rPr>
      </w:pPr>
      <w:bookmarkStart w:id="145" w:name="_Toc27241"/>
      <w:r>
        <w:rPr>
          <w:rFonts w:ascii="Times New Roman" w:hAnsi="Times New Roman" w:eastAsia="宋体" w:cs="Times New Roman"/>
          <w:color w:val="auto"/>
          <w:sz w:val="30"/>
          <w:szCs w:val="30"/>
          <w:highlight w:val="none"/>
        </w:rPr>
        <w:t>六、矿山地质环境监测</w:t>
      </w:r>
      <w:bookmarkEnd w:id="144"/>
      <w:bookmarkEnd w:id="145"/>
    </w:p>
    <w:p w14:paraId="2927FD9E">
      <w:pPr>
        <w:pStyle w:val="4"/>
        <w:rPr>
          <w:rFonts w:ascii="Times New Roman" w:hAnsi="Times New Roman" w:eastAsia="宋体" w:cs="Times New Roman"/>
          <w:color w:val="auto"/>
          <w:sz w:val="28"/>
          <w:szCs w:val="28"/>
          <w:highlight w:val="none"/>
        </w:rPr>
      </w:pPr>
      <w:bookmarkStart w:id="146" w:name="_Toc30377"/>
      <w:r>
        <w:rPr>
          <w:rFonts w:ascii="Times New Roman" w:hAnsi="Times New Roman" w:eastAsia="宋体" w:cs="Times New Roman"/>
          <w:color w:val="auto"/>
          <w:sz w:val="28"/>
          <w:szCs w:val="28"/>
          <w:highlight w:val="none"/>
        </w:rPr>
        <w:t>（一）目标任务</w:t>
      </w:r>
      <w:bookmarkEnd w:id="146"/>
    </w:p>
    <w:p w14:paraId="412FC666">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1、监测目标</w:t>
      </w:r>
    </w:p>
    <w:p w14:paraId="5D0E3FC3">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（1）通过对本矿山地质环境监测，让业主及时掌握矿业活动引发矿区地质环境动态变化，发现问题及时采取相应防治措施；</w:t>
      </w:r>
    </w:p>
    <w:p w14:paraId="739CB05D">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（2）通过对矿区地质环境问题、防治措施实施效果监测，为本矿山地质环境保护恢复治理工程竣工验收提供依据；</w:t>
      </w:r>
    </w:p>
    <w:p w14:paraId="1567689B">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（3）通过对矿区地质环境问题、防治措施实施效果监测，为国土部门监督管理提供依据。</w:t>
      </w:r>
    </w:p>
    <w:p w14:paraId="5BF8A5C9">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2、监测任务</w:t>
      </w:r>
    </w:p>
    <w:p w14:paraId="07C0BF8E">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综合建设工程区地质灾害分布与矿山开采诱发地质灾害，地质环境破坏的可能性和特点，对本工程不同部位的地质灾害、水资源、地貌景观、土地资源进行监测，对治理措施效果进行监测，为国土部门监督管理提供依据。</w:t>
      </w:r>
    </w:p>
    <w:p w14:paraId="1B88669F">
      <w:pPr>
        <w:pStyle w:val="4"/>
        <w:rPr>
          <w:rFonts w:ascii="Times New Roman" w:hAnsi="Times New Roman" w:eastAsia="宋体" w:cs="Times New Roman"/>
          <w:color w:val="auto"/>
          <w:sz w:val="28"/>
          <w:szCs w:val="28"/>
          <w:highlight w:val="none"/>
        </w:rPr>
      </w:pPr>
      <w:bookmarkStart w:id="147" w:name="_Toc6482"/>
      <w:r>
        <w:rPr>
          <w:rFonts w:ascii="Times New Roman" w:hAnsi="Times New Roman" w:eastAsia="宋体" w:cs="Times New Roman"/>
          <w:color w:val="auto"/>
          <w:sz w:val="28"/>
          <w:szCs w:val="28"/>
          <w:highlight w:val="none"/>
        </w:rPr>
        <w:t>（二）监测设计</w:t>
      </w:r>
      <w:bookmarkEnd w:id="147"/>
    </w:p>
    <w:p w14:paraId="502782D6">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1、地质灾害监测工程设计</w:t>
      </w:r>
    </w:p>
    <w:p w14:paraId="58D7DD2E">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1）监测方法</w:t>
      </w:r>
    </w:p>
    <w:p w14:paraId="2752A48D">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用人工观测方式进行，矿山安全员通过定期或不定期目视监测、记录地质灾害有无异常变化，了解地质灾害演变特征，特别是对采区的高陡边坡加强监测，及时对采场边坡及上方山体坡面是否存在崩塌、滑坡隐患、树木歪斜等微观变化，及时捕捉地质灾害前兆信息。检查中发现边坡面有不稳定的松散岩土隐患时，应及时组织专人采取防治措施，对人员、设备进行避让，待险情排除后方可恢复正常工作。</w:t>
      </w:r>
    </w:p>
    <w:p w14:paraId="10EB564E">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2）监测频率</w:t>
      </w:r>
    </w:p>
    <w:p w14:paraId="44E409B3">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汛期（每年6月～年9月）每月监测2次，非汛期（每年10～次年5月）每月监测1次，雨季尤其是持续降雨或大暴雨时每天或雨后一次加密巡视观测。总工作量为</w:t>
      </w:r>
      <w:r>
        <w:rPr>
          <w:rFonts w:hint="eastAsia" w:ascii="仿宋" w:hAnsi="仿宋" w:eastAsia="仿宋" w:cs="仿宋"/>
          <w:color w:val="auto"/>
          <w:sz w:val="28"/>
          <w:szCs w:val="28"/>
          <w:highlight w:val="none"/>
          <w:lang w:val="en-US" w:eastAsia="zh-CN"/>
        </w:rPr>
        <w:t>192</w:t>
      </w:r>
      <w:r>
        <w:rPr>
          <w:rFonts w:hint="eastAsia" w:ascii="仿宋" w:hAnsi="仿宋" w:eastAsia="仿宋" w:cs="仿宋"/>
          <w:color w:val="auto"/>
          <w:sz w:val="28"/>
          <w:szCs w:val="28"/>
          <w:highlight w:val="none"/>
        </w:rPr>
        <w:t>次。</w:t>
      </w:r>
    </w:p>
    <w:p w14:paraId="7B077B60">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3）监测记录</w:t>
      </w:r>
    </w:p>
    <w:p w14:paraId="0C9FF838">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观测记录应列表记录，力求系统完整。观测中如遇降雨，应记录降雨的起止时间并估算其降雨强度（小、中、大、暴雨）。位于地表水体附近的监测点应同时观测记录地表水位的变化。随观测进程可绘制观测曲线，以时间为横坐标，以观测数据为纵坐标，绘出水位变化、裂缝变化等曲线，为分析判断提供基础。</w:t>
      </w:r>
    </w:p>
    <w:p w14:paraId="24C79E4E">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4）险情警报</w:t>
      </w:r>
    </w:p>
    <w:p w14:paraId="7FE0A7DC">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当有异常出现、判定确为险情时，应及时向险情警报系统上报。在未建立险情警报系统的地方，地方政府可根据本地的具体条件建立相应的组织，以利防灾抗灾工作的顺利开展。在观测过程中如发现异常骤然加剧，判定险情已到紧急时刻，应立即上报并果断采取应急措施。</w:t>
      </w:r>
    </w:p>
    <w:p w14:paraId="3B66C557">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5）监测时间：</w:t>
      </w:r>
      <w:r>
        <w:rPr>
          <w:rFonts w:hint="eastAsia" w:ascii="仿宋" w:hAnsi="仿宋" w:eastAsia="仿宋" w:cs="仿宋"/>
          <w:color w:val="auto"/>
          <w:sz w:val="28"/>
          <w:szCs w:val="28"/>
          <w:highlight w:val="none"/>
          <w:lang w:val="en-US" w:eastAsia="zh-CN"/>
        </w:rPr>
        <w:t>13.14</w:t>
      </w:r>
      <w:r>
        <w:rPr>
          <w:rFonts w:hint="eastAsia" w:ascii="仿宋" w:hAnsi="仿宋" w:eastAsia="仿宋" w:cs="仿宋"/>
          <w:color w:val="auto"/>
          <w:sz w:val="28"/>
          <w:szCs w:val="28"/>
          <w:highlight w:val="none"/>
        </w:rPr>
        <w:t>年。</w:t>
      </w:r>
    </w:p>
    <w:p w14:paraId="083E89EE">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、地形地貌景观监测</w:t>
      </w:r>
    </w:p>
    <w:p w14:paraId="60795892">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根据对矿体采动影响区域的地表植被进行监测。</w:t>
      </w:r>
    </w:p>
    <w:p w14:paraId="48EC4648">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1）监测内容：监测植被非自然死亡、退化的情况。</w:t>
      </w:r>
    </w:p>
    <w:p w14:paraId="666B27C1">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）监测方法：定期巡查，对破坏范围内的植被破坏情况、土壤破坏情况等进行调查。</w:t>
      </w:r>
    </w:p>
    <w:p w14:paraId="6C11F1C1">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）监测频率：1次/月。</w:t>
      </w:r>
    </w:p>
    <w:p w14:paraId="1E9D1321">
      <w:pPr>
        <w:adjustRightInd w:val="0"/>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）监测时间：</w:t>
      </w:r>
      <w:r>
        <w:rPr>
          <w:rFonts w:hint="eastAsia" w:ascii="仿宋" w:hAnsi="仿宋" w:eastAsia="仿宋" w:cs="仿宋"/>
          <w:color w:val="auto"/>
          <w:sz w:val="28"/>
          <w:szCs w:val="28"/>
          <w:highlight w:val="none"/>
          <w:lang w:val="en-US" w:eastAsia="zh-CN"/>
        </w:rPr>
        <w:t>13.14</w:t>
      </w:r>
      <w:r>
        <w:rPr>
          <w:rFonts w:hint="eastAsia" w:ascii="仿宋" w:hAnsi="仿宋" w:eastAsia="仿宋" w:cs="仿宋"/>
          <w:color w:val="auto"/>
          <w:sz w:val="28"/>
          <w:szCs w:val="28"/>
          <w:highlight w:val="none"/>
        </w:rPr>
        <w:t>年。</w:t>
      </w:r>
    </w:p>
    <w:p w14:paraId="33D8DED3">
      <w:pPr>
        <w:pStyle w:val="4"/>
        <w:rPr>
          <w:rFonts w:ascii="Times New Roman" w:hAnsi="Times New Roman" w:eastAsia="宋体" w:cs="Times New Roman"/>
          <w:color w:val="auto"/>
          <w:sz w:val="28"/>
          <w:szCs w:val="28"/>
          <w:highlight w:val="none"/>
        </w:rPr>
      </w:pPr>
      <w:bookmarkStart w:id="148" w:name="_Toc1423"/>
      <w:r>
        <w:rPr>
          <w:rFonts w:ascii="Times New Roman" w:hAnsi="Times New Roman" w:eastAsia="宋体" w:cs="Times New Roman"/>
          <w:color w:val="auto"/>
          <w:sz w:val="28"/>
          <w:szCs w:val="28"/>
          <w:highlight w:val="none"/>
        </w:rPr>
        <w:t>（三）技术措施</w:t>
      </w:r>
      <w:bookmarkEnd w:id="148"/>
    </w:p>
    <w:p w14:paraId="522A4989">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1、建立矿山地质环境监测的专门机构（部门）或将监测工作委托专业监测机构完成，由专门机构或受委托方全面负责矿山地质环境监测的日常管理工作。</w:t>
      </w:r>
    </w:p>
    <w:p w14:paraId="511C2F09">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2、建立矿山地质环境监测制度，做好监测和预警预报工作。</w:t>
      </w:r>
    </w:p>
    <w:p w14:paraId="53855D94">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3、每次巡查监测必须进行现场记录，对监测数据进行分析对比，出现异常情况立即报告矿山领导和相关部门，及时采取措施。</w:t>
      </w:r>
    </w:p>
    <w:p w14:paraId="1A484EEB">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4、建立监测资料档案，监测资料及时存档。</w:t>
      </w:r>
    </w:p>
    <w:p w14:paraId="358EA0E0">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5、定期组织专职监测人员学习相关监测专业技术知识，提高监测水平质量。</w:t>
      </w:r>
    </w:p>
    <w:p w14:paraId="4211A2B8">
      <w:pPr>
        <w:pStyle w:val="4"/>
        <w:rPr>
          <w:rFonts w:ascii="Times New Roman" w:hAnsi="Times New Roman" w:eastAsia="宋体" w:cs="Times New Roman"/>
          <w:color w:val="auto"/>
          <w:sz w:val="28"/>
          <w:szCs w:val="28"/>
          <w:highlight w:val="none"/>
        </w:rPr>
      </w:pPr>
      <w:bookmarkStart w:id="149" w:name="_Toc1245"/>
      <w:r>
        <w:rPr>
          <w:rFonts w:ascii="Times New Roman" w:hAnsi="Times New Roman" w:eastAsia="宋体" w:cs="Times New Roman"/>
          <w:color w:val="auto"/>
          <w:sz w:val="28"/>
          <w:szCs w:val="28"/>
          <w:highlight w:val="none"/>
        </w:rPr>
        <w:t>（四）主要工程量</w:t>
      </w:r>
      <w:bookmarkEnd w:id="149"/>
    </w:p>
    <w:p w14:paraId="6B2431C8">
      <w:pPr>
        <w:adjustRightInd w:val="0"/>
        <w:snapToGrid w:val="0"/>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根据地质环境监测工程设计和矿山服务年限及后期土地复垦实施及监护时限测算出本项目矿山地质环境监测主要工程量见表5-</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p>
    <w:p w14:paraId="583D0138">
      <w:pPr>
        <w:adjustRightInd w:val="0"/>
        <w:snapToGrid w:val="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表5-</w:t>
      </w:r>
      <w:r>
        <w:rPr>
          <w:rFonts w:hint="eastAsia" w:ascii="Times New Roman" w:hAnsi="Times New Roman" w:eastAsia="宋体" w:cs="Times New Roman"/>
          <w:b/>
          <w:color w:val="auto"/>
          <w:highlight w:val="none"/>
          <w:lang w:val="en-US" w:eastAsia="zh-CN"/>
        </w:rPr>
        <w:t>8</w:t>
      </w:r>
      <w:r>
        <w:rPr>
          <w:rFonts w:ascii="Times New Roman" w:hAnsi="Times New Roman" w:eastAsia="宋体" w:cs="Times New Roman"/>
          <w:b/>
          <w:color w:val="auto"/>
          <w:highlight w:val="none"/>
        </w:rPr>
        <w:t xml:space="preserve">  矿山地质环境监测主要工作量表</w:t>
      </w:r>
    </w:p>
    <w:tbl>
      <w:tblPr>
        <w:tblStyle w:val="23"/>
        <w:tblW w:w="8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402"/>
        <w:gridCol w:w="1843"/>
        <w:gridCol w:w="1842"/>
      </w:tblGrid>
      <w:tr w14:paraId="257E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384" w:type="dxa"/>
            <w:vAlign w:val="center"/>
          </w:tcPr>
          <w:p w14:paraId="2AC3A829">
            <w:pPr>
              <w:adjustRightInd w:val="0"/>
              <w:snapToGrid w:val="0"/>
              <w:jc w:val="center"/>
              <w:rPr>
                <w:rFonts w:eastAsia="宋体"/>
                <w:color w:val="auto"/>
                <w:highlight w:val="none"/>
              </w:rPr>
            </w:pPr>
            <w:r>
              <w:rPr>
                <w:rFonts w:eastAsia="宋体"/>
                <w:color w:val="auto"/>
                <w:highlight w:val="none"/>
              </w:rPr>
              <w:t>编号</w:t>
            </w:r>
          </w:p>
        </w:tc>
        <w:tc>
          <w:tcPr>
            <w:tcW w:w="3402" w:type="dxa"/>
            <w:vAlign w:val="center"/>
          </w:tcPr>
          <w:p w14:paraId="209B8B55">
            <w:pPr>
              <w:adjustRightInd w:val="0"/>
              <w:snapToGrid w:val="0"/>
              <w:jc w:val="center"/>
              <w:rPr>
                <w:rFonts w:eastAsia="宋体"/>
                <w:color w:val="auto"/>
                <w:highlight w:val="none"/>
              </w:rPr>
            </w:pPr>
            <w:r>
              <w:rPr>
                <w:rFonts w:eastAsia="宋体"/>
                <w:color w:val="auto"/>
                <w:highlight w:val="none"/>
              </w:rPr>
              <w:t>工程名称</w:t>
            </w:r>
          </w:p>
        </w:tc>
        <w:tc>
          <w:tcPr>
            <w:tcW w:w="1843" w:type="dxa"/>
            <w:vAlign w:val="center"/>
          </w:tcPr>
          <w:p w14:paraId="55CFD181">
            <w:pPr>
              <w:adjustRightInd w:val="0"/>
              <w:snapToGrid w:val="0"/>
              <w:jc w:val="center"/>
              <w:rPr>
                <w:rFonts w:eastAsia="宋体"/>
                <w:color w:val="auto"/>
                <w:highlight w:val="none"/>
              </w:rPr>
            </w:pPr>
            <w:r>
              <w:rPr>
                <w:rFonts w:eastAsia="宋体"/>
                <w:color w:val="auto"/>
                <w:highlight w:val="none"/>
              </w:rPr>
              <w:t>频次</w:t>
            </w:r>
          </w:p>
        </w:tc>
        <w:tc>
          <w:tcPr>
            <w:tcW w:w="1842" w:type="dxa"/>
            <w:vAlign w:val="center"/>
          </w:tcPr>
          <w:p w14:paraId="1061293C">
            <w:pPr>
              <w:adjustRightInd w:val="0"/>
              <w:snapToGrid w:val="0"/>
              <w:jc w:val="center"/>
              <w:rPr>
                <w:rFonts w:eastAsia="宋体"/>
                <w:color w:val="auto"/>
                <w:highlight w:val="none"/>
              </w:rPr>
            </w:pPr>
            <w:r>
              <w:rPr>
                <w:rFonts w:eastAsia="宋体"/>
                <w:color w:val="auto"/>
                <w:highlight w:val="none"/>
              </w:rPr>
              <w:t>数量</w:t>
            </w:r>
          </w:p>
        </w:tc>
      </w:tr>
      <w:tr w14:paraId="770D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4" w:type="dxa"/>
            <w:vAlign w:val="center"/>
          </w:tcPr>
          <w:p w14:paraId="71EF6C6E">
            <w:pPr>
              <w:adjustRightInd w:val="0"/>
              <w:snapToGrid w:val="0"/>
              <w:jc w:val="center"/>
              <w:rPr>
                <w:rFonts w:eastAsia="宋体"/>
                <w:color w:val="auto"/>
                <w:highlight w:val="none"/>
              </w:rPr>
            </w:pPr>
            <w:r>
              <w:rPr>
                <w:rFonts w:eastAsia="宋体"/>
                <w:color w:val="auto"/>
                <w:highlight w:val="none"/>
              </w:rPr>
              <w:t>1</w:t>
            </w:r>
          </w:p>
        </w:tc>
        <w:tc>
          <w:tcPr>
            <w:tcW w:w="3402" w:type="dxa"/>
            <w:vAlign w:val="center"/>
          </w:tcPr>
          <w:p w14:paraId="682DE263">
            <w:pPr>
              <w:adjustRightInd w:val="0"/>
              <w:snapToGrid w:val="0"/>
              <w:jc w:val="center"/>
              <w:rPr>
                <w:rFonts w:eastAsia="宋体"/>
                <w:color w:val="auto"/>
                <w:highlight w:val="none"/>
              </w:rPr>
            </w:pPr>
            <w:r>
              <w:rPr>
                <w:rFonts w:eastAsia="宋体"/>
                <w:color w:val="auto"/>
                <w:highlight w:val="none"/>
              </w:rPr>
              <w:t>地灾监测</w:t>
            </w:r>
          </w:p>
        </w:tc>
        <w:tc>
          <w:tcPr>
            <w:tcW w:w="1843" w:type="dxa"/>
            <w:vAlign w:val="center"/>
          </w:tcPr>
          <w:p w14:paraId="56BEF5ED">
            <w:pPr>
              <w:adjustRightInd w:val="0"/>
              <w:snapToGrid w:val="0"/>
              <w:jc w:val="center"/>
              <w:rPr>
                <w:rFonts w:hint="eastAsia" w:eastAsia="宋体"/>
                <w:color w:val="auto"/>
                <w:highlight w:val="none"/>
                <w:lang w:eastAsia="zh-CN"/>
              </w:rPr>
            </w:pPr>
            <w:r>
              <w:rPr>
                <w:rFonts w:hint="eastAsia" w:eastAsia="宋体"/>
                <w:color w:val="auto"/>
                <w:highlight w:val="none"/>
                <w:lang w:val="en-US" w:eastAsia="zh-CN"/>
              </w:rPr>
              <w:t>2</w:t>
            </w:r>
            <w:r>
              <w:rPr>
                <w:rFonts w:eastAsia="宋体"/>
                <w:color w:val="auto"/>
                <w:highlight w:val="none"/>
              </w:rPr>
              <w:t>次/</w:t>
            </w:r>
            <w:r>
              <w:rPr>
                <w:rFonts w:hint="eastAsia" w:eastAsia="宋体"/>
                <w:color w:val="auto"/>
                <w:highlight w:val="none"/>
                <w:lang w:val="en-US" w:eastAsia="zh-CN"/>
              </w:rPr>
              <w:t>汛期（</w:t>
            </w:r>
            <w:r>
              <w:rPr>
                <w:rFonts w:hint="default" w:eastAsia="宋体"/>
                <w:color w:val="auto"/>
                <w:highlight w:val="none"/>
              </w:rPr>
              <w:t>每年6月～年9月</w:t>
            </w:r>
            <w:r>
              <w:rPr>
                <w:rFonts w:hint="eastAsia" w:eastAsia="宋体"/>
                <w:color w:val="auto"/>
                <w:highlight w:val="none"/>
                <w:lang w:eastAsia="zh-CN"/>
              </w:rPr>
              <w:t>）</w:t>
            </w:r>
          </w:p>
          <w:p w14:paraId="0CE50A26">
            <w:pPr>
              <w:adjustRightInd w:val="0"/>
              <w:snapToGrid w:val="0"/>
              <w:jc w:val="center"/>
              <w:rPr>
                <w:rFonts w:hint="default" w:eastAsia="宋体"/>
                <w:color w:val="auto"/>
                <w:highlight w:val="none"/>
                <w:lang w:val="en-US" w:eastAsia="zh-CN"/>
              </w:rPr>
            </w:pPr>
            <w:r>
              <w:rPr>
                <w:rFonts w:hint="eastAsia" w:eastAsia="宋体"/>
                <w:color w:val="auto"/>
                <w:highlight w:val="none"/>
                <w:lang w:val="en-US" w:eastAsia="zh-CN"/>
              </w:rPr>
              <w:t>1</w:t>
            </w:r>
            <w:r>
              <w:rPr>
                <w:rFonts w:eastAsia="宋体"/>
                <w:color w:val="auto"/>
                <w:highlight w:val="none"/>
              </w:rPr>
              <w:t>次/</w:t>
            </w:r>
            <w:r>
              <w:rPr>
                <w:rFonts w:hint="eastAsia" w:eastAsia="宋体"/>
                <w:color w:val="auto"/>
                <w:highlight w:val="none"/>
                <w:lang w:val="en-US" w:eastAsia="zh-CN"/>
              </w:rPr>
              <w:t>非汛期</w:t>
            </w:r>
            <w:r>
              <w:rPr>
                <w:rFonts w:hint="default" w:eastAsia="宋体"/>
                <w:color w:val="auto"/>
                <w:highlight w:val="none"/>
              </w:rPr>
              <w:t>（每年10～次年5月）</w:t>
            </w:r>
          </w:p>
        </w:tc>
        <w:tc>
          <w:tcPr>
            <w:tcW w:w="1842" w:type="dxa"/>
            <w:vAlign w:val="center"/>
          </w:tcPr>
          <w:p w14:paraId="53CC220F">
            <w:pPr>
              <w:adjustRightInd w:val="0"/>
              <w:snapToGrid w:val="0"/>
              <w:jc w:val="center"/>
              <w:rPr>
                <w:rFonts w:hint="default" w:eastAsia="宋体"/>
                <w:color w:val="auto"/>
                <w:highlight w:val="none"/>
                <w:lang w:val="en-US" w:eastAsia="zh-CN"/>
              </w:rPr>
            </w:pPr>
            <w:r>
              <w:rPr>
                <w:rFonts w:hint="eastAsia" w:eastAsia="宋体"/>
                <w:color w:val="auto"/>
                <w:highlight w:val="none"/>
                <w:lang w:val="en-US" w:eastAsia="zh-CN"/>
              </w:rPr>
              <w:t>208</w:t>
            </w:r>
          </w:p>
        </w:tc>
      </w:tr>
      <w:tr w14:paraId="5E92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4" w:type="dxa"/>
            <w:vAlign w:val="center"/>
          </w:tcPr>
          <w:p w14:paraId="3B2582C5">
            <w:pPr>
              <w:adjustRightInd w:val="0"/>
              <w:snapToGrid w:val="0"/>
              <w:jc w:val="center"/>
              <w:rPr>
                <w:rFonts w:hint="eastAsia" w:eastAsia="宋体"/>
                <w:color w:val="auto"/>
                <w:highlight w:val="none"/>
                <w:lang w:eastAsia="zh-CN"/>
              </w:rPr>
            </w:pPr>
            <w:r>
              <w:rPr>
                <w:rFonts w:hint="eastAsia" w:eastAsia="宋体"/>
                <w:color w:val="auto"/>
                <w:highlight w:val="none"/>
                <w:lang w:val="en-US" w:eastAsia="zh-CN"/>
              </w:rPr>
              <w:t>2</w:t>
            </w:r>
          </w:p>
        </w:tc>
        <w:tc>
          <w:tcPr>
            <w:tcW w:w="3402" w:type="dxa"/>
            <w:vAlign w:val="center"/>
          </w:tcPr>
          <w:p w14:paraId="54ED3534">
            <w:pPr>
              <w:adjustRightInd w:val="0"/>
              <w:snapToGrid w:val="0"/>
              <w:jc w:val="center"/>
              <w:rPr>
                <w:rFonts w:eastAsia="宋体"/>
                <w:color w:val="auto"/>
                <w:highlight w:val="none"/>
              </w:rPr>
            </w:pPr>
            <w:r>
              <w:rPr>
                <w:rFonts w:eastAsia="宋体"/>
                <w:color w:val="auto"/>
                <w:highlight w:val="none"/>
              </w:rPr>
              <w:t>地形地貌景观监测</w:t>
            </w:r>
          </w:p>
        </w:tc>
        <w:tc>
          <w:tcPr>
            <w:tcW w:w="1843" w:type="dxa"/>
            <w:vAlign w:val="center"/>
          </w:tcPr>
          <w:p w14:paraId="7EA6EE19">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1次/月</w:t>
            </w:r>
          </w:p>
        </w:tc>
        <w:tc>
          <w:tcPr>
            <w:tcW w:w="1842" w:type="dxa"/>
            <w:vAlign w:val="center"/>
          </w:tcPr>
          <w:p w14:paraId="05D4A8E3">
            <w:pPr>
              <w:adjustRightInd w:val="0"/>
              <w:snapToGrid w:val="0"/>
              <w:jc w:val="center"/>
              <w:rPr>
                <w:rFonts w:hint="default" w:eastAsia="宋体" w:asciiTheme="minorHAnsi" w:hAnsiTheme="minorHAnsi" w:cstheme="minorBidi"/>
                <w:color w:val="auto"/>
                <w:kern w:val="2"/>
                <w:sz w:val="21"/>
                <w:szCs w:val="21"/>
                <w:highlight w:val="none"/>
                <w:lang w:val="en-US" w:eastAsia="zh-CN" w:bidi="ar-SA"/>
              </w:rPr>
            </w:pPr>
            <w:r>
              <w:rPr>
                <w:rFonts w:hint="eastAsia" w:eastAsia="宋体"/>
                <w:color w:val="auto"/>
                <w:highlight w:val="none"/>
                <w:lang w:val="en-US" w:eastAsia="zh-CN"/>
              </w:rPr>
              <w:t>156</w:t>
            </w:r>
          </w:p>
        </w:tc>
      </w:tr>
    </w:tbl>
    <w:p w14:paraId="368D41B9">
      <w:pPr>
        <w:pStyle w:val="3"/>
        <w:rPr>
          <w:rFonts w:ascii="Times New Roman" w:hAnsi="Times New Roman" w:eastAsia="宋体" w:cs="Times New Roman"/>
          <w:color w:val="auto"/>
          <w:sz w:val="30"/>
          <w:szCs w:val="30"/>
          <w:highlight w:val="none"/>
        </w:rPr>
      </w:pPr>
      <w:bookmarkStart w:id="150" w:name="_Toc14542"/>
      <w:bookmarkStart w:id="151" w:name="_Toc22855"/>
      <w:bookmarkStart w:id="152" w:name="_Toc511576356"/>
      <w:r>
        <w:rPr>
          <w:rFonts w:ascii="Times New Roman" w:hAnsi="Times New Roman" w:eastAsia="宋体" w:cs="Times New Roman"/>
          <w:color w:val="auto"/>
          <w:sz w:val="30"/>
          <w:szCs w:val="30"/>
          <w:highlight w:val="none"/>
        </w:rPr>
        <w:t>七、矿区土地复垦监测和管护</w:t>
      </w:r>
      <w:bookmarkEnd w:id="150"/>
      <w:bookmarkEnd w:id="151"/>
      <w:bookmarkEnd w:id="152"/>
    </w:p>
    <w:p w14:paraId="10848648">
      <w:pPr>
        <w:pStyle w:val="4"/>
        <w:rPr>
          <w:rFonts w:ascii="Times New Roman" w:hAnsi="Times New Roman" w:eastAsia="宋体" w:cs="Times New Roman"/>
          <w:color w:val="auto"/>
          <w:sz w:val="28"/>
          <w:szCs w:val="28"/>
          <w:highlight w:val="none"/>
        </w:rPr>
      </w:pPr>
      <w:bookmarkStart w:id="153" w:name="_Toc19864"/>
      <w:r>
        <w:rPr>
          <w:rFonts w:ascii="Times New Roman" w:hAnsi="Times New Roman" w:eastAsia="宋体" w:cs="Times New Roman"/>
          <w:color w:val="auto"/>
          <w:sz w:val="28"/>
          <w:szCs w:val="28"/>
          <w:highlight w:val="none"/>
        </w:rPr>
        <w:t>（一）目标任务</w:t>
      </w:r>
      <w:bookmarkEnd w:id="153"/>
    </w:p>
    <w:p w14:paraId="2C74BF74">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1、监测目标任务</w:t>
      </w:r>
    </w:p>
    <w:p w14:paraId="59E77098">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本方案监测以巡视监测为主，监测主要包括以下任务：</w:t>
      </w:r>
    </w:p>
    <w:p w14:paraId="1AB3F610">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1）原始地形信息。工程建设导致地形地貌发生变化，为了更好地与原始地形进行对比，需在开采前对原始地形进行监测。</w:t>
      </w:r>
    </w:p>
    <w:p w14:paraId="569D6A71">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2）土地利用状况。要保留原始的土地利用状况信息，以便对后期的变化进行追踪对比研究，主要是土地利用数据。</w:t>
      </w:r>
    </w:p>
    <w:p w14:paraId="4CF33D5E">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3）土壤信息。包括土壤类型，以及土壤的各种理化性质等信息。</w:t>
      </w:r>
    </w:p>
    <w:p w14:paraId="1AC9FE06">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4）耕地权属信息。采集复垦区占用的耕地情况和地籍信息，为占补平衡提供依据。</w:t>
      </w:r>
    </w:p>
    <w:p w14:paraId="47251728">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5）损毁监测。包括实际损毁的面积、地类、损毁类型和损毁程度等，监测挖损区域是否会有落石、垮塌现象出现。</w:t>
      </w:r>
    </w:p>
    <w:p w14:paraId="4BCD539F">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6）复垦效果进行监测。复垦后耕地情况、植被恢复情况及复垦配套设施监测。</w:t>
      </w:r>
    </w:p>
    <w:p w14:paraId="04736B1E">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2、管护目标任务</w:t>
      </w:r>
    </w:p>
    <w:p w14:paraId="7F572E21">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工程是基础，管理是关键。土地复垦项目的工程设施应加强后期管护。项目通过验收后，农业部门要加强对新增耕地质量建设的服务与管理工作。</w:t>
      </w:r>
    </w:p>
    <w:p w14:paraId="45E2D03A">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在实施复垦后，复垦后的工程设施由复垦义务人进行管护，明确管护该段设施的责任人，复垦义务人应落实具体人员负责定期对各出的管护情况进行监测，遇管护不力、不当等情况应及时处理。要确保项目农田水利设施、林网、道路等基础设施完好，不断改善农业生产条件，提高耕地地力水平。</w:t>
      </w:r>
    </w:p>
    <w:p w14:paraId="7F3AECE2">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植被管护针对乔木树苗种植后进行管护。管护的主要任务为做好管护工作和抚育工作，精细管理，保证栽种的成活率，死苗要及时补种。树木栽种后，及时浇水灌溉，特别是在幼苗的保苗期和干旱、高温季节多浇水，保证苗木不受损；新造幼林要封育，严禁放牧，并对病虫害及缺肥症状进行观察、记录，一旦发现，立即采取喷农药或施肥等相应措施。抚育管护：造林当年需用稻草等覆盖物遮护裸露地表，防止雨水对地表冲刷，影响苗木成活。9月除草培土1次，雨季补植；次年和第三年各除草培土1次；防火，防病虫害，防牲畜和认为损害。管护过程中，采取补植补造，保证造林的保存率和成活率在85%以上，验收时植被覆盖率达到</w:t>
      </w: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0%以上。</w:t>
      </w:r>
    </w:p>
    <w:p w14:paraId="2F0A35FA">
      <w:pPr>
        <w:autoSpaceDE w:val="0"/>
        <w:autoSpaceDN w:val="0"/>
        <w:adjustRightInd w:val="0"/>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补种树苗150株.</w:t>
      </w:r>
    </w:p>
    <w:p w14:paraId="7C13FBDB">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复垦区域，土壤质量往往较低，达不到优良耕地要求。因此对复垦土壤质量进行改良，在复垦后增加有机肥，以提高土壤肥力和土壤质量。</w:t>
      </w:r>
    </w:p>
    <w:p w14:paraId="74BDF6E7">
      <w:pPr>
        <w:pStyle w:val="4"/>
        <w:rPr>
          <w:rFonts w:ascii="Times New Roman" w:hAnsi="Times New Roman" w:eastAsia="宋体" w:cs="Times New Roman"/>
          <w:bCs/>
          <w:color w:val="auto"/>
          <w:sz w:val="28"/>
          <w:szCs w:val="28"/>
          <w:highlight w:val="none"/>
        </w:rPr>
      </w:pPr>
      <w:bookmarkStart w:id="154" w:name="_Toc27349"/>
      <w:r>
        <w:rPr>
          <w:rFonts w:ascii="Times New Roman" w:hAnsi="Times New Roman" w:eastAsia="宋体" w:cs="Times New Roman"/>
          <w:bCs/>
          <w:color w:val="auto"/>
          <w:sz w:val="28"/>
          <w:szCs w:val="28"/>
          <w:highlight w:val="none"/>
        </w:rPr>
        <w:t>（二）措施和内容</w:t>
      </w:r>
      <w:bookmarkEnd w:id="154"/>
    </w:p>
    <w:p w14:paraId="2175411E">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1、监测工程措施</w:t>
      </w:r>
    </w:p>
    <w:p w14:paraId="6870ECF4">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1、监测措施设计</w:t>
      </w:r>
    </w:p>
    <w:p w14:paraId="36CCDE32">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本方案监测以巡视监测为主，监测按照6次/年，设计监测年限为</w:t>
      </w:r>
      <w:r>
        <w:rPr>
          <w:rFonts w:hint="eastAsia" w:ascii="仿宋" w:hAnsi="仿宋" w:eastAsia="仿宋" w:cs="仿宋"/>
          <w:color w:val="auto"/>
          <w:sz w:val="28"/>
          <w:szCs w:val="28"/>
          <w:highlight w:val="none"/>
          <w:lang w:val="en-US" w:eastAsia="zh-CN"/>
        </w:rPr>
        <w:t>13.14</w:t>
      </w:r>
      <w:r>
        <w:rPr>
          <w:rFonts w:hint="eastAsia" w:ascii="仿宋" w:hAnsi="仿宋" w:eastAsia="仿宋" w:cs="仿宋"/>
          <w:color w:val="auto"/>
          <w:sz w:val="28"/>
          <w:szCs w:val="28"/>
          <w:highlight w:val="none"/>
        </w:rPr>
        <w:t>年。主要包括以下内容：</w:t>
      </w:r>
    </w:p>
    <w:p w14:paraId="582F28F3">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1）原始地形信息。工程建设导致地形地貌发生变化，为了更好地与原始地形进行对比，需在开采同时对原始地形进行监测。</w:t>
      </w:r>
    </w:p>
    <w:p w14:paraId="3FDB3DA1">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2）土地利用状况。要保留原始的土地利用状况信息，以便对后期的变化进行追踪对比研究，主要是土地利用数据。</w:t>
      </w:r>
    </w:p>
    <w:p w14:paraId="3AED6438">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3）土壤信息。包括土壤类型，以及土壤的各种理化性质等信息。</w:t>
      </w:r>
    </w:p>
    <w:p w14:paraId="37B683E2">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4）耕地权属信息。采集复垦区占用的耕地情况和地籍信息，为占补平衡提供依据。</w:t>
      </w:r>
    </w:p>
    <w:p w14:paraId="45EC0DEB">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5）损毁监测。包括实际损毁的面积、地类、损毁类型和损毁程度等，监测挖损区域是否会有落石、垮塌现象出现。</w:t>
      </w:r>
    </w:p>
    <w:p w14:paraId="6B10A69D">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6）复垦效果进行监测。复垦后植被恢复情况及复垦配套设施监测。</w:t>
      </w:r>
    </w:p>
    <w:p w14:paraId="699E77A8">
      <w:pPr>
        <w:adjustRightInd w:val="0"/>
        <w:snapToGrid w:val="0"/>
        <w:ind w:firstLine="211" w:firstLineChars="100"/>
        <w:jc w:val="center"/>
        <w:rPr>
          <w:rFonts w:eastAsia="宋体"/>
          <w:b/>
          <w:color w:val="auto"/>
          <w:highlight w:val="none"/>
        </w:rPr>
      </w:pPr>
      <w:r>
        <w:rPr>
          <w:rFonts w:eastAsia="宋体"/>
          <w:b/>
          <w:color w:val="auto"/>
          <w:highlight w:val="none"/>
        </w:rPr>
        <w:t>表5-</w:t>
      </w:r>
      <w:r>
        <w:rPr>
          <w:rFonts w:hint="eastAsia" w:eastAsia="宋体"/>
          <w:b/>
          <w:color w:val="auto"/>
          <w:highlight w:val="none"/>
          <w:lang w:val="en-US" w:eastAsia="zh-CN"/>
        </w:rPr>
        <w:t>9</w:t>
      </w:r>
      <w:r>
        <w:rPr>
          <w:rFonts w:eastAsia="宋体"/>
          <w:b/>
          <w:color w:val="auto"/>
          <w:highlight w:val="none"/>
        </w:rPr>
        <w:t xml:space="preserve">   土地复垦巡视监测工程量表</w:t>
      </w:r>
    </w:p>
    <w:tbl>
      <w:tblPr>
        <w:tblStyle w:val="23"/>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1276"/>
        <w:gridCol w:w="1276"/>
        <w:gridCol w:w="1275"/>
      </w:tblGrid>
      <w:tr w14:paraId="5D5A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644" w:type="dxa"/>
            <w:vAlign w:val="center"/>
          </w:tcPr>
          <w:p w14:paraId="08154DF7">
            <w:pPr>
              <w:adjustRightInd w:val="0"/>
              <w:snapToGrid w:val="0"/>
              <w:jc w:val="center"/>
              <w:rPr>
                <w:rFonts w:eastAsia="宋体"/>
                <w:color w:val="auto"/>
                <w:highlight w:val="none"/>
              </w:rPr>
            </w:pPr>
            <w:r>
              <w:rPr>
                <w:rFonts w:eastAsia="宋体"/>
                <w:color w:val="auto"/>
                <w:highlight w:val="none"/>
              </w:rPr>
              <w:t>监测内容</w:t>
            </w:r>
          </w:p>
        </w:tc>
        <w:tc>
          <w:tcPr>
            <w:tcW w:w="1276" w:type="dxa"/>
            <w:vAlign w:val="center"/>
          </w:tcPr>
          <w:p w14:paraId="1C598148">
            <w:pPr>
              <w:adjustRightInd w:val="0"/>
              <w:snapToGrid w:val="0"/>
              <w:jc w:val="center"/>
              <w:rPr>
                <w:rFonts w:eastAsia="宋体"/>
                <w:color w:val="auto"/>
                <w:highlight w:val="none"/>
              </w:rPr>
            </w:pPr>
            <w:r>
              <w:rPr>
                <w:rFonts w:eastAsia="宋体"/>
                <w:color w:val="auto"/>
                <w:highlight w:val="none"/>
              </w:rPr>
              <w:t>监测频率</w:t>
            </w:r>
          </w:p>
        </w:tc>
        <w:tc>
          <w:tcPr>
            <w:tcW w:w="1276" w:type="dxa"/>
            <w:vAlign w:val="center"/>
          </w:tcPr>
          <w:p w14:paraId="1461FE4A">
            <w:pPr>
              <w:adjustRightInd w:val="0"/>
              <w:snapToGrid w:val="0"/>
              <w:jc w:val="center"/>
              <w:rPr>
                <w:rFonts w:eastAsia="宋体"/>
                <w:color w:val="auto"/>
                <w:highlight w:val="none"/>
              </w:rPr>
            </w:pPr>
            <w:r>
              <w:rPr>
                <w:rFonts w:eastAsia="宋体"/>
                <w:color w:val="auto"/>
                <w:highlight w:val="none"/>
              </w:rPr>
              <w:t>监测年限</w:t>
            </w:r>
          </w:p>
        </w:tc>
        <w:tc>
          <w:tcPr>
            <w:tcW w:w="1275" w:type="dxa"/>
            <w:vAlign w:val="center"/>
          </w:tcPr>
          <w:p w14:paraId="27FBA30A">
            <w:pPr>
              <w:adjustRightInd w:val="0"/>
              <w:snapToGrid w:val="0"/>
              <w:jc w:val="center"/>
              <w:rPr>
                <w:rFonts w:eastAsia="宋体"/>
                <w:color w:val="auto"/>
                <w:highlight w:val="none"/>
              </w:rPr>
            </w:pPr>
            <w:r>
              <w:rPr>
                <w:rFonts w:eastAsia="宋体"/>
                <w:color w:val="auto"/>
                <w:highlight w:val="none"/>
              </w:rPr>
              <w:t>监测次数</w:t>
            </w:r>
          </w:p>
        </w:tc>
      </w:tr>
      <w:tr w14:paraId="552C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644" w:type="dxa"/>
            <w:vAlign w:val="center"/>
          </w:tcPr>
          <w:p w14:paraId="3DC058C5">
            <w:pPr>
              <w:adjustRightInd w:val="0"/>
              <w:snapToGrid w:val="0"/>
              <w:jc w:val="center"/>
              <w:rPr>
                <w:rFonts w:eastAsia="宋体"/>
                <w:color w:val="auto"/>
                <w:highlight w:val="none"/>
              </w:rPr>
            </w:pPr>
            <w:r>
              <w:rPr>
                <w:rFonts w:eastAsia="宋体"/>
                <w:color w:val="auto"/>
                <w:highlight w:val="none"/>
              </w:rPr>
              <w:t>原始地形信息、土地利用状况、土壤信息和耕地权属信息、土地损毁监测、复垦效果监测</w:t>
            </w:r>
          </w:p>
        </w:tc>
        <w:tc>
          <w:tcPr>
            <w:tcW w:w="1276" w:type="dxa"/>
            <w:vAlign w:val="center"/>
          </w:tcPr>
          <w:p w14:paraId="3D4959ED">
            <w:pPr>
              <w:adjustRightInd w:val="0"/>
              <w:snapToGrid w:val="0"/>
              <w:jc w:val="center"/>
              <w:rPr>
                <w:rFonts w:eastAsia="宋体"/>
                <w:color w:val="auto"/>
                <w:highlight w:val="none"/>
              </w:rPr>
            </w:pPr>
            <w:r>
              <w:rPr>
                <w:rFonts w:eastAsia="宋体"/>
                <w:color w:val="auto"/>
                <w:highlight w:val="none"/>
              </w:rPr>
              <w:t>6次/年</w:t>
            </w:r>
          </w:p>
        </w:tc>
        <w:tc>
          <w:tcPr>
            <w:tcW w:w="1276" w:type="dxa"/>
            <w:vAlign w:val="center"/>
          </w:tcPr>
          <w:p w14:paraId="22D48E73">
            <w:pPr>
              <w:adjustRightInd w:val="0"/>
              <w:snapToGrid w:val="0"/>
              <w:jc w:val="center"/>
              <w:rPr>
                <w:rFonts w:eastAsia="宋体"/>
                <w:color w:val="auto"/>
                <w:highlight w:val="none"/>
              </w:rPr>
            </w:pPr>
            <w:r>
              <w:rPr>
                <w:rFonts w:hint="eastAsia" w:eastAsia="宋体"/>
                <w:color w:val="auto"/>
                <w:highlight w:val="none"/>
                <w:lang w:val="en-US" w:eastAsia="zh-CN"/>
              </w:rPr>
              <w:t>13.14</w:t>
            </w:r>
            <w:r>
              <w:rPr>
                <w:rFonts w:hint="eastAsia" w:eastAsia="宋体"/>
                <w:color w:val="auto"/>
                <w:highlight w:val="none"/>
              </w:rPr>
              <w:t>年</w:t>
            </w:r>
          </w:p>
        </w:tc>
        <w:tc>
          <w:tcPr>
            <w:tcW w:w="1275" w:type="dxa"/>
            <w:vAlign w:val="center"/>
          </w:tcPr>
          <w:p w14:paraId="43AF572A">
            <w:pPr>
              <w:adjustRightInd w:val="0"/>
              <w:snapToGrid w:val="0"/>
              <w:jc w:val="center"/>
              <w:rPr>
                <w:rFonts w:hint="default" w:eastAsia="宋体"/>
                <w:color w:val="auto"/>
                <w:highlight w:val="none"/>
                <w:lang w:val="en-US" w:eastAsia="zh-CN"/>
              </w:rPr>
            </w:pPr>
            <w:r>
              <w:rPr>
                <w:rFonts w:hint="eastAsia" w:eastAsia="宋体"/>
                <w:color w:val="auto"/>
                <w:highlight w:val="none"/>
                <w:lang w:val="en-US" w:eastAsia="zh-CN"/>
              </w:rPr>
              <w:t>78</w:t>
            </w:r>
          </w:p>
        </w:tc>
      </w:tr>
    </w:tbl>
    <w:p w14:paraId="165EC650">
      <w:pPr>
        <w:adjustRightInd w:val="0"/>
        <w:snapToGrid w:val="0"/>
        <w:spacing w:line="360" w:lineRule="auto"/>
        <w:ind w:firstLine="480" w:firstLineChars="200"/>
        <w:rPr>
          <w:rFonts w:ascii="Times New Roman" w:hAnsi="Times New Roman" w:eastAsia="宋体" w:cs="Times New Roman"/>
          <w:color w:val="auto"/>
          <w:sz w:val="24"/>
          <w:highlight w:val="none"/>
        </w:rPr>
      </w:pPr>
    </w:p>
    <w:p w14:paraId="480804D4">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2、管护工程措施</w:t>
      </w:r>
    </w:p>
    <w:p w14:paraId="1324CD6B">
      <w:pPr>
        <w:pStyle w:val="54"/>
        <w:ind w:firstLine="560" w:firstLineChars="200"/>
        <w:rPr>
          <w:rFonts w:hint="eastAsia" w:ascii="仿宋" w:hAnsi="仿宋" w:eastAsia="仿宋" w:cs="仿宋"/>
          <w:color w:val="auto"/>
          <w:sz w:val="28"/>
          <w:szCs w:val="28"/>
          <w:highlight w:val="none"/>
        </w:rPr>
      </w:pPr>
      <w:r>
        <w:rPr>
          <w:rFonts w:hint="eastAsia" w:ascii="仿宋" w:hAnsi="仿宋" w:eastAsia="仿宋" w:cs="仿宋"/>
          <w:bCs w:val="0"/>
          <w:color w:val="auto"/>
          <w:sz w:val="28"/>
          <w:szCs w:val="28"/>
          <w:highlight w:val="none"/>
          <w:lang w:val="en-US" w:eastAsia="zh-CN"/>
        </w:rPr>
        <w:t>1</w:t>
      </w:r>
      <w:r>
        <w:rPr>
          <w:rFonts w:hint="eastAsia" w:ascii="仿宋" w:hAnsi="仿宋" w:eastAsia="仿宋" w:cs="仿宋"/>
          <w:bCs w:val="0"/>
          <w:color w:val="auto"/>
          <w:sz w:val="28"/>
          <w:szCs w:val="28"/>
          <w:highlight w:val="none"/>
        </w:rPr>
        <w:t>）工程管护：定期查看修筑工程是否有损坏，如排水</w:t>
      </w:r>
      <w:r>
        <w:rPr>
          <w:rFonts w:hint="eastAsia" w:ascii="仿宋" w:hAnsi="仿宋" w:eastAsia="仿宋" w:cs="仿宋"/>
          <w:bCs w:val="0"/>
          <w:color w:val="auto"/>
          <w:sz w:val="28"/>
          <w:szCs w:val="28"/>
          <w:highlight w:val="none"/>
          <w:lang w:val="en-US" w:eastAsia="zh-CN"/>
        </w:rPr>
        <w:t>沟</w:t>
      </w:r>
      <w:r>
        <w:rPr>
          <w:rFonts w:hint="eastAsia" w:ascii="仿宋" w:hAnsi="仿宋" w:eastAsia="仿宋" w:cs="仿宋"/>
          <w:bCs w:val="0"/>
          <w:color w:val="auto"/>
          <w:sz w:val="28"/>
          <w:szCs w:val="28"/>
          <w:highlight w:val="none"/>
        </w:rPr>
        <w:t>断裂，无法排水。发现修筑工程在使用过程中出现的不良问题，及时采取补救措施，使修筑的工程能够正常运转，发挥其功效。管护频率为4次/年，管护年限为3年。</w:t>
      </w:r>
    </w:p>
    <w:p w14:paraId="43F1A628">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）植被管护</w:t>
      </w:r>
    </w:p>
    <w:p w14:paraId="71277E5F">
      <w:pPr>
        <w:adjustRightInd w:val="0"/>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对复垦为乔木林地、其他草地区域，复垦后主要为植被管护。植被管护针对</w:t>
      </w:r>
      <w:r>
        <w:rPr>
          <w:rFonts w:hint="eastAsia" w:ascii="仿宋" w:hAnsi="仿宋" w:eastAsia="仿宋" w:cs="仿宋"/>
          <w:color w:val="auto"/>
          <w:sz w:val="28"/>
          <w:szCs w:val="28"/>
          <w:highlight w:val="none"/>
          <w:lang w:eastAsia="zh-CN"/>
        </w:rPr>
        <w:t>树木</w:t>
      </w:r>
      <w:r>
        <w:rPr>
          <w:rFonts w:hint="eastAsia" w:ascii="仿宋" w:hAnsi="仿宋" w:eastAsia="仿宋" w:cs="仿宋"/>
          <w:color w:val="auto"/>
          <w:sz w:val="28"/>
          <w:szCs w:val="28"/>
          <w:highlight w:val="none"/>
        </w:rPr>
        <w:t>、葛藤树苗种植后进行管护。管护的主要任务为做好管护工作和抚育工作，精细管理，保证栽种的成活率，死苗要及时补种。树木栽种后，及时浇水灌溉，特别是在幼苗的保苗期和干旱、高温季节多浇水，保证苗木不受损；新造幼林要封育，严禁放牧，并对病虫害及缺肥症状进行观察、记录，一旦发现，立即采取喷农药或施肥等相应措施。管护频率为12次/年，管护年限为3年。</w:t>
      </w:r>
    </w:p>
    <w:p w14:paraId="627E1ECA">
      <w:pPr>
        <w:adjustRightInd w:val="0"/>
        <w:snapToGrid w:val="0"/>
        <w:ind w:firstLine="211" w:firstLineChars="100"/>
        <w:jc w:val="center"/>
        <w:rPr>
          <w:rFonts w:eastAsia="宋体"/>
          <w:b/>
          <w:color w:val="auto"/>
          <w:highlight w:val="none"/>
        </w:rPr>
      </w:pPr>
      <w:r>
        <w:rPr>
          <w:rFonts w:eastAsia="宋体"/>
          <w:b/>
          <w:color w:val="auto"/>
          <w:highlight w:val="none"/>
        </w:rPr>
        <w:t>表5-</w:t>
      </w:r>
      <w:r>
        <w:rPr>
          <w:rFonts w:hint="eastAsia" w:eastAsia="宋体"/>
          <w:b/>
          <w:color w:val="auto"/>
          <w:highlight w:val="none"/>
          <w:lang w:val="en-US" w:eastAsia="zh-CN"/>
        </w:rPr>
        <w:t>10</w:t>
      </w:r>
      <w:r>
        <w:rPr>
          <w:rFonts w:eastAsia="宋体"/>
          <w:b/>
          <w:color w:val="auto"/>
          <w:highlight w:val="none"/>
        </w:rPr>
        <w:t xml:space="preserve">  土地复垦管护工程量表</w:t>
      </w:r>
    </w:p>
    <w:tbl>
      <w:tblPr>
        <w:tblStyle w:val="23"/>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92"/>
        <w:gridCol w:w="2112"/>
        <w:gridCol w:w="1393"/>
        <w:gridCol w:w="3086"/>
      </w:tblGrid>
      <w:tr w14:paraId="47C8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11" w:type="dxa"/>
            <w:vAlign w:val="center"/>
          </w:tcPr>
          <w:p w14:paraId="789A8A7B">
            <w:pPr>
              <w:adjustRightInd w:val="0"/>
              <w:snapToGrid w:val="0"/>
              <w:jc w:val="center"/>
              <w:rPr>
                <w:rFonts w:eastAsia="宋体"/>
                <w:color w:val="auto"/>
                <w:highlight w:val="none"/>
              </w:rPr>
            </w:pPr>
            <w:r>
              <w:rPr>
                <w:rFonts w:eastAsia="宋体"/>
                <w:color w:val="auto"/>
                <w:highlight w:val="none"/>
              </w:rPr>
              <w:t>编号</w:t>
            </w:r>
          </w:p>
        </w:tc>
        <w:tc>
          <w:tcPr>
            <w:tcW w:w="1092" w:type="dxa"/>
            <w:vAlign w:val="center"/>
          </w:tcPr>
          <w:p w14:paraId="2F74B96F">
            <w:pPr>
              <w:adjustRightInd w:val="0"/>
              <w:snapToGrid w:val="0"/>
              <w:jc w:val="center"/>
              <w:rPr>
                <w:rFonts w:eastAsia="宋体"/>
                <w:color w:val="auto"/>
                <w:highlight w:val="none"/>
              </w:rPr>
            </w:pPr>
            <w:r>
              <w:rPr>
                <w:rFonts w:eastAsia="宋体"/>
                <w:color w:val="auto"/>
                <w:highlight w:val="none"/>
              </w:rPr>
              <w:t>内容</w:t>
            </w:r>
          </w:p>
        </w:tc>
        <w:tc>
          <w:tcPr>
            <w:tcW w:w="2112" w:type="dxa"/>
            <w:vAlign w:val="center"/>
          </w:tcPr>
          <w:p w14:paraId="23C086CF">
            <w:pPr>
              <w:adjustRightInd w:val="0"/>
              <w:snapToGrid w:val="0"/>
              <w:jc w:val="center"/>
              <w:rPr>
                <w:rFonts w:eastAsia="宋体"/>
                <w:color w:val="auto"/>
                <w:highlight w:val="none"/>
              </w:rPr>
            </w:pPr>
            <w:r>
              <w:rPr>
                <w:rFonts w:eastAsia="宋体"/>
                <w:color w:val="auto"/>
                <w:highlight w:val="none"/>
              </w:rPr>
              <w:t>频率/标准</w:t>
            </w:r>
          </w:p>
        </w:tc>
        <w:tc>
          <w:tcPr>
            <w:tcW w:w="1393" w:type="dxa"/>
            <w:vAlign w:val="center"/>
          </w:tcPr>
          <w:p w14:paraId="4C7C61F6">
            <w:pPr>
              <w:adjustRightInd w:val="0"/>
              <w:snapToGrid w:val="0"/>
              <w:jc w:val="center"/>
              <w:rPr>
                <w:rFonts w:eastAsia="宋体"/>
                <w:color w:val="auto"/>
                <w:highlight w:val="none"/>
              </w:rPr>
            </w:pPr>
            <w:r>
              <w:rPr>
                <w:rFonts w:eastAsia="宋体"/>
                <w:color w:val="auto"/>
                <w:highlight w:val="none"/>
              </w:rPr>
              <w:t>年限/面积（hm</w:t>
            </w:r>
            <w:r>
              <w:rPr>
                <w:rFonts w:eastAsia="宋体"/>
                <w:color w:val="auto"/>
                <w:highlight w:val="none"/>
                <w:vertAlign w:val="superscript"/>
              </w:rPr>
              <w:t>2</w:t>
            </w:r>
            <w:r>
              <w:rPr>
                <w:rFonts w:eastAsia="宋体"/>
                <w:color w:val="auto"/>
                <w:highlight w:val="none"/>
              </w:rPr>
              <w:t>）</w:t>
            </w:r>
          </w:p>
        </w:tc>
        <w:tc>
          <w:tcPr>
            <w:tcW w:w="3086" w:type="dxa"/>
            <w:vAlign w:val="center"/>
          </w:tcPr>
          <w:p w14:paraId="57E70FD3">
            <w:pPr>
              <w:adjustRightInd w:val="0"/>
              <w:snapToGrid w:val="0"/>
              <w:jc w:val="center"/>
              <w:rPr>
                <w:rFonts w:eastAsia="宋体"/>
                <w:color w:val="auto"/>
                <w:highlight w:val="none"/>
              </w:rPr>
            </w:pPr>
            <w:r>
              <w:rPr>
                <w:rFonts w:eastAsia="宋体"/>
                <w:color w:val="auto"/>
                <w:highlight w:val="none"/>
              </w:rPr>
              <w:t>监测次数（次）/培肥面积（hm</w:t>
            </w:r>
            <w:r>
              <w:rPr>
                <w:rFonts w:eastAsia="宋体"/>
                <w:color w:val="auto"/>
                <w:highlight w:val="none"/>
                <w:vertAlign w:val="superscript"/>
              </w:rPr>
              <w:t>2</w:t>
            </w:r>
            <w:r>
              <w:rPr>
                <w:rFonts w:eastAsia="宋体"/>
                <w:color w:val="auto"/>
                <w:highlight w:val="none"/>
              </w:rPr>
              <w:t>）</w:t>
            </w:r>
          </w:p>
        </w:tc>
      </w:tr>
      <w:tr w14:paraId="4253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11" w:type="dxa"/>
            <w:vAlign w:val="center"/>
          </w:tcPr>
          <w:p w14:paraId="62BF939F">
            <w:pPr>
              <w:adjustRightInd w:val="0"/>
              <w:snapToGrid w:val="0"/>
              <w:jc w:val="center"/>
              <w:rPr>
                <w:rFonts w:eastAsia="宋体"/>
                <w:color w:val="auto"/>
                <w:highlight w:val="none"/>
              </w:rPr>
            </w:pPr>
            <w:r>
              <w:rPr>
                <w:rFonts w:eastAsia="宋体"/>
                <w:color w:val="auto"/>
                <w:highlight w:val="none"/>
              </w:rPr>
              <w:t>1</w:t>
            </w:r>
          </w:p>
        </w:tc>
        <w:tc>
          <w:tcPr>
            <w:tcW w:w="1092" w:type="dxa"/>
            <w:vAlign w:val="center"/>
          </w:tcPr>
          <w:p w14:paraId="101A3D14">
            <w:pPr>
              <w:adjustRightInd w:val="0"/>
              <w:snapToGrid w:val="0"/>
              <w:jc w:val="center"/>
              <w:rPr>
                <w:rFonts w:hint="default" w:eastAsia="宋体"/>
                <w:color w:val="auto"/>
                <w:highlight w:val="none"/>
                <w:lang w:val="en-US" w:eastAsia="zh-CN"/>
              </w:rPr>
            </w:pPr>
            <w:r>
              <w:rPr>
                <w:rFonts w:hint="eastAsia" w:eastAsia="宋体"/>
                <w:color w:val="auto"/>
                <w:highlight w:val="none"/>
                <w:lang w:val="en-US" w:eastAsia="zh-CN"/>
              </w:rPr>
              <w:t>工程管护</w:t>
            </w:r>
          </w:p>
        </w:tc>
        <w:tc>
          <w:tcPr>
            <w:tcW w:w="2112" w:type="dxa"/>
            <w:vAlign w:val="center"/>
          </w:tcPr>
          <w:p w14:paraId="54A38477">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hint="eastAsia" w:eastAsia="宋体"/>
                <w:color w:val="auto"/>
                <w:highlight w:val="none"/>
                <w:lang w:val="en-US" w:eastAsia="zh-CN"/>
              </w:rPr>
              <w:t>4</w:t>
            </w:r>
            <w:r>
              <w:rPr>
                <w:rFonts w:eastAsia="宋体"/>
                <w:color w:val="auto"/>
                <w:highlight w:val="none"/>
              </w:rPr>
              <w:t>次/年</w:t>
            </w:r>
          </w:p>
        </w:tc>
        <w:tc>
          <w:tcPr>
            <w:tcW w:w="1393" w:type="dxa"/>
            <w:vAlign w:val="center"/>
          </w:tcPr>
          <w:p w14:paraId="42240DF4">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3</w:t>
            </w:r>
          </w:p>
        </w:tc>
        <w:tc>
          <w:tcPr>
            <w:tcW w:w="3086" w:type="dxa"/>
            <w:vAlign w:val="center"/>
          </w:tcPr>
          <w:p w14:paraId="203F1111">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hint="eastAsia" w:eastAsia="宋体"/>
                <w:color w:val="auto"/>
                <w:highlight w:val="none"/>
                <w:lang w:val="en-US" w:eastAsia="zh-CN"/>
              </w:rPr>
              <w:t>12</w:t>
            </w:r>
            <w:r>
              <w:rPr>
                <w:rFonts w:eastAsia="宋体"/>
                <w:color w:val="auto"/>
                <w:highlight w:val="none"/>
              </w:rPr>
              <w:t>次</w:t>
            </w:r>
          </w:p>
        </w:tc>
      </w:tr>
      <w:tr w14:paraId="20E5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11" w:type="dxa"/>
            <w:vAlign w:val="center"/>
          </w:tcPr>
          <w:p w14:paraId="2BA219F3">
            <w:pPr>
              <w:adjustRightInd w:val="0"/>
              <w:snapToGrid w:val="0"/>
              <w:jc w:val="center"/>
              <w:rPr>
                <w:rFonts w:eastAsia="宋体"/>
                <w:color w:val="auto"/>
                <w:highlight w:val="none"/>
              </w:rPr>
            </w:pPr>
            <w:r>
              <w:rPr>
                <w:rFonts w:hint="eastAsia" w:eastAsia="宋体"/>
                <w:color w:val="auto"/>
                <w:highlight w:val="none"/>
              </w:rPr>
              <w:t>2</w:t>
            </w:r>
          </w:p>
        </w:tc>
        <w:tc>
          <w:tcPr>
            <w:tcW w:w="1092" w:type="dxa"/>
            <w:vAlign w:val="center"/>
          </w:tcPr>
          <w:p w14:paraId="4E402F13">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植被管护</w:t>
            </w:r>
          </w:p>
        </w:tc>
        <w:tc>
          <w:tcPr>
            <w:tcW w:w="2112" w:type="dxa"/>
            <w:vAlign w:val="center"/>
          </w:tcPr>
          <w:p w14:paraId="56F50765">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12次/年</w:t>
            </w:r>
          </w:p>
        </w:tc>
        <w:tc>
          <w:tcPr>
            <w:tcW w:w="1393" w:type="dxa"/>
            <w:vAlign w:val="center"/>
          </w:tcPr>
          <w:p w14:paraId="39162DE0">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3</w:t>
            </w:r>
          </w:p>
        </w:tc>
        <w:tc>
          <w:tcPr>
            <w:tcW w:w="3086" w:type="dxa"/>
            <w:vAlign w:val="center"/>
          </w:tcPr>
          <w:p w14:paraId="611E1FA1">
            <w:pPr>
              <w:adjustRightInd w:val="0"/>
              <w:snapToGrid w:val="0"/>
              <w:jc w:val="center"/>
              <w:rPr>
                <w:rFonts w:eastAsia="宋体" w:asciiTheme="minorHAnsi" w:hAnsiTheme="minorHAnsi" w:cstheme="minorBidi"/>
                <w:color w:val="auto"/>
                <w:kern w:val="2"/>
                <w:sz w:val="21"/>
                <w:szCs w:val="21"/>
                <w:highlight w:val="none"/>
                <w:lang w:val="en-US" w:eastAsia="zh-CN" w:bidi="ar-SA"/>
              </w:rPr>
            </w:pPr>
            <w:r>
              <w:rPr>
                <w:rFonts w:eastAsia="宋体"/>
                <w:color w:val="auto"/>
                <w:highlight w:val="none"/>
              </w:rPr>
              <w:t>36次</w:t>
            </w:r>
          </w:p>
        </w:tc>
      </w:tr>
    </w:tbl>
    <w:p w14:paraId="1DCC3740">
      <w:pPr>
        <w:pStyle w:val="13"/>
        <w:rPr>
          <w:color w:val="auto"/>
        </w:rPr>
      </w:pPr>
    </w:p>
    <w:p w14:paraId="6BF55CF0">
      <w:pPr>
        <w:pStyle w:val="14"/>
        <w:spacing w:line="360" w:lineRule="auto"/>
        <w:ind w:firstLine="0" w:firstLineChars="0"/>
        <w:rPr>
          <w:rFonts w:ascii="Times New Roman" w:hAnsi="Times New Roman" w:eastAsia="宋体" w:cs="Times New Roman"/>
          <w:color w:val="auto"/>
          <w:highlight w:val="none"/>
        </w:rPr>
      </w:pPr>
    </w:p>
    <w:p w14:paraId="16D2EDA7">
      <w:pPr>
        <w:rPr>
          <w:rFonts w:ascii="Times New Roman" w:hAnsi="Times New Roman" w:eastAsia="宋体" w:cs="Times New Roman"/>
          <w:color w:val="auto"/>
          <w:highlight w:val="none"/>
        </w:rPr>
        <w:sectPr>
          <w:pgSz w:w="11906" w:h="16838"/>
          <w:pgMar w:top="1440" w:right="1800" w:bottom="1440" w:left="1800" w:header="851" w:footer="992" w:gutter="0"/>
          <w:cols w:space="425" w:num="1"/>
          <w:docGrid w:type="lines" w:linePitch="312" w:charSpace="0"/>
        </w:sectPr>
      </w:pPr>
    </w:p>
    <w:p w14:paraId="29FD92BE">
      <w:pPr>
        <w:pStyle w:val="2"/>
        <w:spacing w:line="360" w:lineRule="auto"/>
        <w:jc w:val="center"/>
        <w:rPr>
          <w:rFonts w:ascii="Times New Roman" w:hAnsi="Times New Roman" w:eastAsia="宋体" w:cs="Times New Roman"/>
          <w:color w:val="auto"/>
          <w:sz w:val="32"/>
          <w:szCs w:val="32"/>
          <w:highlight w:val="none"/>
        </w:rPr>
      </w:pPr>
      <w:bookmarkStart w:id="155" w:name="_Toc30721"/>
      <w:r>
        <w:rPr>
          <w:rFonts w:ascii="Times New Roman" w:hAnsi="Times New Roman" w:eastAsia="宋体" w:cs="Times New Roman"/>
          <w:color w:val="auto"/>
          <w:sz w:val="32"/>
          <w:szCs w:val="32"/>
          <w:highlight w:val="none"/>
        </w:rPr>
        <w:t>第6章  矿山地质环境治理与土地复垦工作部署</w:t>
      </w:r>
      <w:bookmarkEnd w:id="155"/>
    </w:p>
    <w:p w14:paraId="1AB0E94B">
      <w:pPr>
        <w:pStyle w:val="3"/>
        <w:rPr>
          <w:rFonts w:ascii="Times New Roman" w:hAnsi="Times New Roman" w:eastAsia="宋体" w:cs="Times New Roman"/>
          <w:color w:val="auto"/>
          <w:sz w:val="30"/>
          <w:szCs w:val="30"/>
          <w:highlight w:val="none"/>
        </w:rPr>
      </w:pPr>
      <w:bookmarkStart w:id="156" w:name="_Toc62071905"/>
      <w:bookmarkStart w:id="157" w:name="_Toc31432"/>
      <w:bookmarkStart w:id="158" w:name="_Toc511576358"/>
      <w:r>
        <w:rPr>
          <w:rFonts w:ascii="Times New Roman" w:hAnsi="Times New Roman" w:eastAsia="宋体" w:cs="Times New Roman"/>
          <w:color w:val="auto"/>
          <w:sz w:val="30"/>
          <w:szCs w:val="30"/>
          <w:highlight w:val="none"/>
        </w:rPr>
        <w:t>一、总体工作部署</w:t>
      </w:r>
      <w:bookmarkEnd w:id="156"/>
      <w:bookmarkEnd w:id="157"/>
      <w:bookmarkEnd w:id="158"/>
    </w:p>
    <w:p w14:paraId="6EA6D144">
      <w:pPr>
        <w:snapToGrid w:val="0"/>
        <w:spacing w:line="360" w:lineRule="auto"/>
        <w:ind w:firstLine="560" w:firstLineChars="200"/>
        <w:rPr>
          <w:rStyle w:val="60"/>
          <w:rFonts w:hint="eastAsia" w:ascii="仿宋" w:hAnsi="仿宋" w:eastAsia="仿宋" w:cs="仿宋"/>
          <w:color w:val="auto"/>
          <w:sz w:val="28"/>
          <w:szCs w:val="28"/>
          <w:highlight w:val="none"/>
        </w:rPr>
      </w:pPr>
      <w:bookmarkStart w:id="159" w:name="_Toc511576359"/>
      <w:r>
        <w:rPr>
          <w:rStyle w:val="60"/>
          <w:rFonts w:hint="eastAsia" w:ascii="仿宋" w:hAnsi="仿宋" w:eastAsia="仿宋" w:cs="仿宋"/>
          <w:color w:val="auto"/>
          <w:sz w:val="28"/>
          <w:szCs w:val="28"/>
          <w:highlight w:val="none"/>
        </w:rPr>
        <w:t>矿山地质环境保护与土地复垦工作，既要统筹兼顾全面部署，又要结合实际、突出重点，采取科学、经济、合理的方法，分轻重缓急逐步完成。时间上，矿山地质环境保护及恢复治理与土地复垦应尽量同矿山生产建设同步进行；在空间布局上，根据矿山地质环境问题类型的不同，采取不同的措施进行治理。</w:t>
      </w:r>
    </w:p>
    <w:p w14:paraId="54DB065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该矿山为新建矿山，根据《大英县紫云村饰面用砂岩矿勘查报告》</w:t>
      </w:r>
      <w:r>
        <w:rPr>
          <w:rFonts w:hint="eastAsia" w:ascii="仿宋" w:hAnsi="仿宋" w:eastAsia="仿宋" w:cs="仿宋"/>
          <w:color w:val="auto"/>
          <w:sz w:val="28"/>
          <w:szCs w:val="28"/>
          <w:highlight w:val="none"/>
        </w:rPr>
        <w:t>矿山服务年限为</w:t>
      </w:r>
      <w:r>
        <w:rPr>
          <w:rFonts w:hint="eastAsia" w:ascii="仿宋" w:hAnsi="仿宋" w:eastAsia="仿宋" w:cs="仿宋"/>
          <w:color w:val="auto"/>
          <w:sz w:val="28"/>
          <w:szCs w:val="28"/>
          <w:highlight w:val="none"/>
          <w:lang w:val="en-US" w:eastAsia="zh-CN"/>
        </w:rPr>
        <w:t>9.14年</w:t>
      </w:r>
      <w:r>
        <w:rPr>
          <w:rFonts w:hint="eastAsia" w:ascii="仿宋" w:hAnsi="仿宋" w:eastAsia="仿宋" w:cs="仿宋"/>
          <w:color w:val="auto"/>
          <w:sz w:val="28"/>
          <w:szCs w:val="28"/>
          <w:highlight w:val="none"/>
        </w:rPr>
        <w:t>。本方案设计矿山闭坑后的恢复治理和土地复垦施工期1年，后续工程监测与管护期3年，确定本方案服务年限</w:t>
      </w:r>
      <w:r>
        <w:rPr>
          <w:rFonts w:hint="eastAsia" w:ascii="仿宋" w:hAnsi="仿宋" w:eastAsia="仿宋" w:cs="仿宋"/>
          <w:color w:val="auto"/>
          <w:sz w:val="28"/>
          <w:szCs w:val="28"/>
          <w:highlight w:val="none"/>
          <w:lang w:val="en-US" w:eastAsia="zh-CN"/>
        </w:rPr>
        <w:t>13.14</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自矿山投产开始计算。</w:t>
      </w:r>
    </w:p>
    <w:p w14:paraId="797A55E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由于生产项目建设过程中各项指标易于变化，因此随着生产的进行，本项目因其生产建设规模、用地规模及地点、采用的生产工艺等容易发生变化而使现有方案无法指导后期复垦，矿权人应重新编制方案，其实施计划也将一同调整。如果生产规模、生产工艺等变化不大，但由于方案服务年限较长，土地损毁面积、位置等往往会与最初编制的案存在一定差异，矿权人应及时调整方案实施计划。</w:t>
      </w:r>
    </w:p>
    <w:p w14:paraId="60A596B7">
      <w:pPr>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次工作根据矿山生产对土地资源破坏的预测评估结果，在技术可行、经济合理的条件下，针对土地损毁的具体情况，分别采取土地平整、土地翻耕等工程治理措施对评估区土地进行恢复治理；布设监测工程，及时掌握评估区内地质灾害等情况。</w:t>
      </w:r>
    </w:p>
    <w:p w14:paraId="6D10E05C">
      <w:pPr>
        <w:pStyle w:val="3"/>
        <w:rPr>
          <w:rFonts w:ascii="Times New Roman" w:hAnsi="Times New Roman" w:eastAsia="宋体" w:cs="Times New Roman"/>
          <w:color w:val="auto"/>
          <w:sz w:val="30"/>
          <w:szCs w:val="30"/>
          <w:highlight w:val="none"/>
        </w:rPr>
      </w:pPr>
      <w:bookmarkStart w:id="160" w:name="_Toc10432"/>
      <w:bookmarkStart w:id="161" w:name="_Toc62071906"/>
      <w:r>
        <w:rPr>
          <w:rFonts w:ascii="Times New Roman" w:hAnsi="Times New Roman" w:eastAsia="宋体" w:cs="Times New Roman"/>
          <w:color w:val="auto"/>
          <w:sz w:val="30"/>
          <w:szCs w:val="30"/>
          <w:highlight w:val="none"/>
        </w:rPr>
        <w:t>二、阶段实施计划</w:t>
      </w:r>
      <w:bookmarkEnd w:id="159"/>
      <w:bookmarkEnd w:id="160"/>
      <w:bookmarkEnd w:id="161"/>
    </w:p>
    <w:p w14:paraId="11C8C02A">
      <w:pPr>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根据土地复垦方案编制规程，结合矿山实际情况，对矿山地质环境恢复治理进行分期部署，本方案的编制服务年限为</w:t>
      </w:r>
      <w:r>
        <w:rPr>
          <w:rFonts w:hint="eastAsia" w:ascii="仿宋" w:hAnsi="仿宋" w:eastAsia="仿宋" w:cs="仿宋"/>
          <w:color w:val="auto"/>
          <w:sz w:val="28"/>
          <w:szCs w:val="28"/>
          <w:highlight w:val="none"/>
          <w:lang w:val="en-US" w:eastAsia="zh-CN"/>
        </w:rPr>
        <w:t>13.14</w:t>
      </w:r>
      <w:r>
        <w:rPr>
          <w:rFonts w:hint="eastAsia" w:ascii="仿宋" w:hAnsi="仿宋" w:eastAsia="仿宋" w:cs="仿宋"/>
          <w:color w:val="auto"/>
          <w:sz w:val="28"/>
          <w:szCs w:val="28"/>
          <w:highlight w:val="none"/>
        </w:rPr>
        <w:t>年。为确保矿区及周边区域居民生活、生产安全，并尽快恢复治理其生态环境，按照规划先行的原则，结合本区土地规划，编制适合本矿山的地质环境保护与恢复治理计划。根据矿山“开发利用方案”、“安全设施设计”矿山开发顺序、矿山地质环境问题类型，按照轻重缓急、分阶段实施的原则，对矿山地质环境治理恢复工作进行部署。</w:t>
      </w:r>
    </w:p>
    <w:p w14:paraId="67BC4AE8">
      <w:pPr>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第一阶段：</w:t>
      </w:r>
      <w:r>
        <w:rPr>
          <w:rFonts w:hint="eastAsia" w:ascii="仿宋" w:hAnsi="仿宋" w:eastAsia="仿宋" w:cs="仿宋"/>
          <w:color w:val="auto"/>
          <w:sz w:val="28"/>
          <w:szCs w:val="28"/>
          <w:highlight w:val="none"/>
          <w:lang w:val="en-US" w:eastAsia="zh-CN"/>
        </w:rPr>
        <w:t>9.14</w:t>
      </w:r>
      <w:r>
        <w:rPr>
          <w:rFonts w:hint="eastAsia" w:ascii="仿宋" w:hAnsi="仿宋" w:eastAsia="仿宋" w:cs="仿宋"/>
          <w:color w:val="auto"/>
          <w:sz w:val="28"/>
          <w:szCs w:val="28"/>
          <w:highlight w:val="none"/>
        </w:rPr>
        <w:t>年（生产期）：</w:t>
      </w:r>
      <w:r>
        <w:rPr>
          <w:rFonts w:hint="eastAsia" w:ascii="仿宋" w:hAnsi="仿宋" w:eastAsia="仿宋" w:cs="仿宋"/>
          <w:color w:val="auto"/>
          <w:sz w:val="28"/>
          <w:szCs w:val="28"/>
          <w:highlight w:val="none"/>
          <w:lang w:val="en-US" w:eastAsia="zh-CN"/>
        </w:rPr>
        <w:t>这一阶段，应每三年对矿山采矿活动中，破坏的矿山生态及时进行生态修复工作，做到边开采、边修复。</w:t>
      </w:r>
      <w:r>
        <w:rPr>
          <w:rFonts w:hint="eastAsia" w:ascii="仿宋" w:hAnsi="仿宋" w:eastAsia="仿宋" w:cs="仿宋"/>
          <w:color w:val="auto"/>
          <w:sz w:val="28"/>
          <w:szCs w:val="28"/>
          <w:highlight w:val="none"/>
        </w:rPr>
        <w:t>主要解决矿山地质环境现存问题，针对采矿活动的影响，对矿山开发过程中做好矿山地质环境保护；崩塌、滑坡、地面塌陷及地裂缝等灾害隐患防治工作，做好日常监测示警工作；局部进行生态环境恢复，对损毁未利用的土地进行治理。矿山开采工程实行边开采、边恢复，该阶段主要对已开采台阶进行清理、临时裸露区域遮盖、植被恢复工作。</w:t>
      </w:r>
    </w:p>
    <w:p w14:paraId="47F642B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第二阶段：</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年（施工期），复垦施工期（1年），矿山采矿结束后1年内，全面实施矿山恢复治理的工作，针对矿山开采情况，全面的制定适合矿山的恢复治理实施方案；全面完成矿山恢复治理和土地复垦工程的实施，完成对植被恢复及土地复垦的监测、边坡稳定性监测等，对矿山开采所产生的边坡及环境问题，进行全部、彻底的治理和绿化，使整个矿区生态环境得到明显改善和重建。</w:t>
      </w:r>
    </w:p>
    <w:p w14:paraId="1230E56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第</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rPr>
        <w:t>阶段：</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年（管护期），矿山地质环境保护与复垦工程结束后3年内，对已复垦</w:t>
      </w:r>
      <w:r>
        <w:rPr>
          <w:rFonts w:hint="eastAsia" w:ascii="仿宋" w:hAnsi="仿宋" w:eastAsia="仿宋" w:cs="仿宋"/>
          <w:color w:val="auto"/>
          <w:sz w:val="28"/>
          <w:szCs w:val="28"/>
          <w:highlight w:val="none"/>
          <w:lang w:val="en-US" w:eastAsia="zh-CN"/>
        </w:rPr>
        <w:t>耕地区域进行土地培肥，复垦</w:t>
      </w:r>
      <w:r>
        <w:rPr>
          <w:rFonts w:hint="eastAsia" w:ascii="仿宋" w:hAnsi="仿宋" w:eastAsia="仿宋" w:cs="仿宋"/>
          <w:color w:val="auto"/>
          <w:sz w:val="28"/>
          <w:szCs w:val="28"/>
          <w:highlight w:val="none"/>
        </w:rPr>
        <w:t>林地、草地区域进行管护补种，对项目区工程进行管护，并对采区边坡、复垦工程区进行监测。详情见表6-1。</w:t>
      </w:r>
    </w:p>
    <w:p w14:paraId="1F2CC9F0">
      <w:pPr>
        <w:jc w:val="center"/>
        <w:rPr>
          <w:rFonts w:eastAsia="新宋体"/>
          <w:b/>
          <w:color w:val="auto"/>
          <w:highlight w:val="none"/>
        </w:rPr>
      </w:pPr>
      <w:r>
        <w:rPr>
          <w:rFonts w:eastAsia="新宋体"/>
          <w:b/>
          <w:color w:val="auto"/>
          <w:highlight w:val="none"/>
        </w:rPr>
        <w:t>表6-1    矿山各阶段（年度）恢复治理工程量汇总表</w:t>
      </w:r>
    </w:p>
    <w:tbl>
      <w:tblPr>
        <w:tblStyle w:val="23"/>
        <w:tblW w:w="4997" w:type="pct"/>
        <w:jc w:val="center"/>
        <w:tblLayout w:type="autofit"/>
        <w:tblCellMar>
          <w:top w:w="0" w:type="dxa"/>
          <w:left w:w="108" w:type="dxa"/>
          <w:bottom w:w="0" w:type="dxa"/>
          <w:right w:w="108" w:type="dxa"/>
        </w:tblCellMar>
      </w:tblPr>
      <w:tblGrid>
        <w:gridCol w:w="1088"/>
        <w:gridCol w:w="1665"/>
        <w:gridCol w:w="5764"/>
      </w:tblGrid>
      <w:tr w14:paraId="3FFDFA2A">
        <w:tblPrEx>
          <w:tblCellMar>
            <w:top w:w="0" w:type="dxa"/>
            <w:left w:w="108" w:type="dxa"/>
            <w:bottom w:w="0" w:type="dxa"/>
            <w:right w:w="108" w:type="dxa"/>
          </w:tblCellMar>
        </w:tblPrEx>
        <w:trPr>
          <w:trHeight w:val="319" w:hRule="atLeast"/>
          <w:jc w:val="center"/>
        </w:trPr>
        <w:tc>
          <w:tcPr>
            <w:tcW w:w="1616" w:type="pct"/>
            <w:gridSpan w:val="2"/>
            <w:tcBorders>
              <w:top w:val="single" w:color="000000" w:sz="4" w:space="0"/>
              <w:left w:val="single" w:color="000000" w:sz="4" w:space="0"/>
              <w:bottom w:val="single" w:color="000000" w:sz="4" w:space="0"/>
              <w:right w:val="single" w:color="000000" w:sz="4" w:space="0"/>
            </w:tcBorders>
            <w:vAlign w:val="center"/>
          </w:tcPr>
          <w:p w14:paraId="5E4A9BE3">
            <w:pPr>
              <w:widowControl/>
              <w:jc w:val="center"/>
              <w:textAlignment w:val="center"/>
              <w:rPr>
                <w:rFonts w:eastAsia="宋体"/>
                <w:color w:val="auto"/>
                <w:highlight w:val="none"/>
              </w:rPr>
            </w:pPr>
            <w:r>
              <w:rPr>
                <w:rFonts w:eastAsia="宋体"/>
                <w:color w:val="auto"/>
                <w:kern w:val="0"/>
                <w:highlight w:val="none"/>
                <w:lang w:bidi="ar"/>
              </w:rPr>
              <w:t>时间</w:t>
            </w:r>
          </w:p>
        </w:tc>
        <w:tc>
          <w:tcPr>
            <w:tcW w:w="3383" w:type="pct"/>
            <w:vMerge w:val="restart"/>
            <w:tcBorders>
              <w:top w:val="single" w:color="000000" w:sz="4" w:space="0"/>
              <w:left w:val="single" w:color="000000" w:sz="4" w:space="0"/>
              <w:bottom w:val="single" w:color="000000" w:sz="4" w:space="0"/>
              <w:right w:val="single" w:color="000000" w:sz="4" w:space="0"/>
            </w:tcBorders>
            <w:vAlign w:val="center"/>
          </w:tcPr>
          <w:p w14:paraId="1CD6682A">
            <w:pPr>
              <w:widowControl/>
              <w:jc w:val="center"/>
              <w:textAlignment w:val="center"/>
              <w:rPr>
                <w:rFonts w:eastAsia="宋体"/>
                <w:color w:val="auto"/>
                <w:highlight w:val="none"/>
              </w:rPr>
            </w:pPr>
            <w:r>
              <w:rPr>
                <w:rFonts w:eastAsia="宋体"/>
                <w:color w:val="auto"/>
                <w:kern w:val="0"/>
                <w:highlight w:val="none"/>
                <w:lang w:bidi="ar"/>
              </w:rPr>
              <w:t>工作计划</w:t>
            </w:r>
          </w:p>
        </w:tc>
      </w:tr>
      <w:tr w14:paraId="7D5D0876">
        <w:tblPrEx>
          <w:tblCellMar>
            <w:top w:w="0" w:type="dxa"/>
            <w:left w:w="108" w:type="dxa"/>
            <w:bottom w:w="0" w:type="dxa"/>
            <w:right w:w="108" w:type="dxa"/>
          </w:tblCellMar>
        </w:tblPrEx>
        <w:trPr>
          <w:trHeight w:val="289" w:hRule="atLeast"/>
          <w:jc w:val="center"/>
        </w:trPr>
        <w:tc>
          <w:tcPr>
            <w:tcW w:w="639" w:type="pct"/>
            <w:tcBorders>
              <w:top w:val="single" w:color="000000" w:sz="4" w:space="0"/>
              <w:left w:val="single" w:color="000000" w:sz="4" w:space="0"/>
              <w:bottom w:val="single" w:color="000000" w:sz="4" w:space="0"/>
              <w:right w:val="single" w:color="000000" w:sz="4" w:space="0"/>
            </w:tcBorders>
            <w:vAlign w:val="center"/>
          </w:tcPr>
          <w:p w14:paraId="68D582AC">
            <w:pPr>
              <w:widowControl/>
              <w:jc w:val="center"/>
              <w:textAlignment w:val="center"/>
              <w:rPr>
                <w:rFonts w:eastAsia="宋体"/>
                <w:color w:val="auto"/>
                <w:highlight w:val="none"/>
              </w:rPr>
            </w:pPr>
            <w:r>
              <w:rPr>
                <w:rFonts w:eastAsia="宋体"/>
                <w:color w:val="auto"/>
                <w:kern w:val="0"/>
                <w:highlight w:val="none"/>
                <w:lang w:bidi="ar"/>
              </w:rPr>
              <w:t>阶段</w:t>
            </w:r>
          </w:p>
        </w:tc>
        <w:tc>
          <w:tcPr>
            <w:tcW w:w="976" w:type="pct"/>
            <w:tcBorders>
              <w:top w:val="single" w:color="000000" w:sz="4" w:space="0"/>
              <w:left w:val="single" w:color="000000" w:sz="4" w:space="0"/>
              <w:bottom w:val="single" w:color="000000" w:sz="4" w:space="0"/>
              <w:right w:val="single" w:color="000000" w:sz="4" w:space="0"/>
            </w:tcBorders>
            <w:vAlign w:val="center"/>
          </w:tcPr>
          <w:p w14:paraId="3EBE9E8A">
            <w:pPr>
              <w:widowControl/>
              <w:jc w:val="center"/>
              <w:textAlignment w:val="center"/>
              <w:rPr>
                <w:rFonts w:eastAsia="宋体"/>
                <w:color w:val="auto"/>
                <w:highlight w:val="none"/>
              </w:rPr>
            </w:pPr>
            <w:r>
              <w:rPr>
                <w:rFonts w:eastAsia="宋体"/>
                <w:color w:val="auto"/>
                <w:kern w:val="0"/>
                <w:highlight w:val="none"/>
                <w:lang w:bidi="ar"/>
              </w:rPr>
              <w:t>年</w:t>
            </w:r>
          </w:p>
        </w:tc>
        <w:tc>
          <w:tcPr>
            <w:tcW w:w="3383" w:type="pct"/>
            <w:vMerge w:val="continue"/>
            <w:tcBorders>
              <w:top w:val="single" w:color="000000" w:sz="4" w:space="0"/>
              <w:left w:val="single" w:color="000000" w:sz="4" w:space="0"/>
              <w:bottom w:val="single" w:color="000000" w:sz="4" w:space="0"/>
              <w:right w:val="single" w:color="000000" w:sz="4" w:space="0"/>
            </w:tcBorders>
            <w:vAlign w:val="center"/>
          </w:tcPr>
          <w:p w14:paraId="1736D753">
            <w:pPr>
              <w:jc w:val="center"/>
              <w:rPr>
                <w:rFonts w:eastAsia="宋体"/>
                <w:color w:val="auto"/>
                <w:highlight w:val="none"/>
              </w:rPr>
            </w:pPr>
          </w:p>
        </w:tc>
      </w:tr>
      <w:tr w14:paraId="4748F927">
        <w:tblPrEx>
          <w:tblCellMar>
            <w:top w:w="0" w:type="dxa"/>
            <w:left w:w="108" w:type="dxa"/>
            <w:bottom w:w="0" w:type="dxa"/>
            <w:right w:w="108" w:type="dxa"/>
          </w:tblCellMar>
        </w:tblPrEx>
        <w:trPr>
          <w:trHeight w:val="1249" w:hRule="atLeast"/>
          <w:jc w:val="center"/>
        </w:trPr>
        <w:tc>
          <w:tcPr>
            <w:tcW w:w="639" w:type="pct"/>
            <w:vMerge w:val="restart"/>
            <w:tcBorders>
              <w:top w:val="single" w:color="000000" w:sz="4" w:space="0"/>
              <w:left w:val="single" w:color="000000" w:sz="4" w:space="0"/>
              <w:bottom w:val="single" w:color="000000" w:sz="4" w:space="0"/>
              <w:right w:val="single" w:color="000000" w:sz="4" w:space="0"/>
            </w:tcBorders>
            <w:vAlign w:val="center"/>
          </w:tcPr>
          <w:p w14:paraId="33B2CC3F">
            <w:pPr>
              <w:widowControl/>
              <w:jc w:val="center"/>
              <w:textAlignment w:val="center"/>
              <w:rPr>
                <w:rFonts w:eastAsia="宋体"/>
                <w:color w:val="auto"/>
                <w:highlight w:val="none"/>
              </w:rPr>
            </w:pPr>
            <w:r>
              <w:rPr>
                <w:rFonts w:eastAsia="宋体"/>
                <w:color w:val="auto"/>
                <w:kern w:val="0"/>
                <w:highlight w:val="none"/>
                <w:lang w:bidi="ar"/>
              </w:rPr>
              <w:t>第一阶段生产期 (</w:t>
            </w:r>
            <w:r>
              <w:rPr>
                <w:rFonts w:hint="eastAsia" w:eastAsia="宋体"/>
                <w:color w:val="auto"/>
                <w:kern w:val="0"/>
                <w:highlight w:val="none"/>
                <w:lang w:val="en-US" w:eastAsia="zh-CN" w:bidi="ar"/>
              </w:rPr>
              <w:t>9.14</w:t>
            </w:r>
            <w:r>
              <w:rPr>
                <w:rFonts w:eastAsia="宋体"/>
                <w:color w:val="auto"/>
                <w:kern w:val="0"/>
                <w:highlight w:val="none"/>
                <w:lang w:bidi="ar"/>
              </w:rPr>
              <w:t>年)</w:t>
            </w:r>
          </w:p>
        </w:tc>
        <w:tc>
          <w:tcPr>
            <w:tcW w:w="976" w:type="pct"/>
            <w:vMerge w:val="restart"/>
            <w:tcBorders>
              <w:top w:val="single" w:color="000000" w:sz="4" w:space="0"/>
              <w:left w:val="single" w:color="000000" w:sz="4" w:space="0"/>
              <w:bottom w:val="single" w:color="000000" w:sz="4" w:space="0"/>
              <w:right w:val="single" w:color="000000" w:sz="4" w:space="0"/>
            </w:tcBorders>
            <w:vAlign w:val="center"/>
          </w:tcPr>
          <w:p w14:paraId="50AF090F">
            <w:pPr>
              <w:widowControl/>
              <w:jc w:val="center"/>
              <w:textAlignment w:val="center"/>
              <w:rPr>
                <w:rFonts w:eastAsia="宋体"/>
                <w:color w:val="auto"/>
                <w:kern w:val="0"/>
                <w:highlight w:val="none"/>
                <w:lang w:bidi="ar"/>
              </w:rPr>
            </w:pPr>
            <w:r>
              <w:rPr>
                <w:rFonts w:eastAsia="宋体"/>
                <w:color w:val="auto"/>
                <w:kern w:val="0"/>
                <w:highlight w:val="none"/>
                <w:lang w:bidi="ar"/>
              </w:rPr>
              <w:t>生产期</w:t>
            </w:r>
          </w:p>
          <w:p w14:paraId="13443E9F">
            <w:pPr>
              <w:widowControl/>
              <w:jc w:val="center"/>
              <w:textAlignment w:val="center"/>
              <w:rPr>
                <w:rFonts w:hint="default" w:eastAsia="宋体"/>
                <w:color w:val="auto"/>
                <w:highlight w:val="none"/>
                <w:lang w:val="en-US" w:eastAsia="zh-CN"/>
              </w:rPr>
            </w:pPr>
            <w:r>
              <w:rPr>
                <w:rFonts w:eastAsia="宋体"/>
                <w:color w:val="auto"/>
                <w:kern w:val="0"/>
                <w:highlight w:val="none"/>
                <w:lang w:bidi="ar"/>
              </w:rPr>
              <w:t>（</w:t>
            </w:r>
            <w:r>
              <w:rPr>
                <w:rFonts w:hint="eastAsia" w:eastAsia="宋体"/>
                <w:color w:val="auto"/>
                <w:kern w:val="0"/>
                <w:highlight w:val="none"/>
                <w:lang w:val="en-US" w:eastAsia="zh-CN" w:bidi="ar"/>
              </w:rPr>
              <w:t>9.14</w:t>
            </w:r>
            <w:r>
              <w:rPr>
                <w:rFonts w:eastAsia="宋体"/>
                <w:color w:val="auto"/>
                <w:kern w:val="0"/>
                <w:highlight w:val="none"/>
                <w:lang w:bidi="ar"/>
              </w:rPr>
              <w:t>）</w:t>
            </w:r>
          </w:p>
        </w:tc>
        <w:tc>
          <w:tcPr>
            <w:tcW w:w="3383" w:type="pct"/>
            <w:tcBorders>
              <w:top w:val="single" w:color="000000" w:sz="4" w:space="0"/>
              <w:left w:val="single" w:color="000000" w:sz="4" w:space="0"/>
              <w:bottom w:val="single" w:color="000000" w:sz="4" w:space="0"/>
              <w:right w:val="single" w:color="000000" w:sz="4" w:space="0"/>
            </w:tcBorders>
            <w:vAlign w:val="center"/>
          </w:tcPr>
          <w:p w14:paraId="43D6F810">
            <w:pPr>
              <w:widowControl/>
              <w:textAlignment w:val="center"/>
              <w:rPr>
                <w:rFonts w:eastAsia="宋体"/>
                <w:color w:val="auto"/>
                <w:highlight w:val="none"/>
              </w:rPr>
            </w:pPr>
            <w:r>
              <w:rPr>
                <w:rFonts w:eastAsia="宋体"/>
                <w:color w:val="auto"/>
                <w:kern w:val="0"/>
                <w:highlight w:val="none"/>
                <w:lang w:bidi="ar"/>
              </w:rPr>
              <w:t>①地质环境保护工程：对开采完毕的台阶进行边坡修整，修整面积</w:t>
            </w:r>
            <w:r>
              <w:rPr>
                <w:rFonts w:hint="eastAsia" w:eastAsia="宋体"/>
                <w:color w:val="auto"/>
                <w:kern w:val="0"/>
                <w:highlight w:val="none"/>
                <w:lang w:val="en-US" w:eastAsia="zh-CN" w:bidi="ar"/>
              </w:rPr>
              <w:t>0.8</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设置安全警示牌</w:t>
            </w:r>
            <w:r>
              <w:rPr>
                <w:rFonts w:hint="eastAsia" w:eastAsia="宋体"/>
                <w:color w:val="auto"/>
                <w:kern w:val="0"/>
                <w:highlight w:val="none"/>
                <w:lang w:bidi="ar"/>
              </w:rPr>
              <w:t>10</w:t>
            </w:r>
            <w:r>
              <w:rPr>
                <w:rFonts w:eastAsia="宋体"/>
                <w:color w:val="auto"/>
                <w:kern w:val="0"/>
                <w:highlight w:val="none"/>
                <w:lang w:bidi="ar"/>
              </w:rPr>
              <w:t>张</w:t>
            </w:r>
            <w:r>
              <w:rPr>
                <w:rFonts w:hint="eastAsia" w:eastAsia="宋体"/>
                <w:color w:val="auto"/>
                <w:kern w:val="0"/>
                <w:highlight w:val="none"/>
                <w:lang w:bidi="ar"/>
              </w:rPr>
              <w:t>。</w:t>
            </w:r>
            <w:r>
              <w:rPr>
                <w:rFonts w:eastAsia="宋体"/>
                <w:color w:val="auto"/>
                <w:kern w:val="0"/>
                <w:highlight w:val="none"/>
                <w:lang w:bidi="ar"/>
              </w:rPr>
              <w:t>巡视监测</w:t>
            </w:r>
            <w:r>
              <w:rPr>
                <w:rFonts w:hint="eastAsia" w:eastAsia="宋体"/>
                <w:color w:val="auto"/>
                <w:kern w:val="0"/>
                <w:highlight w:val="none"/>
                <w:lang w:val="en-US" w:eastAsia="zh-CN" w:bidi="ar"/>
              </w:rPr>
              <w:t>108</w:t>
            </w:r>
            <w:r>
              <w:rPr>
                <w:rFonts w:eastAsia="宋体"/>
                <w:color w:val="auto"/>
                <w:kern w:val="0"/>
                <w:highlight w:val="none"/>
                <w:lang w:bidi="ar"/>
              </w:rPr>
              <w:t>点.次，地灾简易监测</w:t>
            </w:r>
            <w:r>
              <w:rPr>
                <w:rFonts w:hint="eastAsia" w:eastAsia="宋体"/>
                <w:color w:val="auto"/>
                <w:kern w:val="0"/>
                <w:highlight w:val="none"/>
                <w:lang w:val="en-US" w:eastAsia="zh-CN" w:bidi="ar"/>
              </w:rPr>
              <w:t>192</w:t>
            </w:r>
            <w:r>
              <w:rPr>
                <w:rFonts w:eastAsia="宋体"/>
                <w:color w:val="auto"/>
                <w:kern w:val="0"/>
                <w:highlight w:val="none"/>
                <w:lang w:bidi="ar"/>
              </w:rPr>
              <w:t>点.次。</w:t>
            </w:r>
          </w:p>
        </w:tc>
      </w:tr>
      <w:tr w14:paraId="48CA4C8A">
        <w:tblPrEx>
          <w:tblCellMar>
            <w:top w:w="0" w:type="dxa"/>
            <w:left w:w="108" w:type="dxa"/>
            <w:bottom w:w="0" w:type="dxa"/>
            <w:right w:w="108" w:type="dxa"/>
          </w:tblCellMar>
        </w:tblPrEx>
        <w:trPr>
          <w:trHeight w:val="1207" w:hRule="atLeast"/>
          <w:jc w:val="center"/>
        </w:trPr>
        <w:tc>
          <w:tcPr>
            <w:tcW w:w="639" w:type="pct"/>
            <w:vMerge w:val="continue"/>
            <w:tcBorders>
              <w:top w:val="single" w:color="000000" w:sz="4" w:space="0"/>
              <w:left w:val="single" w:color="000000" w:sz="4" w:space="0"/>
              <w:bottom w:val="single" w:color="auto" w:sz="4" w:space="0"/>
              <w:right w:val="single" w:color="000000" w:sz="4" w:space="0"/>
            </w:tcBorders>
            <w:vAlign w:val="center"/>
          </w:tcPr>
          <w:p w14:paraId="351A92E9">
            <w:pPr>
              <w:jc w:val="center"/>
              <w:rPr>
                <w:rFonts w:eastAsia="宋体"/>
                <w:color w:val="auto"/>
                <w:highlight w:val="none"/>
              </w:rPr>
            </w:pPr>
          </w:p>
        </w:tc>
        <w:tc>
          <w:tcPr>
            <w:tcW w:w="976" w:type="pct"/>
            <w:vMerge w:val="continue"/>
            <w:tcBorders>
              <w:top w:val="single" w:color="000000" w:sz="4" w:space="0"/>
              <w:left w:val="single" w:color="000000" w:sz="4" w:space="0"/>
              <w:bottom w:val="single" w:color="auto" w:sz="4" w:space="0"/>
              <w:right w:val="single" w:color="000000" w:sz="4" w:space="0"/>
            </w:tcBorders>
            <w:vAlign w:val="center"/>
          </w:tcPr>
          <w:p w14:paraId="6978A635">
            <w:pPr>
              <w:jc w:val="center"/>
              <w:rPr>
                <w:rFonts w:eastAsia="宋体"/>
                <w:color w:val="auto"/>
                <w:highlight w:val="none"/>
              </w:rPr>
            </w:pPr>
          </w:p>
        </w:tc>
        <w:tc>
          <w:tcPr>
            <w:tcW w:w="3383" w:type="pct"/>
            <w:tcBorders>
              <w:top w:val="single" w:color="000000" w:sz="4" w:space="0"/>
              <w:left w:val="single" w:color="000000" w:sz="4" w:space="0"/>
              <w:bottom w:val="single" w:color="auto" w:sz="4" w:space="0"/>
              <w:right w:val="single" w:color="000000" w:sz="4" w:space="0"/>
            </w:tcBorders>
            <w:vAlign w:val="center"/>
          </w:tcPr>
          <w:p w14:paraId="36380C08">
            <w:pPr>
              <w:widowControl/>
              <w:textAlignment w:val="center"/>
              <w:rPr>
                <w:rFonts w:eastAsia="宋体"/>
                <w:color w:val="auto"/>
                <w:highlight w:val="none"/>
              </w:rPr>
            </w:pPr>
            <w:r>
              <w:rPr>
                <w:rFonts w:eastAsia="宋体"/>
                <w:color w:val="auto"/>
                <w:kern w:val="0"/>
                <w:highlight w:val="none"/>
                <w:lang w:bidi="ar"/>
              </w:rPr>
              <w:t>②土地复垦工程：</w:t>
            </w:r>
            <w:r>
              <w:rPr>
                <w:rFonts w:hint="eastAsia" w:eastAsia="宋体"/>
                <w:color w:val="auto"/>
                <w:kern w:val="0"/>
                <w:highlight w:val="none"/>
                <w:lang w:val="en-US" w:eastAsia="zh-CN" w:bidi="ar"/>
              </w:rPr>
              <w:t>在矿山开采过程中，应对矿山开采边坡及时进行矿山修复工作，坚持”边开采，边修复“的原则</w:t>
            </w:r>
            <w:r>
              <w:rPr>
                <w:rFonts w:hint="eastAsia" w:eastAsia="宋体"/>
                <w:color w:val="auto"/>
                <w:kern w:val="0"/>
                <w:highlight w:val="none"/>
                <w:lang w:bidi="ar"/>
              </w:rPr>
              <w:t>。</w:t>
            </w:r>
            <w:r>
              <w:rPr>
                <w:rFonts w:eastAsia="宋体"/>
                <w:color w:val="auto"/>
                <w:kern w:val="0"/>
                <w:highlight w:val="none"/>
                <w:lang w:bidi="ar"/>
              </w:rPr>
              <w:t>土地损毁情况及复垦效果监测</w:t>
            </w:r>
            <w:r>
              <w:rPr>
                <w:rFonts w:hint="eastAsia" w:eastAsia="宋体"/>
                <w:color w:val="auto"/>
                <w:kern w:val="0"/>
                <w:highlight w:val="none"/>
                <w:lang w:val="en-US" w:eastAsia="zh-CN" w:bidi="ar"/>
              </w:rPr>
              <w:t>36</w:t>
            </w:r>
            <w:r>
              <w:rPr>
                <w:rFonts w:eastAsia="宋体"/>
                <w:color w:val="auto"/>
                <w:kern w:val="0"/>
                <w:highlight w:val="none"/>
                <w:lang w:bidi="ar"/>
              </w:rPr>
              <w:t>点.次。</w:t>
            </w:r>
          </w:p>
        </w:tc>
      </w:tr>
      <w:tr w14:paraId="163A4DDF">
        <w:tblPrEx>
          <w:tblCellMar>
            <w:top w:w="0" w:type="dxa"/>
            <w:left w:w="108" w:type="dxa"/>
            <w:bottom w:w="0" w:type="dxa"/>
            <w:right w:w="108" w:type="dxa"/>
          </w:tblCellMar>
        </w:tblPrEx>
        <w:trPr>
          <w:trHeight w:val="1849" w:hRule="atLeast"/>
          <w:jc w:val="center"/>
        </w:trPr>
        <w:tc>
          <w:tcPr>
            <w:tcW w:w="639" w:type="pct"/>
            <w:vMerge w:val="restart"/>
            <w:tcBorders>
              <w:top w:val="single" w:color="auto" w:sz="4" w:space="0"/>
              <w:left w:val="single" w:color="auto" w:sz="4" w:space="0"/>
              <w:right w:val="single" w:color="auto" w:sz="4" w:space="0"/>
            </w:tcBorders>
            <w:vAlign w:val="center"/>
          </w:tcPr>
          <w:p w14:paraId="488DAEEC">
            <w:pPr>
              <w:jc w:val="center"/>
              <w:rPr>
                <w:rFonts w:hint="eastAsia" w:eastAsia="宋体"/>
                <w:color w:val="auto"/>
                <w:kern w:val="0"/>
                <w:highlight w:val="none"/>
                <w:lang w:bidi="ar"/>
              </w:rPr>
            </w:pPr>
            <w:r>
              <w:rPr>
                <w:rFonts w:eastAsia="宋体"/>
                <w:color w:val="auto"/>
                <w:kern w:val="0"/>
                <w:highlight w:val="none"/>
                <w:lang w:bidi="ar"/>
              </w:rPr>
              <w:t>第</w:t>
            </w:r>
            <w:r>
              <w:rPr>
                <w:rFonts w:hint="eastAsia" w:eastAsia="宋体"/>
                <w:color w:val="auto"/>
                <w:kern w:val="0"/>
                <w:highlight w:val="none"/>
                <w:lang w:bidi="ar"/>
              </w:rPr>
              <w:t>二</w:t>
            </w:r>
            <w:r>
              <w:rPr>
                <w:rFonts w:eastAsia="宋体"/>
                <w:color w:val="auto"/>
                <w:kern w:val="0"/>
                <w:highlight w:val="none"/>
                <w:lang w:bidi="ar"/>
              </w:rPr>
              <w:t>阶段</w:t>
            </w:r>
            <w:r>
              <w:rPr>
                <w:rFonts w:hint="eastAsia" w:eastAsia="宋体"/>
                <w:color w:val="auto"/>
                <w:kern w:val="0"/>
                <w:highlight w:val="none"/>
                <w:lang w:bidi="ar"/>
              </w:rPr>
              <w:t>施工期</w:t>
            </w:r>
          </w:p>
          <w:p w14:paraId="14D29334">
            <w:pPr>
              <w:jc w:val="center"/>
              <w:rPr>
                <w:rFonts w:eastAsia="宋体"/>
                <w:color w:val="auto"/>
                <w:kern w:val="0"/>
                <w:highlight w:val="none"/>
                <w:lang w:bidi="ar"/>
              </w:rPr>
            </w:pPr>
            <w:r>
              <w:rPr>
                <w:rFonts w:eastAsia="宋体"/>
                <w:color w:val="auto"/>
                <w:kern w:val="0"/>
                <w:highlight w:val="none"/>
                <w:lang w:bidi="ar"/>
              </w:rPr>
              <w:t>(</w:t>
            </w:r>
            <w:r>
              <w:rPr>
                <w:rFonts w:hint="eastAsia" w:eastAsia="宋体"/>
                <w:color w:val="auto"/>
                <w:kern w:val="0"/>
                <w:highlight w:val="none"/>
                <w:lang w:val="en-US" w:eastAsia="zh-CN" w:bidi="ar"/>
              </w:rPr>
              <w:t>1</w:t>
            </w:r>
            <w:r>
              <w:rPr>
                <w:rFonts w:eastAsia="宋体"/>
                <w:color w:val="auto"/>
                <w:kern w:val="0"/>
                <w:highlight w:val="none"/>
                <w:lang w:bidi="ar"/>
              </w:rPr>
              <w:t>年)</w:t>
            </w:r>
          </w:p>
        </w:tc>
        <w:tc>
          <w:tcPr>
            <w:tcW w:w="976" w:type="pct"/>
            <w:vMerge w:val="restart"/>
            <w:tcBorders>
              <w:top w:val="single" w:color="auto" w:sz="4" w:space="0"/>
              <w:left w:val="single" w:color="auto" w:sz="4" w:space="0"/>
              <w:bottom w:val="single" w:color="auto" w:sz="4" w:space="0"/>
              <w:right w:val="single" w:color="auto" w:sz="4" w:space="0"/>
            </w:tcBorders>
            <w:vAlign w:val="center"/>
          </w:tcPr>
          <w:p w14:paraId="388199CE">
            <w:pPr>
              <w:widowControl/>
              <w:jc w:val="center"/>
              <w:textAlignment w:val="center"/>
              <w:rPr>
                <w:rFonts w:hint="default" w:eastAsia="宋体"/>
                <w:color w:val="auto"/>
                <w:highlight w:val="none"/>
                <w:lang w:val="en-US" w:eastAsia="zh-CN"/>
              </w:rPr>
            </w:pPr>
            <w:r>
              <w:rPr>
                <w:rFonts w:eastAsia="宋体"/>
                <w:color w:val="auto"/>
                <w:kern w:val="0"/>
                <w:highlight w:val="none"/>
                <w:lang w:bidi="ar"/>
              </w:rPr>
              <w:t>（施工期</w:t>
            </w:r>
            <w:r>
              <w:rPr>
                <w:rFonts w:hint="eastAsia" w:eastAsia="宋体"/>
                <w:color w:val="auto"/>
                <w:kern w:val="0"/>
                <w:highlight w:val="none"/>
                <w:lang w:bidi="ar"/>
              </w:rPr>
              <w:t>1年</w:t>
            </w:r>
            <w:r>
              <w:rPr>
                <w:rFonts w:eastAsia="宋体"/>
                <w:color w:val="auto"/>
                <w:kern w:val="0"/>
                <w:highlight w:val="none"/>
                <w:lang w:bidi="ar"/>
              </w:rPr>
              <w:t>）</w:t>
            </w:r>
          </w:p>
        </w:tc>
        <w:tc>
          <w:tcPr>
            <w:tcW w:w="3383" w:type="pct"/>
            <w:tcBorders>
              <w:top w:val="single" w:color="auto" w:sz="4" w:space="0"/>
              <w:left w:val="single" w:color="auto" w:sz="4" w:space="0"/>
              <w:bottom w:val="single" w:color="auto" w:sz="4" w:space="0"/>
              <w:right w:val="single" w:color="auto" w:sz="4" w:space="0"/>
            </w:tcBorders>
            <w:vAlign w:val="center"/>
          </w:tcPr>
          <w:p w14:paraId="0913718C">
            <w:pPr>
              <w:widowControl/>
              <w:textAlignment w:val="center"/>
              <w:rPr>
                <w:rFonts w:eastAsia="宋体"/>
                <w:color w:val="auto"/>
                <w:highlight w:val="none"/>
              </w:rPr>
            </w:pPr>
            <w:r>
              <w:rPr>
                <w:rFonts w:eastAsia="宋体"/>
                <w:color w:val="auto"/>
                <w:kern w:val="0"/>
                <w:highlight w:val="none"/>
                <w:lang w:bidi="ar"/>
              </w:rPr>
              <w:t>土地复垦工程：平整场地，覆表土、植被恢复</w:t>
            </w:r>
            <w:r>
              <w:rPr>
                <w:rFonts w:hint="eastAsia" w:eastAsia="宋体"/>
                <w:color w:val="auto"/>
                <w:kern w:val="0"/>
                <w:highlight w:val="none"/>
                <w:lang w:eastAsia="zh-CN" w:bidi="ar"/>
              </w:rPr>
              <w:t>、</w:t>
            </w:r>
            <w:r>
              <w:rPr>
                <w:rFonts w:hint="eastAsia" w:eastAsia="宋体"/>
                <w:color w:val="auto"/>
                <w:kern w:val="0"/>
                <w:highlight w:val="none"/>
                <w:lang w:val="en-US" w:eastAsia="zh-CN" w:bidi="ar"/>
              </w:rPr>
              <w:t>配套工程</w:t>
            </w:r>
            <w:r>
              <w:rPr>
                <w:rFonts w:eastAsia="宋体"/>
                <w:color w:val="auto"/>
                <w:kern w:val="0"/>
                <w:highlight w:val="none"/>
                <w:lang w:bidi="ar"/>
              </w:rPr>
              <w:t>等措施；恢复</w:t>
            </w:r>
            <w:r>
              <w:rPr>
                <w:rFonts w:hint="eastAsia" w:eastAsia="宋体"/>
                <w:color w:val="auto"/>
                <w:kern w:val="0"/>
                <w:highlight w:val="none"/>
                <w:lang w:bidi="ar"/>
              </w:rPr>
              <w:t>乔木林地面积</w:t>
            </w:r>
            <w:r>
              <w:rPr>
                <w:rFonts w:hint="eastAsia" w:eastAsia="宋体"/>
                <w:color w:val="auto"/>
                <w:kern w:val="0"/>
                <w:highlight w:val="none"/>
                <w:lang w:val="en-US" w:eastAsia="zh-CN" w:bidi="ar"/>
              </w:rPr>
              <w:t>0.6</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、草地面积</w:t>
            </w:r>
            <w:r>
              <w:rPr>
                <w:rFonts w:hint="eastAsia" w:eastAsia="宋体"/>
                <w:color w:val="auto"/>
                <w:kern w:val="0"/>
                <w:highlight w:val="none"/>
                <w:lang w:val="en-US" w:eastAsia="zh-CN" w:bidi="ar"/>
              </w:rPr>
              <w:t>0.2</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土壤培肥</w:t>
            </w:r>
            <w:r>
              <w:rPr>
                <w:rFonts w:hint="eastAsia" w:eastAsia="宋体"/>
                <w:color w:val="auto"/>
                <w:kern w:val="0"/>
                <w:highlight w:val="none"/>
                <w:lang w:val="en-US" w:eastAsia="zh-CN" w:bidi="ar"/>
              </w:rPr>
              <w:t>2.4</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、栽种</w:t>
            </w:r>
            <w:r>
              <w:rPr>
                <w:rFonts w:hint="eastAsia" w:eastAsia="宋体"/>
                <w:color w:val="auto"/>
                <w:kern w:val="0"/>
                <w:highlight w:val="none"/>
                <w:lang w:val="en-US" w:eastAsia="zh-CN" w:bidi="ar"/>
              </w:rPr>
              <w:t>树木750</w:t>
            </w:r>
            <w:r>
              <w:rPr>
                <w:rFonts w:hint="eastAsia" w:eastAsia="宋体"/>
                <w:color w:val="auto"/>
                <w:kern w:val="0"/>
                <w:highlight w:val="none"/>
                <w:lang w:bidi="ar"/>
              </w:rPr>
              <w:t>株</w:t>
            </w:r>
            <w:r>
              <w:rPr>
                <w:rFonts w:hint="eastAsia" w:eastAsia="宋体"/>
                <w:color w:val="auto"/>
                <w:kern w:val="0"/>
                <w:highlight w:val="none"/>
                <w:lang w:val="en-US" w:eastAsia="zh-CN" w:bidi="ar"/>
              </w:rPr>
              <w:t>，</w:t>
            </w:r>
            <w:r>
              <w:rPr>
                <w:rFonts w:hint="eastAsia" w:eastAsia="宋体"/>
                <w:color w:val="auto"/>
                <w:kern w:val="0"/>
                <w:highlight w:val="none"/>
                <w:lang w:bidi="ar"/>
              </w:rPr>
              <w:t>播撒草籽</w:t>
            </w:r>
            <w:r>
              <w:rPr>
                <w:rFonts w:hint="eastAsia" w:eastAsia="宋体"/>
                <w:color w:val="auto"/>
                <w:kern w:val="0"/>
                <w:highlight w:val="none"/>
                <w:lang w:val="en-US" w:eastAsia="zh-CN" w:bidi="ar"/>
              </w:rPr>
              <w:t>0.8</w:t>
            </w:r>
            <w:r>
              <w:rPr>
                <w:rFonts w:eastAsia="宋体"/>
                <w:color w:val="auto"/>
                <w:kern w:val="0"/>
                <w:highlight w:val="none"/>
                <w:lang w:bidi="ar"/>
              </w:rPr>
              <w:t>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土地损毁情况及复垦效果监测</w:t>
            </w:r>
            <w:r>
              <w:rPr>
                <w:rFonts w:hint="eastAsia" w:eastAsia="宋体"/>
                <w:color w:val="auto"/>
                <w:kern w:val="0"/>
                <w:highlight w:val="none"/>
                <w:lang w:val="en-US" w:eastAsia="zh-CN" w:bidi="ar"/>
              </w:rPr>
              <w:t>72</w:t>
            </w:r>
            <w:r>
              <w:rPr>
                <w:rFonts w:eastAsia="宋体"/>
                <w:color w:val="auto"/>
                <w:kern w:val="0"/>
                <w:highlight w:val="none"/>
                <w:lang w:bidi="ar"/>
              </w:rPr>
              <w:t>点.次。</w:t>
            </w:r>
          </w:p>
        </w:tc>
      </w:tr>
      <w:tr w14:paraId="6B00A3A2">
        <w:tblPrEx>
          <w:tblCellMar>
            <w:top w:w="0" w:type="dxa"/>
            <w:left w:w="108" w:type="dxa"/>
            <w:bottom w:w="0" w:type="dxa"/>
            <w:right w:w="108" w:type="dxa"/>
          </w:tblCellMar>
        </w:tblPrEx>
        <w:trPr>
          <w:trHeight w:val="90" w:hRule="atLeast"/>
          <w:jc w:val="center"/>
        </w:trPr>
        <w:tc>
          <w:tcPr>
            <w:tcW w:w="639" w:type="pct"/>
            <w:vMerge w:val="restart"/>
            <w:tcBorders>
              <w:top w:val="single" w:color="auto" w:sz="4" w:space="0"/>
              <w:left w:val="single" w:color="auto" w:sz="4" w:space="0"/>
              <w:right w:val="single" w:color="auto" w:sz="4" w:space="0"/>
            </w:tcBorders>
            <w:vAlign w:val="center"/>
          </w:tcPr>
          <w:p w14:paraId="7D4F080C">
            <w:pPr>
              <w:widowControl/>
              <w:jc w:val="center"/>
              <w:textAlignment w:val="center"/>
              <w:rPr>
                <w:rFonts w:hint="eastAsia" w:eastAsia="宋体"/>
                <w:color w:val="auto"/>
                <w:kern w:val="0"/>
                <w:highlight w:val="none"/>
                <w:lang w:bidi="ar"/>
              </w:rPr>
            </w:pPr>
            <w:r>
              <w:rPr>
                <w:rFonts w:eastAsia="宋体"/>
                <w:color w:val="auto"/>
                <w:kern w:val="0"/>
                <w:highlight w:val="none"/>
                <w:lang w:bidi="ar"/>
              </w:rPr>
              <w:t>第</w:t>
            </w:r>
            <w:r>
              <w:rPr>
                <w:rFonts w:hint="eastAsia" w:eastAsia="宋体"/>
                <w:color w:val="auto"/>
                <w:kern w:val="0"/>
                <w:highlight w:val="none"/>
                <w:lang w:val="en-US" w:eastAsia="zh-CN" w:bidi="ar"/>
              </w:rPr>
              <w:t>三</w:t>
            </w:r>
            <w:r>
              <w:rPr>
                <w:rFonts w:eastAsia="宋体"/>
                <w:color w:val="auto"/>
                <w:kern w:val="0"/>
                <w:highlight w:val="none"/>
                <w:lang w:bidi="ar"/>
              </w:rPr>
              <w:t>阶段</w:t>
            </w:r>
            <w:r>
              <w:rPr>
                <w:rFonts w:hint="eastAsia" w:eastAsia="宋体"/>
                <w:color w:val="auto"/>
                <w:kern w:val="0"/>
                <w:highlight w:val="none"/>
                <w:lang w:bidi="ar"/>
              </w:rPr>
              <w:t>管护期</w:t>
            </w:r>
          </w:p>
          <w:p w14:paraId="167A194A">
            <w:pPr>
              <w:widowControl/>
              <w:jc w:val="center"/>
              <w:textAlignment w:val="center"/>
              <w:rPr>
                <w:rFonts w:eastAsia="宋体"/>
                <w:color w:val="auto"/>
                <w:highlight w:val="none"/>
              </w:rPr>
            </w:pPr>
            <w:r>
              <w:rPr>
                <w:rFonts w:eastAsia="宋体"/>
                <w:color w:val="auto"/>
                <w:kern w:val="0"/>
                <w:highlight w:val="none"/>
                <w:lang w:bidi="ar"/>
              </w:rPr>
              <w:t>(</w:t>
            </w:r>
            <w:r>
              <w:rPr>
                <w:rFonts w:hint="eastAsia" w:eastAsia="宋体"/>
                <w:color w:val="auto"/>
                <w:kern w:val="0"/>
                <w:highlight w:val="none"/>
                <w:lang w:val="en-US" w:eastAsia="zh-CN" w:bidi="ar"/>
              </w:rPr>
              <w:t>3</w:t>
            </w:r>
            <w:r>
              <w:rPr>
                <w:rFonts w:eastAsia="宋体"/>
                <w:color w:val="auto"/>
                <w:kern w:val="0"/>
                <w:highlight w:val="none"/>
                <w:lang w:bidi="ar"/>
              </w:rPr>
              <w:t>年)</w:t>
            </w:r>
          </w:p>
        </w:tc>
        <w:tc>
          <w:tcPr>
            <w:tcW w:w="976" w:type="pct"/>
            <w:vMerge w:val="restart"/>
            <w:tcBorders>
              <w:top w:val="single" w:color="auto" w:sz="4" w:space="0"/>
              <w:left w:val="single" w:color="auto" w:sz="4" w:space="0"/>
              <w:bottom w:val="single" w:color="auto" w:sz="4" w:space="0"/>
              <w:right w:val="single" w:color="auto" w:sz="4" w:space="0"/>
            </w:tcBorders>
            <w:vAlign w:val="center"/>
          </w:tcPr>
          <w:p w14:paraId="787F3C2E">
            <w:pPr>
              <w:widowControl/>
              <w:jc w:val="center"/>
              <w:textAlignment w:val="center"/>
              <w:rPr>
                <w:rFonts w:hint="default" w:eastAsia="宋体"/>
                <w:color w:val="auto"/>
                <w:highlight w:val="none"/>
                <w:lang w:val="en-US" w:eastAsia="zh-CN"/>
              </w:rPr>
            </w:pPr>
            <w:r>
              <w:rPr>
                <w:rFonts w:eastAsia="宋体"/>
                <w:color w:val="auto"/>
                <w:kern w:val="0"/>
                <w:highlight w:val="none"/>
                <w:lang w:bidi="ar"/>
              </w:rPr>
              <w:t>（</w:t>
            </w:r>
            <w:r>
              <w:rPr>
                <w:rFonts w:hint="eastAsia" w:eastAsia="宋体"/>
                <w:color w:val="auto"/>
                <w:kern w:val="0"/>
                <w:highlight w:val="none"/>
                <w:lang w:bidi="ar"/>
              </w:rPr>
              <w:t>管护期3年</w:t>
            </w:r>
            <w:r>
              <w:rPr>
                <w:rFonts w:eastAsia="宋体"/>
                <w:color w:val="auto"/>
                <w:kern w:val="0"/>
                <w:highlight w:val="none"/>
                <w:lang w:bidi="ar"/>
              </w:rPr>
              <w:t>）</w:t>
            </w:r>
          </w:p>
        </w:tc>
        <w:tc>
          <w:tcPr>
            <w:tcW w:w="3383" w:type="pct"/>
            <w:tcBorders>
              <w:top w:val="single" w:color="auto" w:sz="4" w:space="0"/>
              <w:left w:val="single" w:color="auto" w:sz="4" w:space="0"/>
              <w:bottom w:val="single" w:color="auto" w:sz="4" w:space="0"/>
              <w:right w:val="single" w:color="auto" w:sz="4" w:space="0"/>
            </w:tcBorders>
            <w:vAlign w:val="center"/>
          </w:tcPr>
          <w:p w14:paraId="18F5AE43">
            <w:pPr>
              <w:widowControl/>
              <w:jc w:val="left"/>
              <w:textAlignment w:val="center"/>
              <w:rPr>
                <w:rFonts w:eastAsia="宋体"/>
                <w:color w:val="auto"/>
                <w:highlight w:val="none"/>
              </w:rPr>
            </w:pPr>
            <w:r>
              <w:rPr>
                <w:rFonts w:eastAsia="宋体"/>
                <w:color w:val="auto"/>
                <w:kern w:val="0"/>
                <w:highlight w:val="none"/>
                <w:lang w:bidi="ar"/>
              </w:rPr>
              <w:t>①地质环境保护工程：巡视监测</w:t>
            </w:r>
            <w:r>
              <w:rPr>
                <w:rFonts w:hint="eastAsia" w:eastAsia="宋体"/>
                <w:color w:val="auto"/>
                <w:kern w:val="0"/>
                <w:highlight w:val="none"/>
                <w:lang w:val="en-US" w:eastAsia="zh-CN" w:bidi="ar"/>
              </w:rPr>
              <w:t>36</w:t>
            </w:r>
            <w:r>
              <w:rPr>
                <w:rFonts w:eastAsia="宋体"/>
                <w:color w:val="auto"/>
                <w:kern w:val="0"/>
                <w:highlight w:val="none"/>
                <w:lang w:bidi="ar"/>
              </w:rPr>
              <w:t>点.次，地灾简易监测</w:t>
            </w:r>
            <w:r>
              <w:rPr>
                <w:rFonts w:hint="eastAsia" w:eastAsia="宋体"/>
                <w:color w:val="auto"/>
                <w:kern w:val="0"/>
                <w:highlight w:val="none"/>
                <w:lang w:val="en-US" w:eastAsia="zh-CN" w:bidi="ar"/>
              </w:rPr>
              <w:t>48</w:t>
            </w:r>
            <w:r>
              <w:rPr>
                <w:rFonts w:eastAsia="宋体"/>
                <w:color w:val="auto"/>
                <w:kern w:val="0"/>
                <w:highlight w:val="none"/>
                <w:lang w:bidi="ar"/>
              </w:rPr>
              <w:t>点.次</w:t>
            </w:r>
            <w:r>
              <w:rPr>
                <w:rFonts w:hint="eastAsia" w:eastAsia="宋体"/>
                <w:color w:val="auto"/>
                <w:kern w:val="0"/>
                <w:highlight w:val="none"/>
                <w:lang w:bidi="ar"/>
              </w:rPr>
              <w:t>。</w:t>
            </w:r>
          </w:p>
        </w:tc>
      </w:tr>
      <w:tr w14:paraId="3FB9722E">
        <w:tblPrEx>
          <w:tblCellMar>
            <w:top w:w="0" w:type="dxa"/>
            <w:left w:w="108" w:type="dxa"/>
            <w:bottom w:w="0" w:type="dxa"/>
            <w:right w:w="108" w:type="dxa"/>
          </w:tblCellMar>
        </w:tblPrEx>
        <w:trPr>
          <w:trHeight w:val="591" w:hRule="atLeast"/>
          <w:jc w:val="center"/>
        </w:trPr>
        <w:tc>
          <w:tcPr>
            <w:tcW w:w="639" w:type="pct"/>
            <w:vMerge w:val="continue"/>
            <w:tcBorders>
              <w:left w:val="single" w:color="auto" w:sz="4" w:space="0"/>
              <w:bottom w:val="single" w:color="auto" w:sz="4" w:space="0"/>
              <w:right w:val="single" w:color="auto" w:sz="4" w:space="0"/>
            </w:tcBorders>
            <w:vAlign w:val="center"/>
          </w:tcPr>
          <w:p w14:paraId="39A0FA5A">
            <w:pPr>
              <w:jc w:val="center"/>
              <w:rPr>
                <w:rFonts w:eastAsia="宋体"/>
                <w:color w:val="auto"/>
                <w:highlight w:val="none"/>
              </w:rPr>
            </w:pPr>
          </w:p>
        </w:tc>
        <w:tc>
          <w:tcPr>
            <w:tcW w:w="976" w:type="pct"/>
            <w:vMerge w:val="continue"/>
            <w:tcBorders>
              <w:top w:val="single" w:color="auto" w:sz="4" w:space="0"/>
              <w:left w:val="single" w:color="auto" w:sz="4" w:space="0"/>
              <w:bottom w:val="single" w:color="auto" w:sz="4" w:space="0"/>
              <w:right w:val="single" w:color="auto" w:sz="4" w:space="0"/>
            </w:tcBorders>
            <w:vAlign w:val="center"/>
          </w:tcPr>
          <w:p w14:paraId="1B5D1961">
            <w:pPr>
              <w:jc w:val="center"/>
              <w:rPr>
                <w:rFonts w:eastAsia="宋体"/>
                <w:color w:val="auto"/>
                <w:highlight w:val="none"/>
              </w:rPr>
            </w:pPr>
          </w:p>
        </w:tc>
        <w:tc>
          <w:tcPr>
            <w:tcW w:w="3383" w:type="pct"/>
            <w:tcBorders>
              <w:top w:val="single" w:color="auto" w:sz="4" w:space="0"/>
              <w:left w:val="single" w:color="auto" w:sz="4" w:space="0"/>
              <w:bottom w:val="single" w:color="auto" w:sz="4" w:space="0"/>
              <w:right w:val="single" w:color="auto" w:sz="4" w:space="0"/>
            </w:tcBorders>
            <w:vAlign w:val="center"/>
          </w:tcPr>
          <w:p w14:paraId="2C5DD94F">
            <w:pPr>
              <w:widowControl/>
              <w:jc w:val="left"/>
              <w:textAlignment w:val="center"/>
              <w:rPr>
                <w:rFonts w:eastAsia="宋体"/>
                <w:color w:val="auto"/>
                <w:highlight w:val="none"/>
              </w:rPr>
            </w:pPr>
            <w:r>
              <w:rPr>
                <w:rFonts w:eastAsia="宋体"/>
                <w:color w:val="auto"/>
                <w:kern w:val="0"/>
                <w:highlight w:val="none"/>
                <w:lang w:bidi="ar"/>
              </w:rPr>
              <w:t>②土地复垦工程：</w:t>
            </w:r>
            <w:r>
              <w:rPr>
                <w:rFonts w:hint="eastAsia" w:eastAsia="宋体"/>
                <w:color w:val="auto"/>
                <w:kern w:val="0"/>
                <w:highlight w:val="none"/>
                <w:lang w:val="en-US" w:eastAsia="zh-CN" w:bidi="ar"/>
              </w:rPr>
              <w:t>工程管护12次，</w:t>
            </w:r>
            <w:r>
              <w:rPr>
                <w:rFonts w:eastAsia="宋体"/>
                <w:color w:val="auto"/>
                <w:kern w:val="0"/>
                <w:highlight w:val="none"/>
                <w:lang w:bidi="ar"/>
              </w:rPr>
              <w:t>植被管护</w:t>
            </w:r>
            <w:r>
              <w:rPr>
                <w:rFonts w:hint="eastAsia" w:eastAsia="宋体"/>
                <w:color w:val="auto"/>
                <w:kern w:val="0"/>
                <w:highlight w:val="none"/>
                <w:lang w:bidi="ar"/>
              </w:rPr>
              <w:t>36</w:t>
            </w:r>
            <w:r>
              <w:rPr>
                <w:rFonts w:eastAsia="宋体"/>
                <w:color w:val="auto"/>
                <w:kern w:val="0"/>
                <w:highlight w:val="none"/>
                <w:lang w:bidi="ar"/>
              </w:rPr>
              <w:t>次，土壤培肥</w:t>
            </w:r>
            <w:r>
              <w:rPr>
                <w:rFonts w:hint="eastAsia" w:eastAsia="宋体"/>
                <w:color w:val="auto"/>
                <w:kern w:val="0"/>
                <w:highlight w:val="none"/>
                <w:lang w:val="en-US" w:eastAsia="zh-CN" w:bidi="ar"/>
              </w:rPr>
              <w:t>2.4</w:t>
            </w:r>
            <w:r>
              <w:rPr>
                <w:rFonts w:eastAsia="宋体"/>
                <w:color w:val="auto"/>
                <w:kern w:val="0"/>
                <w:highlight w:val="none"/>
                <w:lang w:bidi="ar"/>
              </w:rPr>
              <w:t>hm</w:t>
            </w:r>
            <w:r>
              <w:rPr>
                <w:rFonts w:eastAsia="宋体"/>
                <w:color w:val="auto"/>
                <w:kern w:val="0"/>
                <w:highlight w:val="none"/>
                <w:vertAlign w:val="superscript"/>
                <w:lang w:bidi="ar"/>
              </w:rPr>
              <w:t>2</w:t>
            </w:r>
            <w:r>
              <w:rPr>
                <w:rFonts w:eastAsia="宋体"/>
                <w:color w:val="auto"/>
                <w:kern w:val="0"/>
                <w:highlight w:val="none"/>
                <w:lang w:bidi="ar"/>
              </w:rPr>
              <w:t>。土地损毁情况及复垦效果监测</w:t>
            </w:r>
            <w:r>
              <w:rPr>
                <w:rFonts w:hint="eastAsia" w:eastAsia="宋体"/>
                <w:color w:val="auto"/>
                <w:kern w:val="0"/>
                <w:highlight w:val="none"/>
                <w:lang w:bidi="ar"/>
              </w:rPr>
              <w:t>18</w:t>
            </w:r>
            <w:r>
              <w:rPr>
                <w:rFonts w:eastAsia="宋体"/>
                <w:color w:val="auto"/>
                <w:kern w:val="0"/>
                <w:highlight w:val="none"/>
                <w:lang w:bidi="ar"/>
              </w:rPr>
              <w:t>点.次。</w:t>
            </w:r>
          </w:p>
        </w:tc>
      </w:tr>
    </w:tbl>
    <w:p w14:paraId="349DF044">
      <w:pPr>
        <w:pStyle w:val="14"/>
        <w:spacing w:line="360" w:lineRule="auto"/>
        <w:ind w:firstLine="600"/>
        <w:jc w:val="left"/>
        <w:rPr>
          <w:rFonts w:ascii="Times New Roman" w:hAnsi="Times New Roman" w:eastAsia="宋体" w:cs="Times New Roman"/>
          <w:bCs/>
          <w:color w:val="auto"/>
          <w:sz w:val="30"/>
          <w:szCs w:val="30"/>
          <w:highlight w:val="none"/>
        </w:rPr>
      </w:pPr>
    </w:p>
    <w:p w14:paraId="7A2A87D8">
      <w:pPr>
        <w:rPr>
          <w:rFonts w:ascii="Times New Roman" w:hAnsi="Times New Roman" w:eastAsia="宋体" w:cs="Times New Roman"/>
          <w:bCs/>
          <w:color w:val="auto"/>
          <w:sz w:val="30"/>
          <w:szCs w:val="30"/>
          <w:highlight w:val="none"/>
        </w:rPr>
        <w:sectPr>
          <w:pgSz w:w="11906" w:h="16838"/>
          <w:pgMar w:top="1440" w:right="1800" w:bottom="1440" w:left="1800" w:header="851" w:footer="992" w:gutter="0"/>
          <w:cols w:space="425" w:num="1"/>
          <w:docGrid w:type="lines" w:linePitch="312" w:charSpace="0"/>
        </w:sectPr>
      </w:pPr>
    </w:p>
    <w:p w14:paraId="33D4324E">
      <w:pPr>
        <w:pStyle w:val="2"/>
        <w:numPr>
          <w:ilvl w:val="0"/>
          <w:numId w:val="6"/>
        </w:numPr>
        <w:spacing w:line="360" w:lineRule="auto"/>
        <w:jc w:val="center"/>
        <w:rPr>
          <w:rFonts w:ascii="Times New Roman" w:hAnsi="Times New Roman" w:eastAsia="宋体" w:cs="Times New Roman"/>
          <w:color w:val="auto"/>
          <w:sz w:val="32"/>
          <w:szCs w:val="32"/>
          <w:highlight w:val="none"/>
        </w:rPr>
      </w:pPr>
      <w:r>
        <w:rPr>
          <w:rFonts w:ascii="Times New Roman" w:hAnsi="Times New Roman" w:eastAsia="宋体" w:cs="Times New Roman"/>
          <w:color w:val="auto"/>
          <w:sz w:val="32"/>
          <w:szCs w:val="32"/>
          <w:highlight w:val="none"/>
        </w:rPr>
        <w:t xml:space="preserve"> </w:t>
      </w:r>
      <w:bookmarkStart w:id="162" w:name="_Toc7264"/>
      <w:r>
        <w:rPr>
          <w:rFonts w:ascii="Times New Roman" w:hAnsi="Times New Roman" w:eastAsia="宋体" w:cs="Times New Roman"/>
          <w:color w:val="auto"/>
          <w:sz w:val="32"/>
          <w:szCs w:val="32"/>
          <w:highlight w:val="none"/>
        </w:rPr>
        <w:t>经费估算与进度安排</w:t>
      </w:r>
      <w:bookmarkEnd w:id="162"/>
    </w:p>
    <w:p w14:paraId="3F90E7F0">
      <w:pPr>
        <w:pStyle w:val="3"/>
        <w:spacing w:before="120" w:after="120"/>
        <w:rPr>
          <w:rFonts w:ascii="Times New Roman" w:hAnsi="Times New Roman" w:eastAsia="宋体" w:cs="Times New Roman"/>
          <w:color w:val="auto"/>
          <w:highlight w:val="none"/>
        </w:rPr>
      </w:pPr>
      <w:bookmarkStart w:id="163" w:name="_Toc10137"/>
      <w:bookmarkStart w:id="164" w:name="_Toc18385"/>
      <w:bookmarkStart w:id="165" w:name="_Toc511576362"/>
      <w:r>
        <w:rPr>
          <w:rFonts w:ascii="Times New Roman" w:hAnsi="Times New Roman" w:eastAsia="宋体" w:cs="Times New Roman"/>
          <w:color w:val="auto"/>
          <w:highlight w:val="none"/>
        </w:rPr>
        <w:t>一、经费估算依据</w:t>
      </w:r>
      <w:bookmarkEnd w:id="163"/>
      <w:bookmarkEnd w:id="164"/>
      <w:bookmarkEnd w:id="165"/>
    </w:p>
    <w:p w14:paraId="7D7F8BC6">
      <w:pPr>
        <w:spacing w:line="360" w:lineRule="auto"/>
        <w:ind w:firstLine="560" w:firstLineChars="200"/>
        <w:rPr>
          <w:rFonts w:ascii="Times New Roman" w:hAnsi="Times New Roman" w:cs="Times New Roman"/>
          <w:color w:val="auto"/>
          <w:highlight w:val="none"/>
        </w:rPr>
      </w:pPr>
      <w:r>
        <w:rPr>
          <w:rFonts w:hint="eastAsia" w:ascii="仿宋" w:hAnsi="仿宋" w:eastAsia="仿宋" w:cs="仿宋"/>
          <w:color w:val="auto"/>
          <w:sz w:val="28"/>
          <w:szCs w:val="28"/>
          <w:highlight w:val="none"/>
        </w:rPr>
        <w:t>本项目估算为初步设计阶段，估算依据国家、省（市）颁布的有关法律、法规、制度和规程在对各单项工程工程量进行统计的基础上，结合现场的实际条件，按相应的定额、取费标准和人工、机械</w:t>
      </w:r>
      <w:r>
        <w:rPr>
          <w:rFonts w:hint="eastAsia" w:ascii="仿宋" w:hAnsi="仿宋" w:eastAsia="仿宋" w:cs="仿宋"/>
          <w:color w:val="auto"/>
          <w:kern w:val="0"/>
          <w:sz w:val="28"/>
          <w:szCs w:val="28"/>
          <w:highlight w:val="none"/>
        </w:rPr>
        <w:t>、材料价格进行编制。</w:t>
      </w:r>
    </w:p>
    <w:p w14:paraId="1B4F57B6">
      <w:pPr>
        <w:pStyle w:val="4"/>
        <w:rPr>
          <w:rFonts w:ascii="Times New Roman" w:hAnsi="Times New Roman" w:eastAsia="宋体" w:cs="Times New Roman"/>
          <w:bCs/>
          <w:color w:val="auto"/>
          <w:sz w:val="28"/>
          <w:szCs w:val="28"/>
          <w:highlight w:val="none"/>
        </w:rPr>
      </w:pPr>
      <w:bookmarkStart w:id="166" w:name="_Toc508375938"/>
      <w:bookmarkStart w:id="167" w:name="_Toc30614"/>
      <w:bookmarkStart w:id="168" w:name="_Toc19800"/>
      <w:r>
        <w:rPr>
          <w:rFonts w:ascii="Times New Roman" w:hAnsi="Times New Roman" w:eastAsia="宋体" w:cs="Times New Roman"/>
          <w:bCs/>
          <w:color w:val="auto"/>
          <w:sz w:val="28"/>
          <w:szCs w:val="28"/>
          <w:highlight w:val="none"/>
        </w:rPr>
        <w:t>（一）矿山地质环境恢复治理经费</w:t>
      </w:r>
      <w:bookmarkEnd w:id="166"/>
      <w:r>
        <w:rPr>
          <w:rFonts w:ascii="Times New Roman" w:hAnsi="Times New Roman" w:eastAsia="宋体" w:cs="Times New Roman"/>
          <w:bCs/>
          <w:color w:val="auto"/>
          <w:sz w:val="28"/>
          <w:szCs w:val="28"/>
          <w:highlight w:val="none"/>
        </w:rPr>
        <w:t>估算依据</w:t>
      </w:r>
      <w:bookmarkEnd w:id="167"/>
      <w:bookmarkEnd w:id="168"/>
    </w:p>
    <w:p w14:paraId="5977A7B7">
      <w:pPr>
        <w:spacing w:line="360" w:lineRule="auto"/>
        <w:ind w:firstLine="562" w:firstLineChars="200"/>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1、编制依据</w:t>
      </w:r>
    </w:p>
    <w:p w14:paraId="266FCB17">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（1）《关于印发&lt;四川省地质灾害综合防治体系建设项目和资金管理办法&gt;的通知》（川国土资〔2014〕80 号）</w:t>
      </w:r>
    </w:p>
    <w:p w14:paraId="6ED47F69">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（2）四川省财政厅四川省自然资源厅《四川省地质灾害治理工程概（预）算标准（修订）》（川自然资发〔2018〕9号）；</w:t>
      </w:r>
    </w:p>
    <w:p w14:paraId="0ABAFF88">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（3）《四川省人民政府关于调整全省最低工资标准的通知》（川府发〔2018〕19号）；</w:t>
      </w:r>
    </w:p>
    <w:p w14:paraId="6DDFAA55">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（4）《营业税改增值税后&lt;四川省地质灾害治理工程）工程概（预）算标准&gt;调整办法》（川国土资发〔2017〕63 号）</w:t>
      </w:r>
    </w:p>
    <w:p w14:paraId="61EDA0BD">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（5）《财政部、税务总局关于调整增值税税率的通知》（财税〔2018〕32号）；</w:t>
      </w:r>
    </w:p>
    <w:p w14:paraId="68CA1544">
      <w:pPr>
        <w:snapToGrid w:val="0"/>
        <w:spacing w:line="360" w:lineRule="auto"/>
        <w:ind w:firstLine="560" w:firstLineChars="200"/>
        <w:rPr>
          <w:rStyle w:val="60"/>
          <w:rFonts w:hint="eastAsia" w:ascii="仿宋" w:hAnsi="仿宋" w:eastAsia="仿宋" w:cs="仿宋"/>
          <w:color w:val="auto"/>
          <w:sz w:val="28"/>
          <w:szCs w:val="28"/>
          <w:highlight w:val="none"/>
        </w:rPr>
      </w:pPr>
      <w:r>
        <w:rPr>
          <w:rStyle w:val="60"/>
          <w:rFonts w:hint="eastAsia" w:ascii="仿宋" w:hAnsi="仿宋" w:eastAsia="仿宋" w:cs="仿宋"/>
          <w:color w:val="auto"/>
          <w:sz w:val="28"/>
          <w:szCs w:val="28"/>
          <w:highlight w:val="none"/>
        </w:rPr>
        <w:t>（6）财政部税务总局海关总署《关于深化增值税改革有关政策的公告》（财政部税务总局海关总署公告2019年第39号）（2019.3.20）；</w:t>
      </w:r>
    </w:p>
    <w:p w14:paraId="62FA2CC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（7）《四川工程造价信息网》（2023年</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月遂宁市及</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信息价），人工单价、部分材料价格通过当地市场调查获得。</w:t>
      </w:r>
    </w:p>
    <w:p w14:paraId="6C1AD816">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2、费用构成</w:t>
      </w:r>
    </w:p>
    <w:p w14:paraId="32C421D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工程治理以定额基价为取费基础计算工程费用。估算费用由工程施工费用、独立费用和基本预备费组成。</w:t>
      </w:r>
    </w:p>
    <w:p w14:paraId="4176EE9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（1）工程施工费用</w:t>
      </w:r>
    </w:p>
    <w:p w14:paraId="467DEEE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工程、植物措施单价主要按照《四川省地质灾害治理工程概（预）算标准》（修订）计算，工程费由直接费、间接费、企业利润、价差和税金组成。</w:t>
      </w:r>
    </w:p>
    <w:p w14:paraId="4CBF054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①直接工程费：由直接费、其他直接费和现场经费组成。</w:t>
      </w:r>
    </w:p>
    <w:p w14:paraId="6F9245F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其中直接费包括人工费、材料费和机械使用费，按定额计算。矿区位于遂宁市</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属于一般地区，人工费最低工资标准按1650元/月进行测算，即人工费按工长16.27元/工时、高级工14.99元/工时、中级工12.43元/工时、初级工9.11元/工时计。地质环境治理机械使用费=定额机械使用量（台时）×施工机械台时费。</w:t>
      </w:r>
    </w:p>
    <w:p w14:paraId="21EE840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其他直接费（包括冬雨季施工增加费、夜间施工增加费、其他费用）；</w:t>
      </w:r>
    </w:p>
    <w:p w14:paraId="40FF44B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②间接费：直接工程费×间接费费率</w:t>
      </w:r>
    </w:p>
    <w:p w14:paraId="750D323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间接费包括企业管理费、规费。</w:t>
      </w:r>
    </w:p>
    <w:p w14:paraId="56561BE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③企业利润：（直接工程费+间接费）×7%。</w:t>
      </w:r>
    </w:p>
    <w:p w14:paraId="6296726B">
      <w:pPr>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④税金：（直接工程费+间接费+企业利润）×9%。</w:t>
      </w:r>
    </w:p>
    <w:p w14:paraId="759D9E1E">
      <w:pPr>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表7-1  矿山地质环境保护与治理费率统计表</w:t>
      </w:r>
    </w:p>
    <w:tbl>
      <w:tblPr>
        <w:tblStyle w:val="23"/>
        <w:tblW w:w="50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141"/>
        <w:gridCol w:w="1542"/>
        <w:gridCol w:w="969"/>
        <w:gridCol w:w="1226"/>
        <w:gridCol w:w="841"/>
        <w:gridCol w:w="841"/>
        <w:gridCol w:w="775"/>
      </w:tblGrid>
      <w:tr w14:paraId="3462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6" w:type="pct"/>
            <w:noWrap/>
            <w:vAlign w:val="center"/>
          </w:tcPr>
          <w:p w14:paraId="394AB472">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工程类别</w:t>
            </w:r>
          </w:p>
        </w:tc>
        <w:tc>
          <w:tcPr>
            <w:tcW w:w="656" w:type="pct"/>
            <w:noWrap/>
            <w:vAlign w:val="center"/>
          </w:tcPr>
          <w:p w14:paraId="759107C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临时设施费（％）</w:t>
            </w:r>
          </w:p>
        </w:tc>
        <w:tc>
          <w:tcPr>
            <w:tcW w:w="887" w:type="pct"/>
            <w:noWrap/>
            <w:vAlign w:val="center"/>
          </w:tcPr>
          <w:p w14:paraId="58B0D64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安全文明生产措施费（％）</w:t>
            </w:r>
          </w:p>
        </w:tc>
        <w:tc>
          <w:tcPr>
            <w:tcW w:w="557" w:type="pct"/>
            <w:noWrap/>
            <w:vAlign w:val="center"/>
          </w:tcPr>
          <w:p w14:paraId="3706FC9D">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其他费（％）</w:t>
            </w:r>
          </w:p>
        </w:tc>
        <w:tc>
          <w:tcPr>
            <w:tcW w:w="705" w:type="pct"/>
            <w:noWrap/>
            <w:vAlign w:val="center"/>
          </w:tcPr>
          <w:p w14:paraId="041A4D9A">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企业管理费（％）</w:t>
            </w:r>
          </w:p>
        </w:tc>
        <w:tc>
          <w:tcPr>
            <w:tcW w:w="484" w:type="pct"/>
            <w:noWrap/>
            <w:vAlign w:val="center"/>
          </w:tcPr>
          <w:p w14:paraId="6C2DC302">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规费（％）</w:t>
            </w:r>
          </w:p>
        </w:tc>
        <w:tc>
          <w:tcPr>
            <w:tcW w:w="484" w:type="pct"/>
            <w:noWrap/>
            <w:vAlign w:val="center"/>
          </w:tcPr>
          <w:p w14:paraId="3FEDC2BF">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利率（％）</w:t>
            </w:r>
          </w:p>
        </w:tc>
        <w:tc>
          <w:tcPr>
            <w:tcW w:w="446" w:type="pct"/>
            <w:noWrap/>
            <w:vAlign w:val="center"/>
          </w:tcPr>
          <w:p w14:paraId="3F53B9B5">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税率（％）</w:t>
            </w:r>
          </w:p>
        </w:tc>
      </w:tr>
      <w:tr w14:paraId="0DA7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14:paraId="4ADDFDE8">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土方工程</w:t>
            </w:r>
          </w:p>
        </w:tc>
        <w:tc>
          <w:tcPr>
            <w:tcW w:w="656" w:type="pct"/>
            <w:noWrap/>
            <w:vAlign w:val="center"/>
          </w:tcPr>
          <w:p w14:paraId="0E0016DE">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4.2</w:t>
            </w:r>
          </w:p>
        </w:tc>
        <w:tc>
          <w:tcPr>
            <w:tcW w:w="887" w:type="pct"/>
            <w:noWrap/>
            <w:vAlign w:val="center"/>
          </w:tcPr>
          <w:p w14:paraId="0D329AAD">
            <w:pPr>
              <w:widowControl/>
              <w:jc w:val="center"/>
              <w:rPr>
                <w:rFonts w:hint="default" w:ascii="Times New Roman" w:hAnsi="Times New Roman" w:eastAsia="宋体" w:cs="Times New Roman"/>
                <w:color w:val="auto"/>
                <w:kern w:val="0"/>
                <w:highlight w:val="none"/>
                <w:lang w:val="en-US" w:eastAsia="zh-CN"/>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14:paraId="150375A4">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14:paraId="294CC797">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7.8</w:t>
            </w:r>
          </w:p>
        </w:tc>
        <w:tc>
          <w:tcPr>
            <w:tcW w:w="484" w:type="pct"/>
            <w:noWrap/>
            <w:vAlign w:val="center"/>
          </w:tcPr>
          <w:p w14:paraId="52AEACF9">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2.7</w:t>
            </w:r>
          </w:p>
        </w:tc>
        <w:tc>
          <w:tcPr>
            <w:tcW w:w="484" w:type="pct"/>
            <w:noWrap/>
            <w:vAlign w:val="center"/>
          </w:tcPr>
          <w:p w14:paraId="712A9B25">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14:paraId="69066D70">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14:paraId="3A16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14:paraId="3F44E3A4">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石方工程</w:t>
            </w:r>
          </w:p>
        </w:tc>
        <w:tc>
          <w:tcPr>
            <w:tcW w:w="656" w:type="pct"/>
            <w:noWrap/>
            <w:vAlign w:val="center"/>
          </w:tcPr>
          <w:p w14:paraId="71056D18">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4.2</w:t>
            </w:r>
          </w:p>
        </w:tc>
        <w:tc>
          <w:tcPr>
            <w:tcW w:w="887" w:type="pct"/>
            <w:noWrap/>
            <w:vAlign w:val="center"/>
          </w:tcPr>
          <w:p w14:paraId="24732B96">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14:paraId="75FD1A33">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14:paraId="3075FF9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7.8</w:t>
            </w:r>
          </w:p>
        </w:tc>
        <w:tc>
          <w:tcPr>
            <w:tcW w:w="484" w:type="pct"/>
            <w:noWrap/>
            <w:vAlign w:val="center"/>
          </w:tcPr>
          <w:p w14:paraId="3FE9ED8C">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2.7</w:t>
            </w:r>
          </w:p>
        </w:tc>
        <w:tc>
          <w:tcPr>
            <w:tcW w:w="484" w:type="pct"/>
            <w:noWrap/>
            <w:vAlign w:val="center"/>
          </w:tcPr>
          <w:p w14:paraId="594304EC">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14:paraId="2E31F33D">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14:paraId="2CAA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14:paraId="5850F26D">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砌体工程</w:t>
            </w:r>
          </w:p>
        </w:tc>
        <w:tc>
          <w:tcPr>
            <w:tcW w:w="656" w:type="pct"/>
            <w:noWrap/>
            <w:vAlign w:val="center"/>
          </w:tcPr>
          <w:p w14:paraId="7A655FD0">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3.0</w:t>
            </w:r>
          </w:p>
        </w:tc>
        <w:tc>
          <w:tcPr>
            <w:tcW w:w="887" w:type="pct"/>
            <w:noWrap/>
            <w:vAlign w:val="center"/>
          </w:tcPr>
          <w:p w14:paraId="4FF10EE0">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14:paraId="0D520B2E">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14:paraId="58EE0EFF">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7.6</w:t>
            </w:r>
          </w:p>
        </w:tc>
        <w:tc>
          <w:tcPr>
            <w:tcW w:w="484" w:type="pct"/>
            <w:noWrap/>
            <w:vAlign w:val="center"/>
          </w:tcPr>
          <w:p w14:paraId="10F600C4">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2.6</w:t>
            </w:r>
          </w:p>
        </w:tc>
        <w:tc>
          <w:tcPr>
            <w:tcW w:w="484" w:type="pct"/>
            <w:noWrap/>
            <w:vAlign w:val="center"/>
          </w:tcPr>
          <w:p w14:paraId="382D7D68">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14:paraId="06BB17B2">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14:paraId="18A3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76" w:type="pct"/>
            <w:noWrap/>
            <w:vAlign w:val="center"/>
          </w:tcPr>
          <w:p w14:paraId="7F09C15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混凝土工程</w:t>
            </w:r>
          </w:p>
        </w:tc>
        <w:tc>
          <w:tcPr>
            <w:tcW w:w="656" w:type="pct"/>
            <w:noWrap/>
            <w:vAlign w:val="center"/>
          </w:tcPr>
          <w:p w14:paraId="6D4D3539">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4.0</w:t>
            </w:r>
          </w:p>
        </w:tc>
        <w:tc>
          <w:tcPr>
            <w:tcW w:w="887" w:type="pct"/>
            <w:noWrap/>
            <w:vAlign w:val="center"/>
          </w:tcPr>
          <w:p w14:paraId="5C14E80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14:paraId="5E13D19F">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14:paraId="46445A49">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7.5</w:t>
            </w:r>
          </w:p>
        </w:tc>
        <w:tc>
          <w:tcPr>
            <w:tcW w:w="484" w:type="pct"/>
            <w:noWrap/>
            <w:vAlign w:val="center"/>
          </w:tcPr>
          <w:p w14:paraId="6E90F425">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2.6</w:t>
            </w:r>
          </w:p>
        </w:tc>
        <w:tc>
          <w:tcPr>
            <w:tcW w:w="484" w:type="pct"/>
            <w:noWrap/>
            <w:vAlign w:val="center"/>
          </w:tcPr>
          <w:p w14:paraId="5FAB667F">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14:paraId="2EE9204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14:paraId="67D3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14:paraId="28122A42">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模版工程</w:t>
            </w:r>
          </w:p>
        </w:tc>
        <w:tc>
          <w:tcPr>
            <w:tcW w:w="656" w:type="pct"/>
            <w:noWrap/>
            <w:vAlign w:val="center"/>
          </w:tcPr>
          <w:p w14:paraId="43F7A65A">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4.2</w:t>
            </w:r>
          </w:p>
        </w:tc>
        <w:tc>
          <w:tcPr>
            <w:tcW w:w="887" w:type="pct"/>
            <w:noWrap/>
            <w:vAlign w:val="center"/>
          </w:tcPr>
          <w:p w14:paraId="3AB47FB6">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14:paraId="20AD4D66">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14:paraId="4819F20F">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8.4</w:t>
            </w:r>
          </w:p>
        </w:tc>
        <w:tc>
          <w:tcPr>
            <w:tcW w:w="484" w:type="pct"/>
            <w:noWrap/>
            <w:vAlign w:val="center"/>
          </w:tcPr>
          <w:p w14:paraId="0B47EBF5">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2.8</w:t>
            </w:r>
          </w:p>
        </w:tc>
        <w:tc>
          <w:tcPr>
            <w:tcW w:w="484" w:type="pct"/>
            <w:noWrap/>
            <w:vAlign w:val="center"/>
          </w:tcPr>
          <w:p w14:paraId="16880584">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14:paraId="0CA36788">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14:paraId="220F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14:paraId="604B721A">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绿化工程</w:t>
            </w:r>
          </w:p>
        </w:tc>
        <w:tc>
          <w:tcPr>
            <w:tcW w:w="656" w:type="pct"/>
            <w:noWrap/>
            <w:vAlign w:val="center"/>
          </w:tcPr>
          <w:p w14:paraId="40878E4E">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3.0</w:t>
            </w:r>
          </w:p>
        </w:tc>
        <w:tc>
          <w:tcPr>
            <w:tcW w:w="887" w:type="pct"/>
            <w:noWrap/>
            <w:vAlign w:val="center"/>
          </w:tcPr>
          <w:p w14:paraId="3EDFC10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14:paraId="3264C6E7">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14:paraId="3E156406">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8.4</w:t>
            </w:r>
          </w:p>
        </w:tc>
        <w:tc>
          <w:tcPr>
            <w:tcW w:w="484" w:type="pct"/>
            <w:noWrap/>
            <w:vAlign w:val="center"/>
          </w:tcPr>
          <w:p w14:paraId="35551E24">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2.6</w:t>
            </w:r>
          </w:p>
        </w:tc>
        <w:tc>
          <w:tcPr>
            <w:tcW w:w="484" w:type="pct"/>
            <w:noWrap/>
            <w:vAlign w:val="center"/>
          </w:tcPr>
          <w:p w14:paraId="7C761E43">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14:paraId="672A8330">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r w14:paraId="38B8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76" w:type="pct"/>
            <w:noWrap/>
            <w:vAlign w:val="center"/>
          </w:tcPr>
          <w:p w14:paraId="060A8CFB">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其他</w:t>
            </w:r>
          </w:p>
        </w:tc>
        <w:tc>
          <w:tcPr>
            <w:tcW w:w="656" w:type="pct"/>
            <w:noWrap/>
            <w:vAlign w:val="center"/>
          </w:tcPr>
          <w:p w14:paraId="4B96ED31">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3.0</w:t>
            </w:r>
          </w:p>
        </w:tc>
        <w:tc>
          <w:tcPr>
            <w:tcW w:w="887" w:type="pct"/>
            <w:noWrap/>
            <w:vAlign w:val="center"/>
          </w:tcPr>
          <w:p w14:paraId="56726600">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w:t>
            </w:r>
            <w:r>
              <w:rPr>
                <w:rFonts w:hint="eastAsia" w:ascii="Times New Roman" w:hAnsi="Times New Roman" w:eastAsia="宋体" w:cs="Times New Roman"/>
                <w:color w:val="auto"/>
                <w:kern w:val="0"/>
                <w:highlight w:val="none"/>
                <w:lang w:val="en-US" w:eastAsia="zh-CN"/>
              </w:rPr>
              <w:t>.5</w:t>
            </w:r>
          </w:p>
        </w:tc>
        <w:tc>
          <w:tcPr>
            <w:tcW w:w="557" w:type="pct"/>
            <w:noWrap/>
            <w:vAlign w:val="center"/>
          </w:tcPr>
          <w:p w14:paraId="46843950">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0.7</w:t>
            </w:r>
          </w:p>
        </w:tc>
        <w:tc>
          <w:tcPr>
            <w:tcW w:w="705" w:type="pct"/>
            <w:noWrap/>
            <w:vAlign w:val="center"/>
          </w:tcPr>
          <w:p w14:paraId="19F2A9CC">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8.4</w:t>
            </w:r>
          </w:p>
        </w:tc>
        <w:tc>
          <w:tcPr>
            <w:tcW w:w="484" w:type="pct"/>
            <w:noWrap/>
            <w:vAlign w:val="center"/>
          </w:tcPr>
          <w:p w14:paraId="06A34DE0">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2.6</w:t>
            </w:r>
          </w:p>
        </w:tc>
        <w:tc>
          <w:tcPr>
            <w:tcW w:w="484" w:type="pct"/>
            <w:noWrap/>
            <w:vAlign w:val="center"/>
          </w:tcPr>
          <w:p w14:paraId="5080C34F">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7</w:t>
            </w:r>
          </w:p>
        </w:tc>
        <w:tc>
          <w:tcPr>
            <w:tcW w:w="446" w:type="pct"/>
            <w:noWrap/>
            <w:vAlign w:val="center"/>
          </w:tcPr>
          <w:p w14:paraId="52DC83D5">
            <w:pPr>
              <w:widowControl/>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9</w:t>
            </w:r>
          </w:p>
        </w:tc>
      </w:tr>
    </w:tbl>
    <w:p w14:paraId="7B9E17DE">
      <w:pPr>
        <w:pStyle w:val="13"/>
        <w:rPr>
          <w:color w:val="auto"/>
        </w:rPr>
      </w:pPr>
    </w:p>
    <w:p w14:paraId="3C113C1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（2）临时设施费：包括按照规定拨付给施工企业的临时设施包干费，以及企业自行施工发生的临时设施实际支出。</w:t>
      </w:r>
    </w:p>
    <w:p w14:paraId="2FD1CFB1">
      <w:pPr>
        <w:spacing w:line="360" w:lineRule="auto"/>
        <w:ind w:firstLine="560" w:firstLineChars="200"/>
        <w:rPr>
          <w:rFonts w:hint="eastAsia" w:ascii="仿宋" w:hAnsi="仿宋" w:eastAsia="仿宋" w:cs="仿宋"/>
          <w:color w:val="auto"/>
          <w:sz w:val="28"/>
          <w:szCs w:val="28"/>
          <w:highlight w:val="none"/>
        </w:rPr>
      </w:pPr>
      <w:bookmarkStart w:id="169" w:name="_Hlk79140247"/>
      <w:r>
        <w:rPr>
          <w:rFonts w:hint="eastAsia" w:ascii="仿宋" w:hAnsi="仿宋" w:eastAsia="仿宋" w:cs="仿宋"/>
          <w:color w:val="auto"/>
          <w:sz w:val="28"/>
          <w:szCs w:val="28"/>
          <w:highlight w:val="none"/>
        </w:rPr>
        <w:t>（3）独立费</w:t>
      </w:r>
    </w:p>
    <w:p w14:paraId="4AF5465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独立费由建设管理费、科研勘察设计费、建设及施工场地征用费、环境保护及水土保持费和其它构成。考虑到业主为私有企业，不计取除工程管理经常费中的项目招标费、项目审计费，</w:t>
      </w:r>
    </w:p>
    <w:p w14:paraId="2845D38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①建设管理费</w:t>
      </w:r>
    </w:p>
    <w:p w14:paraId="47F9CDE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包括：项目建设管理费、造价咨询费、工程建设监理费等。</w:t>
      </w:r>
    </w:p>
    <w:p w14:paraId="67D0314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（a）项目建设管理费</w:t>
      </w:r>
    </w:p>
    <w:p w14:paraId="5F7DF47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项目建设管理费包括建设单位管理费、工程验收费勘查、可行性研究、初步设计、施工图审查费。</w:t>
      </w:r>
    </w:p>
    <w:p w14:paraId="5806F45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以建安费作为计费基数，采用差额定律累进法计算。</w:t>
      </w:r>
    </w:p>
    <w:p w14:paraId="61CF0CC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（b）造价咨询费</w:t>
      </w:r>
    </w:p>
    <w:p w14:paraId="6A057F7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以建安费作为计费基数，采用差额定律累进法计算。</w:t>
      </w:r>
    </w:p>
    <w:p w14:paraId="2919772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（c）工程建设监理费</w:t>
      </w:r>
    </w:p>
    <w:p w14:paraId="5DBDBD8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以建安费作为计费基数，采用差额定律累进法计算。</w:t>
      </w:r>
    </w:p>
    <w:p w14:paraId="7DF58A9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②科研勘查设计费</w:t>
      </w:r>
    </w:p>
    <w:p w14:paraId="5ACE93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科研勘查设计费包括工程科学研究试验费和工程勘查设计费，以建安费作为计费基数，采用差额定律累进法计算。</w:t>
      </w:r>
    </w:p>
    <w:p w14:paraId="7F60581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③建设及施工场地征用费</w:t>
      </w:r>
    </w:p>
    <w:p w14:paraId="61EDB09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项目区在土地复垦责任范围内，不涉及施工场地征地费。</w:t>
      </w:r>
    </w:p>
    <w:p w14:paraId="4D47955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④环境保护及水土保持费</w:t>
      </w:r>
    </w:p>
    <w:p w14:paraId="48A5D49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环境保护及水土保持费=建安费合计×环境保护及水土保持费率，环境保护及水土保持费率取1%。</w:t>
      </w:r>
    </w:p>
    <w:p w14:paraId="2C283A7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⑤其他费用</w:t>
      </w:r>
    </w:p>
    <w:p w14:paraId="02B6F81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其他费用包括工程保险费和工程质量检测费。</w:t>
      </w:r>
    </w:p>
    <w:p w14:paraId="11A1DD3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工程保险费=建安费合计×工程保险费费率，工程保险费费率取0.45%。</w:t>
      </w:r>
    </w:p>
    <w:p w14:paraId="7F5834C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工程质量检测费=建安费合计×工程质量检测费费率，工程质量检测费费率取0.08%。</w:t>
      </w:r>
    </w:p>
    <w:p w14:paraId="10FBE5CA">
      <w:pPr>
        <w:spacing w:line="360" w:lineRule="auto"/>
        <w:ind w:firstLine="560" w:firstLineChars="200"/>
        <w:rPr>
          <w:rFonts w:hint="eastAsia" w:ascii="仿宋" w:hAnsi="仿宋" w:eastAsia="仿宋" w:cs="仿宋"/>
          <w:color w:val="auto"/>
          <w:sz w:val="28"/>
          <w:szCs w:val="28"/>
          <w:highlight w:val="none"/>
        </w:rPr>
      </w:pPr>
      <w:bookmarkStart w:id="170" w:name="_Toc508375939"/>
      <w:bookmarkStart w:id="171" w:name="_Toc12210"/>
      <w:r>
        <w:rPr>
          <w:rFonts w:hint="eastAsia" w:ascii="仿宋" w:hAnsi="仿宋" w:eastAsia="仿宋" w:cs="仿宋"/>
          <w:color w:val="auto"/>
          <w:sz w:val="28"/>
          <w:szCs w:val="28"/>
          <w:highlight w:val="none"/>
        </w:rPr>
        <w:t>（4）预备费</w:t>
      </w:r>
    </w:p>
    <w:p w14:paraId="65EB46E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基本预备费按</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%计取。</w:t>
      </w:r>
    </w:p>
    <w:p w14:paraId="6550B02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（5）价差预备费</w:t>
      </w:r>
    </w:p>
    <w:p w14:paraId="376922C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价差</w:t>
      </w:r>
      <w:r>
        <w:rPr>
          <w:rFonts w:hint="eastAsia" w:ascii="仿宋" w:hAnsi="仿宋" w:eastAsia="仿宋" w:cs="仿宋"/>
          <w:color w:val="auto"/>
          <w:sz w:val="28"/>
          <w:szCs w:val="28"/>
          <w:highlight w:val="none"/>
        </w:rPr>
        <w:t>预备费按</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%计取。</w:t>
      </w:r>
    </w:p>
    <w:bookmarkEnd w:id="169"/>
    <w:p w14:paraId="2662AFB6">
      <w:pPr>
        <w:pStyle w:val="4"/>
        <w:rPr>
          <w:rFonts w:ascii="Times New Roman" w:hAnsi="Times New Roman" w:eastAsia="宋体" w:cs="Times New Roman"/>
          <w:color w:val="auto"/>
          <w:szCs w:val="28"/>
          <w:highlight w:val="none"/>
        </w:rPr>
      </w:pPr>
      <w:bookmarkStart w:id="172" w:name="_Toc1753"/>
      <w:r>
        <w:rPr>
          <w:rFonts w:ascii="Times New Roman" w:hAnsi="Times New Roman" w:eastAsia="宋体" w:cs="Times New Roman"/>
          <w:color w:val="auto"/>
          <w:szCs w:val="28"/>
          <w:highlight w:val="none"/>
        </w:rPr>
        <w:t>（二）土地复垦费用</w:t>
      </w:r>
      <w:bookmarkEnd w:id="170"/>
      <w:r>
        <w:rPr>
          <w:rFonts w:ascii="Times New Roman" w:hAnsi="Times New Roman" w:eastAsia="宋体" w:cs="Times New Roman"/>
          <w:color w:val="auto"/>
          <w:szCs w:val="28"/>
          <w:highlight w:val="none"/>
        </w:rPr>
        <w:t>估算依据</w:t>
      </w:r>
      <w:bookmarkEnd w:id="171"/>
      <w:bookmarkEnd w:id="172"/>
    </w:p>
    <w:p w14:paraId="3F045619">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1、编制依据</w:t>
      </w:r>
    </w:p>
    <w:p w14:paraId="01D72CD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（1）《土地开发整理项目资金管理暂行办法》(国土资发[2000]282号)；</w:t>
      </w:r>
    </w:p>
    <w:p w14:paraId="72B8BC5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（2）《土地开发整理项目规划设计规范》（TD/T1012-2016）；</w:t>
      </w:r>
    </w:p>
    <w:p w14:paraId="5A689E7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（3）《土地开发整理项目预算编制暂行办法》(财[2001]41号)；</w:t>
      </w:r>
    </w:p>
    <w:p w14:paraId="35DBF8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（4）《水土保持工程概算定额》（水总[2003]67号）；</w:t>
      </w:r>
    </w:p>
    <w:p w14:paraId="5BCBF3D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（5）四川省财政厅、国土资源厅关于印发《四川省土地开发整理预算定额标准》的通知（川[2012]139号）；</w:t>
      </w:r>
    </w:p>
    <w:p w14:paraId="3E5AEBF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（6）《土地开发整理项目预算编制规定》（四川省财政厅、四川省国土资源厅，2012）；</w:t>
      </w:r>
    </w:p>
    <w:p w14:paraId="7515B5F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（7）四川省国土资源厅、财政厅关于营业税改增值税四川省土地开发整理项目预算定额计价规则调整办法通知（川国土资发[2017]42号）；</w:t>
      </w:r>
    </w:p>
    <w:p w14:paraId="459B80B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（8）《财政部、税务总局关于调整增值税税率的通知》财税〔2018〕32 号</w:t>
      </w:r>
    </w:p>
    <w:p w14:paraId="30B4453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（9）《四川造价信息网》（2023年</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月遂宁市及</w:t>
      </w:r>
      <w:r>
        <w:rPr>
          <w:rFonts w:hint="eastAsia" w:ascii="仿宋" w:hAnsi="仿宋" w:eastAsia="仿宋" w:cs="仿宋"/>
          <w:color w:val="auto"/>
          <w:sz w:val="28"/>
          <w:szCs w:val="28"/>
          <w:highlight w:val="none"/>
          <w:lang w:val="en-US" w:eastAsia="zh-CN"/>
        </w:rPr>
        <w:t>大英县</w:t>
      </w:r>
      <w:r>
        <w:rPr>
          <w:rFonts w:hint="eastAsia" w:ascii="仿宋" w:hAnsi="仿宋" w:eastAsia="仿宋" w:cs="仿宋"/>
          <w:color w:val="auto"/>
          <w:sz w:val="28"/>
          <w:szCs w:val="28"/>
          <w:highlight w:val="none"/>
        </w:rPr>
        <w:t>周边信息价），人工单价、部分材料价格通过当地市场调查获得。</w:t>
      </w:r>
    </w:p>
    <w:p w14:paraId="07343395">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2、费用构成</w:t>
      </w:r>
    </w:p>
    <w:p w14:paraId="73E64C4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开发整理项目预算编制暂行规定》，项目预算由工程施工费、设备费、其他费用（包括前期工作费、工程监理费、拆迁补偿费、竣工验收费、业主管理费）和不可预见费组成，在计算中，以元为单位，取小数点后两位计到分，汇总后取整数计到元。</w:t>
      </w:r>
    </w:p>
    <w:p w14:paraId="4E6979D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（1）工程施工费</w:t>
      </w:r>
    </w:p>
    <w:p w14:paraId="0F662D1C">
      <w:pPr>
        <w:spacing w:line="360" w:lineRule="auto"/>
        <w:ind w:firstLine="560" w:firstLineChars="200"/>
        <w:rPr>
          <w:rFonts w:hint="eastAsia" w:ascii="仿宋" w:hAnsi="仿宋" w:eastAsia="仿宋" w:cs="仿宋"/>
          <w:color w:val="auto"/>
          <w:sz w:val="28"/>
          <w:szCs w:val="28"/>
          <w:highlight w:val="none"/>
        </w:rPr>
      </w:pPr>
      <w:bookmarkStart w:id="173" w:name="_Toc525807845"/>
      <w:bookmarkStart w:id="174" w:name="_Toc525647093"/>
      <w:bookmarkStart w:id="175" w:name="_Toc525646829"/>
      <w:bookmarkStart w:id="176" w:name="_Toc101494918"/>
      <w:bookmarkStart w:id="177" w:name="_Toc525807743"/>
      <w:bookmarkStart w:id="178" w:name="_Toc525808085"/>
      <w:bookmarkStart w:id="179" w:name="_Toc525645687"/>
      <w:bookmarkStart w:id="180" w:name="_Toc525806769"/>
      <w:bookmarkStart w:id="181" w:name="_Toc525647168"/>
      <w:r>
        <w:rPr>
          <w:rFonts w:hint="eastAsia" w:ascii="仿宋" w:hAnsi="仿宋" w:eastAsia="仿宋" w:cs="仿宋"/>
          <w:color w:val="auto"/>
          <w:sz w:val="28"/>
          <w:szCs w:val="28"/>
          <w:highlight w:val="none"/>
        </w:rPr>
        <w:t>工程施工费由直接费、间接费、利润和税金组成。</w:t>
      </w:r>
    </w:p>
    <w:p w14:paraId="104474B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1）直接费</w:t>
      </w:r>
    </w:p>
    <w:p w14:paraId="16599D02">
      <w:pPr>
        <w:spacing w:line="360" w:lineRule="auto"/>
        <w:ind w:firstLine="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直接费由直接工程费和措施费组成。</w:t>
      </w:r>
    </w:p>
    <w:p w14:paraId="4C6C2B63">
      <w:pPr>
        <w:spacing w:line="360" w:lineRule="auto"/>
        <w:ind w:firstLine="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①直接工程费</w:t>
      </w:r>
    </w:p>
    <w:p w14:paraId="3D0011F0">
      <w:pPr>
        <w:spacing w:line="360" w:lineRule="auto"/>
        <w:ind w:firstLine="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直接工程费由人工费、材料费、施工机械使用费组成。</w:t>
      </w:r>
    </w:p>
    <w:p w14:paraId="23192904">
      <w:pPr>
        <w:spacing w:line="360" w:lineRule="auto"/>
        <w:ind w:firstLine="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人工预算单价计算表见下表7-2。</w:t>
      </w:r>
    </w:p>
    <w:p w14:paraId="4B210428">
      <w:pPr>
        <w:pStyle w:val="22"/>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表7-2   人工工资计算表</w:t>
      </w:r>
    </w:p>
    <w:tbl>
      <w:tblPr>
        <w:tblStyle w:val="23"/>
        <w:tblW w:w="5000" w:type="pct"/>
        <w:jc w:val="center"/>
        <w:tblLayout w:type="autofit"/>
        <w:tblCellMar>
          <w:top w:w="0" w:type="dxa"/>
          <w:left w:w="108" w:type="dxa"/>
          <w:bottom w:w="0" w:type="dxa"/>
          <w:right w:w="108" w:type="dxa"/>
        </w:tblCellMar>
      </w:tblPr>
      <w:tblGrid>
        <w:gridCol w:w="1776"/>
        <w:gridCol w:w="1677"/>
        <w:gridCol w:w="2475"/>
        <w:gridCol w:w="1077"/>
        <w:gridCol w:w="1517"/>
      </w:tblGrid>
      <w:tr w14:paraId="02C2A69D">
        <w:tblPrEx>
          <w:tblCellMar>
            <w:top w:w="0" w:type="dxa"/>
            <w:left w:w="108" w:type="dxa"/>
            <w:bottom w:w="0" w:type="dxa"/>
            <w:right w:w="108" w:type="dxa"/>
          </w:tblCellMar>
        </w:tblPrEx>
        <w:trPr>
          <w:trHeight w:val="285" w:hRule="atLeast"/>
          <w:jc w:val="center"/>
        </w:trPr>
        <w:tc>
          <w:tcPr>
            <w:tcW w:w="1042" w:type="pct"/>
            <w:tcBorders>
              <w:top w:val="single" w:color="auto" w:sz="4" w:space="0"/>
              <w:left w:val="single" w:color="auto" w:sz="4" w:space="0"/>
              <w:bottom w:val="single" w:color="auto" w:sz="4" w:space="0"/>
              <w:right w:val="single" w:color="auto" w:sz="4" w:space="0"/>
            </w:tcBorders>
            <w:noWrap/>
            <w:vAlign w:val="center"/>
          </w:tcPr>
          <w:p w14:paraId="3AD7D30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序号</w:t>
            </w:r>
          </w:p>
        </w:tc>
        <w:tc>
          <w:tcPr>
            <w:tcW w:w="984" w:type="pct"/>
            <w:tcBorders>
              <w:top w:val="single" w:color="auto" w:sz="4" w:space="0"/>
              <w:left w:val="single" w:color="auto" w:sz="4" w:space="0"/>
              <w:bottom w:val="single" w:color="auto" w:sz="4" w:space="0"/>
              <w:right w:val="single" w:color="auto" w:sz="4" w:space="0"/>
            </w:tcBorders>
            <w:noWrap/>
            <w:vAlign w:val="center"/>
          </w:tcPr>
          <w:p w14:paraId="7835D29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项目</w:t>
            </w: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14:paraId="236CD92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公式</w:t>
            </w:r>
          </w:p>
        </w:tc>
        <w:tc>
          <w:tcPr>
            <w:tcW w:w="890" w:type="pct"/>
            <w:tcBorders>
              <w:top w:val="single" w:color="auto" w:sz="4" w:space="0"/>
              <w:left w:val="single" w:color="auto" w:sz="4" w:space="0"/>
              <w:bottom w:val="single" w:color="auto" w:sz="4" w:space="0"/>
              <w:right w:val="single" w:color="auto" w:sz="4" w:space="0"/>
            </w:tcBorders>
            <w:noWrap/>
            <w:vAlign w:val="center"/>
          </w:tcPr>
          <w:p w14:paraId="349C532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工程类别</w:t>
            </w:r>
          </w:p>
        </w:tc>
      </w:tr>
      <w:tr w14:paraId="5CA6B201">
        <w:tblPrEx>
          <w:tblCellMar>
            <w:top w:w="0" w:type="dxa"/>
            <w:left w:w="108" w:type="dxa"/>
            <w:bottom w:w="0" w:type="dxa"/>
            <w:right w:w="108" w:type="dxa"/>
          </w:tblCellMar>
        </w:tblPrEx>
        <w:trPr>
          <w:trHeight w:val="285" w:hRule="atLeast"/>
          <w:jc w:val="center"/>
        </w:trPr>
        <w:tc>
          <w:tcPr>
            <w:tcW w:w="1042" w:type="pct"/>
            <w:vMerge w:val="restart"/>
            <w:tcBorders>
              <w:top w:val="single" w:color="auto" w:sz="4" w:space="0"/>
              <w:left w:val="single" w:color="auto" w:sz="4" w:space="0"/>
              <w:bottom w:val="single" w:color="auto" w:sz="4" w:space="0"/>
              <w:right w:val="single" w:color="auto" w:sz="4" w:space="0"/>
            </w:tcBorders>
            <w:noWrap/>
            <w:vAlign w:val="center"/>
          </w:tcPr>
          <w:p w14:paraId="74A7F7D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p>
        </w:tc>
        <w:tc>
          <w:tcPr>
            <w:tcW w:w="984" w:type="pct"/>
            <w:vMerge w:val="restart"/>
            <w:tcBorders>
              <w:top w:val="single" w:color="auto" w:sz="4" w:space="0"/>
              <w:left w:val="single" w:color="auto" w:sz="4" w:space="0"/>
              <w:bottom w:val="single" w:color="auto" w:sz="4" w:space="0"/>
              <w:right w:val="single" w:color="auto" w:sz="4" w:space="0"/>
            </w:tcBorders>
            <w:noWrap/>
            <w:vAlign w:val="center"/>
          </w:tcPr>
          <w:p w14:paraId="52450CA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基本工资</w:t>
            </w: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14:paraId="5A02930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550×12÷（250-10）＝27.50</w:t>
            </w:r>
          </w:p>
        </w:tc>
        <w:tc>
          <w:tcPr>
            <w:tcW w:w="890" w:type="pct"/>
            <w:tcBorders>
              <w:top w:val="single" w:color="auto" w:sz="4" w:space="0"/>
              <w:left w:val="single" w:color="auto" w:sz="4" w:space="0"/>
              <w:bottom w:val="single" w:color="auto" w:sz="4" w:space="0"/>
              <w:right w:val="single" w:color="auto" w:sz="4" w:space="0"/>
            </w:tcBorders>
            <w:noWrap/>
            <w:vAlign w:val="center"/>
          </w:tcPr>
          <w:p w14:paraId="2C90B94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甲类</w:t>
            </w:r>
          </w:p>
        </w:tc>
      </w:tr>
      <w:tr w14:paraId="17C6B752">
        <w:tblPrEx>
          <w:tblCellMar>
            <w:top w:w="0" w:type="dxa"/>
            <w:left w:w="108" w:type="dxa"/>
            <w:bottom w:w="0" w:type="dxa"/>
            <w:right w:w="108" w:type="dxa"/>
          </w:tblCellMar>
        </w:tblPrEx>
        <w:trPr>
          <w:trHeight w:val="285" w:hRule="atLeast"/>
          <w:jc w:val="center"/>
        </w:trPr>
        <w:tc>
          <w:tcPr>
            <w:tcW w:w="1042" w:type="pct"/>
            <w:vMerge w:val="continue"/>
            <w:tcBorders>
              <w:top w:val="single" w:color="auto" w:sz="4" w:space="0"/>
              <w:left w:val="single" w:color="auto" w:sz="4" w:space="0"/>
              <w:bottom w:val="single" w:color="auto" w:sz="4" w:space="0"/>
              <w:right w:val="single" w:color="auto" w:sz="4" w:space="0"/>
            </w:tcBorders>
            <w:noWrap/>
            <w:vAlign w:val="center"/>
          </w:tcPr>
          <w:p w14:paraId="52B36836">
            <w:pPr>
              <w:jc w:val="center"/>
              <w:rPr>
                <w:rFonts w:ascii="Times New Roman" w:hAnsi="Times New Roman" w:eastAsia="宋体" w:cs="Times New Roman"/>
                <w:color w:val="auto"/>
                <w:highlight w:val="none"/>
              </w:rPr>
            </w:pPr>
          </w:p>
        </w:tc>
        <w:tc>
          <w:tcPr>
            <w:tcW w:w="984" w:type="pct"/>
            <w:vMerge w:val="continue"/>
            <w:tcBorders>
              <w:top w:val="single" w:color="auto" w:sz="4" w:space="0"/>
              <w:left w:val="single" w:color="auto" w:sz="4" w:space="0"/>
              <w:bottom w:val="single" w:color="auto" w:sz="4" w:space="0"/>
              <w:right w:val="single" w:color="auto" w:sz="4" w:space="0"/>
            </w:tcBorders>
            <w:noWrap/>
            <w:vAlign w:val="center"/>
          </w:tcPr>
          <w:p w14:paraId="685B715F">
            <w:pPr>
              <w:jc w:val="center"/>
              <w:rPr>
                <w:rFonts w:ascii="Times New Roman" w:hAnsi="Times New Roman" w:eastAsia="宋体" w:cs="Times New Roman"/>
                <w:color w:val="auto"/>
                <w:highlight w:val="none"/>
              </w:rPr>
            </w:pP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14:paraId="09EC568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480×12÷（250-10）＝24.0</w:t>
            </w:r>
          </w:p>
        </w:tc>
        <w:tc>
          <w:tcPr>
            <w:tcW w:w="890" w:type="pct"/>
            <w:tcBorders>
              <w:top w:val="single" w:color="auto" w:sz="4" w:space="0"/>
              <w:left w:val="single" w:color="auto" w:sz="4" w:space="0"/>
              <w:bottom w:val="single" w:color="auto" w:sz="4" w:space="0"/>
              <w:right w:val="single" w:color="auto" w:sz="4" w:space="0"/>
            </w:tcBorders>
            <w:noWrap/>
            <w:vAlign w:val="center"/>
          </w:tcPr>
          <w:p w14:paraId="671A79B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乙类</w:t>
            </w:r>
          </w:p>
        </w:tc>
      </w:tr>
      <w:tr w14:paraId="1F27BBCF">
        <w:tblPrEx>
          <w:tblCellMar>
            <w:top w:w="0" w:type="dxa"/>
            <w:left w:w="108" w:type="dxa"/>
            <w:bottom w:w="0" w:type="dxa"/>
            <w:right w:w="108" w:type="dxa"/>
          </w:tblCellMar>
        </w:tblPrEx>
        <w:trPr>
          <w:trHeight w:val="285" w:hRule="atLeast"/>
          <w:jc w:val="center"/>
        </w:trPr>
        <w:tc>
          <w:tcPr>
            <w:tcW w:w="1042" w:type="pct"/>
            <w:vMerge w:val="restart"/>
            <w:tcBorders>
              <w:top w:val="single" w:color="auto" w:sz="4" w:space="0"/>
              <w:left w:val="single" w:color="auto" w:sz="4" w:space="0"/>
              <w:bottom w:val="single" w:color="auto" w:sz="4" w:space="0"/>
              <w:right w:val="single" w:color="auto" w:sz="4" w:space="0"/>
            </w:tcBorders>
            <w:noWrap/>
            <w:vAlign w:val="center"/>
          </w:tcPr>
          <w:p w14:paraId="319B2BE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w:t>
            </w:r>
          </w:p>
        </w:tc>
        <w:tc>
          <w:tcPr>
            <w:tcW w:w="984" w:type="pct"/>
            <w:vMerge w:val="restart"/>
            <w:tcBorders>
              <w:top w:val="single" w:color="auto" w:sz="4" w:space="0"/>
              <w:left w:val="single" w:color="auto" w:sz="4" w:space="0"/>
              <w:bottom w:val="single" w:color="auto" w:sz="4" w:space="0"/>
              <w:right w:val="single" w:color="auto" w:sz="4" w:space="0"/>
            </w:tcBorders>
            <w:noWrap/>
            <w:vAlign w:val="center"/>
          </w:tcPr>
          <w:p w14:paraId="139B389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辅助工资</w:t>
            </w: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14:paraId="7C150CF8">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5.06+0.80+0.85+0.85=6.71</w:t>
            </w:r>
          </w:p>
        </w:tc>
        <w:tc>
          <w:tcPr>
            <w:tcW w:w="890" w:type="pct"/>
            <w:tcBorders>
              <w:top w:val="single" w:color="auto" w:sz="4" w:space="0"/>
              <w:left w:val="single" w:color="auto" w:sz="4" w:space="0"/>
              <w:bottom w:val="single" w:color="auto" w:sz="4" w:space="0"/>
              <w:right w:val="single" w:color="auto" w:sz="4" w:space="0"/>
            </w:tcBorders>
            <w:noWrap/>
            <w:vAlign w:val="center"/>
          </w:tcPr>
          <w:p w14:paraId="5966DAE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甲类</w:t>
            </w:r>
          </w:p>
        </w:tc>
      </w:tr>
      <w:tr w14:paraId="72037CEB">
        <w:tblPrEx>
          <w:tblCellMar>
            <w:top w:w="0" w:type="dxa"/>
            <w:left w:w="108" w:type="dxa"/>
            <w:bottom w:w="0" w:type="dxa"/>
            <w:right w:w="108" w:type="dxa"/>
          </w:tblCellMar>
        </w:tblPrEx>
        <w:trPr>
          <w:trHeight w:val="285" w:hRule="atLeast"/>
          <w:jc w:val="center"/>
        </w:trPr>
        <w:tc>
          <w:tcPr>
            <w:tcW w:w="1042" w:type="pct"/>
            <w:vMerge w:val="continue"/>
            <w:tcBorders>
              <w:top w:val="single" w:color="auto" w:sz="4" w:space="0"/>
              <w:left w:val="single" w:color="auto" w:sz="4" w:space="0"/>
              <w:bottom w:val="single" w:color="auto" w:sz="4" w:space="0"/>
              <w:right w:val="single" w:color="auto" w:sz="4" w:space="0"/>
            </w:tcBorders>
            <w:noWrap/>
            <w:vAlign w:val="center"/>
          </w:tcPr>
          <w:p w14:paraId="630FE56D">
            <w:pPr>
              <w:jc w:val="center"/>
              <w:rPr>
                <w:rFonts w:ascii="Times New Roman" w:hAnsi="Times New Roman" w:eastAsia="宋体" w:cs="Times New Roman"/>
                <w:color w:val="auto"/>
                <w:highlight w:val="none"/>
              </w:rPr>
            </w:pPr>
          </w:p>
        </w:tc>
        <w:tc>
          <w:tcPr>
            <w:tcW w:w="984" w:type="pct"/>
            <w:vMerge w:val="continue"/>
            <w:tcBorders>
              <w:top w:val="single" w:color="auto" w:sz="4" w:space="0"/>
              <w:left w:val="single" w:color="auto" w:sz="4" w:space="0"/>
              <w:bottom w:val="single" w:color="auto" w:sz="4" w:space="0"/>
              <w:right w:val="single" w:color="auto" w:sz="4" w:space="0"/>
            </w:tcBorders>
            <w:noWrap/>
            <w:vAlign w:val="center"/>
          </w:tcPr>
          <w:p w14:paraId="27052DA4">
            <w:pPr>
              <w:jc w:val="center"/>
              <w:rPr>
                <w:rFonts w:ascii="Times New Roman" w:hAnsi="Times New Roman" w:eastAsia="宋体" w:cs="Times New Roman"/>
                <w:color w:val="auto"/>
                <w:highlight w:val="none"/>
              </w:rPr>
            </w:pP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14:paraId="0BCCC85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2.89+0.4+0.32=3.61</w:t>
            </w:r>
          </w:p>
        </w:tc>
        <w:tc>
          <w:tcPr>
            <w:tcW w:w="890" w:type="pct"/>
            <w:tcBorders>
              <w:top w:val="single" w:color="auto" w:sz="4" w:space="0"/>
              <w:left w:val="single" w:color="auto" w:sz="4" w:space="0"/>
              <w:bottom w:val="single" w:color="auto" w:sz="4" w:space="0"/>
              <w:right w:val="single" w:color="auto" w:sz="4" w:space="0"/>
            </w:tcBorders>
            <w:noWrap/>
            <w:vAlign w:val="center"/>
          </w:tcPr>
          <w:p w14:paraId="49D77B9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乙类</w:t>
            </w:r>
          </w:p>
        </w:tc>
      </w:tr>
      <w:tr w14:paraId="1F48F93E">
        <w:tblPrEx>
          <w:tblCellMar>
            <w:top w:w="0" w:type="dxa"/>
            <w:left w:w="108" w:type="dxa"/>
            <w:bottom w:w="0" w:type="dxa"/>
            <w:right w:w="108" w:type="dxa"/>
          </w:tblCellMar>
        </w:tblPrEx>
        <w:trPr>
          <w:trHeight w:val="285" w:hRule="atLeast"/>
          <w:jc w:val="center"/>
        </w:trPr>
        <w:tc>
          <w:tcPr>
            <w:tcW w:w="1042" w:type="pct"/>
            <w:vMerge w:val="restart"/>
            <w:tcBorders>
              <w:top w:val="single" w:color="auto" w:sz="4" w:space="0"/>
              <w:left w:val="single" w:color="auto" w:sz="4" w:space="0"/>
              <w:bottom w:val="single" w:color="auto" w:sz="4" w:space="0"/>
              <w:right w:val="single" w:color="auto" w:sz="4" w:space="0"/>
            </w:tcBorders>
            <w:noWrap/>
            <w:vAlign w:val="center"/>
          </w:tcPr>
          <w:p w14:paraId="571CD41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3</w:t>
            </w:r>
          </w:p>
        </w:tc>
        <w:tc>
          <w:tcPr>
            <w:tcW w:w="984" w:type="pct"/>
            <w:vMerge w:val="restart"/>
            <w:tcBorders>
              <w:top w:val="single" w:color="auto" w:sz="4" w:space="0"/>
              <w:left w:val="single" w:color="auto" w:sz="4" w:space="0"/>
              <w:bottom w:val="single" w:color="auto" w:sz="4" w:space="0"/>
              <w:right w:val="single" w:color="auto" w:sz="4" w:space="0"/>
            </w:tcBorders>
            <w:noWrap/>
            <w:vAlign w:val="center"/>
          </w:tcPr>
          <w:p w14:paraId="57DA412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工资附加费</w:t>
            </w: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14:paraId="03A8BA3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16.52</w:t>
            </w:r>
          </w:p>
        </w:tc>
        <w:tc>
          <w:tcPr>
            <w:tcW w:w="890" w:type="pct"/>
            <w:tcBorders>
              <w:top w:val="single" w:color="auto" w:sz="4" w:space="0"/>
              <w:left w:val="single" w:color="auto" w:sz="4" w:space="0"/>
              <w:bottom w:val="single" w:color="auto" w:sz="4" w:space="0"/>
              <w:right w:val="single" w:color="auto" w:sz="4" w:space="0"/>
            </w:tcBorders>
            <w:noWrap/>
            <w:vAlign w:val="center"/>
          </w:tcPr>
          <w:p w14:paraId="3323C28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甲类</w:t>
            </w:r>
          </w:p>
        </w:tc>
      </w:tr>
      <w:tr w14:paraId="62DF5898">
        <w:tblPrEx>
          <w:tblCellMar>
            <w:top w:w="0" w:type="dxa"/>
            <w:left w:w="108" w:type="dxa"/>
            <w:bottom w:w="0" w:type="dxa"/>
            <w:right w:w="108" w:type="dxa"/>
          </w:tblCellMar>
        </w:tblPrEx>
        <w:trPr>
          <w:trHeight w:val="285" w:hRule="atLeast"/>
          <w:jc w:val="center"/>
        </w:trPr>
        <w:tc>
          <w:tcPr>
            <w:tcW w:w="1042" w:type="pct"/>
            <w:vMerge w:val="continue"/>
            <w:tcBorders>
              <w:top w:val="single" w:color="auto" w:sz="4" w:space="0"/>
              <w:left w:val="single" w:color="auto" w:sz="4" w:space="0"/>
              <w:bottom w:val="single" w:color="auto" w:sz="4" w:space="0"/>
              <w:right w:val="single" w:color="auto" w:sz="4" w:space="0"/>
            </w:tcBorders>
            <w:noWrap/>
            <w:vAlign w:val="center"/>
          </w:tcPr>
          <w:p w14:paraId="4BF65621">
            <w:pPr>
              <w:jc w:val="center"/>
              <w:rPr>
                <w:rFonts w:ascii="Times New Roman" w:hAnsi="Times New Roman" w:eastAsia="宋体" w:cs="Times New Roman"/>
                <w:color w:val="auto"/>
                <w:highlight w:val="none"/>
              </w:rPr>
            </w:pPr>
          </w:p>
        </w:tc>
        <w:tc>
          <w:tcPr>
            <w:tcW w:w="984" w:type="pct"/>
            <w:vMerge w:val="continue"/>
            <w:tcBorders>
              <w:top w:val="single" w:color="auto" w:sz="4" w:space="0"/>
              <w:left w:val="single" w:color="auto" w:sz="4" w:space="0"/>
              <w:bottom w:val="single" w:color="auto" w:sz="4" w:space="0"/>
              <w:right w:val="single" w:color="auto" w:sz="4" w:space="0"/>
            </w:tcBorders>
            <w:noWrap/>
            <w:vAlign w:val="center"/>
          </w:tcPr>
          <w:p w14:paraId="2536B762">
            <w:pPr>
              <w:jc w:val="center"/>
              <w:rPr>
                <w:rFonts w:ascii="Times New Roman" w:hAnsi="Times New Roman" w:eastAsia="宋体" w:cs="Times New Roman"/>
                <w:color w:val="auto"/>
                <w:highlight w:val="none"/>
              </w:rPr>
            </w:pPr>
          </w:p>
        </w:tc>
        <w:tc>
          <w:tcPr>
            <w:tcW w:w="2084" w:type="pct"/>
            <w:gridSpan w:val="2"/>
            <w:tcBorders>
              <w:top w:val="single" w:color="auto" w:sz="4" w:space="0"/>
              <w:left w:val="single" w:color="auto" w:sz="4" w:space="0"/>
              <w:bottom w:val="single" w:color="auto" w:sz="4" w:space="0"/>
              <w:right w:val="single" w:color="auto" w:sz="4" w:space="0"/>
            </w:tcBorders>
            <w:noWrap/>
            <w:vAlign w:val="center"/>
          </w:tcPr>
          <w:p w14:paraId="5203579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13.09</w:t>
            </w:r>
          </w:p>
        </w:tc>
        <w:tc>
          <w:tcPr>
            <w:tcW w:w="890" w:type="pct"/>
            <w:tcBorders>
              <w:top w:val="single" w:color="auto" w:sz="4" w:space="0"/>
              <w:left w:val="single" w:color="auto" w:sz="4" w:space="0"/>
              <w:bottom w:val="single" w:color="auto" w:sz="4" w:space="0"/>
              <w:right w:val="single" w:color="auto" w:sz="4" w:space="0"/>
            </w:tcBorders>
            <w:noWrap/>
            <w:vAlign w:val="center"/>
          </w:tcPr>
          <w:p w14:paraId="3C30D08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乙类</w:t>
            </w:r>
          </w:p>
        </w:tc>
      </w:tr>
      <w:tr w14:paraId="7EF799F0">
        <w:tblPrEx>
          <w:tblCellMar>
            <w:top w:w="0" w:type="dxa"/>
            <w:left w:w="108" w:type="dxa"/>
            <w:bottom w:w="0" w:type="dxa"/>
            <w:right w:w="108" w:type="dxa"/>
          </w:tblCellMar>
        </w:tblPrEx>
        <w:trPr>
          <w:trHeight w:val="122"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ign w:val="center"/>
          </w:tcPr>
          <w:p w14:paraId="32041BD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人工费单价</w:t>
            </w:r>
          </w:p>
        </w:tc>
      </w:tr>
      <w:tr w14:paraId="450DADDD">
        <w:tblPrEx>
          <w:tblCellMar>
            <w:top w:w="0" w:type="dxa"/>
            <w:left w:w="108" w:type="dxa"/>
            <w:bottom w:w="0" w:type="dxa"/>
            <w:right w:w="108" w:type="dxa"/>
          </w:tblCellMar>
        </w:tblPrEx>
        <w:trPr>
          <w:trHeight w:val="285" w:hRule="atLeast"/>
          <w:jc w:val="center"/>
        </w:trPr>
        <w:tc>
          <w:tcPr>
            <w:tcW w:w="3478" w:type="pct"/>
            <w:gridSpan w:val="3"/>
            <w:tcBorders>
              <w:top w:val="single" w:color="auto" w:sz="4" w:space="0"/>
              <w:left w:val="single" w:color="auto" w:sz="4" w:space="0"/>
              <w:bottom w:val="single" w:color="auto" w:sz="4" w:space="0"/>
              <w:right w:val="single" w:color="auto" w:sz="4" w:space="0"/>
            </w:tcBorders>
            <w:noWrap/>
            <w:vAlign w:val="center"/>
          </w:tcPr>
          <w:p w14:paraId="17FD496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甲类</w:t>
            </w:r>
          </w:p>
        </w:tc>
        <w:tc>
          <w:tcPr>
            <w:tcW w:w="1522" w:type="pct"/>
            <w:gridSpan w:val="2"/>
            <w:tcBorders>
              <w:top w:val="single" w:color="auto" w:sz="4" w:space="0"/>
              <w:left w:val="single" w:color="auto" w:sz="4" w:space="0"/>
              <w:bottom w:val="single" w:color="auto" w:sz="4" w:space="0"/>
              <w:right w:val="single" w:color="auto" w:sz="4" w:space="0"/>
            </w:tcBorders>
            <w:noWrap/>
            <w:vAlign w:val="center"/>
          </w:tcPr>
          <w:p w14:paraId="175B2B6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50.73元</w:t>
            </w:r>
          </w:p>
        </w:tc>
      </w:tr>
      <w:tr w14:paraId="49602F61">
        <w:tblPrEx>
          <w:tblCellMar>
            <w:top w:w="0" w:type="dxa"/>
            <w:left w:w="108" w:type="dxa"/>
            <w:bottom w:w="0" w:type="dxa"/>
            <w:right w:w="108" w:type="dxa"/>
          </w:tblCellMar>
        </w:tblPrEx>
        <w:trPr>
          <w:trHeight w:val="230" w:hRule="atLeast"/>
          <w:jc w:val="center"/>
        </w:trPr>
        <w:tc>
          <w:tcPr>
            <w:tcW w:w="3478" w:type="pct"/>
            <w:gridSpan w:val="3"/>
            <w:tcBorders>
              <w:top w:val="single" w:color="auto" w:sz="4" w:space="0"/>
              <w:left w:val="single" w:color="auto" w:sz="4" w:space="0"/>
              <w:bottom w:val="single" w:color="auto" w:sz="4" w:space="0"/>
              <w:right w:val="single" w:color="auto" w:sz="4" w:space="0"/>
            </w:tcBorders>
            <w:noWrap/>
            <w:vAlign w:val="center"/>
          </w:tcPr>
          <w:p w14:paraId="451168C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乙类</w:t>
            </w:r>
          </w:p>
        </w:tc>
        <w:tc>
          <w:tcPr>
            <w:tcW w:w="1522" w:type="pct"/>
            <w:gridSpan w:val="2"/>
            <w:tcBorders>
              <w:top w:val="single" w:color="auto" w:sz="4" w:space="0"/>
              <w:left w:val="single" w:color="auto" w:sz="4" w:space="0"/>
              <w:bottom w:val="single" w:color="auto" w:sz="4" w:space="0"/>
              <w:right w:val="single" w:color="auto" w:sz="4" w:space="0"/>
            </w:tcBorders>
            <w:noWrap/>
            <w:vAlign w:val="center"/>
          </w:tcPr>
          <w:p w14:paraId="68269DB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40.70元</w:t>
            </w:r>
          </w:p>
        </w:tc>
      </w:tr>
    </w:tbl>
    <w:p w14:paraId="0C6EC6EC">
      <w:pPr>
        <w:ind w:firstLine="480" w:firstLineChars="200"/>
        <w:rPr>
          <w:rFonts w:ascii="Times New Roman" w:hAnsi="Times New Roman" w:cs="Times New Roman"/>
          <w:color w:val="auto"/>
          <w:sz w:val="24"/>
          <w:highlight w:val="none"/>
        </w:rPr>
      </w:pPr>
    </w:p>
    <w:p w14:paraId="31096BC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人工费中人工单价按《土地开发整理项目预算编制暂行规定》中有关规定，人工费按技术等级分甲等工和乙等工计取，包括基本工资、辅助工资和工资附加费，经计算分别为甲等工50.73元/工日，乙等工40.70元/工日。</w:t>
      </w:r>
    </w:p>
    <w:p w14:paraId="563A75C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在材料费定额的计算中，材料消耗量参照《预算定额》，材料价格参考项目区实际价格。</w:t>
      </w:r>
    </w:p>
    <w:p w14:paraId="4995BFD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在施工机械使用费定额的计算中，台班费分别依据《土地开发整理项目施工机械台班费定额》。</w:t>
      </w:r>
    </w:p>
    <w:p w14:paraId="2BD4860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②措施费</w:t>
      </w:r>
    </w:p>
    <w:p w14:paraId="5098ECD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措施费=直接工程费（或人工费）×措施费率</w:t>
      </w:r>
    </w:p>
    <w:p w14:paraId="028533D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措施费包括临时设施费、冬雨季施工增加费、夜间施工增加费、施工辅助费、安全文明施工增加费和特殊地区施工增加费。</w:t>
      </w:r>
    </w:p>
    <w:p w14:paraId="3931D4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冬雨季施工增加费的计算方法是根据不同地区，按直接工程费的百分率计算，费率为0.9％。</w:t>
      </w:r>
    </w:p>
    <w:p w14:paraId="3EB2C33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夜间施工增加费仅指混凝土工程、农用井工程中需连续作业工程部分，按直接工程费的百分率计算，其中安装工程为0.5％，建筑工程为0.2％。</w:t>
      </w:r>
    </w:p>
    <w:p w14:paraId="351D034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施工辅助按直接工程费的百分率计算，其中安装工程为1％，建筑工程为0.7％。</w:t>
      </w:r>
    </w:p>
    <w:p w14:paraId="07A5361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安全文明施工增加费按直接工程费的百分率计算，其中安装工程为0.5%，建筑工程为0.3%。</w:t>
      </w:r>
    </w:p>
    <w:p w14:paraId="593180B1">
      <w:pPr>
        <w:spacing w:line="360" w:lineRule="auto"/>
        <w:ind w:firstLine="560" w:firstLineChars="200"/>
        <w:rPr>
          <w:rFonts w:ascii="Times New Roman" w:hAnsi="Times New Roman" w:eastAsia="黑体" w:cs="Times New Roman"/>
          <w:color w:val="auto"/>
          <w:highlight w:val="none"/>
        </w:rPr>
      </w:pPr>
      <w:r>
        <w:rPr>
          <w:rFonts w:hint="eastAsia" w:ascii="仿宋" w:hAnsi="仿宋" w:eastAsia="仿宋" w:cs="仿宋"/>
          <w:color w:val="auto"/>
          <w:sz w:val="28"/>
          <w:szCs w:val="28"/>
          <w:highlight w:val="none"/>
        </w:rPr>
        <w:t>根据不同工程性质，临时设施费费率下表。</w:t>
      </w:r>
    </w:p>
    <w:p w14:paraId="36142341">
      <w:pPr>
        <w:pStyle w:val="22"/>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表7-3  临时设施费费率表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2853"/>
        <w:gridCol w:w="2847"/>
      </w:tblGrid>
      <w:tr w14:paraId="6754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14:paraId="27B1264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工程类别</w:t>
            </w:r>
          </w:p>
        </w:tc>
        <w:tc>
          <w:tcPr>
            <w:tcW w:w="1674" w:type="pct"/>
            <w:noWrap/>
            <w:vAlign w:val="center"/>
          </w:tcPr>
          <w:p w14:paraId="642A275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计算基础</w:t>
            </w:r>
          </w:p>
        </w:tc>
        <w:tc>
          <w:tcPr>
            <w:tcW w:w="1670" w:type="pct"/>
            <w:noWrap/>
            <w:vAlign w:val="center"/>
          </w:tcPr>
          <w:p w14:paraId="728829C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临时设施费</w:t>
            </w:r>
          </w:p>
        </w:tc>
      </w:tr>
      <w:tr w14:paraId="55F7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14:paraId="59825E8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土方工程</w:t>
            </w:r>
          </w:p>
        </w:tc>
        <w:tc>
          <w:tcPr>
            <w:tcW w:w="1674" w:type="pct"/>
            <w:noWrap/>
            <w:vAlign w:val="center"/>
          </w:tcPr>
          <w:p w14:paraId="790BE1F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14:paraId="076BB163">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3.7%</w:t>
            </w:r>
          </w:p>
        </w:tc>
      </w:tr>
      <w:tr w14:paraId="5269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14:paraId="4E8710E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石方工程</w:t>
            </w:r>
          </w:p>
        </w:tc>
        <w:tc>
          <w:tcPr>
            <w:tcW w:w="1674" w:type="pct"/>
            <w:noWrap/>
            <w:vAlign w:val="center"/>
          </w:tcPr>
          <w:p w14:paraId="4C26F324">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14:paraId="032D07DA">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3.7%</w:t>
            </w:r>
          </w:p>
        </w:tc>
      </w:tr>
      <w:tr w14:paraId="6FEE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14:paraId="474D3D5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砌体工程</w:t>
            </w:r>
          </w:p>
        </w:tc>
        <w:tc>
          <w:tcPr>
            <w:tcW w:w="1674" w:type="pct"/>
            <w:noWrap/>
            <w:vAlign w:val="center"/>
          </w:tcPr>
          <w:p w14:paraId="03BA3D6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14:paraId="509A5B2C">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3.7%</w:t>
            </w:r>
          </w:p>
        </w:tc>
      </w:tr>
      <w:tr w14:paraId="59F1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14:paraId="62B42943">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混凝土工程</w:t>
            </w:r>
          </w:p>
        </w:tc>
        <w:tc>
          <w:tcPr>
            <w:tcW w:w="1674" w:type="pct"/>
            <w:noWrap/>
            <w:vAlign w:val="center"/>
          </w:tcPr>
          <w:p w14:paraId="399FA20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14:paraId="5289BCEE">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4.7%</w:t>
            </w:r>
          </w:p>
        </w:tc>
      </w:tr>
      <w:tr w14:paraId="35BA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14:paraId="2BB952F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农用井工程</w:t>
            </w:r>
          </w:p>
        </w:tc>
        <w:tc>
          <w:tcPr>
            <w:tcW w:w="1674" w:type="pct"/>
            <w:noWrap/>
            <w:vAlign w:val="center"/>
          </w:tcPr>
          <w:p w14:paraId="4472780C">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14:paraId="44EFA0A2">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4.7%</w:t>
            </w:r>
          </w:p>
        </w:tc>
      </w:tr>
      <w:tr w14:paraId="406F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6" w:type="pct"/>
            <w:noWrap/>
            <w:vAlign w:val="center"/>
          </w:tcPr>
          <w:p w14:paraId="4C1FBF4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其他工程</w:t>
            </w:r>
          </w:p>
        </w:tc>
        <w:tc>
          <w:tcPr>
            <w:tcW w:w="1674" w:type="pct"/>
            <w:noWrap/>
            <w:vAlign w:val="center"/>
          </w:tcPr>
          <w:p w14:paraId="0D14309B">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14:paraId="32BB4C22">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3.7%</w:t>
            </w:r>
          </w:p>
        </w:tc>
      </w:tr>
      <w:tr w14:paraId="125D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56" w:type="pct"/>
            <w:noWrap/>
            <w:vAlign w:val="center"/>
          </w:tcPr>
          <w:p w14:paraId="6D7C950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安装工程</w:t>
            </w:r>
          </w:p>
        </w:tc>
        <w:tc>
          <w:tcPr>
            <w:tcW w:w="1674" w:type="pct"/>
            <w:noWrap/>
            <w:vAlign w:val="center"/>
          </w:tcPr>
          <w:p w14:paraId="2E7D39C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70" w:type="pct"/>
            <w:noWrap/>
            <w:vAlign w:val="center"/>
          </w:tcPr>
          <w:p w14:paraId="177D602C">
            <w:pPr>
              <w:autoSpaceDE w:val="0"/>
              <w:autoSpaceDN w:val="0"/>
              <w:adjustRightInd w:val="0"/>
              <w:jc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5.2%</w:t>
            </w:r>
          </w:p>
        </w:tc>
      </w:tr>
    </w:tbl>
    <w:p w14:paraId="1A9B932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2）间接费。根据工程性质不同间接费费率见下表</w:t>
      </w:r>
    </w:p>
    <w:p w14:paraId="12E2B0FA">
      <w:pPr>
        <w:pStyle w:val="22"/>
        <w:ind w:firstLine="0" w:firstLineChars="0"/>
        <w:jc w:val="center"/>
        <w:rPr>
          <w:rFonts w:ascii="Times New Roman" w:hAnsi="Times New Roman" w:eastAsia="宋体" w:cs="Times New Roman"/>
          <w:b/>
          <w:color w:val="auto"/>
          <w:sz w:val="21"/>
          <w:highlight w:val="none"/>
        </w:rPr>
      </w:pPr>
      <w:r>
        <w:rPr>
          <w:rFonts w:ascii="Times New Roman" w:hAnsi="Times New Roman" w:eastAsia="宋体" w:cs="Times New Roman"/>
          <w:b/>
          <w:color w:val="auto"/>
          <w:sz w:val="21"/>
          <w:highlight w:val="none"/>
        </w:rPr>
        <w:t>表7-4  间接费费率表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3"/>
        <w:gridCol w:w="2838"/>
      </w:tblGrid>
      <w:tr w14:paraId="408E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14:paraId="4555C39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工程类别</w:t>
            </w:r>
          </w:p>
        </w:tc>
        <w:tc>
          <w:tcPr>
            <w:tcW w:w="1668" w:type="pct"/>
            <w:noWrap/>
            <w:vAlign w:val="center"/>
          </w:tcPr>
          <w:p w14:paraId="6D5F43D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计算基础</w:t>
            </w:r>
          </w:p>
        </w:tc>
        <w:tc>
          <w:tcPr>
            <w:tcW w:w="1665" w:type="pct"/>
            <w:noWrap/>
            <w:vAlign w:val="center"/>
          </w:tcPr>
          <w:p w14:paraId="04746D1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间接费（％）</w:t>
            </w:r>
          </w:p>
        </w:tc>
      </w:tr>
      <w:tr w14:paraId="2034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14:paraId="37E70F4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土方工程</w:t>
            </w:r>
          </w:p>
        </w:tc>
        <w:tc>
          <w:tcPr>
            <w:tcW w:w="1668" w:type="pct"/>
            <w:noWrap/>
            <w:vAlign w:val="center"/>
          </w:tcPr>
          <w:p w14:paraId="5C70FF2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14:paraId="29EFEE5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r>
      <w:tr w14:paraId="2B5F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14:paraId="68A19AD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石方工程</w:t>
            </w:r>
          </w:p>
        </w:tc>
        <w:tc>
          <w:tcPr>
            <w:tcW w:w="1668" w:type="pct"/>
            <w:noWrap/>
            <w:vAlign w:val="center"/>
          </w:tcPr>
          <w:p w14:paraId="6CA9AF0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14:paraId="71E28877">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7</w:t>
            </w:r>
          </w:p>
        </w:tc>
      </w:tr>
      <w:tr w14:paraId="30D3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14:paraId="70141DA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砌体工程</w:t>
            </w:r>
          </w:p>
        </w:tc>
        <w:tc>
          <w:tcPr>
            <w:tcW w:w="1668" w:type="pct"/>
            <w:noWrap/>
            <w:vAlign w:val="center"/>
          </w:tcPr>
          <w:p w14:paraId="64BB7611">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14:paraId="05D1A88A">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r>
      <w:tr w14:paraId="4743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14:paraId="4BB36C7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混凝土工程</w:t>
            </w:r>
          </w:p>
        </w:tc>
        <w:tc>
          <w:tcPr>
            <w:tcW w:w="1668" w:type="pct"/>
            <w:noWrap/>
            <w:vAlign w:val="center"/>
          </w:tcPr>
          <w:p w14:paraId="2ECF7D2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14:paraId="74F9C8F6">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r>
      <w:tr w14:paraId="1196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14:paraId="48AA7EAF">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农用井工程</w:t>
            </w:r>
          </w:p>
        </w:tc>
        <w:tc>
          <w:tcPr>
            <w:tcW w:w="1668" w:type="pct"/>
            <w:noWrap/>
            <w:vAlign w:val="center"/>
          </w:tcPr>
          <w:p w14:paraId="2CB75330">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14:paraId="29594AA9">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9</w:t>
            </w:r>
          </w:p>
        </w:tc>
      </w:tr>
      <w:tr w14:paraId="5DE1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67" w:type="pct"/>
            <w:noWrap/>
            <w:vAlign w:val="center"/>
          </w:tcPr>
          <w:p w14:paraId="7343EDC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其他工程</w:t>
            </w:r>
          </w:p>
        </w:tc>
        <w:tc>
          <w:tcPr>
            <w:tcW w:w="1668" w:type="pct"/>
            <w:noWrap/>
            <w:vAlign w:val="center"/>
          </w:tcPr>
          <w:p w14:paraId="1A9B072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直接工程费</w:t>
            </w:r>
          </w:p>
        </w:tc>
        <w:tc>
          <w:tcPr>
            <w:tcW w:w="1665" w:type="pct"/>
            <w:noWrap/>
            <w:vAlign w:val="center"/>
          </w:tcPr>
          <w:p w14:paraId="5AC4D5FD">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w:t>
            </w:r>
          </w:p>
        </w:tc>
      </w:tr>
      <w:tr w14:paraId="458B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667" w:type="pct"/>
            <w:noWrap/>
            <w:vAlign w:val="center"/>
          </w:tcPr>
          <w:p w14:paraId="49838AFE">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安装工程</w:t>
            </w:r>
          </w:p>
        </w:tc>
        <w:tc>
          <w:tcPr>
            <w:tcW w:w="1668" w:type="pct"/>
            <w:noWrap/>
            <w:vAlign w:val="center"/>
          </w:tcPr>
          <w:p w14:paraId="59F0D02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人工费</w:t>
            </w:r>
          </w:p>
        </w:tc>
        <w:tc>
          <w:tcPr>
            <w:tcW w:w="1665" w:type="pct"/>
            <w:noWrap/>
            <w:vAlign w:val="center"/>
          </w:tcPr>
          <w:p w14:paraId="7BA4DBD2">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65</w:t>
            </w:r>
          </w:p>
        </w:tc>
      </w:tr>
    </w:tbl>
    <w:p w14:paraId="4B80D8D2">
      <w:pPr>
        <w:ind w:firstLine="560" w:firstLineChars="200"/>
        <w:rPr>
          <w:rFonts w:hint="eastAsia" w:ascii="仿宋" w:hAnsi="仿宋" w:eastAsia="仿宋" w:cs="仿宋"/>
          <w:color w:val="auto"/>
          <w:sz w:val="28"/>
          <w:szCs w:val="28"/>
          <w:highlight w:val="none"/>
        </w:rPr>
      </w:pPr>
    </w:p>
    <w:p w14:paraId="4B05F92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3）利润</w:t>
      </w:r>
    </w:p>
    <w:p w14:paraId="435FEC4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依据《土地开发整理项目预算编制暂行规定》，费率取3％，计算基础为直接费和间接费之和。</w:t>
      </w:r>
    </w:p>
    <w:p w14:paraId="42BD8467">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4）税金</w:t>
      </w:r>
    </w:p>
    <w:p w14:paraId="7ABFB85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依据《土地开发整理项目预算编制暂行规定》，建设项目在市区或县城镇以外的，税金费率取9％，计算基础为直接费、间接费及利润之和。</w:t>
      </w:r>
    </w:p>
    <w:p w14:paraId="55CFA53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（2）设备购置费</w:t>
      </w:r>
      <w:bookmarkEnd w:id="173"/>
      <w:bookmarkEnd w:id="174"/>
      <w:bookmarkEnd w:id="175"/>
      <w:bookmarkEnd w:id="176"/>
      <w:bookmarkEnd w:id="177"/>
      <w:bookmarkEnd w:id="178"/>
      <w:bookmarkEnd w:id="179"/>
      <w:bookmarkEnd w:id="180"/>
      <w:bookmarkEnd w:id="181"/>
    </w:p>
    <w:p w14:paraId="3FBE4FBE">
      <w:pPr>
        <w:spacing w:line="360" w:lineRule="auto"/>
        <w:ind w:firstLine="560" w:firstLineChars="200"/>
        <w:rPr>
          <w:rFonts w:hint="eastAsia" w:ascii="仿宋" w:hAnsi="仿宋" w:eastAsia="仿宋" w:cs="仿宋"/>
          <w:color w:val="auto"/>
          <w:sz w:val="28"/>
          <w:szCs w:val="28"/>
          <w:highlight w:val="none"/>
        </w:rPr>
      </w:pPr>
      <w:bookmarkStart w:id="182" w:name="_Toc525647170"/>
      <w:bookmarkStart w:id="183" w:name="_Toc101494919"/>
      <w:bookmarkStart w:id="184" w:name="_Toc525646831"/>
      <w:bookmarkStart w:id="185" w:name="_Toc525645689"/>
      <w:bookmarkStart w:id="186" w:name="_Toc525807745"/>
      <w:bookmarkStart w:id="187" w:name="_Toc525647095"/>
      <w:bookmarkStart w:id="188" w:name="_Toc525808086"/>
      <w:bookmarkStart w:id="189" w:name="_Toc525807847"/>
      <w:bookmarkStart w:id="190" w:name="_Toc525806770"/>
      <w:r>
        <w:rPr>
          <w:rFonts w:hint="eastAsia" w:ascii="仿宋" w:hAnsi="仿宋" w:eastAsia="仿宋" w:cs="仿宋"/>
          <w:color w:val="auto"/>
          <w:sz w:val="28"/>
          <w:szCs w:val="28"/>
          <w:highlight w:val="none"/>
        </w:rPr>
        <w:t>指土地复垦整理项目施工过程中需采购设备所发生的费用。</w:t>
      </w:r>
    </w:p>
    <w:p w14:paraId="2836BB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（3）其他费用</w:t>
      </w:r>
      <w:bookmarkEnd w:id="182"/>
      <w:bookmarkEnd w:id="183"/>
      <w:bookmarkEnd w:id="184"/>
      <w:bookmarkEnd w:id="185"/>
      <w:bookmarkEnd w:id="186"/>
      <w:bookmarkEnd w:id="187"/>
      <w:bookmarkEnd w:id="188"/>
      <w:bookmarkEnd w:id="189"/>
      <w:bookmarkEnd w:id="190"/>
    </w:p>
    <w:p w14:paraId="2972473D">
      <w:pPr>
        <w:spacing w:line="360" w:lineRule="auto"/>
        <w:ind w:firstLine="560" w:firstLineChars="200"/>
        <w:rPr>
          <w:rFonts w:hint="eastAsia" w:ascii="仿宋" w:hAnsi="仿宋" w:eastAsia="仿宋" w:cs="仿宋"/>
          <w:color w:val="auto"/>
          <w:sz w:val="28"/>
          <w:szCs w:val="28"/>
          <w:highlight w:val="none"/>
        </w:rPr>
      </w:pPr>
      <w:bookmarkStart w:id="191" w:name="_Toc525806771"/>
      <w:bookmarkStart w:id="192" w:name="_Toc525807850"/>
      <w:bookmarkStart w:id="193" w:name="_Toc101494920"/>
      <w:bookmarkStart w:id="194" w:name="_Toc525645692"/>
      <w:bookmarkStart w:id="195" w:name="_Toc525808087"/>
      <w:bookmarkStart w:id="196" w:name="_Toc525647173"/>
      <w:bookmarkStart w:id="197" w:name="_Toc525647098"/>
      <w:bookmarkStart w:id="198" w:name="_Toc525807748"/>
      <w:bookmarkStart w:id="199" w:name="_Toc525646834"/>
      <w:r>
        <w:rPr>
          <w:rFonts w:hint="eastAsia" w:ascii="仿宋" w:hAnsi="仿宋" w:eastAsia="仿宋" w:cs="仿宋"/>
          <w:color w:val="auto"/>
          <w:sz w:val="28"/>
          <w:szCs w:val="28"/>
          <w:highlight w:val="none"/>
        </w:rPr>
        <w:t>其他费用由前期工作费、工程监理费、竣工验收费和业主管理费构成。</w:t>
      </w:r>
    </w:p>
    <w:p w14:paraId="1BEB543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a、前期工作费</w:t>
      </w:r>
    </w:p>
    <w:p w14:paraId="42E136C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前期工作费包括：土地清查费、项目可行性研究费、项目勘测费、项目设计与预算编制费、项目招标费等。土地清查费率为0.50％，项目可行性研究费以工程施工费与设备购置费之和为计费基数，采用分档定额计费方式计算，各区间按内插法确定，项目勘查费率为1.5％，项目设计与预算编制费以工程施工费与设备购置费之和为计费基数，采用分档定额计费方式计算，各区间按内插法确定，项目招标费以工程施工费与设备购置费之和为计费基数，采用差额定率计费方式计算，各区间按内插法确定。</w:t>
      </w:r>
    </w:p>
    <w:p w14:paraId="7FE6B02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b、工程监理费</w:t>
      </w:r>
    </w:p>
    <w:p w14:paraId="3A2954C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工程监理费以工程施工费与设备购置费之和为计费基数，采用分档定额计费方式计算，各区间按内插法确定。</w:t>
      </w:r>
    </w:p>
    <w:p w14:paraId="5930F78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c、竣工验收费</w:t>
      </w:r>
    </w:p>
    <w:p w14:paraId="1C8B41D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竣工验收费包括项目工程复核费、工程验收费、项目决算编制与审计费、整理后土地重估与登记费、标识设定费等。竣工验收费各项费用均采用以工程施工费与设备购置费之和为计费基数，采用差额定率计费方式计算。</w:t>
      </w:r>
    </w:p>
    <w:p w14:paraId="002D1B8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d、业主管理费</w:t>
      </w:r>
    </w:p>
    <w:p w14:paraId="3D181D24">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业主管理费按工程施工费、设备购置费、前期工作费、工程监理费、拆迁补偿费和竣工验收费为计费基数，采用差额定率计费方式计算。</w:t>
      </w:r>
    </w:p>
    <w:bookmarkEnd w:id="191"/>
    <w:bookmarkEnd w:id="192"/>
    <w:bookmarkEnd w:id="193"/>
    <w:bookmarkEnd w:id="194"/>
    <w:bookmarkEnd w:id="195"/>
    <w:bookmarkEnd w:id="196"/>
    <w:bookmarkEnd w:id="197"/>
    <w:bookmarkEnd w:id="198"/>
    <w:bookmarkEnd w:id="199"/>
    <w:p w14:paraId="610C231D">
      <w:pPr>
        <w:pStyle w:val="62"/>
        <w:numPr>
          <w:ilvl w:val="0"/>
          <w:numId w:val="0"/>
        </w:numPr>
        <w:spacing w:line="360" w:lineRule="auto"/>
        <w:ind w:firstLine="840" w:firstLineChars="300"/>
        <w:rPr>
          <w:rFonts w:hint="eastAsia" w:ascii="仿宋" w:hAnsi="仿宋" w:eastAsia="仿宋" w:cs="仿宋"/>
          <w:color w:val="auto"/>
          <w:sz w:val="28"/>
          <w:szCs w:val="28"/>
          <w:highlight w:val="none"/>
        </w:rPr>
      </w:pPr>
      <w:bookmarkStart w:id="200" w:name="_Toc8962"/>
      <w:r>
        <w:rPr>
          <w:rFonts w:hint="eastAsia" w:ascii="仿宋" w:hAnsi="仿宋" w:eastAsia="仿宋" w:cs="仿宋"/>
          <w:color w:val="auto"/>
          <w:sz w:val="28"/>
          <w:szCs w:val="28"/>
          <w:highlight w:val="none"/>
        </w:rPr>
        <w:t>4）监测与管护费</w:t>
      </w:r>
      <w:bookmarkStart w:id="201" w:name="_Toc342245619"/>
    </w:p>
    <w:p w14:paraId="6D00A505">
      <w:pPr>
        <w:pStyle w:val="62"/>
        <w:numPr>
          <w:ilvl w:val="0"/>
          <w:numId w:val="0"/>
        </w:numPr>
        <w:spacing w:line="360" w:lineRule="auto"/>
        <w:ind w:firstLine="840" w:firstLineChars="3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根据监测与管护工程量和人工费、材料费价格计算。</w:t>
      </w:r>
    </w:p>
    <w:bookmarkEnd w:id="201"/>
    <w:p w14:paraId="258C5EEA">
      <w:pPr>
        <w:pStyle w:val="62"/>
        <w:numPr>
          <w:ilvl w:val="0"/>
          <w:numId w:val="0"/>
        </w:numPr>
        <w:spacing w:line="360" w:lineRule="auto"/>
        <w:ind w:firstLine="840" w:firstLineChars="3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5）预见费</w:t>
      </w:r>
    </w:p>
    <w:p w14:paraId="5D9A2F82">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（1）基本预见费指在施工过程中因自然灾害、设计变更及不可预计因素的变化而增加的费用。按照工程施工费、设备费和其他费用三项之和的</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.0%计取。</w:t>
      </w:r>
    </w:p>
    <w:p w14:paraId="6C9101DF">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（2）涨价预备费</w:t>
      </w:r>
    </w:p>
    <w:p w14:paraId="67D3B2E4">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按照物价系数</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%计算价差预备费。</w:t>
      </w:r>
    </w:p>
    <w:p w14:paraId="24F511A6">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（3）风险金</w:t>
      </w:r>
    </w:p>
    <w:p w14:paraId="20064107">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本项目不计取。</w:t>
      </w:r>
    </w:p>
    <w:p w14:paraId="369D89CE">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注：矿山产品为页岩砖，本次预算材料页岩砖为企业自行提供，不重复计算预算费用。因矿山到附近乡镇的距离小于10km，本次未计算运距费用。</w:t>
      </w:r>
    </w:p>
    <w:bookmarkEnd w:id="200"/>
    <w:p w14:paraId="000BD47A">
      <w:pPr>
        <w:pStyle w:val="3"/>
        <w:numPr>
          <w:ilvl w:val="0"/>
          <w:numId w:val="7"/>
        </w:numPr>
        <w:spacing w:before="120" w:after="120"/>
        <w:rPr>
          <w:rFonts w:ascii="Times New Roman" w:hAnsi="Times New Roman" w:eastAsia="宋体" w:cs="Times New Roman"/>
          <w:color w:val="auto"/>
          <w:highlight w:val="none"/>
        </w:rPr>
      </w:pPr>
      <w:bookmarkStart w:id="202" w:name="_Toc4397"/>
      <w:bookmarkStart w:id="203" w:name="_Toc7889"/>
      <w:r>
        <w:rPr>
          <w:rFonts w:ascii="Times New Roman" w:hAnsi="Times New Roman" w:eastAsia="宋体" w:cs="Times New Roman"/>
          <w:color w:val="auto"/>
          <w:highlight w:val="none"/>
        </w:rPr>
        <w:t>矿山地质环境治理工程经费估算</w:t>
      </w:r>
      <w:bookmarkEnd w:id="202"/>
      <w:bookmarkEnd w:id="203"/>
    </w:p>
    <w:p w14:paraId="23BA7DCE">
      <w:pPr>
        <w:pStyle w:val="4"/>
        <w:rPr>
          <w:rFonts w:ascii="Times New Roman" w:hAnsi="Times New Roman" w:eastAsia="宋体" w:cs="Times New Roman"/>
          <w:color w:val="auto"/>
          <w:szCs w:val="28"/>
          <w:highlight w:val="none"/>
        </w:rPr>
      </w:pPr>
      <w:bookmarkStart w:id="204" w:name="_Toc31572"/>
      <w:bookmarkStart w:id="205" w:name="_Toc29313"/>
      <w:r>
        <w:rPr>
          <w:rFonts w:ascii="Times New Roman" w:hAnsi="Times New Roman" w:eastAsia="宋体" w:cs="Times New Roman"/>
          <w:color w:val="auto"/>
          <w:szCs w:val="28"/>
          <w:highlight w:val="none"/>
        </w:rPr>
        <w:t>（一）总工程量与投资估算</w:t>
      </w:r>
      <w:bookmarkEnd w:id="204"/>
      <w:bookmarkEnd w:id="205"/>
    </w:p>
    <w:p w14:paraId="2C1BB30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1、矿山地质环境治理总工程量</w:t>
      </w:r>
    </w:p>
    <w:p w14:paraId="0BA751D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大英县紫云村饰面用砂岩矿</w:t>
      </w:r>
      <w:r>
        <w:rPr>
          <w:rFonts w:hint="eastAsia" w:ascii="仿宋" w:hAnsi="仿宋" w:eastAsia="仿宋" w:cs="仿宋"/>
          <w:color w:val="auto"/>
          <w:sz w:val="28"/>
          <w:szCs w:val="28"/>
          <w:highlight w:val="none"/>
        </w:rPr>
        <w:t>矿山地质环境治理工程设计的工程量，详见下表7-5。</w:t>
      </w:r>
    </w:p>
    <w:p w14:paraId="5D596C4E">
      <w:pPr>
        <w:spacing w:line="360" w:lineRule="auto"/>
        <w:jc w:val="center"/>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表7-</w:t>
      </w:r>
      <w:r>
        <w:rPr>
          <w:rFonts w:hint="eastAsia" w:ascii="Times New Roman" w:hAnsi="Times New Roman" w:eastAsia="宋体" w:cs="Times New Roman"/>
          <w:b/>
          <w:color w:val="auto"/>
          <w:sz w:val="24"/>
          <w:szCs w:val="24"/>
          <w:highlight w:val="none"/>
        </w:rPr>
        <w:t>5</w:t>
      </w:r>
      <w:r>
        <w:rPr>
          <w:rFonts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highlight w:val="none"/>
        </w:rPr>
        <w:t>矿山地质环境治理工程工作量表</w:t>
      </w:r>
    </w:p>
    <w:tbl>
      <w:tblPr>
        <w:tblStyle w:val="23"/>
        <w:tblW w:w="5210" w:type="pct"/>
        <w:tblInd w:w="0" w:type="dxa"/>
        <w:tblLayout w:type="autofit"/>
        <w:tblCellMar>
          <w:top w:w="0" w:type="dxa"/>
          <w:left w:w="108" w:type="dxa"/>
          <w:bottom w:w="0" w:type="dxa"/>
          <w:right w:w="108" w:type="dxa"/>
        </w:tblCellMar>
      </w:tblPr>
      <w:tblGrid>
        <w:gridCol w:w="754"/>
        <w:gridCol w:w="1942"/>
        <w:gridCol w:w="1887"/>
        <w:gridCol w:w="1310"/>
        <w:gridCol w:w="1310"/>
        <w:gridCol w:w="1677"/>
      </w:tblGrid>
      <w:tr w14:paraId="531A0B08">
        <w:tblPrEx>
          <w:tblCellMar>
            <w:top w:w="0" w:type="dxa"/>
            <w:left w:w="108" w:type="dxa"/>
            <w:bottom w:w="0" w:type="dxa"/>
            <w:right w:w="108" w:type="dxa"/>
          </w:tblCellMar>
        </w:tblPrEx>
        <w:trPr>
          <w:trHeight w:val="318" w:hRule="atLeast"/>
        </w:trPr>
        <w:tc>
          <w:tcPr>
            <w:tcW w:w="425" w:type="pct"/>
            <w:tcBorders>
              <w:top w:val="single" w:color="000000" w:sz="4" w:space="0"/>
              <w:left w:val="single" w:color="000000" w:sz="4" w:space="0"/>
              <w:bottom w:val="single" w:color="000000" w:sz="4" w:space="0"/>
              <w:right w:val="single" w:color="000000" w:sz="4" w:space="0"/>
            </w:tcBorders>
            <w:noWrap/>
            <w:vAlign w:val="center"/>
          </w:tcPr>
          <w:p w14:paraId="7E6335A0">
            <w:pPr>
              <w:widowControl/>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序号</w:t>
            </w:r>
          </w:p>
        </w:tc>
        <w:tc>
          <w:tcPr>
            <w:tcW w:w="2155" w:type="pct"/>
            <w:gridSpan w:val="2"/>
            <w:tcBorders>
              <w:top w:val="single" w:color="000000" w:sz="4" w:space="0"/>
              <w:left w:val="single" w:color="000000" w:sz="4" w:space="0"/>
              <w:bottom w:val="single" w:color="000000" w:sz="4" w:space="0"/>
              <w:right w:val="single" w:color="000000" w:sz="4" w:space="0"/>
            </w:tcBorders>
            <w:vAlign w:val="center"/>
          </w:tcPr>
          <w:p w14:paraId="65EBC6F5">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工程名称/</w:t>
            </w:r>
            <w:r>
              <w:rPr>
                <w:rStyle w:val="34"/>
                <w:color w:val="auto"/>
                <w:sz w:val="21"/>
                <w:szCs w:val="21"/>
                <w:highlight w:val="none"/>
              </w:rPr>
              <w:t>方法</w:t>
            </w:r>
          </w:p>
        </w:tc>
        <w:tc>
          <w:tcPr>
            <w:tcW w:w="737" w:type="pct"/>
            <w:tcBorders>
              <w:top w:val="single" w:color="000000" w:sz="4" w:space="0"/>
              <w:left w:val="single" w:color="000000" w:sz="4" w:space="0"/>
              <w:bottom w:val="single" w:color="000000" w:sz="4" w:space="0"/>
              <w:right w:val="single" w:color="000000" w:sz="4" w:space="0"/>
            </w:tcBorders>
            <w:vAlign w:val="center"/>
          </w:tcPr>
          <w:p w14:paraId="3AB0FF36">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单位</w:t>
            </w:r>
          </w:p>
        </w:tc>
        <w:tc>
          <w:tcPr>
            <w:tcW w:w="737" w:type="pct"/>
            <w:tcBorders>
              <w:top w:val="single" w:color="000000" w:sz="4" w:space="0"/>
              <w:left w:val="single" w:color="000000" w:sz="4" w:space="0"/>
              <w:bottom w:val="single" w:color="000000" w:sz="4" w:space="0"/>
              <w:right w:val="single" w:color="000000" w:sz="4" w:space="0"/>
            </w:tcBorders>
            <w:vAlign w:val="center"/>
          </w:tcPr>
          <w:p w14:paraId="3D1B96DB">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工作量</w:t>
            </w:r>
          </w:p>
        </w:tc>
        <w:tc>
          <w:tcPr>
            <w:tcW w:w="944" w:type="pct"/>
            <w:tcBorders>
              <w:top w:val="single" w:color="000000" w:sz="4" w:space="0"/>
              <w:left w:val="single" w:color="000000" w:sz="4" w:space="0"/>
              <w:bottom w:val="single" w:color="000000" w:sz="4" w:space="0"/>
              <w:right w:val="single" w:color="000000" w:sz="4" w:space="0"/>
            </w:tcBorders>
            <w:noWrap/>
            <w:vAlign w:val="center"/>
          </w:tcPr>
          <w:p w14:paraId="2B448064">
            <w:pPr>
              <w:widowControl/>
              <w:jc w:val="left"/>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备注</w:t>
            </w:r>
          </w:p>
        </w:tc>
      </w:tr>
      <w:tr w14:paraId="2DE68878">
        <w:tblPrEx>
          <w:tblCellMar>
            <w:top w:w="0" w:type="dxa"/>
            <w:left w:w="108" w:type="dxa"/>
            <w:bottom w:w="0" w:type="dxa"/>
            <w:right w:w="108" w:type="dxa"/>
          </w:tblCellMar>
        </w:tblPrEx>
        <w:trPr>
          <w:trHeight w:val="642" w:hRule="atLeast"/>
        </w:trPr>
        <w:tc>
          <w:tcPr>
            <w:tcW w:w="425" w:type="pct"/>
            <w:tcBorders>
              <w:top w:val="single" w:color="000000" w:sz="4" w:space="0"/>
              <w:left w:val="single" w:color="000000" w:sz="4" w:space="0"/>
              <w:right w:val="single" w:color="000000" w:sz="4" w:space="0"/>
            </w:tcBorders>
            <w:vAlign w:val="center"/>
          </w:tcPr>
          <w:p w14:paraId="02F381EE">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1</w:t>
            </w:r>
          </w:p>
        </w:tc>
        <w:tc>
          <w:tcPr>
            <w:tcW w:w="1093" w:type="pct"/>
            <w:tcBorders>
              <w:top w:val="single" w:color="000000" w:sz="4" w:space="0"/>
              <w:left w:val="single" w:color="000000" w:sz="4" w:space="0"/>
              <w:right w:val="single" w:color="000000" w:sz="4" w:space="0"/>
            </w:tcBorders>
            <w:vAlign w:val="center"/>
          </w:tcPr>
          <w:p w14:paraId="424F512D">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矿山地质环境保护与土地复垦预防</w:t>
            </w:r>
          </w:p>
        </w:tc>
        <w:tc>
          <w:tcPr>
            <w:tcW w:w="1061" w:type="pct"/>
            <w:tcBorders>
              <w:top w:val="single" w:color="000000" w:sz="4" w:space="0"/>
              <w:left w:val="single" w:color="000000" w:sz="4" w:space="0"/>
              <w:right w:val="single" w:color="000000" w:sz="4" w:space="0"/>
            </w:tcBorders>
            <w:vAlign w:val="center"/>
          </w:tcPr>
          <w:p w14:paraId="4A183452">
            <w:pPr>
              <w:widowControl/>
              <w:jc w:val="center"/>
              <w:textAlignment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警示牌</w:t>
            </w:r>
          </w:p>
        </w:tc>
        <w:tc>
          <w:tcPr>
            <w:tcW w:w="737" w:type="pct"/>
            <w:tcBorders>
              <w:top w:val="single" w:color="000000" w:sz="4" w:space="0"/>
              <w:left w:val="single" w:color="000000" w:sz="4" w:space="0"/>
              <w:right w:val="single" w:color="000000" w:sz="4" w:space="0"/>
            </w:tcBorders>
            <w:vAlign w:val="center"/>
          </w:tcPr>
          <w:p w14:paraId="61AD91B3">
            <w:pPr>
              <w:widowControl/>
              <w:jc w:val="center"/>
              <w:textAlignment w:val="center"/>
              <w:rPr>
                <w:rFonts w:ascii="Times New Roman" w:hAnsi="Times New Roman" w:eastAsia="宋体" w:cs="Times New Roman"/>
                <w:color w:val="auto"/>
                <w:kern w:val="0"/>
                <w:highlight w:val="none"/>
              </w:rPr>
            </w:pPr>
            <w:r>
              <w:rPr>
                <w:rFonts w:ascii="Times New Roman" w:hAnsi="Times New Roman" w:eastAsia="宋体" w:cs="Times New Roman"/>
                <w:color w:val="auto"/>
                <w:kern w:val="0"/>
                <w:highlight w:val="none"/>
              </w:rPr>
              <w:t>张</w:t>
            </w:r>
          </w:p>
        </w:tc>
        <w:tc>
          <w:tcPr>
            <w:tcW w:w="737" w:type="pct"/>
            <w:tcBorders>
              <w:top w:val="single" w:color="000000" w:sz="4" w:space="0"/>
              <w:left w:val="single" w:color="000000" w:sz="4" w:space="0"/>
              <w:bottom w:val="single" w:color="000000" w:sz="4" w:space="0"/>
              <w:right w:val="single" w:color="000000" w:sz="4" w:space="0"/>
            </w:tcBorders>
            <w:vAlign w:val="center"/>
          </w:tcPr>
          <w:p w14:paraId="609D802A">
            <w:pPr>
              <w:adjustRightInd w:val="0"/>
              <w:snapToGrid w:val="0"/>
              <w:jc w:val="center"/>
              <w:rPr>
                <w:rFonts w:ascii="Times New Roman" w:hAnsi="Times New Roman" w:eastAsia="宋体" w:cs="Times New Roman"/>
                <w:color w:val="auto"/>
                <w:kern w:val="0"/>
                <w:highlight w:val="none"/>
              </w:rPr>
            </w:pPr>
            <w:r>
              <w:rPr>
                <w:rFonts w:hint="eastAsia" w:ascii="Times New Roman" w:hAnsi="Times New Roman" w:eastAsia="宋体" w:cs="Times New Roman"/>
                <w:color w:val="auto"/>
                <w:highlight w:val="none"/>
              </w:rPr>
              <w:t>10</w:t>
            </w:r>
          </w:p>
        </w:tc>
        <w:tc>
          <w:tcPr>
            <w:tcW w:w="944" w:type="pct"/>
            <w:vMerge w:val="restart"/>
            <w:tcBorders>
              <w:top w:val="single" w:color="000000" w:sz="4" w:space="0"/>
              <w:left w:val="single" w:color="000000" w:sz="4" w:space="0"/>
              <w:bottom w:val="single" w:color="000000" w:sz="4" w:space="0"/>
              <w:right w:val="single" w:color="000000" w:sz="4" w:space="0"/>
            </w:tcBorders>
            <w:vAlign w:val="center"/>
          </w:tcPr>
          <w:p w14:paraId="5CB63F36">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为矿权所有人日常监测，</w:t>
            </w:r>
            <w:r>
              <w:rPr>
                <w:rFonts w:ascii="Times New Roman" w:hAnsi="Times New Roman" w:eastAsia="宋体" w:cs="Times New Roman"/>
                <w:color w:val="auto"/>
                <w:kern w:val="0"/>
                <w:highlight w:val="none"/>
              </w:rPr>
              <w:t>工程量</w:t>
            </w:r>
            <w:r>
              <w:rPr>
                <w:rFonts w:hint="eastAsia" w:ascii="Times New Roman" w:hAnsi="Times New Roman" w:eastAsia="宋体" w:cs="Times New Roman"/>
                <w:color w:val="auto"/>
                <w:kern w:val="0"/>
                <w:highlight w:val="none"/>
                <w:lang w:val="en-US" w:eastAsia="zh-CN"/>
              </w:rPr>
              <w:t>不</w:t>
            </w:r>
            <w:r>
              <w:rPr>
                <w:rFonts w:ascii="Times New Roman" w:hAnsi="Times New Roman" w:eastAsia="宋体" w:cs="Times New Roman"/>
                <w:color w:val="auto"/>
                <w:kern w:val="0"/>
                <w:highlight w:val="none"/>
              </w:rPr>
              <w:t>计入地质环境恢复工程</w:t>
            </w:r>
            <w:r>
              <w:rPr>
                <w:rFonts w:hint="eastAsia" w:ascii="Times New Roman" w:hAnsi="Times New Roman" w:eastAsia="宋体" w:cs="Times New Roman"/>
                <w:color w:val="auto"/>
                <w:kern w:val="0"/>
                <w:highlight w:val="none"/>
                <w:lang w:val="en-US" w:eastAsia="zh-CN"/>
              </w:rPr>
              <w:t>总预算中。</w:t>
            </w:r>
          </w:p>
        </w:tc>
      </w:tr>
      <w:tr w14:paraId="0AE13C92">
        <w:tblPrEx>
          <w:tblCellMar>
            <w:top w:w="0" w:type="dxa"/>
            <w:left w:w="108" w:type="dxa"/>
            <w:bottom w:w="0" w:type="dxa"/>
            <w:right w:w="108" w:type="dxa"/>
          </w:tblCellMar>
        </w:tblPrEx>
        <w:trPr>
          <w:trHeight w:val="340" w:hRule="atLeast"/>
        </w:trPr>
        <w:tc>
          <w:tcPr>
            <w:tcW w:w="425" w:type="pct"/>
            <w:tcBorders>
              <w:top w:val="single" w:color="auto" w:sz="4" w:space="0"/>
              <w:left w:val="single" w:color="auto" w:sz="4" w:space="0"/>
              <w:bottom w:val="single" w:color="auto" w:sz="4" w:space="0"/>
              <w:right w:val="single" w:color="auto" w:sz="4" w:space="0"/>
            </w:tcBorders>
            <w:vAlign w:val="center"/>
          </w:tcPr>
          <w:p w14:paraId="1BCD90D8">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2</w:t>
            </w:r>
          </w:p>
        </w:tc>
        <w:tc>
          <w:tcPr>
            <w:tcW w:w="1093" w:type="pct"/>
            <w:tcBorders>
              <w:top w:val="single" w:color="auto" w:sz="4" w:space="0"/>
              <w:left w:val="single" w:color="auto" w:sz="4" w:space="0"/>
              <w:bottom w:val="single" w:color="auto" w:sz="4" w:space="0"/>
              <w:right w:val="single" w:color="auto" w:sz="4" w:space="0"/>
            </w:tcBorders>
            <w:vAlign w:val="center"/>
          </w:tcPr>
          <w:p w14:paraId="311E69DA">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地质灾害监测</w:t>
            </w:r>
          </w:p>
        </w:tc>
        <w:tc>
          <w:tcPr>
            <w:tcW w:w="1061" w:type="pct"/>
            <w:tcBorders>
              <w:top w:val="single" w:color="auto" w:sz="4" w:space="0"/>
              <w:left w:val="single" w:color="auto" w:sz="4" w:space="0"/>
              <w:bottom w:val="single" w:color="auto" w:sz="4" w:space="0"/>
              <w:right w:val="single" w:color="auto" w:sz="4" w:space="0"/>
            </w:tcBorders>
            <w:noWrap/>
            <w:vAlign w:val="center"/>
          </w:tcPr>
          <w:p w14:paraId="562CAC82">
            <w:pPr>
              <w:widowControl/>
              <w:jc w:val="center"/>
              <w:textAlignment w:val="center"/>
              <w:rPr>
                <w:rFonts w:ascii="Times New Roman" w:hAnsi="Times New Roman" w:eastAsia="宋体" w:cs="Times New Roman"/>
                <w:color w:val="auto"/>
                <w:highlight w:val="none"/>
              </w:rPr>
            </w:pPr>
            <w:r>
              <w:rPr>
                <w:rFonts w:eastAsia="宋体"/>
                <w:color w:val="auto"/>
                <w:kern w:val="0"/>
                <w:highlight w:val="none"/>
                <w:lang w:bidi="ar"/>
              </w:rPr>
              <w:t>简易监测</w:t>
            </w:r>
          </w:p>
        </w:tc>
        <w:tc>
          <w:tcPr>
            <w:tcW w:w="737" w:type="pct"/>
            <w:tcBorders>
              <w:top w:val="single" w:color="000000" w:sz="4" w:space="0"/>
              <w:left w:val="single" w:color="auto" w:sz="4" w:space="0"/>
              <w:bottom w:val="single" w:color="000000" w:sz="4" w:space="0"/>
              <w:right w:val="single" w:color="000000" w:sz="4" w:space="0"/>
            </w:tcBorders>
            <w:vAlign w:val="center"/>
          </w:tcPr>
          <w:p w14:paraId="75B862AF">
            <w:pPr>
              <w:widowControl/>
              <w:jc w:val="center"/>
              <w:textAlignment w:val="center"/>
              <w:rPr>
                <w:rFonts w:ascii="Times New Roman" w:hAnsi="Times New Roman" w:eastAsia="宋体" w:cs="Times New Roman"/>
                <w:color w:val="auto"/>
                <w:kern w:val="0"/>
                <w:highlight w:val="none"/>
              </w:rPr>
            </w:pPr>
            <w:r>
              <w:rPr>
                <w:rFonts w:eastAsia="宋体"/>
                <w:color w:val="auto"/>
                <w:kern w:val="0"/>
                <w:highlight w:val="none"/>
                <w:lang w:bidi="ar"/>
              </w:rPr>
              <w:t>次</w:t>
            </w:r>
          </w:p>
        </w:tc>
        <w:tc>
          <w:tcPr>
            <w:tcW w:w="737" w:type="pct"/>
            <w:tcBorders>
              <w:top w:val="single" w:color="000000" w:sz="4" w:space="0"/>
              <w:left w:val="single" w:color="000000" w:sz="4" w:space="0"/>
              <w:bottom w:val="single" w:color="000000" w:sz="4" w:space="0"/>
              <w:right w:val="single" w:color="000000" w:sz="4" w:space="0"/>
            </w:tcBorders>
            <w:vAlign w:val="center"/>
          </w:tcPr>
          <w:p w14:paraId="40CCFF14">
            <w:pPr>
              <w:adjustRightInd w:val="0"/>
              <w:snapToGrid w:val="0"/>
              <w:jc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highlight w:val="none"/>
                <w:lang w:val="en-US" w:eastAsia="zh-CN"/>
              </w:rPr>
              <w:t>208</w:t>
            </w:r>
          </w:p>
        </w:tc>
        <w:tc>
          <w:tcPr>
            <w:tcW w:w="944" w:type="pct"/>
            <w:vMerge w:val="continue"/>
            <w:tcBorders>
              <w:top w:val="single" w:color="000000" w:sz="4" w:space="0"/>
              <w:left w:val="single" w:color="000000" w:sz="4" w:space="0"/>
              <w:bottom w:val="single" w:color="000000" w:sz="4" w:space="0"/>
              <w:right w:val="single" w:color="000000" w:sz="4" w:space="0"/>
            </w:tcBorders>
            <w:vAlign w:val="center"/>
          </w:tcPr>
          <w:p w14:paraId="2CF81478">
            <w:pPr>
              <w:jc w:val="center"/>
              <w:rPr>
                <w:rFonts w:ascii="Times New Roman" w:hAnsi="Times New Roman" w:eastAsia="宋体" w:cs="Times New Roman"/>
                <w:color w:val="auto"/>
                <w:highlight w:val="none"/>
              </w:rPr>
            </w:pPr>
          </w:p>
        </w:tc>
      </w:tr>
      <w:tr w14:paraId="1496FA0B">
        <w:tblPrEx>
          <w:tblCellMar>
            <w:top w:w="0" w:type="dxa"/>
            <w:left w:w="108" w:type="dxa"/>
            <w:bottom w:w="0" w:type="dxa"/>
            <w:right w:w="108" w:type="dxa"/>
          </w:tblCellMar>
        </w:tblPrEx>
        <w:trPr>
          <w:trHeight w:val="90" w:hRule="atLeast"/>
        </w:trPr>
        <w:tc>
          <w:tcPr>
            <w:tcW w:w="425" w:type="pct"/>
            <w:tcBorders>
              <w:top w:val="single" w:color="auto" w:sz="4" w:space="0"/>
              <w:left w:val="single" w:color="auto" w:sz="4" w:space="0"/>
              <w:bottom w:val="single" w:color="auto" w:sz="4" w:space="0"/>
              <w:right w:val="single" w:color="auto" w:sz="4" w:space="0"/>
            </w:tcBorders>
            <w:vAlign w:val="center"/>
          </w:tcPr>
          <w:p w14:paraId="64EC1F6A">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3</w:t>
            </w:r>
          </w:p>
        </w:tc>
        <w:tc>
          <w:tcPr>
            <w:tcW w:w="1093" w:type="pct"/>
            <w:tcBorders>
              <w:top w:val="single" w:color="auto" w:sz="4" w:space="0"/>
              <w:left w:val="single" w:color="auto" w:sz="4" w:space="0"/>
              <w:bottom w:val="single" w:color="auto" w:sz="4" w:space="0"/>
              <w:right w:val="single" w:color="auto" w:sz="4" w:space="0"/>
            </w:tcBorders>
            <w:vAlign w:val="center"/>
          </w:tcPr>
          <w:p w14:paraId="3D5E2E11">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地形地貌景观监测</w:t>
            </w:r>
          </w:p>
        </w:tc>
        <w:tc>
          <w:tcPr>
            <w:tcW w:w="1061" w:type="pct"/>
            <w:tcBorders>
              <w:top w:val="single" w:color="auto" w:sz="4" w:space="0"/>
              <w:left w:val="single" w:color="auto" w:sz="4" w:space="0"/>
              <w:bottom w:val="single" w:color="auto" w:sz="4" w:space="0"/>
              <w:right w:val="single" w:color="auto" w:sz="4" w:space="0"/>
            </w:tcBorders>
            <w:noWrap/>
            <w:vAlign w:val="center"/>
          </w:tcPr>
          <w:p w14:paraId="78A4CC8F">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rPr>
              <w:t>巡视监测</w:t>
            </w:r>
          </w:p>
        </w:tc>
        <w:tc>
          <w:tcPr>
            <w:tcW w:w="737" w:type="pct"/>
            <w:tcBorders>
              <w:top w:val="single" w:color="000000" w:sz="4" w:space="0"/>
              <w:left w:val="single" w:color="auto" w:sz="4" w:space="0"/>
              <w:bottom w:val="single" w:color="000000" w:sz="4" w:space="0"/>
              <w:right w:val="single" w:color="000000" w:sz="4" w:space="0"/>
            </w:tcBorders>
            <w:vAlign w:val="center"/>
          </w:tcPr>
          <w:p w14:paraId="2B276DC9">
            <w:pPr>
              <w:widowControl/>
              <w:jc w:val="center"/>
              <w:textAlignment w:val="center"/>
              <w:rPr>
                <w:rFonts w:eastAsia="宋体"/>
                <w:color w:val="auto"/>
                <w:highlight w:val="none"/>
              </w:rPr>
            </w:pPr>
            <w:r>
              <w:rPr>
                <w:rFonts w:ascii="Times New Roman" w:hAnsi="Times New Roman" w:eastAsia="宋体" w:cs="Times New Roman"/>
                <w:color w:val="auto"/>
                <w:kern w:val="0"/>
                <w:highlight w:val="none"/>
              </w:rPr>
              <w:t>次</w:t>
            </w:r>
          </w:p>
        </w:tc>
        <w:tc>
          <w:tcPr>
            <w:tcW w:w="737" w:type="pct"/>
            <w:tcBorders>
              <w:top w:val="single" w:color="000000" w:sz="4" w:space="0"/>
              <w:left w:val="single" w:color="000000" w:sz="4" w:space="0"/>
              <w:bottom w:val="single" w:color="000000" w:sz="4" w:space="0"/>
              <w:right w:val="single" w:color="000000" w:sz="4" w:space="0"/>
            </w:tcBorders>
            <w:vAlign w:val="center"/>
          </w:tcPr>
          <w:p w14:paraId="7F353805">
            <w:pPr>
              <w:widowControl/>
              <w:jc w:val="center"/>
              <w:textAlignment w:val="center"/>
              <w:rPr>
                <w:rFonts w:hint="default" w:eastAsia="宋体"/>
                <w:color w:val="auto"/>
                <w:highlight w:val="none"/>
                <w:lang w:val="en-US" w:eastAsia="zh-CN"/>
              </w:rPr>
            </w:pPr>
            <w:r>
              <w:rPr>
                <w:rFonts w:hint="eastAsia" w:ascii="Times New Roman" w:hAnsi="Times New Roman" w:eastAsia="宋体" w:cs="Times New Roman"/>
                <w:color w:val="auto"/>
                <w:kern w:val="0"/>
                <w:highlight w:val="none"/>
                <w:lang w:val="en-US" w:eastAsia="zh-CN"/>
              </w:rPr>
              <w:t>156</w:t>
            </w:r>
          </w:p>
        </w:tc>
        <w:tc>
          <w:tcPr>
            <w:tcW w:w="944" w:type="pct"/>
            <w:vMerge w:val="continue"/>
            <w:tcBorders>
              <w:top w:val="single" w:color="000000" w:sz="4" w:space="0"/>
              <w:left w:val="single" w:color="000000" w:sz="4" w:space="0"/>
              <w:bottom w:val="single" w:color="000000" w:sz="4" w:space="0"/>
              <w:right w:val="single" w:color="000000" w:sz="4" w:space="0"/>
            </w:tcBorders>
            <w:vAlign w:val="center"/>
          </w:tcPr>
          <w:p w14:paraId="389B15F2">
            <w:pPr>
              <w:jc w:val="center"/>
              <w:rPr>
                <w:rFonts w:ascii="Times New Roman" w:hAnsi="Times New Roman" w:eastAsia="宋体" w:cs="Times New Roman"/>
                <w:color w:val="auto"/>
                <w:highlight w:val="none"/>
              </w:rPr>
            </w:pPr>
          </w:p>
        </w:tc>
      </w:tr>
    </w:tbl>
    <w:p w14:paraId="738D7530">
      <w:pPr>
        <w:pStyle w:val="22"/>
        <w:ind w:firstLine="0" w:firstLineChars="0"/>
        <w:rPr>
          <w:rFonts w:ascii="Times New Roman" w:hAnsi="Times New Roman" w:eastAsia="宋体" w:cs="Times New Roman"/>
          <w:b/>
          <w:bCs/>
          <w:color w:val="auto"/>
          <w:sz w:val="21"/>
          <w:highlight w:val="none"/>
        </w:rPr>
      </w:pPr>
    </w:p>
    <w:p w14:paraId="237FE0A6">
      <w:pPr>
        <w:pStyle w:val="3"/>
        <w:spacing w:before="120" w:after="120"/>
        <w:rPr>
          <w:rFonts w:ascii="Times New Roman" w:hAnsi="Times New Roman" w:eastAsia="宋体" w:cs="Times New Roman"/>
          <w:color w:val="auto"/>
          <w:highlight w:val="none"/>
        </w:rPr>
      </w:pPr>
      <w:bookmarkStart w:id="206" w:name="_Toc22392"/>
      <w:bookmarkStart w:id="207" w:name="_Toc5907"/>
      <w:r>
        <w:rPr>
          <w:rFonts w:hint="eastAsia" w:ascii="Times New Roman" w:hAnsi="Times New Roman" w:eastAsia="宋体" w:cs="Times New Roman"/>
          <w:color w:val="auto"/>
          <w:highlight w:val="none"/>
          <w:lang w:val="en-US" w:eastAsia="zh-CN"/>
        </w:rPr>
        <w:t>二</w:t>
      </w:r>
      <w:r>
        <w:rPr>
          <w:rFonts w:ascii="Times New Roman" w:hAnsi="Times New Roman" w:eastAsia="宋体" w:cs="Times New Roman"/>
          <w:color w:val="auto"/>
          <w:highlight w:val="none"/>
        </w:rPr>
        <w:t>、土地复垦工程经费估算</w:t>
      </w:r>
      <w:bookmarkEnd w:id="206"/>
      <w:bookmarkEnd w:id="207"/>
    </w:p>
    <w:p w14:paraId="65DDF5F8">
      <w:pPr>
        <w:pStyle w:val="4"/>
        <w:rPr>
          <w:rFonts w:ascii="Times New Roman" w:hAnsi="Times New Roman" w:eastAsia="宋体" w:cs="Times New Roman"/>
          <w:color w:val="auto"/>
          <w:sz w:val="28"/>
          <w:szCs w:val="28"/>
          <w:highlight w:val="none"/>
        </w:rPr>
      </w:pPr>
      <w:bookmarkStart w:id="208" w:name="_Toc42430560"/>
      <w:bookmarkStart w:id="209" w:name="_Toc4399"/>
      <w:bookmarkStart w:id="210" w:name="_Toc45523307"/>
      <w:r>
        <w:rPr>
          <w:rFonts w:ascii="Times New Roman" w:hAnsi="Times New Roman" w:eastAsia="宋体" w:cs="Times New Roman"/>
          <w:color w:val="auto"/>
          <w:sz w:val="28"/>
          <w:szCs w:val="28"/>
          <w:highlight w:val="none"/>
        </w:rPr>
        <w:t>（一）总工程量与投资估算</w:t>
      </w:r>
      <w:bookmarkEnd w:id="208"/>
      <w:bookmarkEnd w:id="209"/>
      <w:bookmarkEnd w:id="210"/>
    </w:p>
    <w:p w14:paraId="48F7D0C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1、矿区土地复垦总工程量</w:t>
      </w:r>
    </w:p>
    <w:p w14:paraId="64A1DBE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矿山复垦责任范围面积为</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，土地复垦率为100%。主要涉及土壤重构工程、植被恢复工程、监测与管护工程等工程措施。详见表7-8。</w:t>
      </w:r>
    </w:p>
    <w:p w14:paraId="52A3A9B2">
      <w:pPr>
        <w:snapToGrid w:val="0"/>
        <w:ind w:firstLine="211" w:firstLineChars="10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表7-</w:t>
      </w:r>
      <w:r>
        <w:rPr>
          <w:rFonts w:hint="eastAsia" w:ascii="Times New Roman" w:hAnsi="Times New Roman" w:eastAsia="宋体" w:cs="Times New Roman"/>
          <w:b/>
          <w:bCs/>
          <w:color w:val="auto"/>
          <w:highlight w:val="none"/>
        </w:rPr>
        <w:t>8</w:t>
      </w:r>
      <w:r>
        <w:rPr>
          <w:rFonts w:ascii="Times New Roman" w:hAnsi="Times New Roman" w:eastAsia="宋体" w:cs="Times New Roman"/>
          <w:b/>
          <w:bCs/>
          <w:color w:val="auto"/>
          <w:highlight w:val="none"/>
        </w:rPr>
        <w:t xml:space="preserve">   矿区土地复垦工程量汇总表</w:t>
      </w:r>
    </w:p>
    <w:tbl>
      <w:tblPr>
        <w:tblStyle w:val="23"/>
        <w:tblW w:w="462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77"/>
        <w:gridCol w:w="3369"/>
        <w:gridCol w:w="1719"/>
        <w:gridCol w:w="1718"/>
      </w:tblGrid>
      <w:tr w14:paraId="5BE7C1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88" w:hRule="atLeast"/>
          <w:jc w:val="center"/>
        </w:trPr>
        <w:tc>
          <w:tcPr>
            <w:tcW w:w="683" w:type="pct"/>
            <w:vAlign w:val="center"/>
          </w:tcPr>
          <w:p w14:paraId="64441966">
            <w:pPr>
              <w:widowControl/>
              <w:jc w:val="center"/>
              <w:rPr>
                <w:rFonts w:eastAsia="宋体"/>
                <w:color w:val="auto"/>
                <w:kern w:val="0"/>
                <w:highlight w:val="none"/>
              </w:rPr>
            </w:pPr>
            <w:r>
              <w:rPr>
                <w:rFonts w:eastAsia="宋体"/>
                <w:color w:val="auto"/>
                <w:kern w:val="0"/>
                <w:highlight w:val="none"/>
              </w:rPr>
              <w:t>序号</w:t>
            </w:r>
          </w:p>
        </w:tc>
        <w:tc>
          <w:tcPr>
            <w:tcW w:w="2136" w:type="pct"/>
            <w:vAlign w:val="center"/>
          </w:tcPr>
          <w:p w14:paraId="0A3A4301">
            <w:pPr>
              <w:widowControl/>
              <w:jc w:val="center"/>
              <w:rPr>
                <w:rFonts w:eastAsia="宋体"/>
                <w:color w:val="auto"/>
                <w:kern w:val="0"/>
                <w:highlight w:val="none"/>
              </w:rPr>
            </w:pPr>
            <w:r>
              <w:rPr>
                <w:rFonts w:eastAsia="宋体"/>
                <w:color w:val="auto"/>
                <w:kern w:val="0"/>
                <w:highlight w:val="none"/>
              </w:rPr>
              <w:t>工程名称</w:t>
            </w:r>
          </w:p>
        </w:tc>
        <w:tc>
          <w:tcPr>
            <w:tcW w:w="1090" w:type="pct"/>
            <w:vAlign w:val="center"/>
          </w:tcPr>
          <w:p w14:paraId="164C44BE">
            <w:pPr>
              <w:widowControl/>
              <w:jc w:val="center"/>
              <w:rPr>
                <w:rFonts w:eastAsia="宋体"/>
                <w:color w:val="auto"/>
                <w:kern w:val="0"/>
                <w:highlight w:val="none"/>
              </w:rPr>
            </w:pPr>
            <w:r>
              <w:rPr>
                <w:rFonts w:eastAsia="宋体"/>
                <w:color w:val="auto"/>
                <w:kern w:val="0"/>
                <w:highlight w:val="none"/>
              </w:rPr>
              <w:t>单位</w:t>
            </w:r>
          </w:p>
        </w:tc>
        <w:tc>
          <w:tcPr>
            <w:tcW w:w="1089" w:type="pct"/>
            <w:vAlign w:val="center"/>
          </w:tcPr>
          <w:p w14:paraId="4BCB0326">
            <w:pPr>
              <w:widowControl/>
              <w:jc w:val="center"/>
              <w:rPr>
                <w:rFonts w:eastAsia="宋体"/>
                <w:color w:val="auto"/>
                <w:kern w:val="0"/>
                <w:highlight w:val="none"/>
              </w:rPr>
            </w:pPr>
            <w:r>
              <w:rPr>
                <w:rFonts w:eastAsia="宋体"/>
                <w:color w:val="auto"/>
                <w:kern w:val="0"/>
                <w:highlight w:val="none"/>
              </w:rPr>
              <w:t>工作量</w:t>
            </w:r>
          </w:p>
        </w:tc>
      </w:tr>
      <w:tr w14:paraId="741432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65C62F44">
            <w:pPr>
              <w:widowControl/>
              <w:jc w:val="center"/>
              <w:rPr>
                <w:rFonts w:eastAsia="宋体"/>
                <w:color w:val="auto"/>
                <w:kern w:val="0"/>
                <w:highlight w:val="none"/>
              </w:rPr>
            </w:pPr>
            <w:r>
              <w:rPr>
                <w:rFonts w:hint="eastAsia" w:eastAsia="宋体"/>
                <w:color w:val="auto"/>
                <w:kern w:val="0"/>
                <w:highlight w:val="none"/>
              </w:rPr>
              <w:t>一</w:t>
            </w:r>
          </w:p>
        </w:tc>
        <w:tc>
          <w:tcPr>
            <w:tcW w:w="2136" w:type="pct"/>
            <w:vAlign w:val="center"/>
          </w:tcPr>
          <w:p w14:paraId="25C0AE78">
            <w:pPr>
              <w:widowControl/>
              <w:jc w:val="center"/>
              <w:rPr>
                <w:rFonts w:eastAsia="宋体"/>
                <w:color w:val="auto"/>
                <w:kern w:val="0"/>
                <w:highlight w:val="none"/>
              </w:rPr>
            </w:pPr>
            <w:r>
              <w:rPr>
                <w:rFonts w:eastAsia="宋体"/>
                <w:color w:val="auto"/>
                <w:kern w:val="0"/>
                <w:highlight w:val="none"/>
              </w:rPr>
              <w:t>土壤重构工程</w:t>
            </w:r>
          </w:p>
        </w:tc>
        <w:tc>
          <w:tcPr>
            <w:tcW w:w="1090" w:type="pct"/>
            <w:vAlign w:val="center"/>
          </w:tcPr>
          <w:p w14:paraId="55E2A2A9">
            <w:pPr>
              <w:widowControl/>
              <w:jc w:val="center"/>
              <w:rPr>
                <w:rFonts w:eastAsia="宋体"/>
                <w:color w:val="auto"/>
                <w:kern w:val="0"/>
                <w:highlight w:val="none"/>
              </w:rPr>
            </w:pPr>
            <w:r>
              <w:rPr>
                <w:rFonts w:eastAsia="宋体"/>
                <w:color w:val="auto"/>
                <w:kern w:val="0"/>
                <w:highlight w:val="none"/>
              </w:rPr>
              <w:t>　</w:t>
            </w:r>
          </w:p>
        </w:tc>
        <w:tc>
          <w:tcPr>
            <w:tcW w:w="1089" w:type="pct"/>
            <w:vAlign w:val="center"/>
          </w:tcPr>
          <w:p w14:paraId="39A37A40">
            <w:pPr>
              <w:widowControl/>
              <w:jc w:val="center"/>
              <w:rPr>
                <w:rFonts w:eastAsia="宋体"/>
                <w:color w:val="auto"/>
                <w:kern w:val="0"/>
                <w:highlight w:val="none"/>
              </w:rPr>
            </w:pPr>
            <w:r>
              <w:rPr>
                <w:rFonts w:eastAsia="宋体"/>
                <w:color w:val="auto"/>
                <w:kern w:val="0"/>
                <w:highlight w:val="none"/>
              </w:rPr>
              <w:t>　</w:t>
            </w:r>
          </w:p>
        </w:tc>
      </w:tr>
      <w:tr w14:paraId="08F20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26C21014">
            <w:pPr>
              <w:widowControl/>
              <w:jc w:val="center"/>
              <w:rPr>
                <w:rFonts w:eastAsia="宋体"/>
                <w:color w:val="auto"/>
                <w:kern w:val="0"/>
                <w:highlight w:val="none"/>
              </w:rPr>
            </w:pPr>
            <w:r>
              <w:rPr>
                <w:rFonts w:hint="eastAsia" w:eastAsia="宋体"/>
                <w:color w:val="auto"/>
                <w:kern w:val="0"/>
                <w:highlight w:val="none"/>
              </w:rPr>
              <w:t>1</w:t>
            </w:r>
          </w:p>
        </w:tc>
        <w:tc>
          <w:tcPr>
            <w:tcW w:w="2136" w:type="pct"/>
            <w:vAlign w:val="center"/>
          </w:tcPr>
          <w:p w14:paraId="1D533DAE">
            <w:pPr>
              <w:widowControl/>
              <w:jc w:val="center"/>
              <w:rPr>
                <w:rFonts w:eastAsia="宋体"/>
                <w:color w:val="auto"/>
                <w:kern w:val="0"/>
                <w:highlight w:val="none"/>
              </w:rPr>
            </w:pPr>
            <w:r>
              <w:rPr>
                <w:rFonts w:hint="eastAsia" w:eastAsia="宋体"/>
                <w:color w:val="auto"/>
                <w:kern w:val="0"/>
                <w:highlight w:val="none"/>
              </w:rPr>
              <w:t>表土剥离</w:t>
            </w:r>
          </w:p>
        </w:tc>
        <w:tc>
          <w:tcPr>
            <w:tcW w:w="1090" w:type="pct"/>
            <w:vAlign w:val="center"/>
          </w:tcPr>
          <w:p w14:paraId="7AD75EB8">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3</w:t>
            </w:r>
          </w:p>
        </w:tc>
        <w:tc>
          <w:tcPr>
            <w:tcW w:w="1089" w:type="pct"/>
            <w:vAlign w:val="center"/>
          </w:tcPr>
          <w:p w14:paraId="104FC6F5">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2400</w:t>
            </w:r>
          </w:p>
        </w:tc>
      </w:tr>
      <w:tr w14:paraId="61E928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783BBE9A">
            <w:pPr>
              <w:widowControl/>
              <w:jc w:val="center"/>
              <w:rPr>
                <w:rFonts w:eastAsia="宋体"/>
                <w:color w:val="auto"/>
                <w:kern w:val="0"/>
                <w:highlight w:val="none"/>
              </w:rPr>
            </w:pPr>
            <w:r>
              <w:rPr>
                <w:rFonts w:hint="eastAsia" w:eastAsia="宋体"/>
                <w:color w:val="auto"/>
                <w:kern w:val="0"/>
                <w:highlight w:val="none"/>
              </w:rPr>
              <w:t>2.1</w:t>
            </w:r>
          </w:p>
        </w:tc>
        <w:tc>
          <w:tcPr>
            <w:tcW w:w="2136" w:type="pct"/>
            <w:vAlign w:val="center"/>
          </w:tcPr>
          <w:p w14:paraId="492E1771">
            <w:pPr>
              <w:widowControl/>
              <w:jc w:val="center"/>
              <w:rPr>
                <w:rFonts w:eastAsia="宋体"/>
                <w:color w:val="auto"/>
                <w:kern w:val="0"/>
                <w:highlight w:val="none"/>
              </w:rPr>
            </w:pPr>
            <w:r>
              <w:rPr>
                <w:rFonts w:hint="eastAsia" w:eastAsia="宋体"/>
                <w:color w:val="auto"/>
                <w:kern w:val="0"/>
                <w:highlight w:val="none"/>
              </w:rPr>
              <w:t>薄膜覆盖</w:t>
            </w:r>
          </w:p>
        </w:tc>
        <w:tc>
          <w:tcPr>
            <w:tcW w:w="1090" w:type="pct"/>
            <w:vAlign w:val="center"/>
          </w:tcPr>
          <w:p w14:paraId="4E087177">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14:paraId="2CF9E498">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0.027</w:t>
            </w:r>
          </w:p>
        </w:tc>
      </w:tr>
      <w:tr w14:paraId="4B3EC2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0844BBF2">
            <w:pPr>
              <w:widowControl/>
              <w:jc w:val="center"/>
              <w:rPr>
                <w:rFonts w:eastAsia="宋体"/>
                <w:color w:val="auto"/>
                <w:kern w:val="0"/>
                <w:highlight w:val="none"/>
              </w:rPr>
            </w:pPr>
            <w:r>
              <w:rPr>
                <w:rFonts w:hint="eastAsia" w:eastAsia="宋体"/>
                <w:color w:val="auto"/>
                <w:kern w:val="0"/>
                <w:highlight w:val="none"/>
              </w:rPr>
              <w:t>2.2</w:t>
            </w:r>
          </w:p>
        </w:tc>
        <w:tc>
          <w:tcPr>
            <w:tcW w:w="2136" w:type="pct"/>
            <w:vAlign w:val="center"/>
          </w:tcPr>
          <w:p w14:paraId="4DD8A262">
            <w:pPr>
              <w:widowControl/>
              <w:jc w:val="center"/>
              <w:rPr>
                <w:rFonts w:eastAsia="宋体"/>
                <w:color w:val="auto"/>
                <w:kern w:val="0"/>
                <w:highlight w:val="none"/>
              </w:rPr>
            </w:pPr>
            <w:r>
              <w:rPr>
                <w:rFonts w:hint="eastAsia" w:eastAsia="宋体"/>
                <w:color w:val="auto"/>
                <w:kern w:val="0"/>
                <w:highlight w:val="none"/>
              </w:rPr>
              <w:t>草籽养护</w:t>
            </w:r>
          </w:p>
        </w:tc>
        <w:tc>
          <w:tcPr>
            <w:tcW w:w="1090" w:type="pct"/>
            <w:vAlign w:val="center"/>
          </w:tcPr>
          <w:p w14:paraId="5DDF1769">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14:paraId="0B6F8BE5">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0.8</w:t>
            </w:r>
          </w:p>
        </w:tc>
      </w:tr>
      <w:tr w14:paraId="187C23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683" w:type="pct"/>
            <w:vAlign w:val="center"/>
          </w:tcPr>
          <w:p w14:paraId="66B63C9E">
            <w:pPr>
              <w:widowControl/>
              <w:jc w:val="center"/>
              <w:rPr>
                <w:rFonts w:eastAsia="宋体"/>
                <w:color w:val="auto"/>
                <w:kern w:val="0"/>
                <w:highlight w:val="none"/>
              </w:rPr>
            </w:pPr>
            <w:r>
              <w:rPr>
                <w:rFonts w:hint="eastAsia" w:eastAsia="宋体"/>
                <w:color w:val="auto"/>
                <w:kern w:val="0"/>
                <w:highlight w:val="none"/>
              </w:rPr>
              <w:t>5</w:t>
            </w:r>
          </w:p>
        </w:tc>
        <w:tc>
          <w:tcPr>
            <w:tcW w:w="2136" w:type="pct"/>
            <w:vAlign w:val="center"/>
          </w:tcPr>
          <w:p w14:paraId="17639E11">
            <w:pPr>
              <w:widowControl/>
              <w:jc w:val="center"/>
              <w:rPr>
                <w:rFonts w:eastAsia="宋体"/>
                <w:color w:val="auto"/>
                <w:kern w:val="0"/>
                <w:highlight w:val="none"/>
              </w:rPr>
            </w:pPr>
            <w:r>
              <w:rPr>
                <w:rFonts w:eastAsia="宋体"/>
                <w:color w:val="auto"/>
                <w:kern w:val="0"/>
                <w:highlight w:val="none"/>
              </w:rPr>
              <w:t>土地平整</w:t>
            </w:r>
          </w:p>
        </w:tc>
        <w:tc>
          <w:tcPr>
            <w:tcW w:w="1090" w:type="pct"/>
            <w:vAlign w:val="center"/>
          </w:tcPr>
          <w:p w14:paraId="3FF03783">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14:paraId="2D61DC38">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0.6</w:t>
            </w:r>
          </w:p>
        </w:tc>
      </w:tr>
      <w:tr w14:paraId="698897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683" w:type="pct"/>
            <w:vAlign w:val="center"/>
          </w:tcPr>
          <w:p w14:paraId="5C81E37F">
            <w:pPr>
              <w:widowControl/>
              <w:jc w:val="center"/>
              <w:rPr>
                <w:rFonts w:eastAsia="宋体"/>
                <w:color w:val="auto"/>
                <w:kern w:val="0"/>
                <w:highlight w:val="none"/>
              </w:rPr>
            </w:pPr>
            <w:r>
              <w:rPr>
                <w:rFonts w:hint="eastAsia" w:eastAsia="宋体"/>
                <w:color w:val="auto"/>
                <w:kern w:val="0"/>
                <w:highlight w:val="none"/>
              </w:rPr>
              <w:t>6</w:t>
            </w:r>
          </w:p>
        </w:tc>
        <w:tc>
          <w:tcPr>
            <w:tcW w:w="2136" w:type="pct"/>
            <w:vAlign w:val="center"/>
          </w:tcPr>
          <w:p w14:paraId="364D21EA">
            <w:pPr>
              <w:widowControl/>
              <w:jc w:val="center"/>
              <w:rPr>
                <w:rFonts w:eastAsia="宋体"/>
                <w:color w:val="auto"/>
                <w:kern w:val="0"/>
                <w:highlight w:val="none"/>
              </w:rPr>
            </w:pPr>
            <w:r>
              <w:rPr>
                <w:rFonts w:eastAsia="宋体"/>
                <w:color w:val="auto"/>
                <w:kern w:val="0"/>
                <w:highlight w:val="none"/>
              </w:rPr>
              <w:t>表土回填</w:t>
            </w:r>
          </w:p>
        </w:tc>
        <w:tc>
          <w:tcPr>
            <w:tcW w:w="1090" w:type="pct"/>
            <w:vAlign w:val="center"/>
          </w:tcPr>
          <w:p w14:paraId="10FC615A">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3</w:t>
            </w:r>
          </w:p>
        </w:tc>
        <w:tc>
          <w:tcPr>
            <w:tcW w:w="1089" w:type="pct"/>
            <w:vAlign w:val="center"/>
          </w:tcPr>
          <w:p w14:paraId="77E42273">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1800</w:t>
            </w:r>
          </w:p>
        </w:tc>
      </w:tr>
      <w:tr w14:paraId="0E83C7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20B3F731">
            <w:pPr>
              <w:widowControl/>
              <w:jc w:val="center"/>
              <w:rPr>
                <w:rFonts w:eastAsia="宋体"/>
                <w:color w:val="auto"/>
                <w:kern w:val="0"/>
                <w:highlight w:val="none"/>
              </w:rPr>
            </w:pPr>
            <w:r>
              <w:rPr>
                <w:rFonts w:hint="eastAsia" w:eastAsia="宋体"/>
                <w:color w:val="auto"/>
                <w:kern w:val="0"/>
                <w:highlight w:val="none"/>
              </w:rPr>
              <w:t>二</w:t>
            </w:r>
          </w:p>
        </w:tc>
        <w:tc>
          <w:tcPr>
            <w:tcW w:w="2136" w:type="pct"/>
            <w:vAlign w:val="center"/>
          </w:tcPr>
          <w:p w14:paraId="42D1D427">
            <w:pPr>
              <w:widowControl/>
              <w:jc w:val="center"/>
              <w:rPr>
                <w:rFonts w:eastAsia="宋体"/>
                <w:color w:val="auto"/>
                <w:kern w:val="0"/>
                <w:highlight w:val="none"/>
              </w:rPr>
            </w:pPr>
            <w:r>
              <w:rPr>
                <w:rFonts w:eastAsia="宋体"/>
                <w:color w:val="auto"/>
                <w:kern w:val="0"/>
                <w:highlight w:val="none"/>
              </w:rPr>
              <w:t>植被恢复工程</w:t>
            </w:r>
          </w:p>
        </w:tc>
        <w:tc>
          <w:tcPr>
            <w:tcW w:w="1090" w:type="pct"/>
            <w:vAlign w:val="center"/>
          </w:tcPr>
          <w:p w14:paraId="69F8853F">
            <w:pPr>
              <w:widowControl/>
              <w:jc w:val="center"/>
              <w:rPr>
                <w:rFonts w:eastAsia="宋体"/>
                <w:color w:val="auto"/>
                <w:kern w:val="0"/>
                <w:highlight w:val="none"/>
              </w:rPr>
            </w:pPr>
            <w:r>
              <w:rPr>
                <w:rFonts w:eastAsia="宋体"/>
                <w:color w:val="auto"/>
                <w:kern w:val="0"/>
                <w:highlight w:val="none"/>
              </w:rPr>
              <w:t>　</w:t>
            </w:r>
          </w:p>
        </w:tc>
        <w:tc>
          <w:tcPr>
            <w:tcW w:w="1089" w:type="pct"/>
            <w:vAlign w:val="center"/>
          </w:tcPr>
          <w:p w14:paraId="3062DB55">
            <w:pPr>
              <w:widowControl/>
              <w:jc w:val="center"/>
              <w:rPr>
                <w:rFonts w:eastAsia="宋体"/>
                <w:color w:val="auto"/>
                <w:kern w:val="0"/>
                <w:highlight w:val="none"/>
              </w:rPr>
            </w:pPr>
          </w:p>
        </w:tc>
      </w:tr>
      <w:tr w14:paraId="4CCFFF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528977A1">
            <w:pPr>
              <w:widowControl/>
              <w:jc w:val="center"/>
              <w:rPr>
                <w:rFonts w:eastAsia="宋体"/>
                <w:color w:val="auto"/>
                <w:kern w:val="0"/>
                <w:highlight w:val="none"/>
              </w:rPr>
            </w:pPr>
            <w:r>
              <w:rPr>
                <w:rFonts w:eastAsia="宋体"/>
                <w:color w:val="auto"/>
                <w:kern w:val="0"/>
                <w:highlight w:val="none"/>
              </w:rPr>
              <w:t>1</w:t>
            </w:r>
          </w:p>
        </w:tc>
        <w:tc>
          <w:tcPr>
            <w:tcW w:w="2136" w:type="pct"/>
            <w:vAlign w:val="center"/>
          </w:tcPr>
          <w:p w14:paraId="6362E8C4">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栽植椿树苗</w:t>
            </w:r>
          </w:p>
        </w:tc>
        <w:tc>
          <w:tcPr>
            <w:tcW w:w="1090" w:type="pct"/>
            <w:vAlign w:val="center"/>
          </w:tcPr>
          <w:p w14:paraId="3207A92A">
            <w:pPr>
              <w:widowControl/>
              <w:jc w:val="center"/>
              <w:rPr>
                <w:rFonts w:eastAsia="宋体"/>
                <w:color w:val="auto"/>
                <w:kern w:val="0"/>
                <w:highlight w:val="none"/>
              </w:rPr>
            </w:pPr>
            <w:r>
              <w:rPr>
                <w:rFonts w:eastAsia="宋体"/>
                <w:color w:val="auto"/>
                <w:kern w:val="0"/>
                <w:highlight w:val="none"/>
              </w:rPr>
              <w:t>株</w:t>
            </w:r>
          </w:p>
        </w:tc>
        <w:tc>
          <w:tcPr>
            <w:tcW w:w="1089" w:type="pct"/>
            <w:vAlign w:val="center"/>
          </w:tcPr>
          <w:p w14:paraId="41B84633">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325</w:t>
            </w:r>
          </w:p>
        </w:tc>
      </w:tr>
      <w:tr w14:paraId="615BA1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6447C1D2">
            <w:pPr>
              <w:widowControl/>
              <w:jc w:val="center"/>
              <w:rPr>
                <w:rFonts w:hint="eastAsia" w:eastAsia="宋体"/>
                <w:color w:val="auto"/>
                <w:kern w:val="0"/>
                <w:highlight w:val="none"/>
                <w:lang w:val="en-US" w:eastAsia="zh-CN"/>
              </w:rPr>
            </w:pPr>
            <w:r>
              <w:rPr>
                <w:rFonts w:hint="eastAsia" w:eastAsia="宋体"/>
                <w:color w:val="auto"/>
                <w:kern w:val="0"/>
                <w:highlight w:val="none"/>
                <w:lang w:val="en-US" w:eastAsia="zh-CN"/>
              </w:rPr>
              <w:t>2</w:t>
            </w:r>
          </w:p>
        </w:tc>
        <w:tc>
          <w:tcPr>
            <w:tcW w:w="2136" w:type="pct"/>
            <w:vAlign w:val="center"/>
          </w:tcPr>
          <w:p w14:paraId="470E9C99">
            <w:pPr>
              <w:widowControl/>
              <w:jc w:val="center"/>
              <w:rPr>
                <w:rFonts w:hint="default" w:eastAsia="宋体" w:asciiTheme="minorHAnsi" w:hAnsiTheme="minorHAnsi" w:cstheme="minorBidi"/>
                <w:color w:val="auto"/>
                <w:kern w:val="0"/>
                <w:sz w:val="21"/>
                <w:szCs w:val="21"/>
                <w:highlight w:val="none"/>
                <w:lang w:val="en-US" w:eastAsia="zh-CN" w:bidi="ar-SA"/>
              </w:rPr>
            </w:pPr>
            <w:r>
              <w:rPr>
                <w:rFonts w:hint="eastAsia" w:eastAsia="宋体"/>
                <w:color w:val="auto"/>
                <w:kern w:val="0"/>
                <w:highlight w:val="none"/>
                <w:lang w:val="en-US" w:eastAsia="zh-CN"/>
              </w:rPr>
              <w:t>栽植杨树苗</w:t>
            </w:r>
          </w:p>
        </w:tc>
        <w:tc>
          <w:tcPr>
            <w:tcW w:w="1090" w:type="pct"/>
            <w:vAlign w:val="center"/>
          </w:tcPr>
          <w:p w14:paraId="3B40F71F">
            <w:pPr>
              <w:widowControl/>
              <w:jc w:val="center"/>
              <w:rPr>
                <w:rFonts w:eastAsia="宋体" w:asciiTheme="minorHAnsi" w:hAnsiTheme="minorHAnsi" w:cstheme="minorBidi"/>
                <w:color w:val="auto"/>
                <w:kern w:val="0"/>
                <w:sz w:val="21"/>
                <w:szCs w:val="21"/>
                <w:highlight w:val="none"/>
                <w:lang w:val="en-US" w:eastAsia="zh-CN" w:bidi="ar-SA"/>
              </w:rPr>
            </w:pPr>
            <w:r>
              <w:rPr>
                <w:rFonts w:eastAsia="宋体"/>
                <w:color w:val="auto"/>
                <w:kern w:val="0"/>
                <w:highlight w:val="none"/>
              </w:rPr>
              <w:t>株</w:t>
            </w:r>
          </w:p>
        </w:tc>
        <w:tc>
          <w:tcPr>
            <w:tcW w:w="1089" w:type="pct"/>
            <w:vAlign w:val="center"/>
          </w:tcPr>
          <w:p w14:paraId="50F5DD2D">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325</w:t>
            </w:r>
          </w:p>
        </w:tc>
      </w:tr>
      <w:tr w14:paraId="0589E0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83" w:type="pct"/>
            <w:vAlign w:val="center"/>
          </w:tcPr>
          <w:p w14:paraId="39061AC6">
            <w:pPr>
              <w:widowControl/>
              <w:jc w:val="center"/>
              <w:rPr>
                <w:rFonts w:hint="eastAsia" w:eastAsia="宋体"/>
                <w:color w:val="auto"/>
                <w:kern w:val="0"/>
                <w:highlight w:val="none"/>
                <w:lang w:eastAsia="zh-CN"/>
              </w:rPr>
            </w:pPr>
            <w:r>
              <w:rPr>
                <w:rFonts w:hint="eastAsia" w:eastAsia="宋体"/>
                <w:color w:val="auto"/>
                <w:kern w:val="0"/>
                <w:highlight w:val="none"/>
                <w:lang w:val="en-US" w:eastAsia="zh-CN"/>
              </w:rPr>
              <w:t>4</w:t>
            </w:r>
          </w:p>
        </w:tc>
        <w:tc>
          <w:tcPr>
            <w:tcW w:w="2136" w:type="pct"/>
            <w:vAlign w:val="center"/>
          </w:tcPr>
          <w:p w14:paraId="3C2B0527">
            <w:pPr>
              <w:widowControl/>
              <w:jc w:val="center"/>
              <w:rPr>
                <w:rFonts w:eastAsia="宋体"/>
                <w:color w:val="auto"/>
                <w:kern w:val="0"/>
                <w:highlight w:val="none"/>
              </w:rPr>
            </w:pPr>
            <w:r>
              <w:rPr>
                <w:rFonts w:eastAsia="宋体"/>
                <w:color w:val="auto"/>
                <w:kern w:val="0"/>
                <w:highlight w:val="none"/>
              </w:rPr>
              <w:t>栽种葛藤</w:t>
            </w:r>
          </w:p>
        </w:tc>
        <w:tc>
          <w:tcPr>
            <w:tcW w:w="1090" w:type="pct"/>
            <w:vAlign w:val="center"/>
          </w:tcPr>
          <w:p w14:paraId="1C80F234">
            <w:pPr>
              <w:widowControl/>
              <w:jc w:val="center"/>
              <w:rPr>
                <w:rFonts w:eastAsia="宋体"/>
                <w:color w:val="auto"/>
                <w:kern w:val="0"/>
                <w:highlight w:val="none"/>
              </w:rPr>
            </w:pPr>
            <w:r>
              <w:rPr>
                <w:rFonts w:eastAsia="宋体"/>
                <w:color w:val="auto"/>
                <w:kern w:val="0"/>
                <w:highlight w:val="none"/>
              </w:rPr>
              <w:t>株</w:t>
            </w:r>
          </w:p>
        </w:tc>
        <w:tc>
          <w:tcPr>
            <w:tcW w:w="1089" w:type="pct"/>
            <w:vAlign w:val="center"/>
          </w:tcPr>
          <w:p w14:paraId="15C6B7EB">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627</w:t>
            </w:r>
          </w:p>
        </w:tc>
      </w:tr>
      <w:tr w14:paraId="1E8639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67621E3A">
            <w:pPr>
              <w:widowControl/>
              <w:jc w:val="center"/>
              <w:rPr>
                <w:rFonts w:hint="eastAsia" w:eastAsia="宋体"/>
                <w:color w:val="auto"/>
                <w:kern w:val="0"/>
                <w:highlight w:val="none"/>
                <w:lang w:eastAsia="zh-CN"/>
              </w:rPr>
            </w:pPr>
            <w:r>
              <w:rPr>
                <w:rFonts w:hint="eastAsia" w:eastAsia="宋体"/>
                <w:color w:val="auto"/>
                <w:kern w:val="0"/>
                <w:highlight w:val="none"/>
                <w:lang w:val="en-US" w:eastAsia="zh-CN"/>
              </w:rPr>
              <w:t>5</w:t>
            </w:r>
          </w:p>
        </w:tc>
        <w:tc>
          <w:tcPr>
            <w:tcW w:w="2136" w:type="pct"/>
            <w:vAlign w:val="center"/>
          </w:tcPr>
          <w:p w14:paraId="52B61F5A">
            <w:pPr>
              <w:widowControl/>
              <w:jc w:val="center"/>
              <w:rPr>
                <w:rFonts w:eastAsia="宋体"/>
                <w:color w:val="auto"/>
                <w:kern w:val="0"/>
                <w:highlight w:val="none"/>
              </w:rPr>
            </w:pPr>
            <w:r>
              <w:rPr>
                <w:rFonts w:eastAsia="宋体"/>
                <w:color w:val="auto"/>
                <w:kern w:val="0"/>
                <w:highlight w:val="none"/>
              </w:rPr>
              <w:t>播撒草籽</w:t>
            </w:r>
          </w:p>
        </w:tc>
        <w:tc>
          <w:tcPr>
            <w:tcW w:w="1090" w:type="pct"/>
            <w:vAlign w:val="center"/>
          </w:tcPr>
          <w:p w14:paraId="697D4D2C">
            <w:pPr>
              <w:widowControl/>
              <w:jc w:val="center"/>
              <w:rPr>
                <w:rFonts w:eastAsia="宋体"/>
                <w:color w:val="auto"/>
                <w:kern w:val="0"/>
                <w:highlight w:val="none"/>
              </w:rPr>
            </w:pPr>
            <w:r>
              <w:rPr>
                <w:rFonts w:eastAsia="宋体"/>
                <w:color w:val="auto"/>
                <w:kern w:val="0"/>
                <w:highlight w:val="none"/>
              </w:rPr>
              <w:t>hm</w:t>
            </w:r>
            <w:r>
              <w:rPr>
                <w:rFonts w:eastAsia="宋体"/>
                <w:color w:val="auto"/>
                <w:kern w:val="0"/>
                <w:highlight w:val="none"/>
                <w:vertAlign w:val="superscript"/>
              </w:rPr>
              <w:t>2</w:t>
            </w:r>
          </w:p>
        </w:tc>
        <w:tc>
          <w:tcPr>
            <w:tcW w:w="1089" w:type="pct"/>
            <w:vAlign w:val="center"/>
          </w:tcPr>
          <w:p w14:paraId="74625F41">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0.8</w:t>
            </w:r>
          </w:p>
        </w:tc>
      </w:tr>
      <w:tr w14:paraId="0BBB5D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83" w:type="pct"/>
            <w:vAlign w:val="center"/>
          </w:tcPr>
          <w:p w14:paraId="1C9C5F37">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6</w:t>
            </w:r>
          </w:p>
        </w:tc>
        <w:tc>
          <w:tcPr>
            <w:tcW w:w="2136" w:type="pct"/>
            <w:vAlign w:val="center"/>
          </w:tcPr>
          <w:p w14:paraId="74EE711A">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木工格栅辅助</w:t>
            </w:r>
          </w:p>
        </w:tc>
        <w:tc>
          <w:tcPr>
            <w:tcW w:w="1090" w:type="pct"/>
            <w:vAlign w:val="center"/>
          </w:tcPr>
          <w:p w14:paraId="73A1EABF">
            <w:pPr>
              <w:widowControl/>
              <w:jc w:val="center"/>
              <w:rPr>
                <w:rFonts w:eastAsia="宋体"/>
                <w:color w:val="auto"/>
                <w:kern w:val="0"/>
                <w:highlight w:val="none"/>
              </w:rPr>
            </w:pPr>
            <w:r>
              <w:rPr>
                <w:rFonts w:eastAsia="宋体"/>
                <w:color w:val="auto"/>
                <w:kern w:val="0"/>
                <w:highlight w:val="none"/>
              </w:rPr>
              <w:t>m</w:t>
            </w:r>
            <w:r>
              <w:rPr>
                <w:rFonts w:eastAsia="宋体"/>
                <w:color w:val="auto"/>
                <w:kern w:val="0"/>
                <w:highlight w:val="none"/>
                <w:vertAlign w:val="superscript"/>
              </w:rPr>
              <w:t>2</w:t>
            </w:r>
          </w:p>
        </w:tc>
        <w:tc>
          <w:tcPr>
            <w:tcW w:w="1089" w:type="pct"/>
            <w:vAlign w:val="center"/>
          </w:tcPr>
          <w:p w14:paraId="26F6F4CD">
            <w:pPr>
              <w:widowControl/>
              <w:jc w:val="center"/>
              <w:rPr>
                <w:rFonts w:hint="default" w:eastAsia="宋体"/>
                <w:color w:val="auto"/>
                <w:kern w:val="0"/>
                <w:highlight w:val="none"/>
                <w:lang w:val="en-US" w:eastAsia="zh-CN"/>
              </w:rPr>
            </w:pPr>
            <w:r>
              <w:rPr>
                <w:rFonts w:hint="eastAsia" w:eastAsia="宋体"/>
                <w:color w:val="auto"/>
                <w:kern w:val="0"/>
                <w:highlight w:val="none"/>
                <w:lang w:val="en-US" w:eastAsia="zh-CN"/>
              </w:rPr>
              <w:t>627</w:t>
            </w:r>
          </w:p>
        </w:tc>
      </w:tr>
    </w:tbl>
    <w:p w14:paraId="1DFF3A55">
      <w:pPr>
        <w:pStyle w:val="13"/>
        <w:ind w:left="0" w:leftChars="0" w:firstLine="0" w:firstLineChars="0"/>
        <w:rPr>
          <w:color w:val="auto"/>
        </w:rPr>
      </w:pPr>
    </w:p>
    <w:p w14:paraId="0401717C">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2、土地复垦投资估算</w:t>
      </w:r>
    </w:p>
    <w:p w14:paraId="2C83128F">
      <w:pPr>
        <w:spacing w:line="360" w:lineRule="auto"/>
        <w:ind w:firstLine="560" w:firstLineChars="200"/>
        <w:rPr>
          <w:rFonts w:hint="eastAsia" w:ascii="仿宋" w:hAnsi="仿宋" w:eastAsia="仿宋" w:cs="仿宋"/>
          <w:color w:val="auto"/>
          <w:sz w:val="28"/>
          <w:szCs w:val="28"/>
          <w:highlight w:val="none"/>
        </w:rPr>
      </w:pPr>
      <w:bookmarkStart w:id="211" w:name="_Hlk101704211"/>
      <w:bookmarkStart w:id="212" w:name="_Hlk77606333"/>
      <w:r>
        <w:rPr>
          <w:rFonts w:hint="eastAsia" w:ascii="仿宋" w:hAnsi="仿宋" w:eastAsia="仿宋" w:cs="仿宋"/>
          <w:color w:val="auto"/>
          <w:sz w:val="28"/>
          <w:szCs w:val="28"/>
          <w:highlight w:val="none"/>
        </w:rPr>
        <w:t>本</w:t>
      </w:r>
      <w:bookmarkStart w:id="213" w:name="_Hlk71991879"/>
      <w:bookmarkStart w:id="214" w:name="_Hlk88140994"/>
      <w:r>
        <w:rPr>
          <w:rFonts w:hint="eastAsia" w:ascii="仿宋" w:hAnsi="仿宋" w:eastAsia="仿宋" w:cs="仿宋"/>
          <w:color w:val="auto"/>
          <w:sz w:val="28"/>
          <w:szCs w:val="28"/>
          <w:highlight w:val="none"/>
        </w:rPr>
        <w:t>项目土地复垦估算动态总投资为</w:t>
      </w:r>
      <w:r>
        <w:rPr>
          <w:rFonts w:hint="eastAsia" w:ascii="仿宋" w:hAnsi="仿宋" w:eastAsia="仿宋" w:cs="仿宋"/>
          <w:color w:val="auto"/>
          <w:sz w:val="28"/>
          <w:szCs w:val="28"/>
          <w:highlight w:val="none"/>
          <w:lang w:val="en-US" w:eastAsia="zh-CN"/>
        </w:rPr>
        <w:t>30.67</w:t>
      </w:r>
      <w:r>
        <w:rPr>
          <w:rFonts w:hint="eastAsia" w:ascii="仿宋" w:hAnsi="仿宋" w:eastAsia="仿宋" w:cs="仿宋"/>
          <w:color w:val="auto"/>
          <w:sz w:val="28"/>
          <w:szCs w:val="28"/>
          <w:highlight w:val="none"/>
        </w:rPr>
        <w:t>万元，静态投资</w:t>
      </w:r>
      <w:r>
        <w:rPr>
          <w:rFonts w:hint="eastAsia" w:ascii="仿宋" w:hAnsi="仿宋" w:eastAsia="仿宋" w:cs="仿宋"/>
          <w:color w:val="auto"/>
          <w:sz w:val="28"/>
          <w:szCs w:val="28"/>
          <w:highlight w:val="none"/>
          <w:lang w:val="en-US" w:eastAsia="zh-CN"/>
        </w:rPr>
        <w:t>29.28</w:t>
      </w:r>
      <w:r>
        <w:rPr>
          <w:rFonts w:hint="eastAsia" w:ascii="仿宋" w:hAnsi="仿宋" w:eastAsia="仿宋" w:cs="仿宋"/>
          <w:color w:val="auto"/>
          <w:sz w:val="28"/>
          <w:szCs w:val="28"/>
          <w:highlight w:val="none"/>
        </w:rPr>
        <w:t>万元。其中，工程施工费</w:t>
      </w:r>
      <w:r>
        <w:rPr>
          <w:rFonts w:hint="eastAsia" w:ascii="仿宋" w:hAnsi="仿宋" w:eastAsia="仿宋" w:cs="仿宋"/>
          <w:color w:val="auto"/>
          <w:sz w:val="28"/>
          <w:szCs w:val="28"/>
          <w:highlight w:val="none"/>
          <w:lang w:val="en-US" w:eastAsia="zh-CN"/>
        </w:rPr>
        <w:t>8.85</w:t>
      </w:r>
      <w:r>
        <w:rPr>
          <w:rFonts w:hint="eastAsia" w:ascii="仿宋" w:hAnsi="仿宋" w:eastAsia="仿宋" w:cs="仿宋"/>
          <w:color w:val="auto"/>
          <w:sz w:val="28"/>
          <w:szCs w:val="28"/>
          <w:highlight w:val="none"/>
        </w:rPr>
        <w:t>万元，其他费用</w:t>
      </w:r>
      <w:r>
        <w:rPr>
          <w:rFonts w:hint="eastAsia" w:ascii="仿宋" w:hAnsi="仿宋" w:eastAsia="仿宋" w:cs="仿宋"/>
          <w:color w:val="auto"/>
          <w:sz w:val="28"/>
          <w:szCs w:val="28"/>
          <w:highlight w:val="none"/>
          <w:lang w:val="en-US" w:eastAsia="zh-CN"/>
        </w:rPr>
        <w:t>1.10</w:t>
      </w:r>
      <w:r>
        <w:rPr>
          <w:rFonts w:hint="eastAsia" w:ascii="仿宋" w:hAnsi="仿宋" w:eastAsia="仿宋" w:cs="仿宋"/>
          <w:color w:val="auto"/>
          <w:sz w:val="28"/>
          <w:szCs w:val="28"/>
          <w:highlight w:val="none"/>
        </w:rPr>
        <w:t>万元，监测与管护费</w:t>
      </w:r>
      <w:r>
        <w:rPr>
          <w:rFonts w:hint="eastAsia" w:ascii="仿宋" w:hAnsi="仿宋" w:eastAsia="仿宋" w:cs="仿宋"/>
          <w:color w:val="auto"/>
          <w:sz w:val="28"/>
          <w:szCs w:val="28"/>
          <w:highlight w:val="none"/>
          <w:lang w:val="en-US" w:eastAsia="zh-CN"/>
        </w:rPr>
        <w:t>18.48</w:t>
      </w:r>
      <w:r>
        <w:rPr>
          <w:rFonts w:hint="eastAsia" w:ascii="仿宋" w:hAnsi="仿宋" w:eastAsia="仿宋" w:cs="仿宋"/>
          <w:color w:val="auto"/>
          <w:sz w:val="28"/>
          <w:szCs w:val="28"/>
          <w:highlight w:val="none"/>
        </w:rPr>
        <w:t>万元</w:t>
      </w:r>
      <w:bookmarkEnd w:id="211"/>
      <w:bookmarkEnd w:id="213"/>
      <w:r>
        <w:rPr>
          <w:rFonts w:hint="eastAsia" w:ascii="仿宋" w:hAnsi="仿宋" w:eastAsia="仿宋" w:cs="仿宋"/>
          <w:color w:val="auto"/>
          <w:sz w:val="28"/>
          <w:szCs w:val="28"/>
          <w:highlight w:val="none"/>
        </w:rPr>
        <w:t>，预备费</w:t>
      </w:r>
      <w:r>
        <w:rPr>
          <w:rFonts w:hint="eastAsia" w:ascii="仿宋" w:hAnsi="仿宋" w:eastAsia="仿宋" w:cs="仿宋"/>
          <w:color w:val="auto"/>
          <w:sz w:val="28"/>
          <w:szCs w:val="28"/>
          <w:highlight w:val="none"/>
          <w:lang w:val="en-US" w:eastAsia="zh-CN"/>
        </w:rPr>
        <w:t>2.24</w:t>
      </w:r>
      <w:r>
        <w:rPr>
          <w:rFonts w:hint="eastAsia" w:ascii="仿宋" w:hAnsi="仿宋" w:eastAsia="仿宋" w:cs="仿宋"/>
          <w:color w:val="auto"/>
          <w:sz w:val="28"/>
          <w:szCs w:val="28"/>
          <w:highlight w:val="none"/>
        </w:rPr>
        <w:t>万元（基本预备费</w:t>
      </w:r>
      <w:r>
        <w:rPr>
          <w:rFonts w:hint="eastAsia" w:ascii="仿宋" w:hAnsi="仿宋" w:eastAsia="仿宋" w:cs="仿宋"/>
          <w:color w:val="auto"/>
          <w:sz w:val="28"/>
          <w:szCs w:val="28"/>
          <w:highlight w:val="none"/>
          <w:lang w:val="en-US" w:eastAsia="zh-CN"/>
        </w:rPr>
        <w:t>0.85</w:t>
      </w:r>
      <w:r>
        <w:rPr>
          <w:rFonts w:hint="eastAsia" w:ascii="仿宋" w:hAnsi="仿宋" w:eastAsia="仿宋" w:cs="仿宋"/>
          <w:color w:val="auto"/>
          <w:sz w:val="28"/>
          <w:szCs w:val="28"/>
          <w:highlight w:val="none"/>
        </w:rPr>
        <w:t>万元，价差预备费</w:t>
      </w:r>
      <w:r>
        <w:rPr>
          <w:rFonts w:hint="eastAsia" w:ascii="仿宋" w:hAnsi="仿宋" w:eastAsia="仿宋" w:cs="仿宋"/>
          <w:color w:val="auto"/>
          <w:sz w:val="28"/>
          <w:szCs w:val="28"/>
          <w:highlight w:val="none"/>
          <w:lang w:val="en-US" w:eastAsia="zh-CN"/>
        </w:rPr>
        <w:t>1.39万</w:t>
      </w:r>
      <w:r>
        <w:rPr>
          <w:rFonts w:hint="eastAsia" w:ascii="仿宋" w:hAnsi="仿宋" w:eastAsia="仿宋" w:cs="仿宋"/>
          <w:color w:val="auto"/>
          <w:sz w:val="28"/>
          <w:szCs w:val="28"/>
          <w:highlight w:val="none"/>
        </w:rPr>
        <w:t>元）。全部由土地复垦义务人负责筹措</w:t>
      </w:r>
      <w:bookmarkEnd w:id="212"/>
      <w:bookmarkEnd w:id="214"/>
      <w:r>
        <w:rPr>
          <w:rFonts w:hint="eastAsia" w:ascii="仿宋" w:hAnsi="仿宋" w:eastAsia="仿宋" w:cs="仿宋"/>
          <w:color w:val="auto"/>
          <w:sz w:val="28"/>
          <w:szCs w:val="28"/>
          <w:highlight w:val="none"/>
        </w:rPr>
        <w:t>。见表7-9。</w:t>
      </w:r>
    </w:p>
    <w:p w14:paraId="741690A4">
      <w:pPr>
        <w:ind w:firstLine="422" w:firstLineChars="20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表7-</w:t>
      </w:r>
      <w:r>
        <w:rPr>
          <w:rFonts w:hint="eastAsia" w:ascii="Times New Roman" w:hAnsi="Times New Roman" w:eastAsia="宋体" w:cs="Times New Roman"/>
          <w:b/>
          <w:bCs/>
          <w:color w:val="auto"/>
          <w:highlight w:val="none"/>
        </w:rPr>
        <w:t>9</w:t>
      </w:r>
      <w:r>
        <w:rPr>
          <w:rFonts w:ascii="Times New Roman" w:hAnsi="Times New Roman" w:eastAsia="宋体" w:cs="Times New Roman"/>
          <w:b/>
          <w:bCs/>
          <w:color w:val="auto"/>
          <w:highlight w:val="none"/>
        </w:rPr>
        <w:t xml:space="preserve">   土地复垦投资估算表</w:t>
      </w:r>
    </w:p>
    <w:tbl>
      <w:tblPr>
        <w:tblStyle w:val="23"/>
        <w:tblW w:w="892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0"/>
        <w:gridCol w:w="4043"/>
        <w:gridCol w:w="3686"/>
      </w:tblGrid>
      <w:tr w14:paraId="6A5D8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200" w:type="dxa"/>
            <w:tcBorders>
              <w:top w:val="single" w:color="000000" w:sz="8" w:space="0"/>
              <w:left w:val="single" w:color="000000" w:sz="8" w:space="0"/>
              <w:bottom w:val="single" w:color="000000" w:sz="4" w:space="0"/>
              <w:right w:val="single" w:color="000000" w:sz="4" w:space="0"/>
            </w:tcBorders>
            <w:shd w:val="clear" w:color="auto" w:fill="FFFFFF"/>
            <w:vAlign w:val="center"/>
          </w:tcPr>
          <w:p w14:paraId="637267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4045"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172FEA5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工程或费用名称</w:t>
            </w:r>
          </w:p>
        </w:tc>
        <w:tc>
          <w:tcPr>
            <w:tcW w:w="3687"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14A097D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费用／万元</w:t>
            </w:r>
          </w:p>
        </w:tc>
      </w:tr>
      <w:tr w14:paraId="2C004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17AEF2D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D634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工程施工费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7D8DF">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8.85</w:t>
            </w:r>
          </w:p>
        </w:tc>
      </w:tr>
      <w:tr w14:paraId="084F7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6108FF5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C21F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土壤重构工程</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39373">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7.88</w:t>
            </w:r>
          </w:p>
        </w:tc>
      </w:tr>
      <w:tr w14:paraId="247E0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2F67B97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1BF7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植被恢复工程</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8F478">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0.97</w:t>
            </w:r>
          </w:p>
        </w:tc>
      </w:tr>
      <w:tr w14:paraId="69071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60C8707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EB94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设备费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4E0B8D">
            <w:pPr>
              <w:jc w:val="right"/>
              <w:rPr>
                <w:rFonts w:hint="eastAsia" w:ascii="宋体" w:hAnsi="宋体" w:eastAsia="宋体" w:cs="宋体"/>
                <w:i w:val="0"/>
                <w:iCs w:val="0"/>
                <w:color w:val="auto"/>
                <w:sz w:val="18"/>
                <w:szCs w:val="18"/>
                <w:u w:val="none"/>
              </w:rPr>
            </w:pPr>
          </w:p>
        </w:tc>
      </w:tr>
      <w:tr w14:paraId="2BA39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4D55E55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8119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其他费用</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47674">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1.10</w:t>
            </w:r>
          </w:p>
        </w:tc>
      </w:tr>
      <w:tr w14:paraId="0433D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3B3B435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D531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前期工作费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B352B">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0.55</w:t>
            </w:r>
          </w:p>
        </w:tc>
      </w:tr>
      <w:tr w14:paraId="64DD2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0279135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2108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工程监理费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DCDEE">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0.21</w:t>
            </w:r>
          </w:p>
        </w:tc>
      </w:tr>
      <w:tr w14:paraId="7E31D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1461CE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A0CF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竣工验收费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22218">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0.34</w:t>
            </w:r>
          </w:p>
        </w:tc>
      </w:tr>
      <w:tr w14:paraId="4AB8C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3C95DAB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(四)</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CFA7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业主管理费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9FD10">
            <w:pPr>
              <w:jc w:val="right"/>
              <w:rPr>
                <w:rFonts w:hint="eastAsia" w:ascii="宋体" w:hAnsi="宋体" w:eastAsia="宋体" w:cs="宋体"/>
                <w:i w:val="0"/>
                <w:iCs w:val="0"/>
                <w:color w:val="auto"/>
                <w:sz w:val="18"/>
                <w:szCs w:val="18"/>
                <w:u w:val="none"/>
              </w:rPr>
            </w:pPr>
          </w:p>
        </w:tc>
      </w:tr>
      <w:tr w14:paraId="1CBC0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5E4B54F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四</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4BF6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监测与管护费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BE16E">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18.48</w:t>
            </w:r>
          </w:p>
        </w:tc>
      </w:tr>
      <w:tr w14:paraId="72B63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298402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FAE8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监测与管护工程</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4E1F5">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18.48</w:t>
            </w:r>
          </w:p>
        </w:tc>
      </w:tr>
      <w:tr w14:paraId="7D429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08C2CF1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4277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监测与管护费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D6616">
            <w:pPr>
              <w:jc w:val="right"/>
              <w:rPr>
                <w:rFonts w:hint="eastAsia" w:ascii="宋体" w:hAnsi="宋体" w:eastAsia="宋体" w:cs="宋体"/>
                <w:i w:val="0"/>
                <w:iCs w:val="0"/>
                <w:color w:val="auto"/>
                <w:sz w:val="18"/>
                <w:szCs w:val="18"/>
                <w:u w:val="none"/>
              </w:rPr>
            </w:pPr>
          </w:p>
        </w:tc>
      </w:tr>
      <w:tr w14:paraId="71DDA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4B1C91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五</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409A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预备费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7813C">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2.24</w:t>
            </w:r>
          </w:p>
        </w:tc>
      </w:tr>
      <w:tr w14:paraId="54DD1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1F72118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9658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基本预备费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85FC2">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0.85</w:t>
            </w:r>
          </w:p>
        </w:tc>
      </w:tr>
      <w:tr w14:paraId="36FDA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354A150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8FDD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价差预备费</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7DF12">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1.39</w:t>
            </w:r>
          </w:p>
        </w:tc>
      </w:tr>
      <w:tr w14:paraId="34978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36D680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(三)</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3E0F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风险金</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A6E66">
            <w:pPr>
              <w:jc w:val="right"/>
              <w:rPr>
                <w:rFonts w:hint="eastAsia" w:ascii="宋体" w:hAnsi="宋体" w:eastAsia="宋体" w:cs="宋体"/>
                <w:i w:val="0"/>
                <w:iCs w:val="0"/>
                <w:color w:val="auto"/>
                <w:sz w:val="18"/>
                <w:szCs w:val="18"/>
                <w:u w:val="none"/>
              </w:rPr>
            </w:pPr>
          </w:p>
        </w:tc>
      </w:tr>
      <w:tr w14:paraId="78BE2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0177BC4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六</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7CF0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静态总投资</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1A69F">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29.28</w:t>
            </w:r>
          </w:p>
        </w:tc>
      </w:tr>
      <w:tr w14:paraId="0B917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0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30B27A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七</w:t>
            </w:r>
          </w:p>
        </w:tc>
        <w:tc>
          <w:tcPr>
            <w:tcW w:w="40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8C6E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动态总投资</w:t>
            </w:r>
          </w:p>
        </w:tc>
        <w:tc>
          <w:tcPr>
            <w:tcW w:w="36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6555B">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30.67</w:t>
            </w:r>
          </w:p>
        </w:tc>
      </w:tr>
    </w:tbl>
    <w:p w14:paraId="3B0AD556">
      <w:pPr>
        <w:pStyle w:val="22"/>
        <w:ind w:firstLine="0" w:firstLineChars="0"/>
        <w:rPr>
          <w:rFonts w:ascii="Times New Roman" w:hAnsi="Times New Roman" w:eastAsia="宋体" w:cs="Times New Roman"/>
          <w:b/>
          <w:bCs/>
          <w:color w:val="auto"/>
          <w:sz w:val="21"/>
          <w:highlight w:val="none"/>
        </w:rPr>
      </w:pPr>
    </w:p>
    <w:p w14:paraId="79C54DCD">
      <w:pPr>
        <w:pStyle w:val="4"/>
        <w:ind w:firstLine="321" w:firstLineChars="100"/>
        <w:rPr>
          <w:rFonts w:ascii="Times New Roman" w:hAnsi="Times New Roman" w:eastAsia="宋体" w:cs="Times New Roman"/>
          <w:color w:val="auto"/>
          <w:highlight w:val="none"/>
        </w:rPr>
      </w:pPr>
      <w:bookmarkStart w:id="215" w:name="_Toc20498"/>
      <w:bookmarkStart w:id="216" w:name="_Toc45523309"/>
      <w:r>
        <w:rPr>
          <w:rFonts w:ascii="Times New Roman" w:hAnsi="Times New Roman" w:eastAsia="宋体" w:cs="Times New Roman"/>
          <w:color w:val="auto"/>
          <w:highlight w:val="none"/>
        </w:rPr>
        <w:t>（二）单项工程量与投资估算</w:t>
      </w:r>
      <w:bookmarkEnd w:id="215"/>
    </w:p>
    <w:p w14:paraId="6A9224C0">
      <w:pPr>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矿山土地复垦工程施工投资约</w:t>
      </w:r>
      <w:r>
        <w:rPr>
          <w:rFonts w:hint="eastAsia" w:ascii="仿宋" w:hAnsi="仿宋" w:eastAsia="仿宋" w:cs="仿宋"/>
          <w:color w:val="auto"/>
          <w:sz w:val="28"/>
          <w:szCs w:val="28"/>
          <w:highlight w:val="none"/>
          <w:lang w:val="en-US" w:eastAsia="zh-CN"/>
        </w:rPr>
        <w:t>8.85</w:t>
      </w:r>
      <w:r>
        <w:rPr>
          <w:rFonts w:hint="eastAsia" w:ascii="仿宋" w:hAnsi="仿宋" w:eastAsia="仿宋" w:cs="仿宋"/>
          <w:color w:val="auto"/>
          <w:sz w:val="28"/>
          <w:szCs w:val="28"/>
          <w:highlight w:val="none"/>
        </w:rPr>
        <w:t>万元，土地复垦工程量与工程投资估算见表7-10。</w:t>
      </w:r>
    </w:p>
    <w:p w14:paraId="79030A71">
      <w:pPr>
        <w:snapToGrid w:val="0"/>
        <w:spacing w:line="360" w:lineRule="auto"/>
        <w:ind w:firstLine="42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表7-1</w:t>
      </w:r>
      <w:r>
        <w:rPr>
          <w:rFonts w:hint="eastAsia" w:ascii="Times New Roman" w:hAnsi="Times New Roman" w:eastAsia="宋体" w:cs="Times New Roman"/>
          <w:b/>
          <w:bCs/>
          <w:color w:val="auto"/>
          <w:highlight w:val="none"/>
        </w:rPr>
        <w:t>0</w:t>
      </w:r>
      <w:r>
        <w:rPr>
          <w:rFonts w:ascii="Times New Roman" w:hAnsi="Times New Roman" w:eastAsia="宋体" w:cs="Times New Roman"/>
          <w:b/>
          <w:bCs/>
          <w:color w:val="auto"/>
          <w:highlight w:val="none"/>
        </w:rPr>
        <w:t xml:space="preserve">   工程投资估算表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5"/>
        <w:gridCol w:w="2681"/>
        <w:gridCol w:w="868"/>
        <w:gridCol w:w="1408"/>
        <w:gridCol w:w="1287"/>
        <w:gridCol w:w="1240"/>
      </w:tblGrid>
      <w:tr w14:paraId="5BA47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1035" w:type="dxa"/>
            <w:tcBorders>
              <w:top w:val="single" w:color="000000" w:sz="8" w:space="0"/>
              <w:left w:val="single" w:color="000000" w:sz="8" w:space="0"/>
              <w:bottom w:val="single" w:color="000000" w:sz="4" w:space="0"/>
              <w:right w:val="single" w:color="000000" w:sz="4" w:space="0"/>
            </w:tcBorders>
            <w:shd w:val="clear" w:color="auto" w:fill="FFFFFF"/>
            <w:vAlign w:val="center"/>
          </w:tcPr>
          <w:p w14:paraId="0680E1C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2681"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1C8FEAA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工程或费用名称</w:t>
            </w:r>
          </w:p>
        </w:tc>
        <w:tc>
          <w:tcPr>
            <w:tcW w:w="868"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156E6CD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计量 </w:t>
            </w:r>
          </w:p>
          <w:p w14:paraId="193BF10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w:t>
            </w:r>
          </w:p>
        </w:tc>
        <w:tc>
          <w:tcPr>
            <w:tcW w:w="1408"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0D3A36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1287"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4FB0773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综合单价 </w:t>
            </w:r>
          </w:p>
          <w:p w14:paraId="6FEA351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元</w:t>
            </w:r>
          </w:p>
        </w:tc>
        <w:tc>
          <w:tcPr>
            <w:tcW w:w="1240" w:type="dxa"/>
            <w:tcBorders>
              <w:top w:val="single" w:color="000000" w:sz="8" w:space="0"/>
              <w:left w:val="single" w:color="000000" w:sz="4" w:space="0"/>
              <w:bottom w:val="single" w:color="000000" w:sz="4" w:space="0"/>
              <w:right w:val="single" w:color="000000" w:sz="8" w:space="0"/>
            </w:tcBorders>
            <w:shd w:val="clear" w:color="auto" w:fill="FFFFFF"/>
            <w:vAlign w:val="center"/>
          </w:tcPr>
          <w:p w14:paraId="1C77BD6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合计 </w:t>
            </w:r>
          </w:p>
          <w:p w14:paraId="7EDFF13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万元</w:t>
            </w:r>
          </w:p>
        </w:tc>
      </w:tr>
      <w:tr w14:paraId="58DD5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02266949">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37F7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土壤重构工程</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01522">
            <w:pPr>
              <w:jc w:val="center"/>
              <w:rPr>
                <w:rFonts w:hint="eastAsia" w:ascii="宋体" w:hAnsi="宋体" w:eastAsia="宋体" w:cs="宋体"/>
                <w:i w:val="0"/>
                <w:iCs w:val="0"/>
                <w:color w:val="auto"/>
                <w:sz w:val="18"/>
                <w:szCs w:val="18"/>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CCA56">
            <w:pPr>
              <w:jc w:val="right"/>
              <w:rPr>
                <w:rFonts w:hint="eastAsia" w:ascii="宋体" w:hAnsi="宋体" w:eastAsia="宋体" w:cs="宋体"/>
                <w:i w:val="0"/>
                <w:iCs w:val="0"/>
                <w:color w:val="auto"/>
                <w:sz w:val="18"/>
                <w:szCs w:val="18"/>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534BC">
            <w:pPr>
              <w:jc w:val="right"/>
              <w:rPr>
                <w:rFonts w:hint="eastAsia" w:ascii="宋体" w:hAnsi="宋体" w:eastAsia="宋体" w:cs="宋体"/>
                <w:i w:val="0"/>
                <w:iCs w:val="0"/>
                <w:color w:val="auto"/>
                <w:sz w:val="18"/>
                <w:szCs w:val="18"/>
                <w:u w:val="none"/>
              </w:rPr>
            </w:pP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16B35B69">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7.88</w:t>
            </w:r>
          </w:p>
        </w:tc>
      </w:tr>
      <w:tr w14:paraId="6315D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62EF2F89">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72793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表土剥离</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175E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100m3</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29FCA">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183.9</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7EEC2">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178.74</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10645BA">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3.29</w:t>
            </w:r>
          </w:p>
        </w:tc>
      </w:tr>
      <w:tr w14:paraId="57625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7E4F6AF5">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453B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表土养护</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36D51">
            <w:pPr>
              <w:jc w:val="center"/>
              <w:rPr>
                <w:rFonts w:hint="eastAsia" w:ascii="宋体" w:hAnsi="宋体" w:eastAsia="宋体" w:cs="宋体"/>
                <w:i w:val="0"/>
                <w:iCs w:val="0"/>
                <w:color w:val="auto"/>
                <w:sz w:val="18"/>
                <w:szCs w:val="18"/>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73B49">
            <w:pPr>
              <w:jc w:val="right"/>
              <w:rPr>
                <w:rFonts w:hint="eastAsia" w:ascii="宋体" w:hAnsi="宋体" w:eastAsia="宋体" w:cs="宋体"/>
                <w:i w:val="0"/>
                <w:iCs w:val="0"/>
                <w:color w:val="auto"/>
                <w:sz w:val="18"/>
                <w:szCs w:val="18"/>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1CDA1">
            <w:pPr>
              <w:jc w:val="right"/>
              <w:rPr>
                <w:rFonts w:hint="eastAsia" w:ascii="宋体" w:hAnsi="宋体" w:eastAsia="宋体" w:cs="宋体"/>
                <w:i w:val="0"/>
                <w:iCs w:val="0"/>
                <w:color w:val="auto"/>
                <w:sz w:val="18"/>
                <w:szCs w:val="18"/>
                <w:u w:val="none"/>
              </w:rPr>
            </w:pP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538B1D56">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1.56</w:t>
            </w:r>
          </w:p>
        </w:tc>
      </w:tr>
      <w:tr w14:paraId="0D7A8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1674A207">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BE54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薄膜覆盖</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CC3A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100m2</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C0816">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4BBCD">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574.63</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6F2A144">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1.38</w:t>
            </w:r>
          </w:p>
        </w:tc>
      </w:tr>
      <w:tr w14:paraId="30133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50CF4407">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459F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草籽养护</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CF2D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hm2</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A2D94">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0.81</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96DE2">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2278.98</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00D0E9C">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0.18</w:t>
            </w:r>
          </w:p>
        </w:tc>
      </w:tr>
      <w:tr w14:paraId="2CFE3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27DA02B5">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6D1A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土地平整</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A27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100m3</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C43C5">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F1E19">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279.96</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12E5C353">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1.68</w:t>
            </w:r>
          </w:p>
        </w:tc>
      </w:tr>
      <w:tr w14:paraId="74E2D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45A5AA4F">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FCEC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表土回填</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F51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100m3</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BB4B3">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FA433">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749.72</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61DB490">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1.35</w:t>
            </w:r>
          </w:p>
        </w:tc>
      </w:tr>
      <w:tr w14:paraId="70930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11EC9A75">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15EC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地力培肥</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CFB1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hm2</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4BFCD">
            <w:pPr>
              <w:jc w:val="right"/>
              <w:rPr>
                <w:rFonts w:hint="eastAsia" w:ascii="宋体" w:hAnsi="宋体" w:eastAsia="宋体" w:cs="宋体"/>
                <w:i w:val="0"/>
                <w:iCs w:val="0"/>
                <w:color w:val="auto"/>
                <w:sz w:val="18"/>
                <w:szCs w:val="18"/>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B9C83">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2440.84</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007930A2">
            <w:pPr>
              <w:jc w:val="right"/>
              <w:rPr>
                <w:rFonts w:hint="eastAsia" w:ascii="宋体" w:hAnsi="宋体" w:eastAsia="宋体" w:cs="宋体"/>
                <w:i w:val="0"/>
                <w:iCs w:val="0"/>
                <w:color w:val="auto"/>
                <w:sz w:val="18"/>
                <w:szCs w:val="18"/>
                <w:u w:val="none"/>
              </w:rPr>
            </w:pPr>
          </w:p>
        </w:tc>
      </w:tr>
      <w:tr w14:paraId="1119E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746C0463">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24F9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植被恢复工程</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70BAC">
            <w:pPr>
              <w:jc w:val="center"/>
              <w:rPr>
                <w:rFonts w:hint="eastAsia" w:ascii="宋体" w:hAnsi="宋体" w:eastAsia="宋体" w:cs="宋体"/>
                <w:i w:val="0"/>
                <w:iCs w:val="0"/>
                <w:color w:val="auto"/>
                <w:sz w:val="18"/>
                <w:szCs w:val="18"/>
                <w:u w:val="none"/>
              </w:rPr>
            </w:pP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F9303">
            <w:pPr>
              <w:jc w:val="right"/>
              <w:rPr>
                <w:rFonts w:hint="eastAsia" w:ascii="宋体" w:hAnsi="宋体" w:eastAsia="宋体" w:cs="宋体"/>
                <w:i w:val="0"/>
                <w:iCs w:val="0"/>
                <w:color w:val="auto"/>
                <w:sz w:val="18"/>
                <w:szCs w:val="18"/>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5D974">
            <w:pPr>
              <w:jc w:val="right"/>
              <w:rPr>
                <w:rFonts w:hint="eastAsia" w:ascii="宋体" w:hAnsi="宋体" w:eastAsia="宋体" w:cs="宋体"/>
                <w:i w:val="0"/>
                <w:iCs w:val="0"/>
                <w:color w:val="auto"/>
                <w:sz w:val="18"/>
                <w:szCs w:val="18"/>
                <w:u w:val="none"/>
              </w:rPr>
            </w:pP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1752045F">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0.97</w:t>
            </w:r>
          </w:p>
        </w:tc>
      </w:tr>
      <w:tr w14:paraId="04904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4161C299">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FDED5">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栽植椿树苗</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FD69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100株</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1E9F6">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3.25</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4E402">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243.04</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4DCC81B5">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0.08</w:t>
            </w:r>
          </w:p>
        </w:tc>
      </w:tr>
      <w:tr w14:paraId="35732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04D2C13E">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E0F0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栽植杨树苗</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8FD9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100株</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1F5D4">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3.25</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CCC7E">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377.16</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23E29072">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0.12</w:t>
            </w:r>
          </w:p>
        </w:tc>
      </w:tr>
      <w:tr w14:paraId="236A3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5A99AC3F">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22BC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栽种葛藤苗</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B501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100株</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5D89C">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6.27</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D0510">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597.27</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512A2EA3">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0.37</w:t>
            </w:r>
          </w:p>
        </w:tc>
      </w:tr>
      <w:tr w14:paraId="5B3FF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74AC84AF">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AE2B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播撒草籽</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EC9C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hm2</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89A7E">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0.8</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9C694">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2278.98</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323EF808">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0.18</w:t>
            </w:r>
          </w:p>
        </w:tc>
      </w:tr>
      <w:tr w14:paraId="4300D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035"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755A0840">
            <w:pPr>
              <w:jc w:val="center"/>
              <w:rPr>
                <w:rFonts w:hint="eastAsia" w:ascii="宋体" w:hAnsi="宋体" w:eastAsia="宋体" w:cs="宋体"/>
                <w:i w:val="0"/>
                <w:iCs w:val="0"/>
                <w:color w:val="auto"/>
                <w:sz w:val="18"/>
                <w:szCs w:val="18"/>
                <w:u w:val="none"/>
              </w:rPr>
            </w:pPr>
          </w:p>
        </w:tc>
        <w:tc>
          <w:tcPr>
            <w:tcW w:w="268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4AAB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土木格栅辅助</w:t>
            </w:r>
          </w:p>
        </w:tc>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E269E">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100m2</w:t>
            </w:r>
          </w:p>
        </w:tc>
        <w:tc>
          <w:tcPr>
            <w:tcW w:w="1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5D1A3">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6.27</w:t>
            </w:r>
          </w:p>
        </w:tc>
        <w:tc>
          <w:tcPr>
            <w:tcW w:w="12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80217">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352.27</w:t>
            </w:r>
          </w:p>
        </w:tc>
        <w:tc>
          <w:tcPr>
            <w:tcW w:w="1240"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3316E17">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0.22</w:t>
            </w:r>
          </w:p>
        </w:tc>
      </w:tr>
      <w:tr w14:paraId="25057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07" w:type="pct"/>
            <w:tcBorders>
              <w:top w:val="single" w:color="000000" w:sz="4" w:space="0"/>
              <w:left w:val="single" w:color="000000" w:sz="8" w:space="0"/>
              <w:bottom w:val="single" w:color="000000" w:sz="4" w:space="0"/>
              <w:right w:val="single" w:color="000000" w:sz="4" w:space="0"/>
            </w:tcBorders>
            <w:shd w:val="clear" w:color="auto" w:fill="FFFFFF"/>
            <w:vAlign w:val="center"/>
          </w:tcPr>
          <w:p w14:paraId="1E0E8806">
            <w:pPr>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合计</w:t>
            </w:r>
          </w:p>
        </w:tc>
        <w:tc>
          <w:tcPr>
            <w:tcW w:w="15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1FD25">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5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3E4E7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8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182F2">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p>
        </w:tc>
        <w:tc>
          <w:tcPr>
            <w:tcW w:w="7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66BBE5">
            <w:pPr>
              <w:keepNext w:val="0"/>
              <w:keepLines w:val="0"/>
              <w:widowControl/>
              <w:suppressLineNumbers w:val="0"/>
              <w:jc w:val="right"/>
              <w:textAlignment w:val="center"/>
              <w:rPr>
                <w:rFonts w:hint="eastAsia" w:ascii="宋体" w:hAnsi="宋体" w:eastAsia="宋体" w:cs="宋体"/>
                <w:i w:val="0"/>
                <w:iCs w:val="0"/>
                <w:color w:val="auto"/>
                <w:kern w:val="0"/>
                <w:sz w:val="18"/>
                <w:szCs w:val="18"/>
                <w:u w:val="none"/>
                <w:lang w:val="en-US" w:eastAsia="zh-CN" w:bidi="ar"/>
              </w:rPr>
            </w:pPr>
          </w:p>
        </w:tc>
        <w:tc>
          <w:tcPr>
            <w:tcW w:w="727" w:type="pct"/>
            <w:tcBorders>
              <w:top w:val="single" w:color="000000" w:sz="4" w:space="0"/>
              <w:left w:val="single" w:color="000000" w:sz="4" w:space="0"/>
              <w:bottom w:val="single" w:color="000000" w:sz="4" w:space="0"/>
              <w:right w:val="single" w:color="000000" w:sz="8" w:space="0"/>
            </w:tcBorders>
            <w:shd w:val="clear" w:color="auto" w:fill="FFFFFF"/>
            <w:vAlign w:val="center"/>
          </w:tcPr>
          <w:p w14:paraId="6D22F058">
            <w:pPr>
              <w:keepNext w:val="0"/>
              <w:keepLines w:val="0"/>
              <w:widowControl/>
              <w:suppressLineNumbers w:val="0"/>
              <w:jc w:val="right"/>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8.85</w:t>
            </w:r>
          </w:p>
        </w:tc>
      </w:tr>
    </w:tbl>
    <w:p w14:paraId="0871C526">
      <w:pPr>
        <w:pStyle w:val="22"/>
        <w:ind w:firstLine="0" w:firstLineChars="0"/>
        <w:rPr>
          <w:rFonts w:ascii="Times New Roman" w:hAnsi="Times New Roman" w:eastAsia="宋体" w:cs="Times New Roman"/>
          <w:b/>
          <w:bCs/>
          <w:color w:val="auto"/>
          <w:sz w:val="21"/>
          <w:highlight w:val="none"/>
        </w:rPr>
      </w:pPr>
    </w:p>
    <w:p w14:paraId="5259A7F4">
      <w:pPr>
        <w:pStyle w:val="3"/>
        <w:spacing w:before="120" w:after="120"/>
        <w:rPr>
          <w:rFonts w:ascii="Times New Roman" w:hAnsi="Times New Roman" w:eastAsia="宋体" w:cs="Times New Roman"/>
          <w:color w:val="auto"/>
          <w:highlight w:val="none"/>
        </w:rPr>
      </w:pPr>
      <w:bookmarkStart w:id="217" w:name="_Toc3074"/>
      <w:bookmarkStart w:id="218" w:name="_Toc29666"/>
      <w:r>
        <w:rPr>
          <w:rFonts w:ascii="Times New Roman" w:hAnsi="Times New Roman" w:eastAsia="宋体" w:cs="Times New Roman"/>
          <w:color w:val="auto"/>
          <w:highlight w:val="none"/>
        </w:rPr>
        <w:t>四、总费用汇总与年度安排</w:t>
      </w:r>
      <w:bookmarkEnd w:id="216"/>
      <w:bookmarkEnd w:id="217"/>
      <w:bookmarkEnd w:id="218"/>
    </w:p>
    <w:p w14:paraId="6C229C2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1、总费用构成</w:t>
      </w:r>
    </w:p>
    <w:p w14:paraId="09A61E1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本项目总费用由矿山地质环境治理费用和土地复垦费用两部分组成。矿山地质环境治理费用包括：矿山地质环境监测费用组成；土地复垦费用包括矿区土地复垦费用和矿区土地复垦监测和管护费用两部分组成。</w:t>
      </w:r>
    </w:p>
    <w:p w14:paraId="3F9A437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2、总费用汇总</w:t>
      </w:r>
    </w:p>
    <w:p w14:paraId="3F5FA9CE">
      <w:pPr>
        <w:pStyle w:val="22"/>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本项目矿山环境治理工程和土地复垦工程动态总投资</w:t>
      </w:r>
      <w:r>
        <w:rPr>
          <w:rFonts w:hint="eastAsia" w:ascii="仿宋" w:hAnsi="仿宋" w:eastAsia="仿宋" w:cs="仿宋"/>
          <w:color w:val="auto"/>
          <w:sz w:val="28"/>
          <w:szCs w:val="28"/>
          <w:highlight w:val="none"/>
          <w:lang w:val="en-US" w:eastAsia="zh-CN"/>
        </w:rPr>
        <w:t>30.67</w:t>
      </w:r>
      <w:r>
        <w:rPr>
          <w:rFonts w:hint="eastAsia" w:ascii="仿宋" w:hAnsi="仿宋" w:eastAsia="仿宋" w:cs="仿宋"/>
          <w:color w:val="auto"/>
          <w:sz w:val="28"/>
          <w:szCs w:val="28"/>
          <w:highlight w:val="none"/>
        </w:rPr>
        <w:t>万元，静态总投资</w:t>
      </w:r>
      <w:r>
        <w:rPr>
          <w:rFonts w:hint="eastAsia" w:ascii="仿宋" w:hAnsi="仿宋" w:eastAsia="仿宋" w:cs="仿宋"/>
          <w:color w:val="auto"/>
          <w:sz w:val="28"/>
          <w:szCs w:val="28"/>
          <w:highlight w:val="none"/>
          <w:lang w:val="en-US" w:eastAsia="zh-CN"/>
        </w:rPr>
        <w:t>29.28</w:t>
      </w:r>
      <w:r>
        <w:rPr>
          <w:rFonts w:hint="eastAsia" w:ascii="仿宋" w:hAnsi="仿宋" w:eastAsia="仿宋" w:cs="仿宋"/>
          <w:color w:val="auto"/>
          <w:sz w:val="28"/>
          <w:szCs w:val="28"/>
          <w:highlight w:val="none"/>
        </w:rPr>
        <w:t>万元。项目区复垦责任面积为</w:t>
      </w:r>
      <w:r>
        <w:rPr>
          <w:rFonts w:hint="eastAsia" w:ascii="仿宋" w:hAnsi="仿宋" w:eastAsia="仿宋" w:cs="仿宋"/>
          <w:color w:val="auto"/>
          <w:sz w:val="28"/>
          <w:szCs w:val="28"/>
          <w:highlight w:val="none"/>
          <w:lang w:val="en-US" w:eastAsia="zh-CN"/>
        </w:rPr>
        <w:t>8000</w:t>
      </w:r>
      <w:r>
        <w:rPr>
          <w:rFonts w:hint="eastAsia" w:ascii="仿宋" w:hAnsi="仿宋" w:eastAsia="仿宋" w:cs="仿宋"/>
          <w:color w:val="auto"/>
          <w:sz w:val="28"/>
          <w:szCs w:val="28"/>
          <w:highlight w:val="none"/>
        </w:rPr>
        <w:t>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，单位面积投资为</w:t>
      </w:r>
      <w:r>
        <w:rPr>
          <w:rFonts w:hint="eastAsia" w:ascii="仿宋" w:hAnsi="仿宋" w:eastAsia="仿宋" w:cs="仿宋"/>
          <w:color w:val="auto"/>
          <w:sz w:val="28"/>
          <w:szCs w:val="28"/>
          <w:highlight w:val="none"/>
          <w:lang w:val="en-US" w:eastAsia="zh-CN"/>
        </w:rPr>
        <w:t>38.34</w:t>
      </w:r>
      <w:r>
        <w:rPr>
          <w:rFonts w:hint="eastAsia" w:ascii="仿宋" w:hAnsi="仿宋" w:eastAsia="仿宋" w:cs="仿宋"/>
          <w:color w:val="auto"/>
          <w:sz w:val="28"/>
          <w:szCs w:val="28"/>
          <w:highlight w:val="none"/>
        </w:rPr>
        <w:t>元/m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，见表7-11。</w:t>
      </w:r>
    </w:p>
    <w:p w14:paraId="34A85FB6">
      <w:pPr>
        <w:spacing w:line="360" w:lineRule="auto"/>
        <w:ind w:firstLine="560" w:firstLineChars="200"/>
        <w:rPr>
          <w:rFonts w:hint="eastAsia" w:ascii="仿宋" w:hAnsi="仿宋" w:eastAsia="仿宋" w:cs="仿宋"/>
          <w:color w:val="auto"/>
          <w:sz w:val="28"/>
          <w:szCs w:val="28"/>
          <w:highlight w:val="none"/>
        </w:rPr>
      </w:pPr>
      <w:bookmarkStart w:id="219" w:name="_Toc45523310"/>
      <w:bookmarkStart w:id="220" w:name="_Toc42430563"/>
      <w:r>
        <w:rPr>
          <w:rFonts w:hint="eastAsia" w:ascii="仿宋" w:hAnsi="仿宋" w:eastAsia="仿宋" w:cs="仿宋"/>
          <w:color w:val="auto"/>
          <w:sz w:val="28"/>
          <w:szCs w:val="28"/>
          <w:highlight w:val="none"/>
        </w:rPr>
        <w:t>3、近期年度经费安排</w:t>
      </w:r>
      <w:bookmarkEnd w:id="219"/>
      <w:bookmarkEnd w:id="220"/>
    </w:p>
    <w:p w14:paraId="5BE1AAB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根据本项目矿山地质环境保护与土地复垦服务年限和阶段安排，该期主要进行矿山全面恢复期、监测管护期，具体工程见表7-12。</w:t>
      </w:r>
    </w:p>
    <w:p w14:paraId="2AEB0C80">
      <w:pPr>
        <w:snapToGrid w:val="0"/>
        <w:ind w:firstLine="422"/>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表7-1</w:t>
      </w:r>
      <w:r>
        <w:rPr>
          <w:rFonts w:hint="eastAsia" w:ascii="Times New Roman" w:hAnsi="Times New Roman" w:eastAsia="宋体" w:cs="Times New Roman"/>
          <w:b/>
          <w:bCs/>
          <w:color w:val="auto"/>
          <w:highlight w:val="none"/>
        </w:rPr>
        <w:t>2</w:t>
      </w:r>
      <w:r>
        <w:rPr>
          <w:rFonts w:ascii="Times New Roman" w:hAnsi="Times New Roman" w:eastAsia="宋体" w:cs="Times New Roman"/>
          <w:b/>
          <w:bCs/>
          <w:color w:val="auto"/>
          <w:highlight w:val="none"/>
        </w:rPr>
        <w:t xml:space="preserve">   近年度工作计划安排表</w:t>
      </w:r>
    </w:p>
    <w:tbl>
      <w:tblPr>
        <w:tblStyle w:val="23"/>
        <w:tblW w:w="4998" w:type="pct"/>
        <w:jc w:val="center"/>
        <w:tblLayout w:type="autofit"/>
        <w:tblCellMar>
          <w:top w:w="0" w:type="dxa"/>
          <w:left w:w="108" w:type="dxa"/>
          <w:bottom w:w="0" w:type="dxa"/>
          <w:right w:w="108" w:type="dxa"/>
        </w:tblCellMar>
      </w:tblPr>
      <w:tblGrid>
        <w:gridCol w:w="652"/>
        <w:gridCol w:w="1009"/>
        <w:gridCol w:w="5670"/>
        <w:gridCol w:w="1188"/>
      </w:tblGrid>
      <w:tr w14:paraId="03715D3B">
        <w:tblPrEx>
          <w:tblCellMar>
            <w:top w:w="0" w:type="dxa"/>
            <w:left w:w="108" w:type="dxa"/>
            <w:bottom w:w="0" w:type="dxa"/>
            <w:right w:w="108" w:type="dxa"/>
          </w:tblCellMar>
        </w:tblPrEx>
        <w:trPr>
          <w:trHeight w:val="319" w:hRule="atLeast"/>
          <w:jc w:val="center"/>
        </w:trPr>
        <w:tc>
          <w:tcPr>
            <w:tcW w:w="963" w:type="pct"/>
            <w:gridSpan w:val="2"/>
            <w:tcBorders>
              <w:top w:val="single" w:color="000000" w:sz="4" w:space="0"/>
              <w:left w:val="single" w:color="000000" w:sz="4" w:space="0"/>
              <w:bottom w:val="single" w:color="000000" w:sz="4" w:space="0"/>
              <w:right w:val="single" w:color="000000" w:sz="4" w:space="0"/>
            </w:tcBorders>
            <w:vAlign w:val="center"/>
          </w:tcPr>
          <w:p w14:paraId="0458DE4B">
            <w:pPr>
              <w:widowControl/>
              <w:jc w:val="center"/>
              <w:textAlignment w:val="center"/>
              <w:rPr>
                <w:rFonts w:eastAsia="宋体"/>
                <w:color w:val="auto"/>
                <w:highlight w:val="none"/>
              </w:rPr>
            </w:pPr>
            <w:r>
              <w:rPr>
                <w:rFonts w:eastAsia="宋体"/>
                <w:color w:val="auto"/>
                <w:kern w:val="0"/>
                <w:highlight w:val="none"/>
                <w:lang w:bidi="ar"/>
              </w:rPr>
              <w:t>时间</w:t>
            </w:r>
          </w:p>
        </w:tc>
        <w:tc>
          <w:tcPr>
            <w:tcW w:w="3333" w:type="pct"/>
            <w:vMerge w:val="restart"/>
            <w:tcBorders>
              <w:top w:val="single" w:color="000000" w:sz="4" w:space="0"/>
              <w:left w:val="single" w:color="000000" w:sz="4" w:space="0"/>
              <w:bottom w:val="single" w:color="000000" w:sz="4" w:space="0"/>
              <w:right w:val="single" w:color="000000" w:sz="4" w:space="0"/>
            </w:tcBorders>
            <w:vAlign w:val="center"/>
          </w:tcPr>
          <w:p w14:paraId="2F6BED67">
            <w:pPr>
              <w:widowControl/>
              <w:jc w:val="center"/>
              <w:textAlignment w:val="center"/>
              <w:rPr>
                <w:rFonts w:eastAsia="宋体"/>
                <w:color w:val="auto"/>
                <w:highlight w:val="none"/>
              </w:rPr>
            </w:pPr>
            <w:r>
              <w:rPr>
                <w:rFonts w:eastAsia="宋体"/>
                <w:color w:val="auto"/>
                <w:kern w:val="0"/>
                <w:highlight w:val="none"/>
                <w:lang w:bidi="ar"/>
              </w:rPr>
              <w:t>工作计划</w:t>
            </w:r>
          </w:p>
        </w:tc>
        <w:tc>
          <w:tcPr>
            <w:tcW w:w="703" w:type="pct"/>
            <w:tcBorders>
              <w:top w:val="single" w:color="000000" w:sz="4" w:space="0"/>
              <w:left w:val="single" w:color="000000" w:sz="4" w:space="0"/>
              <w:bottom w:val="single" w:color="000000" w:sz="4" w:space="0"/>
              <w:right w:val="single" w:color="000000" w:sz="4" w:space="0"/>
            </w:tcBorders>
            <w:vAlign w:val="center"/>
          </w:tcPr>
          <w:p w14:paraId="6241F503">
            <w:pPr>
              <w:widowControl/>
              <w:jc w:val="center"/>
              <w:textAlignment w:val="center"/>
              <w:rPr>
                <w:rFonts w:hint="eastAsia" w:eastAsia="宋体"/>
                <w:color w:val="auto"/>
                <w:kern w:val="0"/>
                <w:highlight w:val="none"/>
                <w:lang w:val="en-US" w:eastAsia="zh-CN" w:bidi="ar"/>
              </w:rPr>
            </w:pPr>
            <w:r>
              <w:rPr>
                <w:rFonts w:hint="eastAsia" w:eastAsia="宋体"/>
                <w:color w:val="auto"/>
                <w:kern w:val="0"/>
                <w:highlight w:val="none"/>
                <w:lang w:val="en-US" w:eastAsia="zh-CN" w:bidi="ar"/>
              </w:rPr>
              <w:t>费用</w:t>
            </w:r>
          </w:p>
        </w:tc>
      </w:tr>
      <w:tr w14:paraId="0B2BB4E2">
        <w:tblPrEx>
          <w:tblCellMar>
            <w:top w:w="0" w:type="dxa"/>
            <w:left w:w="108" w:type="dxa"/>
            <w:bottom w:w="0" w:type="dxa"/>
            <w:right w:w="108" w:type="dxa"/>
          </w:tblCellMar>
        </w:tblPrEx>
        <w:trPr>
          <w:trHeight w:val="289" w:hRule="atLeast"/>
          <w:jc w:val="center"/>
        </w:trPr>
        <w:tc>
          <w:tcPr>
            <w:tcW w:w="379" w:type="pct"/>
            <w:tcBorders>
              <w:top w:val="single" w:color="000000" w:sz="4" w:space="0"/>
              <w:left w:val="single" w:color="000000" w:sz="4" w:space="0"/>
              <w:bottom w:val="single" w:color="000000" w:sz="4" w:space="0"/>
              <w:right w:val="single" w:color="000000" w:sz="4" w:space="0"/>
            </w:tcBorders>
            <w:vAlign w:val="center"/>
          </w:tcPr>
          <w:p w14:paraId="0C4C2479">
            <w:pPr>
              <w:widowControl/>
              <w:jc w:val="center"/>
              <w:textAlignment w:val="center"/>
              <w:rPr>
                <w:rFonts w:eastAsia="宋体"/>
                <w:color w:val="auto"/>
                <w:highlight w:val="none"/>
              </w:rPr>
            </w:pPr>
            <w:r>
              <w:rPr>
                <w:rFonts w:eastAsia="宋体"/>
                <w:color w:val="auto"/>
                <w:kern w:val="0"/>
                <w:highlight w:val="none"/>
                <w:lang w:bidi="ar"/>
              </w:rPr>
              <w:t>阶段</w:t>
            </w:r>
          </w:p>
        </w:tc>
        <w:tc>
          <w:tcPr>
            <w:tcW w:w="583" w:type="pct"/>
            <w:tcBorders>
              <w:top w:val="single" w:color="000000" w:sz="4" w:space="0"/>
              <w:left w:val="single" w:color="000000" w:sz="4" w:space="0"/>
              <w:bottom w:val="single" w:color="000000" w:sz="4" w:space="0"/>
              <w:right w:val="single" w:color="000000" w:sz="4" w:space="0"/>
            </w:tcBorders>
            <w:vAlign w:val="center"/>
          </w:tcPr>
          <w:p w14:paraId="6627D119">
            <w:pPr>
              <w:widowControl/>
              <w:jc w:val="center"/>
              <w:textAlignment w:val="center"/>
              <w:rPr>
                <w:rFonts w:eastAsia="宋体"/>
                <w:color w:val="auto"/>
                <w:highlight w:val="none"/>
              </w:rPr>
            </w:pPr>
            <w:r>
              <w:rPr>
                <w:rFonts w:eastAsia="宋体"/>
                <w:color w:val="auto"/>
                <w:kern w:val="0"/>
                <w:highlight w:val="none"/>
                <w:lang w:bidi="ar"/>
              </w:rPr>
              <w:t>年</w:t>
            </w:r>
          </w:p>
        </w:tc>
        <w:tc>
          <w:tcPr>
            <w:tcW w:w="3333" w:type="pct"/>
            <w:vMerge w:val="continue"/>
            <w:tcBorders>
              <w:top w:val="single" w:color="000000" w:sz="4" w:space="0"/>
              <w:left w:val="single" w:color="000000" w:sz="4" w:space="0"/>
              <w:bottom w:val="single" w:color="000000" w:sz="4" w:space="0"/>
              <w:right w:val="single" w:color="000000" w:sz="4" w:space="0"/>
            </w:tcBorders>
            <w:vAlign w:val="center"/>
          </w:tcPr>
          <w:p w14:paraId="7157E0E8">
            <w:pPr>
              <w:jc w:val="center"/>
              <w:rPr>
                <w:rFonts w:eastAsia="宋体"/>
                <w:color w:val="auto"/>
                <w:highlight w:val="none"/>
              </w:rPr>
            </w:pPr>
          </w:p>
        </w:tc>
        <w:tc>
          <w:tcPr>
            <w:tcW w:w="703" w:type="pct"/>
            <w:tcBorders>
              <w:top w:val="single" w:color="000000" w:sz="4" w:space="0"/>
              <w:left w:val="single" w:color="000000" w:sz="4" w:space="0"/>
              <w:bottom w:val="single" w:color="000000" w:sz="4" w:space="0"/>
              <w:right w:val="single" w:color="000000" w:sz="4" w:space="0"/>
            </w:tcBorders>
            <w:vAlign w:val="center"/>
          </w:tcPr>
          <w:p w14:paraId="52C8937E">
            <w:pPr>
              <w:jc w:val="center"/>
              <w:rPr>
                <w:rFonts w:hint="eastAsia" w:eastAsia="宋体"/>
                <w:color w:val="auto"/>
                <w:highlight w:val="none"/>
                <w:lang w:val="en-US" w:eastAsia="zh-CN"/>
              </w:rPr>
            </w:pPr>
            <w:r>
              <w:rPr>
                <w:rFonts w:hint="eastAsia" w:eastAsia="宋体"/>
                <w:color w:val="auto"/>
                <w:highlight w:val="none"/>
                <w:lang w:val="en-US" w:eastAsia="zh-CN"/>
              </w:rPr>
              <w:t>万元</w:t>
            </w:r>
          </w:p>
        </w:tc>
      </w:tr>
      <w:tr w14:paraId="4DB36DC7">
        <w:tblPrEx>
          <w:tblCellMar>
            <w:top w:w="0" w:type="dxa"/>
            <w:left w:w="108" w:type="dxa"/>
            <w:bottom w:w="0" w:type="dxa"/>
            <w:right w:w="108" w:type="dxa"/>
          </w:tblCellMar>
        </w:tblPrEx>
        <w:trPr>
          <w:trHeight w:val="1249" w:hRule="atLeast"/>
          <w:jc w:val="center"/>
        </w:trPr>
        <w:tc>
          <w:tcPr>
            <w:tcW w:w="379" w:type="pct"/>
            <w:vMerge w:val="restart"/>
            <w:tcBorders>
              <w:top w:val="single" w:color="000000" w:sz="4" w:space="0"/>
              <w:left w:val="single" w:color="000000" w:sz="4" w:space="0"/>
              <w:bottom w:val="single" w:color="000000" w:sz="4" w:space="0"/>
              <w:right w:val="single" w:color="000000" w:sz="4" w:space="0"/>
            </w:tcBorders>
            <w:vAlign w:val="center"/>
          </w:tcPr>
          <w:p w14:paraId="6F9866C5">
            <w:pPr>
              <w:widowControl/>
              <w:jc w:val="center"/>
              <w:textAlignment w:val="center"/>
              <w:rPr>
                <w:rFonts w:eastAsia="宋体"/>
                <w:color w:val="auto"/>
                <w:highlight w:val="none"/>
              </w:rPr>
            </w:pPr>
            <w:r>
              <w:rPr>
                <w:rFonts w:eastAsia="宋体"/>
                <w:color w:val="auto"/>
                <w:kern w:val="0"/>
                <w:highlight w:val="none"/>
                <w:lang w:bidi="ar"/>
              </w:rPr>
              <w:t>第一阶段生产期 (</w:t>
            </w:r>
            <w:r>
              <w:rPr>
                <w:rFonts w:hint="eastAsia" w:eastAsia="宋体"/>
                <w:color w:val="auto"/>
                <w:kern w:val="0"/>
                <w:highlight w:val="none"/>
                <w:lang w:val="en-US" w:eastAsia="zh-CN" w:bidi="ar"/>
              </w:rPr>
              <w:t>9.14</w:t>
            </w:r>
            <w:r>
              <w:rPr>
                <w:rFonts w:eastAsia="宋体"/>
                <w:color w:val="auto"/>
                <w:kern w:val="0"/>
                <w:highlight w:val="none"/>
                <w:lang w:bidi="ar"/>
              </w:rPr>
              <w:t>年)</w:t>
            </w:r>
          </w:p>
        </w:tc>
        <w:tc>
          <w:tcPr>
            <w:tcW w:w="583" w:type="pct"/>
            <w:vMerge w:val="restart"/>
            <w:tcBorders>
              <w:top w:val="single" w:color="000000" w:sz="4" w:space="0"/>
              <w:left w:val="single" w:color="000000" w:sz="4" w:space="0"/>
              <w:bottom w:val="single" w:color="000000" w:sz="4" w:space="0"/>
              <w:right w:val="single" w:color="000000" w:sz="4" w:space="0"/>
            </w:tcBorders>
            <w:vAlign w:val="center"/>
          </w:tcPr>
          <w:p w14:paraId="396C947D">
            <w:pPr>
              <w:widowControl/>
              <w:jc w:val="center"/>
              <w:textAlignment w:val="center"/>
              <w:rPr>
                <w:rFonts w:eastAsia="宋体"/>
                <w:color w:val="auto"/>
                <w:kern w:val="0"/>
                <w:highlight w:val="none"/>
                <w:lang w:bidi="ar"/>
              </w:rPr>
            </w:pPr>
            <w:r>
              <w:rPr>
                <w:rFonts w:eastAsia="宋体"/>
                <w:color w:val="auto"/>
                <w:kern w:val="0"/>
                <w:highlight w:val="none"/>
                <w:lang w:bidi="ar"/>
              </w:rPr>
              <w:t>生产期</w:t>
            </w:r>
          </w:p>
          <w:p w14:paraId="64123F0A">
            <w:pPr>
              <w:widowControl/>
              <w:jc w:val="center"/>
              <w:textAlignment w:val="center"/>
              <w:rPr>
                <w:rFonts w:hint="default" w:eastAsia="宋体"/>
                <w:color w:val="auto"/>
                <w:highlight w:val="none"/>
                <w:lang w:val="en-US" w:eastAsia="zh-CN"/>
              </w:rPr>
            </w:pPr>
            <w:r>
              <w:rPr>
                <w:rFonts w:eastAsia="宋体"/>
                <w:color w:val="auto"/>
                <w:kern w:val="0"/>
                <w:highlight w:val="none"/>
                <w:lang w:bidi="ar"/>
              </w:rPr>
              <w:t>（</w:t>
            </w:r>
            <w:r>
              <w:rPr>
                <w:rFonts w:hint="eastAsia" w:eastAsia="宋体"/>
                <w:color w:val="auto"/>
                <w:kern w:val="0"/>
                <w:highlight w:val="none"/>
                <w:lang w:val="en-US" w:eastAsia="zh-CN" w:bidi="ar"/>
              </w:rPr>
              <w:t>9.14</w:t>
            </w:r>
            <w:r>
              <w:rPr>
                <w:rFonts w:eastAsia="宋体"/>
                <w:color w:val="auto"/>
                <w:kern w:val="0"/>
                <w:highlight w:val="none"/>
                <w:lang w:bidi="ar"/>
              </w:rPr>
              <w:t>）</w:t>
            </w:r>
          </w:p>
        </w:tc>
        <w:tc>
          <w:tcPr>
            <w:tcW w:w="3333" w:type="pct"/>
            <w:tcBorders>
              <w:top w:val="single" w:color="000000" w:sz="4" w:space="0"/>
              <w:left w:val="single" w:color="000000" w:sz="4" w:space="0"/>
              <w:bottom w:val="single" w:color="000000" w:sz="4" w:space="0"/>
              <w:right w:val="single" w:color="000000" w:sz="4" w:space="0"/>
            </w:tcBorders>
            <w:vAlign w:val="center"/>
          </w:tcPr>
          <w:p w14:paraId="40369931">
            <w:pPr>
              <w:widowControl/>
              <w:textAlignment w:val="center"/>
              <w:rPr>
                <w:rFonts w:eastAsia="宋体"/>
                <w:color w:val="auto"/>
                <w:highlight w:val="none"/>
              </w:rPr>
            </w:pPr>
            <w:r>
              <w:rPr>
                <w:rFonts w:eastAsia="宋体"/>
                <w:color w:val="auto"/>
                <w:kern w:val="0"/>
                <w:highlight w:val="none"/>
                <w:lang w:bidi="ar"/>
              </w:rPr>
              <w:t>①地质环境保护工程：对开采完毕的台阶进行边坡修整，修整面积</w:t>
            </w:r>
            <w:r>
              <w:rPr>
                <w:rFonts w:hint="eastAsia" w:eastAsia="宋体"/>
                <w:color w:val="auto"/>
                <w:kern w:val="0"/>
                <w:highlight w:val="none"/>
                <w:lang w:val="en-US" w:eastAsia="zh-CN" w:bidi="ar"/>
              </w:rPr>
              <w:t>0.8</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设置安全警示牌</w:t>
            </w:r>
            <w:r>
              <w:rPr>
                <w:rFonts w:hint="eastAsia" w:eastAsia="宋体"/>
                <w:color w:val="auto"/>
                <w:kern w:val="0"/>
                <w:highlight w:val="none"/>
                <w:lang w:bidi="ar"/>
              </w:rPr>
              <w:t>10</w:t>
            </w:r>
            <w:r>
              <w:rPr>
                <w:rFonts w:eastAsia="宋体"/>
                <w:color w:val="auto"/>
                <w:kern w:val="0"/>
                <w:highlight w:val="none"/>
                <w:lang w:bidi="ar"/>
              </w:rPr>
              <w:t>张</w:t>
            </w:r>
            <w:r>
              <w:rPr>
                <w:rFonts w:hint="eastAsia" w:eastAsia="宋体"/>
                <w:color w:val="auto"/>
                <w:kern w:val="0"/>
                <w:highlight w:val="none"/>
                <w:lang w:bidi="ar"/>
              </w:rPr>
              <w:t>。</w:t>
            </w:r>
            <w:r>
              <w:rPr>
                <w:rFonts w:eastAsia="宋体"/>
                <w:color w:val="auto"/>
                <w:kern w:val="0"/>
                <w:highlight w:val="none"/>
                <w:lang w:bidi="ar"/>
              </w:rPr>
              <w:t>巡视监测</w:t>
            </w:r>
            <w:r>
              <w:rPr>
                <w:rFonts w:hint="eastAsia" w:eastAsia="宋体"/>
                <w:color w:val="auto"/>
                <w:kern w:val="0"/>
                <w:highlight w:val="none"/>
                <w:lang w:val="en-US" w:eastAsia="zh-CN" w:bidi="ar"/>
              </w:rPr>
              <w:t>108</w:t>
            </w:r>
            <w:r>
              <w:rPr>
                <w:rFonts w:eastAsia="宋体"/>
                <w:color w:val="auto"/>
                <w:kern w:val="0"/>
                <w:highlight w:val="none"/>
                <w:lang w:bidi="ar"/>
              </w:rPr>
              <w:t>点.次，地灾简易监测</w:t>
            </w:r>
            <w:r>
              <w:rPr>
                <w:rFonts w:hint="eastAsia" w:eastAsia="宋体"/>
                <w:color w:val="auto"/>
                <w:kern w:val="0"/>
                <w:highlight w:val="none"/>
                <w:lang w:val="en-US" w:eastAsia="zh-CN" w:bidi="ar"/>
              </w:rPr>
              <w:t>192</w:t>
            </w:r>
            <w:r>
              <w:rPr>
                <w:rFonts w:eastAsia="宋体"/>
                <w:color w:val="auto"/>
                <w:kern w:val="0"/>
                <w:highlight w:val="none"/>
                <w:lang w:bidi="ar"/>
              </w:rPr>
              <w:t>点.次。</w:t>
            </w:r>
          </w:p>
        </w:tc>
        <w:tc>
          <w:tcPr>
            <w:tcW w:w="1188" w:type="dxa"/>
            <w:tcBorders>
              <w:top w:val="single" w:color="000000" w:sz="4" w:space="0"/>
              <w:left w:val="single" w:color="000000" w:sz="4" w:space="0"/>
              <w:bottom w:val="single" w:color="000000" w:sz="4" w:space="0"/>
              <w:right w:val="single" w:color="000000" w:sz="4" w:space="0"/>
            </w:tcBorders>
            <w:vAlign w:val="center"/>
          </w:tcPr>
          <w:p w14:paraId="597C8FAD">
            <w:pPr>
              <w:keepNext w:val="0"/>
              <w:keepLines w:val="0"/>
              <w:widowControl/>
              <w:suppressLineNumbers w:val="0"/>
              <w:jc w:val="both"/>
              <w:textAlignment w:val="center"/>
              <w:rPr>
                <w:rFonts w:hint="default" w:ascii="Calibri" w:hAnsi="Calibri" w:eastAsia="宋体" w:cs="Calibri"/>
                <w:i w:val="0"/>
                <w:iCs w:val="0"/>
                <w:color w:val="000000"/>
                <w:kern w:val="0"/>
                <w:sz w:val="21"/>
                <w:szCs w:val="21"/>
                <w:u w:val="none"/>
                <w:lang w:val="en-US" w:eastAsia="zh-CN" w:bidi="ar"/>
              </w:rPr>
            </w:pPr>
            <w:r>
              <w:rPr>
                <w:rFonts w:hint="eastAsia" w:ascii="Calibri" w:hAnsi="Calibri" w:eastAsia="宋体" w:cs="Calibri"/>
                <w:i w:val="0"/>
                <w:iCs w:val="0"/>
                <w:color w:val="000000"/>
                <w:kern w:val="0"/>
                <w:sz w:val="21"/>
                <w:szCs w:val="21"/>
                <w:u w:val="none"/>
                <w:lang w:val="en-US" w:eastAsia="zh-CN" w:bidi="ar"/>
              </w:rPr>
              <w:t>2.46</w:t>
            </w:r>
          </w:p>
        </w:tc>
      </w:tr>
      <w:tr w14:paraId="1D246B32">
        <w:tblPrEx>
          <w:tblCellMar>
            <w:top w:w="0" w:type="dxa"/>
            <w:left w:w="108" w:type="dxa"/>
            <w:bottom w:w="0" w:type="dxa"/>
            <w:right w:w="108" w:type="dxa"/>
          </w:tblCellMar>
        </w:tblPrEx>
        <w:trPr>
          <w:trHeight w:val="1207" w:hRule="atLeast"/>
          <w:jc w:val="center"/>
        </w:trPr>
        <w:tc>
          <w:tcPr>
            <w:tcW w:w="379" w:type="pct"/>
            <w:vMerge w:val="continue"/>
            <w:tcBorders>
              <w:top w:val="single" w:color="000000" w:sz="4" w:space="0"/>
              <w:left w:val="single" w:color="000000" w:sz="4" w:space="0"/>
              <w:bottom w:val="single" w:color="auto" w:sz="4" w:space="0"/>
              <w:right w:val="single" w:color="000000" w:sz="4" w:space="0"/>
            </w:tcBorders>
            <w:vAlign w:val="center"/>
          </w:tcPr>
          <w:p w14:paraId="0FB9120D">
            <w:pPr>
              <w:jc w:val="center"/>
              <w:rPr>
                <w:rFonts w:eastAsia="宋体"/>
                <w:color w:val="auto"/>
                <w:highlight w:val="none"/>
              </w:rPr>
            </w:pPr>
          </w:p>
        </w:tc>
        <w:tc>
          <w:tcPr>
            <w:tcW w:w="583" w:type="pct"/>
            <w:vMerge w:val="continue"/>
            <w:tcBorders>
              <w:top w:val="single" w:color="000000" w:sz="4" w:space="0"/>
              <w:left w:val="single" w:color="000000" w:sz="4" w:space="0"/>
              <w:bottom w:val="single" w:color="auto" w:sz="4" w:space="0"/>
              <w:right w:val="single" w:color="000000" w:sz="4" w:space="0"/>
            </w:tcBorders>
            <w:vAlign w:val="center"/>
          </w:tcPr>
          <w:p w14:paraId="43BC3E2E">
            <w:pPr>
              <w:jc w:val="center"/>
              <w:rPr>
                <w:rFonts w:eastAsia="宋体"/>
                <w:color w:val="auto"/>
                <w:highlight w:val="none"/>
              </w:rPr>
            </w:pPr>
          </w:p>
        </w:tc>
        <w:tc>
          <w:tcPr>
            <w:tcW w:w="3333" w:type="pct"/>
            <w:tcBorders>
              <w:top w:val="single" w:color="000000" w:sz="4" w:space="0"/>
              <w:left w:val="single" w:color="000000" w:sz="4" w:space="0"/>
              <w:bottom w:val="single" w:color="auto" w:sz="4" w:space="0"/>
              <w:right w:val="single" w:color="000000" w:sz="4" w:space="0"/>
            </w:tcBorders>
            <w:vAlign w:val="center"/>
          </w:tcPr>
          <w:p w14:paraId="19542E61">
            <w:pPr>
              <w:widowControl/>
              <w:textAlignment w:val="center"/>
              <w:rPr>
                <w:rFonts w:eastAsia="宋体"/>
                <w:color w:val="auto"/>
                <w:highlight w:val="none"/>
              </w:rPr>
            </w:pPr>
            <w:r>
              <w:rPr>
                <w:rFonts w:eastAsia="宋体"/>
                <w:color w:val="auto"/>
                <w:kern w:val="0"/>
                <w:highlight w:val="none"/>
                <w:lang w:bidi="ar"/>
              </w:rPr>
              <w:t>②土地复垦工程：</w:t>
            </w:r>
            <w:r>
              <w:rPr>
                <w:rFonts w:hint="eastAsia" w:eastAsia="宋体"/>
                <w:color w:val="auto"/>
                <w:kern w:val="0"/>
                <w:highlight w:val="none"/>
                <w:lang w:val="en-US" w:eastAsia="zh-CN" w:bidi="ar"/>
              </w:rPr>
              <w:t>在矿山开采过程中，应对矿山开采边坡及时进行矿山修复工作，坚持”边开采，边修复“的原则</w:t>
            </w:r>
            <w:r>
              <w:rPr>
                <w:rFonts w:hint="eastAsia" w:eastAsia="宋体"/>
                <w:color w:val="auto"/>
                <w:kern w:val="0"/>
                <w:highlight w:val="none"/>
                <w:lang w:bidi="ar"/>
              </w:rPr>
              <w:t>。</w:t>
            </w:r>
            <w:r>
              <w:rPr>
                <w:rFonts w:eastAsia="宋体"/>
                <w:color w:val="auto"/>
                <w:kern w:val="0"/>
                <w:highlight w:val="none"/>
                <w:lang w:bidi="ar"/>
              </w:rPr>
              <w:t>土地损毁情况及复垦效果监测</w:t>
            </w:r>
            <w:r>
              <w:rPr>
                <w:rFonts w:hint="eastAsia" w:eastAsia="宋体"/>
                <w:color w:val="auto"/>
                <w:kern w:val="0"/>
                <w:highlight w:val="none"/>
                <w:lang w:val="en-US" w:eastAsia="zh-CN" w:bidi="ar"/>
              </w:rPr>
              <w:t>36</w:t>
            </w:r>
            <w:r>
              <w:rPr>
                <w:rFonts w:eastAsia="宋体"/>
                <w:color w:val="auto"/>
                <w:kern w:val="0"/>
                <w:highlight w:val="none"/>
                <w:lang w:bidi="ar"/>
              </w:rPr>
              <w:t>点.次。</w:t>
            </w:r>
          </w:p>
        </w:tc>
        <w:tc>
          <w:tcPr>
            <w:tcW w:w="1188" w:type="dxa"/>
            <w:tcBorders>
              <w:top w:val="single" w:color="000000" w:sz="4" w:space="0"/>
              <w:left w:val="single" w:color="000000" w:sz="4" w:space="0"/>
              <w:bottom w:val="single" w:color="auto" w:sz="4" w:space="0"/>
              <w:right w:val="single" w:color="000000" w:sz="4" w:space="0"/>
            </w:tcBorders>
            <w:vAlign w:val="center"/>
          </w:tcPr>
          <w:p w14:paraId="2850A8F1">
            <w:pPr>
              <w:keepNext w:val="0"/>
              <w:keepLines w:val="0"/>
              <w:widowControl/>
              <w:suppressLineNumbers w:val="0"/>
              <w:jc w:val="both"/>
              <w:textAlignment w:val="center"/>
              <w:rPr>
                <w:rFonts w:hint="default" w:ascii="Calibri" w:hAnsi="Calibri" w:eastAsia="宋体" w:cs="Calibri"/>
                <w:i w:val="0"/>
                <w:iCs w:val="0"/>
                <w:color w:val="000000"/>
                <w:kern w:val="0"/>
                <w:sz w:val="21"/>
                <w:szCs w:val="21"/>
                <w:u w:val="none"/>
                <w:lang w:val="en-US" w:eastAsia="zh-CN" w:bidi="ar"/>
              </w:rPr>
            </w:pPr>
            <w:r>
              <w:rPr>
                <w:rFonts w:hint="default" w:ascii="Calibri" w:hAnsi="Calibri" w:eastAsia="宋体" w:cs="Calibri"/>
                <w:i w:val="0"/>
                <w:iCs w:val="0"/>
                <w:color w:val="000000"/>
                <w:kern w:val="0"/>
                <w:sz w:val="21"/>
                <w:szCs w:val="21"/>
                <w:u w:val="none"/>
                <w:lang w:val="en-US" w:eastAsia="zh-CN" w:bidi="ar"/>
              </w:rPr>
              <w:t>10.02</w:t>
            </w:r>
          </w:p>
        </w:tc>
      </w:tr>
      <w:tr w14:paraId="293373EF">
        <w:tblPrEx>
          <w:tblCellMar>
            <w:top w:w="0" w:type="dxa"/>
            <w:left w:w="108" w:type="dxa"/>
            <w:bottom w:w="0" w:type="dxa"/>
            <w:right w:w="108" w:type="dxa"/>
          </w:tblCellMar>
        </w:tblPrEx>
        <w:trPr>
          <w:trHeight w:val="1849" w:hRule="atLeast"/>
          <w:jc w:val="center"/>
        </w:trPr>
        <w:tc>
          <w:tcPr>
            <w:tcW w:w="379" w:type="pct"/>
            <w:tcBorders>
              <w:top w:val="single" w:color="auto" w:sz="4" w:space="0"/>
              <w:left w:val="single" w:color="auto" w:sz="4" w:space="0"/>
              <w:right w:val="single" w:color="auto" w:sz="4" w:space="0"/>
            </w:tcBorders>
            <w:vAlign w:val="center"/>
          </w:tcPr>
          <w:p w14:paraId="4C77F7D9">
            <w:pPr>
              <w:jc w:val="center"/>
              <w:rPr>
                <w:rFonts w:hint="eastAsia" w:eastAsia="宋体"/>
                <w:color w:val="auto"/>
                <w:kern w:val="0"/>
                <w:highlight w:val="none"/>
                <w:lang w:bidi="ar"/>
              </w:rPr>
            </w:pPr>
            <w:r>
              <w:rPr>
                <w:rFonts w:eastAsia="宋体"/>
                <w:color w:val="auto"/>
                <w:kern w:val="0"/>
                <w:highlight w:val="none"/>
                <w:lang w:bidi="ar"/>
              </w:rPr>
              <w:t>第</w:t>
            </w:r>
            <w:r>
              <w:rPr>
                <w:rFonts w:hint="eastAsia" w:eastAsia="宋体"/>
                <w:color w:val="auto"/>
                <w:kern w:val="0"/>
                <w:highlight w:val="none"/>
                <w:lang w:bidi="ar"/>
              </w:rPr>
              <w:t>二</w:t>
            </w:r>
            <w:r>
              <w:rPr>
                <w:rFonts w:eastAsia="宋体"/>
                <w:color w:val="auto"/>
                <w:kern w:val="0"/>
                <w:highlight w:val="none"/>
                <w:lang w:bidi="ar"/>
              </w:rPr>
              <w:t>阶段</w:t>
            </w:r>
            <w:r>
              <w:rPr>
                <w:rFonts w:hint="eastAsia" w:eastAsia="宋体"/>
                <w:color w:val="auto"/>
                <w:kern w:val="0"/>
                <w:highlight w:val="none"/>
                <w:lang w:bidi="ar"/>
              </w:rPr>
              <w:t>施工期</w:t>
            </w:r>
          </w:p>
          <w:p w14:paraId="7DCDF780">
            <w:pPr>
              <w:jc w:val="center"/>
              <w:rPr>
                <w:rFonts w:eastAsia="宋体"/>
                <w:color w:val="auto"/>
                <w:kern w:val="0"/>
                <w:highlight w:val="none"/>
                <w:lang w:bidi="ar"/>
              </w:rPr>
            </w:pPr>
            <w:r>
              <w:rPr>
                <w:rFonts w:eastAsia="宋体"/>
                <w:color w:val="auto"/>
                <w:kern w:val="0"/>
                <w:highlight w:val="none"/>
                <w:lang w:bidi="ar"/>
              </w:rPr>
              <w:t>(</w:t>
            </w:r>
            <w:r>
              <w:rPr>
                <w:rFonts w:hint="eastAsia" w:eastAsia="宋体"/>
                <w:color w:val="auto"/>
                <w:kern w:val="0"/>
                <w:highlight w:val="none"/>
                <w:lang w:val="en-US" w:eastAsia="zh-CN" w:bidi="ar"/>
              </w:rPr>
              <w:t>1</w:t>
            </w:r>
            <w:r>
              <w:rPr>
                <w:rFonts w:eastAsia="宋体"/>
                <w:color w:val="auto"/>
                <w:kern w:val="0"/>
                <w:highlight w:val="none"/>
                <w:lang w:bidi="ar"/>
              </w:rPr>
              <w:t>年)</w:t>
            </w:r>
          </w:p>
        </w:tc>
        <w:tc>
          <w:tcPr>
            <w:tcW w:w="583" w:type="pct"/>
            <w:tcBorders>
              <w:top w:val="single" w:color="auto" w:sz="4" w:space="0"/>
              <w:left w:val="single" w:color="auto" w:sz="4" w:space="0"/>
              <w:bottom w:val="single" w:color="auto" w:sz="4" w:space="0"/>
              <w:right w:val="single" w:color="auto" w:sz="4" w:space="0"/>
            </w:tcBorders>
            <w:vAlign w:val="center"/>
          </w:tcPr>
          <w:p w14:paraId="6CF06D9A">
            <w:pPr>
              <w:widowControl/>
              <w:jc w:val="center"/>
              <w:textAlignment w:val="center"/>
              <w:rPr>
                <w:rFonts w:hint="default" w:eastAsia="宋体"/>
                <w:color w:val="auto"/>
                <w:highlight w:val="none"/>
                <w:lang w:val="en-US" w:eastAsia="zh-CN"/>
              </w:rPr>
            </w:pPr>
            <w:r>
              <w:rPr>
                <w:rFonts w:eastAsia="宋体"/>
                <w:color w:val="auto"/>
                <w:kern w:val="0"/>
                <w:highlight w:val="none"/>
                <w:lang w:bidi="ar"/>
              </w:rPr>
              <w:t>（施工期</w:t>
            </w:r>
            <w:r>
              <w:rPr>
                <w:rFonts w:hint="eastAsia" w:eastAsia="宋体"/>
                <w:color w:val="auto"/>
                <w:kern w:val="0"/>
                <w:highlight w:val="none"/>
                <w:lang w:bidi="ar"/>
              </w:rPr>
              <w:t>1年</w:t>
            </w:r>
            <w:r>
              <w:rPr>
                <w:rFonts w:eastAsia="宋体"/>
                <w:color w:val="auto"/>
                <w:kern w:val="0"/>
                <w:highlight w:val="none"/>
                <w:lang w:bidi="ar"/>
              </w:rPr>
              <w:t>）</w:t>
            </w:r>
          </w:p>
        </w:tc>
        <w:tc>
          <w:tcPr>
            <w:tcW w:w="3333" w:type="pct"/>
            <w:tcBorders>
              <w:top w:val="single" w:color="auto" w:sz="4" w:space="0"/>
              <w:left w:val="single" w:color="auto" w:sz="4" w:space="0"/>
              <w:bottom w:val="single" w:color="auto" w:sz="4" w:space="0"/>
              <w:right w:val="single" w:color="auto" w:sz="4" w:space="0"/>
            </w:tcBorders>
            <w:vAlign w:val="center"/>
          </w:tcPr>
          <w:p w14:paraId="01446709">
            <w:pPr>
              <w:widowControl/>
              <w:textAlignment w:val="center"/>
              <w:rPr>
                <w:rFonts w:eastAsia="宋体"/>
                <w:color w:val="auto"/>
                <w:highlight w:val="none"/>
              </w:rPr>
            </w:pPr>
            <w:r>
              <w:rPr>
                <w:rFonts w:eastAsia="宋体"/>
                <w:color w:val="auto"/>
                <w:kern w:val="0"/>
                <w:highlight w:val="none"/>
                <w:lang w:bidi="ar"/>
              </w:rPr>
              <w:t>土地复垦工程：平整场地，覆表土、植被恢复</w:t>
            </w:r>
            <w:r>
              <w:rPr>
                <w:rFonts w:hint="eastAsia" w:eastAsia="宋体"/>
                <w:color w:val="auto"/>
                <w:kern w:val="0"/>
                <w:highlight w:val="none"/>
                <w:lang w:eastAsia="zh-CN" w:bidi="ar"/>
              </w:rPr>
              <w:t>、</w:t>
            </w:r>
            <w:r>
              <w:rPr>
                <w:rFonts w:hint="eastAsia" w:eastAsia="宋体"/>
                <w:color w:val="auto"/>
                <w:kern w:val="0"/>
                <w:highlight w:val="none"/>
                <w:lang w:val="en-US" w:eastAsia="zh-CN" w:bidi="ar"/>
              </w:rPr>
              <w:t>配套工程</w:t>
            </w:r>
            <w:r>
              <w:rPr>
                <w:rFonts w:eastAsia="宋体"/>
                <w:color w:val="auto"/>
                <w:kern w:val="0"/>
                <w:highlight w:val="none"/>
                <w:lang w:bidi="ar"/>
              </w:rPr>
              <w:t>等措施；恢复</w:t>
            </w:r>
            <w:r>
              <w:rPr>
                <w:rFonts w:hint="eastAsia" w:eastAsia="宋体"/>
                <w:color w:val="auto"/>
                <w:kern w:val="0"/>
                <w:highlight w:val="none"/>
                <w:lang w:bidi="ar"/>
              </w:rPr>
              <w:t>乔木林地面积</w:t>
            </w:r>
            <w:r>
              <w:rPr>
                <w:rFonts w:hint="eastAsia" w:eastAsia="宋体"/>
                <w:color w:val="auto"/>
                <w:kern w:val="0"/>
                <w:highlight w:val="none"/>
                <w:lang w:val="en-US" w:eastAsia="zh-CN" w:bidi="ar"/>
              </w:rPr>
              <w:t>0.6</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、草地面积</w:t>
            </w:r>
            <w:r>
              <w:rPr>
                <w:rFonts w:hint="eastAsia" w:eastAsia="宋体"/>
                <w:color w:val="auto"/>
                <w:kern w:val="0"/>
                <w:highlight w:val="none"/>
                <w:lang w:val="en-US" w:eastAsia="zh-CN" w:bidi="ar"/>
              </w:rPr>
              <w:t>0.2</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土壤培肥</w:t>
            </w:r>
            <w:r>
              <w:rPr>
                <w:rFonts w:hint="eastAsia" w:eastAsia="宋体"/>
                <w:color w:val="auto"/>
                <w:kern w:val="0"/>
                <w:highlight w:val="none"/>
                <w:lang w:val="en-US" w:eastAsia="zh-CN" w:bidi="ar"/>
              </w:rPr>
              <w:t>2.4</w:t>
            </w:r>
            <w:r>
              <w:rPr>
                <w:rFonts w:eastAsia="宋体"/>
                <w:color w:val="auto"/>
                <w:kern w:val="0"/>
                <w:highlight w:val="none"/>
                <w:lang w:bidi="ar"/>
              </w:rPr>
              <w:t>hm</w:t>
            </w:r>
            <w:r>
              <w:rPr>
                <w:rFonts w:eastAsia="宋体"/>
                <w:color w:val="auto"/>
                <w:kern w:val="0"/>
                <w:highlight w:val="none"/>
                <w:vertAlign w:val="superscript"/>
                <w:lang w:bidi="ar"/>
              </w:rPr>
              <w:t>2</w:t>
            </w:r>
            <w:r>
              <w:rPr>
                <w:rFonts w:hint="eastAsia" w:eastAsia="宋体"/>
                <w:color w:val="auto"/>
                <w:kern w:val="0"/>
                <w:highlight w:val="none"/>
                <w:lang w:bidi="ar"/>
              </w:rPr>
              <w:t>、栽种</w:t>
            </w:r>
            <w:r>
              <w:rPr>
                <w:rFonts w:hint="eastAsia" w:eastAsia="宋体"/>
                <w:color w:val="auto"/>
                <w:kern w:val="0"/>
                <w:highlight w:val="none"/>
                <w:lang w:val="en-US" w:eastAsia="zh-CN" w:bidi="ar"/>
              </w:rPr>
              <w:t>树木750</w:t>
            </w:r>
            <w:r>
              <w:rPr>
                <w:rFonts w:hint="eastAsia" w:eastAsia="宋体"/>
                <w:color w:val="auto"/>
                <w:kern w:val="0"/>
                <w:highlight w:val="none"/>
                <w:lang w:bidi="ar"/>
              </w:rPr>
              <w:t>株</w:t>
            </w:r>
            <w:r>
              <w:rPr>
                <w:rFonts w:hint="eastAsia" w:eastAsia="宋体"/>
                <w:color w:val="auto"/>
                <w:kern w:val="0"/>
                <w:highlight w:val="none"/>
                <w:lang w:val="en-US" w:eastAsia="zh-CN" w:bidi="ar"/>
              </w:rPr>
              <w:t>，</w:t>
            </w:r>
            <w:r>
              <w:rPr>
                <w:rFonts w:hint="eastAsia" w:eastAsia="宋体"/>
                <w:color w:val="auto"/>
                <w:kern w:val="0"/>
                <w:highlight w:val="none"/>
                <w:lang w:bidi="ar"/>
              </w:rPr>
              <w:t>播撒草籽</w:t>
            </w:r>
            <w:r>
              <w:rPr>
                <w:rFonts w:hint="eastAsia" w:eastAsia="宋体"/>
                <w:color w:val="auto"/>
                <w:kern w:val="0"/>
                <w:highlight w:val="none"/>
                <w:lang w:val="en-US" w:eastAsia="zh-CN" w:bidi="ar"/>
              </w:rPr>
              <w:t>0.8</w:t>
            </w:r>
            <w:r>
              <w:rPr>
                <w:rFonts w:eastAsia="宋体"/>
                <w:color w:val="auto"/>
                <w:kern w:val="0"/>
                <w:highlight w:val="none"/>
                <w:lang w:bidi="ar"/>
              </w:rPr>
              <w:t>m</w:t>
            </w:r>
            <w:r>
              <w:rPr>
                <w:rFonts w:eastAsia="宋体"/>
                <w:color w:val="auto"/>
                <w:kern w:val="0"/>
                <w:highlight w:val="none"/>
                <w:vertAlign w:val="superscript"/>
                <w:lang w:bidi="ar"/>
              </w:rPr>
              <w:t>2</w:t>
            </w:r>
            <w:r>
              <w:rPr>
                <w:rFonts w:hint="eastAsia" w:eastAsia="宋体"/>
                <w:color w:val="auto"/>
                <w:kern w:val="0"/>
                <w:highlight w:val="none"/>
                <w:lang w:bidi="ar"/>
              </w:rPr>
              <w:t>。</w:t>
            </w:r>
            <w:r>
              <w:rPr>
                <w:rFonts w:eastAsia="宋体"/>
                <w:color w:val="auto"/>
                <w:kern w:val="0"/>
                <w:highlight w:val="none"/>
                <w:lang w:bidi="ar"/>
              </w:rPr>
              <w:t>土地损毁情况及复垦效果监测</w:t>
            </w:r>
            <w:r>
              <w:rPr>
                <w:rFonts w:hint="eastAsia" w:eastAsia="宋体"/>
                <w:color w:val="auto"/>
                <w:kern w:val="0"/>
                <w:highlight w:val="none"/>
                <w:lang w:val="en-US" w:eastAsia="zh-CN" w:bidi="ar"/>
              </w:rPr>
              <w:t>72</w:t>
            </w:r>
            <w:r>
              <w:rPr>
                <w:rFonts w:eastAsia="宋体"/>
                <w:color w:val="auto"/>
                <w:kern w:val="0"/>
                <w:highlight w:val="none"/>
                <w:lang w:bidi="ar"/>
              </w:rPr>
              <w:t>点.次。</w:t>
            </w:r>
          </w:p>
        </w:tc>
        <w:tc>
          <w:tcPr>
            <w:tcW w:w="1188" w:type="dxa"/>
            <w:tcBorders>
              <w:top w:val="single" w:color="auto" w:sz="4" w:space="0"/>
              <w:left w:val="single" w:color="auto" w:sz="4" w:space="0"/>
              <w:bottom w:val="single" w:color="auto" w:sz="4" w:space="0"/>
              <w:right w:val="single" w:color="auto" w:sz="4" w:space="0"/>
            </w:tcBorders>
            <w:vAlign w:val="center"/>
          </w:tcPr>
          <w:p w14:paraId="0389C720">
            <w:pPr>
              <w:keepNext w:val="0"/>
              <w:keepLines w:val="0"/>
              <w:widowControl/>
              <w:suppressLineNumbers w:val="0"/>
              <w:jc w:val="both"/>
              <w:textAlignment w:val="center"/>
              <w:rPr>
                <w:rFonts w:hint="default" w:ascii="Calibri" w:hAnsi="Calibri" w:eastAsia="宋体" w:cs="Calibri"/>
                <w:i w:val="0"/>
                <w:iCs w:val="0"/>
                <w:color w:val="000000"/>
                <w:kern w:val="0"/>
                <w:sz w:val="21"/>
                <w:szCs w:val="21"/>
                <w:u w:val="none"/>
                <w:lang w:val="en-US" w:eastAsia="zh-CN" w:bidi="ar"/>
              </w:rPr>
            </w:pPr>
            <w:r>
              <w:rPr>
                <w:rFonts w:hint="default" w:ascii="Calibri" w:hAnsi="Calibri" w:eastAsia="宋体" w:cs="Calibri"/>
                <w:i w:val="0"/>
                <w:iCs w:val="0"/>
                <w:color w:val="000000"/>
                <w:kern w:val="0"/>
                <w:sz w:val="21"/>
                <w:szCs w:val="21"/>
                <w:u w:val="none"/>
                <w:lang w:val="en-US" w:eastAsia="zh-CN" w:bidi="ar"/>
              </w:rPr>
              <w:t>8.85</w:t>
            </w:r>
          </w:p>
        </w:tc>
      </w:tr>
      <w:tr w14:paraId="0A10E498">
        <w:tblPrEx>
          <w:tblCellMar>
            <w:top w:w="0" w:type="dxa"/>
            <w:left w:w="108" w:type="dxa"/>
            <w:bottom w:w="0" w:type="dxa"/>
            <w:right w:w="108" w:type="dxa"/>
          </w:tblCellMar>
        </w:tblPrEx>
        <w:trPr>
          <w:trHeight w:val="90" w:hRule="atLeast"/>
          <w:jc w:val="center"/>
        </w:trPr>
        <w:tc>
          <w:tcPr>
            <w:tcW w:w="379" w:type="pct"/>
            <w:vMerge w:val="restart"/>
            <w:tcBorders>
              <w:top w:val="single" w:color="auto" w:sz="4" w:space="0"/>
              <w:left w:val="single" w:color="auto" w:sz="4" w:space="0"/>
              <w:right w:val="single" w:color="auto" w:sz="4" w:space="0"/>
            </w:tcBorders>
            <w:vAlign w:val="center"/>
          </w:tcPr>
          <w:p w14:paraId="55A83377">
            <w:pPr>
              <w:widowControl/>
              <w:jc w:val="center"/>
              <w:textAlignment w:val="center"/>
              <w:rPr>
                <w:rFonts w:hint="eastAsia" w:eastAsia="宋体"/>
                <w:color w:val="auto"/>
                <w:kern w:val="0"/>
                <w:highlight w:val="none"/>
                <w:lang w:bidi="ar"/>
              </w:rPr>
            </w:pPr>
            <w:r>
              <w:rPr>
                <w:rFonts w:eastAsia="宋体"/>
                <w:color w:val="auto"/>
                <w:kern w:val="0"/>
                <w:highlight w:val="none"/>
                <w:lang w:bidi="ar"/>
              </w:rPr>
              <w:t>第</w:t>
            </w:r>
            <w:r>
              <w:rPr>
                <w:rFonts w:hint="eastAsia" w:eastAsia="宋体"/>
                <w:color w:val="auto"/>
                <w:kern w:val="0"/>
                <w:highlight w:val="none"/>
                <w:lang w:val="en-US" w:eastAsia="zh-CN" w:bidi="ar"/>
              </w:rPr>
              <w:t>三</w:t>
            </w:r>
            <w:r>
              <w:rPr>
                <w:rFonts w:eastAsia="宋体"/>
                <w:color w:val="auto"/>
                <w:kern w:val="0"/>
                <w:highlight w:val="none"/>
                <w:lang w:bidi="ar"/>
              </w:rPr>
              <w:t>阶段</w:t>
            </w:r>
            <w:r>
              <w:rPr>
                <w:rFonts w:hint="eastAsia" w:eastAsia="宋体"/>
                <w:color w:val="auto"/>
                <w:kern w:val="0"/>
                <w:highlight w:val="none"/>
                <w:lang w:bidi="ar"/>
              </w:rPr>
              <w:t>管护期</w:t>
            </w:r>
          </w:p>
          <w:p w14:paraId="5A9F257C">
            <w:pPr>
              <w:widowControl/>
              <w:jc w:val="center"/>
              <w:textAlignment w:val="center"/>
              <w:rPr>
                <w:rFonts w:eastAsia="宋体"/>
                <w:color w:val="auto"/>
                <w:highlight w:val="none"/>
              </w:rPr>
            </w:pPr>
            <w:r>
              <w:rPr>
                <w:rFonts w:eastAsia="宋体"/>
                <w:color w:val="auto"/>
                <w:kern w:val="0"/>
                <w:highlight w:val="none"/>
                <w:lang w:bidi="ar"/>
              </w:rPr>
              <w:t>(</w:t>
            </w:r>
            <w:r>
              <w:rPr>
                <w:rFonts w:hint="eastAsia" w:eastAsia="宋体"/>
                <w:color w:val="auto"/>
                <w:kern w:val="0"/>
                <w:highlight w:val="none"/>
                <w:lang w:val="en-US" w:eastAsia="zh-CN" w:bidi="ar"/>
              </w:rPr>
              <w:t>3</w:t>
            </w:r>
            <w:r>
              <w:rPr>
                <w:rFonts w:eastAsia="宋体"/>
                <w:color w:val="auto"/>
                <w:kern w:val="0"/>
                <w:highlight w:val="none"/>
                <w:lang w:bidi="ar"/>
              </w:rPr>
              <w:t>年)</w:t>
            </w:r>
          </w:p>
        </w:tc>
        <w:tc>
          <w:tcPr>
            <w:tcW w:w="583" w:type="pct"/>
            <w:vMerge w:val="restart"/>
            <w:tcBorders>
              <w:top w:val="single" w:color="auto" w:sz="4" w:space="0"/>
              <w:left w:val="single" w:color="auto" w:sz="4" w:space="0"/>
              <w:bottom w:val="single" w:color="auto" w:sz="4" w:space="0"/>
              <w:right w:val="single" w:color="auto" w:sz="4" w:space="0"/>
            </w:tcBorders>
            <w:vAlign w:val="center"/>
          </w:tcPr>
          <w:p w14:paraId="00CCC462">
            <w:pPr>
              <w:widowControl/>
              <w:jc w:val="center"/>
              <w:textAlignment w:val="center"/>
              <w:rPr>
                <w:rFonts w:hint="default" w:eastAsia="宋体"/>
                <w:color w:val="auto"/>
                <w:highlight w:val="none"/>
                <w:lang w:val="en-US" w:eastAsia="zh-CN"/>
              </w:rPr>
            </w:pPr>
            <w:r>
              <w:rPr>
                <w:rFonts w:eastAsia="宋体"/>
                <w:color w:val="auto"/>
                <w:kern w:val="0"/>
                <w:highlight w:val="none"/>
                <w:lang w:bidi="ar"/>
              </w:rPr>
              <w:t>（</w:t>
            </w:r>
            <w:r>
              <w:rPr>
                <w:rFonts w:hint="eastAsia" w:eastAsia="宋体"/>
                <w:color w:val="auto"/>
                <w:kern w:val="0"/>
                <w:highlight w:val="none"/>
                <w:lang w:bidi="ar"/>
              </w:rPr>
              <w:t>管护期3年</w:t>
            </w:r>
            <w:r>
              <w:rPr>
                <w:rFonts w:eastAsia="宋体"/>
                <w:color w:val="auto"/>
                <w:kern w:val="0"/>
                <w:highlight w:val="none"/>
                <w:lang w:bidi="ar"/>
              </w:rPr>
              <w:t>）</w:t>
            </w:r>
          </w:p>
        </w:tc>
        <w:tc>
          <w:tcPr>
            <w:tcW w:w="3333" w:type="pct"/>
            <w:tcBorders>
              <w:top w:val="single" w:color="auto" w:sz="4" w:space="0"/>
              <w:left w:val="single" w:color="auto" w:sz="4" w:space="0"/>
              <w:bottom w:val="single" w:color="auto" w:sz="4" w:space="0"/>
              <w:right w:val="single" w:color="auto" w:sz="4" w:space="0"/>
            </w:tcBorders>
            <w:vAlign w:val="center"/>
          </w:tcPr>
          <w:p w14:paraId="49F43FD3">
            <w:pPr>
              <w:widowControl/>
              <w:jc w:val="left"/>
              <w:textAlignment w:val="center"/>
              <w:rPr>
                <w:rFonts w:eastAsia="宋体"/>
                <w:color w:val="auto"/>
                <w:highlight w:val="none"/>
              </w:rPr>
            </w:pPr>
            <w:r>
              <w:rPr>
                <w:rFonts w:eastAsia="宋体"/>
                <w:color w:val="auto"/>
                <w:kern w:val="0"/>
                <w:highlight w:val="none"/>
                <w:lang w:bidi="ar"/>
              </w:rPr>
              <w:t>①地质环境保护工程：巡视监测</w:t>
            </w:r>
            <w:r>
              <w:rPr>
                <w:rFonts w:hint="eastAsia" w:eastAsia="宋体"/>
                <w:color w:val="auto"/>
                <w:kern w:val="0"/>
                <w:highlight w:val="none"/>
                <w:lang w:val="en-US" w:eastAsia="zh-CN" w:bidi="ar"/>
              </w:rPr>
              <w:t>36</w:t>
            </w:r>
            <w:r>
              <w:rPr>
                <w:rFonts w:eastAsia="宋体"/>
                <w:color w:val="auto"/>
                <w:kern w:val="0"/>
                <w:highlight w:val="none"/>
                <w:lang w:bidi="ar"/>
              </w:rPr>
              <w:t>点.次，地灾简易监测</w:t>
            </w:r>
            <w:r>
              <w:rPr>
                <w:rFonts w:hint="eastAsia" w:eastAsia="宋体"/>
                <w:color w:val="auto"/>
                <w:kern w:val="0"/>
                <w:highlight w:val="none"/>
                <w:lang w:val="en-US" w:eastAsia="zh-CN" w:bidi="ar"/>
              </w:rPr>
              <w:t>48</w:t>
            </w:r>
            <w:r>
              <w:rPr>
                <w:rFonts w:eastAsia="宋体"/>
                <w:color w:val="auto"/>
                <w:kern w:val="0"/>
                <w:highlight w:val="none"/>
                <w:lang w:bidi="ar"/>
              </w:rPr>
              <w:t>点.次</w:t>
            </w:r>
            <w:r>
              <w:rPr>
                <w:rFonts w:hint="eastAsia" w:eastAsia="宋体"/>
                <w:color w:val="auto"/>
                <w:kern w:val="0"/>
                <w:highlight w:val="none"/>
                <w:lang w:bidi="ar"/>
              </w:rPr>
              <w:t>。</w:t>
            </w:r>
          </w:p>
        </w:tc>
        <w:tc>
          <w:tcPr>
            <w:tcW w:w="1188" w:type="dxa"/>
            <w:tcBorders>
              <w:top w:val="single" w:color="auto" w:sz="4" w:space="0"/>
              <w:left w:val="single" w:color="auto" w:sz="4" w:space="0"/>
              <w:bottom w:val="single" w:color="auto" w:sz="4" w:space="0"/>
              <w:right w:val="single" w:color="auto" w:sz="4" w:space="0"/>
            </w:tcBorders>
            <w:vAlign w:val="center"/>
          </w:tcPr>
          <w:p w14:paraId="1C6CFAF3">
            <w:pPr>
              <w:keepNext w:val="0"/>
              <w:keepLines w:val="0"/>
              <w:widowControl/>
              <w:suppressLineNumbers w:val="0"/>
              <w:jc w:val="both"/>
              <w:textAlignment w:val="center"/>
              <w:rPr>
                <w:rFonts w:hint="default" w:ascii="Calibri" w:hAnsi="Calibri" w:eastAsia="宋体" w:cs="Calibri"/>
                <w:i w:val="0"/>
                <w:iCs w:val="0"/>
                <w:color w:val="000000"/>
                <w:kern w:val="0"/>
                <w:sz w:val="21"/>
                <w:szCs w:val="21"/>
                <w:u w:val="none"/>
                <w:lang w:val="en-US" w:eastAsia="zh-CN" w:bidi="ar"/>
              </w:rPr>
            </w:pPr>
            <w:r>
              <w:rPr>
                <w:rFonts w:hint="default" w:ascii="Calibri" w:hAnsi="Calibri" w:eastAsia="宋体" w:cs="Calibri"/>
                <w:i w:val="0"/>
                <w:iCs w:val="0"/>
                <w:color w:val="000000"/>
                <w:kern w:val="0"/>
                <w:sz w:val="21"/>
                <w:szCs w:val="21"/>
                <w:u w:val="none"/>
                <w:lang w:val="en-US" w:eastAsia="zh-CN" w:bidi="ar"/>
              </w:rPr>
              <w:t>3.34</w:t>
            </w:r>
          </w:p>
        </w:tc>
      </w:tr>
      <w:tr w14:paraId="4A55A880">
        <w:tblPrEx>
          <w:tblCellMar>
            <w:top w:w="0" w:type="dxa"/>
            <w:left w:w="108" w:type="dxa"/>
            <w:bottom w:w="0" w:type="dxa"/>
            <w:right w:w="108" w:type="dxa"/>
          </w:tblCellMar>
        </w:tblPrEx>
        <w:trPr>
          <w:trHeight w:val="591" w:hRule="atLeast"/>
          <w:jc w:val="center"/>
        </w:trPr>
        <w:tc>
          <w:tcPr>
            <w:tcW w:w="379" w:type="pct"/>
            <w:vMerge w:val="continue"/>
            <w:tcBorders>
              <w:left w:val="single" w:color="auto" w:sz="4" w:space="0"/>
              <w:bottom w:val="single" w:color="auto" w:sz="4" w:space="0"/>
              <w:right w:val="single" w:color="auto" w:sz="4" w:space="0"/>
            </w:tcBorders>
            <w:vAlign w:val="center"/>
          </w:tcPr>
          <w:p w14:paraId="3BAB9FC0">
            <w:pPr>
              <w:jc w:val="center"/>
              <w:rPr>
                <w:rFonts w:eastAsia="宋体"/>
                <w:color w:val="auto"/>
                <w:highlight w:val="none"/>
              </w:rPr>
            </w:pPr>
          </w:p>
        </w:tc>
        <w:tc>
          <w:tcPr>
            <w:tcW w:w="583" w:type="pct"/>
            <w:vMerge w:val="continue"/>
            <w:tcBorders>
              <w:top w:val="single" w:color="auto" w:sz="4" w:space="0"/>
              <w:left w:val="single" w:color="auto" w:sz="4" w:space="0"/>
              <w:bottom w:val="single" w:color="auto" w:sz="4" w:space="0"/>
              <w:right w:val="single" w:color="auto" w:sz="4" w:space="0"/>
            </w:tcBorders>
            <w:vAlign w:val="center"/>
          </w:tcPr>
          <w:p w14:paraId="0CBBF39E">
            <w:pPr>
              <w:jc w:val="center"/>
              <w:rPr>
                <w:rFonts w:eastAsia="宋体"/>
                <w:color w:val="auto"/>
                <w:highlight w:val="none"/>
              </w:rPr>
            </w:pPr>
          </w:p>
        </w:tc>
        <w:tc>
          <w:tcPr>
            <w:tcW w:w="3333" w:type="pct"/>
            <w:tcBorders>
              <w:top w:val="single" w:color="auto" w:sz="4" w:space="0"/>
              <w:left w:val="single" w:color="auto" w:sz="4" w:space="0"/>
              <w:bottom w:val="single" w:color="auto" w:sz="4" w:space="0"/>
              <w:right w:val="single" w:color="auto" w:sz="4" w:space="0"/>
            </w:tcBorders>
            <w:vAlign w:val="center"/>
          </w:tcPr>
          <w:p w14:paraId="3B1F17EE">
            <w:pPr>
              <w:widowControl/>
              <w:jc w:val="left"/>
              <w:textAlignment w:val="center"/>
              <w:rPr>
                <w:rFonts w:eastAsia="宋体"/>
                <w:color w:val="auto"/>
                <w:highlight w:val="none"/>
              </w:rPr>
            </w:pPr>
            <w:r>
              <w:rPr>
                <w:rFonts w:eastAsia="宋体"/>
                <w:color w:val="auto"/>
                <w:kern w:val="0"/>
                <w:highlight w:val="none"/>
                <w:lang w:bidi="ar"/>
              </w:rPr>
              <w:t>②土地复垦工程：</w:t>
            </w:r>
            <w:r>
              <w:rPr>
                <w:rFonts w:hint="eastAsia" w:eastAsia="宋体"/>
                <w:color w:val="auto"/>
                <w:kern w:val="0"/>
                <w:highlight w:val="none"/>
                <w:lang w:val="en-US" w:eastAsia="zh-CN" w:bidi="ar"/>
              </w:rPr>
              <w:t>工程管护12次，</w:t>
            </w:r>
            <w:r>
              <w:rPr>
                <w:rFonts w:eastAsia="宋体"/>
                <w:color w:val="auto"/>
                <w:kern w:val="0"/>
                <w:highlight w:val="none"/>
                <w:lang w:bidi="ar"/>
              </w:rPr>
              <w:t>植被管护</w:t>
            </w:r>
            <w:r>
              <w:rPr>
                <w:rFonts w:hint="eastAsia" w:eastAsia="宋体"/>
                <w:color w:val="auto"/>
                <w:kern w:val="0"/>
                <w:highlight w:val="none"/>
                <w:lang w:bidi="ar"/>
              </w:rPr>
              <w:t>36</w:t>
            </w:r>
            <w:r>
              <w:rPr>
                <w:rFonts w:eastAsia="宋体"/>
                <w:color w:val="auto"/>
                <w:kern w:val="0"/>
                <w:highlight w:val="none"/>
                <w:lang w:bidi="ar"/>
              </w:rPr>
              <w:t>次，土壤培肥</w:t>
            </w:r>
            <w:r>
              <w:rPr>
                <w:rFonts w:hint="eastAsia" w:eastAsia="宋体"/>
                <w:color w:val="auto"/>
                <w:kern w:val="0"/>
                <w:highlight w:val="none"/>
                <w:lang w:val="en-US" w:eastAsia="zh-CN" w:bidi="ar"/>
              </w:rPr>
              <w:t>2.4</w:t>
            </w:r>
            <w:r>
              <w:rPr>
                <w:rFonts w:eastAsia="宋体"/>
                <w:color w:val="auto"/>
                <w:kern w:val="0"/>
                <w:highlight w:val="none"/>
                <w:lang w:bidi="ar"/>
              </w:rPr>
              <w:t>hm</w:t>
            </w:r>
            <w:r>
              <w:rPr>
                <w:rFonts w:eastAsia="宋体"/>
                <w:color w:val="auto"/>
                <w:kern w:val="0"/>
                <w:highlight w:val="none"/>
                <w:vertAlign w:val="superscript"/>
                <w:lang w:bidi="ar"/>
              </w:rPr>
              <w:t>2</w:t>
            </w:r>
            <w:r>
              <w:rPr>
                <w:rFonts w:eastAsia="宋体"/>
                <w:color w:val="auto"/>
                <w:kern w:val="0"/>
                <w:highlight w:val="none"/>
                <w:lang w:bidi="ar"/>
              </w:rPr>
              <w:t>。土地损毁情况及复垦效果监测</w:t>
            </w:r>
            <w:r>
              <w:rPr>
                <w:rFonts w:hint="eastAsia" w:eastAsia="宋体"/>
                <w:color w:val="auto"/>
                <w:kern w:val="0"/>
                <w:highlight w:val="none"/>
                <w:lang w:bidi="ar"/>
              </w:rPr>
              <w:t>18</w:t>
            </w:r>
            <w:r>
              <w:rPr>
                <w:rFonts w:eastAsia="宋体"/>
                <w:color w:val="auto"/>
                <w:kern w:val="0"/>
                <w:highlight w:val="none"/>
                <w:lang w:bidi="ar"/>
              </w:rPr>
              <w:t>点.次。</w:t>
            </w:r>
          </w:p>
        </w:tc>
        <w:tc>
          <w:tcPr>
            <w:tcW w:w="1188" w:type="dxa"/>
            <w:tcBorders>
              <w:top w:val="single" w:color="auto" w:sz="4" w:space="0"/>
              <w:left w:val="single" w:color="auto" w:sz="4" w:space="0"/>
              <w:bottom w:val="single" w:color="auto" w:sz="4" w:space="0"/>
              <w:right w:val="single" w:color="auto" w:sz="4" w:space="0"/>
            </w:tcBorders>
            <w:vAlign w:val="center"/>
          </w:tcPr>
          <w:p w14:paraId="62ECA310">
            <w:pPr>
              <w:keepNext w:val="0"/>
              <w:keepLines w:val="0"/>
              <w:widowControl/>
              <w:suppressLineNumbers w:val="0"/>
              <w:jc w:val="both"/>
              <w:textAlignment w:val="center"/>
              <w:rPr>
                <w:rFonts w:hint="default" w:ascii="Calibri" w:hAnsi="Calibri" w:eastAsia="宋体" w:cs="Calibri"/>
                <w:i w:val="0"/>
                <w:iCs w:val="0"/>
                <w:color w:val="000000"/>
                <w:kern w:val="0"/>
                <w:sz w:val="21"/>
                <w:szCs w:val="21"/>
                <w:u w:val="none"/>
                <w:lang w:val="en-US" w:eastAsia="zh-CN" w:bidi="ar"/>
              </w:rPr>
            </w:pPr>
            <w:r>
              <w:rPr>
                <w:rFonts w:hint="default" w:ascii="Calibri" w:hAnsi="Calibri" w:eastAsia="宋体" w:cs="Calibri"/>
                <w:i w:val="0"/>
                <w:iCs w:val="0"/>
                <w:color w:val="000000"/>
                <w:kern w:val="0"/>
                <w:sz w:val="21"/>
                <w:szCs w:val="21"/>
                <w:u w:val="none"/>
                <w:lang w:val="en-US" w:eastAsia="zh-CN" w:bidi="ar"/>
              </w:rPr>
              <w:t>6</w:t>
            </w:r>
          </w:p>
        </w:tc>
      </w:tr>
    </w:tbl>
    <w:p w14:paraId="2E9636D8">
      <w:pPr>
        <w:pStyle w:val="13"/>
        <w:rPr>
          <w:color w:val="auto"/>
        </w:rPr>
      </w:pPr>
    </w:p>
    <w:p w14:paraId="7741400A">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4、矿山地质环境保护与土地复垦费用安排</w:t>
      </w:r>
    </w:p>
    <w:p w14:paraId="6F7AA9E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矿山地质环境保护与土地复垦费用来源为企业自筹。项目总投资为</w:t>
      </w:r>
      <w:r>
        <w:rPr>
          <w:rFonts w:hint="eastAsia" w:ascii="仿宋" w:hAnsi="仿宋" w:eastAsia="仿宋" w:cs="仿宋"/>
          <w:color w:val="auto"/>
          <w:sz w:val="28"/>
          <w:szCs w:val="28"/>
          <w:highlight w:val="none"/>
          <w:lang w:val="en-US" w:eastAsia="zh-CN"/>
        </w:rPr>
        <w:t>30.67</w:t>
      </w:r>
      <w:r>
        <w:rPr>
          <w:rFonts w:hint="eastAsia" w:ascii="仿宋" w:hAnsi="仿宋" w:eastAsia="仿宋" w:cs="仿宋"/>
          <w:color w:val="auto"/>
          <w:sz w:val="28"/>
          <w:szCs w:val="28"/>
          <w:highlight w:val="none"/>
        </w:rPr>
        <w:t>万元，设计生产能力为</w:t>
      </w:r>
      <w:r>
        <w:rPr>
          <w:rFonts w:hint="eastAsia" w:ascii="仿宋" w:hAnsi="仿宋" w:eastAsia="仿宋" w:cs="仿宋"/>
          <w:color w:val="auto"/>
          <w:sz w:val="28"/>
          <w:szCs w:val="28"/>
          <w:highlight w:val="none"/>
          <w:lang w:val="en-US" w:eastAsia="zh-CN"/>
        </w:rPr>
        <w:t>1万立方米</w:t>
      </w:r>
      <w:r>
        <w:rPr>
          <w:rFonts w:hint="eastAsia" w:ascii="仿宋" w:hAnsi="仿宋" w:eastAsia="仿宋" w:cs="仿宋"/>
          <w:color w:val="auto"/>
          <w:sz w:val="28"/>
          <w:szCs w:val="28"/>
          <w:highlight w:val="none"/>
        </w:rPr>
        <w:t>/年，矿山</w:t>
      </w:r>
      <w:r>
        <w:rPr>
          <w:rFonts w:hint="eastAsia" w:ascii="仿宋" w:hAnsi="仿宋" w:eastAsia="仿宋" w:cs="仿宋"/>
          <w:color w:val="auto"/>
          <w:sz w:val="28"/>
          <w:szCs w:val="28"/>
          <w:highlight w:val="none"/>
          <w:lang w:val="en-US" w:eastAsia="zh-CN"/>
        </w:rPr>
        <w:t>设计</w:t>
      </w:r>
      <w:r>
        <w:rPr>
          <w:rFonts w:hint="eastAsia" w:ascii="仿宋" w:hAnsi="仿宋" w:eastAsia="仿宋" w:cs="仿宋"/>
          <w:color w:val="auto"/>
          <w:sz w:val="28"/>
          <w:szCs w:val="28"/>
          <w:highlight w:val="none"/>
        </w:rPr>
        <w:t>服务年限</w:t>
      </w:r>
      <w:r>
        <w:rPr>
          <w:rFonts w:hint="eastAsia" w:ascii="仿宋" w:hAnsi="仿宋" w:eastAsia="仿宋" w:cs="仿宋"/>
          <w:color w:val="auto"/>
          <w:sz w:val="28"/>
          <w:szCs w:val="28"/>
          <w:highlight w:val="none"/>
          <w:lang w:val="en-US" w:eastAsia="zh-CN"/>
        </w:rPr>
        <w:t>9.14年</w:t>
      </w:r>
      <w:r>
        <w:rPr>
          <w:rFonts w:hint="eastAsia" w:ascii="仿宋" w:hAnsi="仿宋" w:eastAsia="仿宋" w:cs="仿宋"/>
          <w:color w:val="auto"/>
          <w:sz w:val="28"/>
          <w:szCs w:val="28"/>
          <w:highlight w:val="none"/>
        </w:rPr>
        <w:t>；矿山闭坑后施工期为1年，对矿山破坏区域进行恢复治理和土地复垦工程施工；对恢复治理和土地复垦区域进行3年监测管护期，故本方案适用期为</w:t>
      </w:r>
      <w:r>
        <w:rPr>
          <w:rFonts w:hint="eastAsia" w:ascii="仿宋" w:hAnsi="仿宋" w:eastAsia="仿宋" w:cs="仿宋"/>
          <w:color w:val="auto"/>
          <w:sz w:val="28"/>
          <w:szCs w:val="28"/>
          <w:highlight w:val="none"/>
          <w:lang w:val="en-US" w:eastAsia="zh-CN"/>
        </w:rPr>
        <w:t>13.14</w:t>
      </w:r>
      <w:r>
        <w:rPr>
          <w:rFonts w:hint="eastAsia" w:ascii="仿宋" w:hAnsi="仿宋" w:eastAsia="仿宋" w:cs="仿宋"/>
          <w:color w:val="auto"/>
          <w:sz w:val="28"/>
          <w:szCs w:val="28"/>
          <w:highlight w:val="none"/>
        </w:rPr>
        <w:t>年。</w:t>
      </w:r>
    </w:p>
    <w:p w14:paraId="2B6BC05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按《四川省在建与生产矿山生态修复管理办法》（川自然资发【2021】27号）文件基金计提分为服务年限3年以下1次性计提，服务年限3年以上第1次计提</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0%，余下部分平均到每一年计提，开采服务年限满前一年全部缴清。</w:t>
      </w:r>
    </w:p>
    <w:p w14:paraId="5B02A33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本项目费用全部由矿权所有人</w:t>
      </w:r>
      <w:r>
        <w:rPr>
          <w:rFonts w:hint="eastAsia" w:ascii="仿宋" w:hAnsi="仿宋" w:eastAsia="仿宋" w:cs="仿宋"/>
          <w:color w:val="auto"/>
          <w:sz w:val="28"/>
          <w:szCs w:val="28"/>
          <w:u w:val="none"/>
        </w:rPr>
        <w:t>大英县</w:t>
      </w:r>
      <w:r>
        <w:rPr>
          <w:rFonts w:hint="eastAsia" w:ascii="仿宋" w:hAnsi="仿宋" w:eastAsia="仿宋" w:cs="仿宋"/>
          <w:color w:val="auto"/>
          <w:sz w:val="28"/>
          <w:szCs w:val="28"/>
          <w:u w:val="none"/>
          <w:lang w:eastAsia="zh-CN"/>
        </w:rPr>
        <w:t>顺源</w:t>
      </w:r>
      <w:r>
        <w:rPr>
          <w:rFonts w:hint="eastAsia" w:ascii="仿宋" w:hAnsi="仿宋" w:eastAsia="仿宋" w:cs="仿宋"/>
          <w:color w:val="auto"/>
          <w:sz w:val="28"/>
          <w:szCs w:val="28"/>
          <w:u w:val="none"/>
        </w:rPr>
        <w:t>矿业有限责任公司</w:t>
      </w:r>
      <w:r>
        <w:rPr>
          <w:rFonts w:hint="eastAsia" w:ascii="仿宋" w:hAnsi="仿宋" w:eastAsia="仿宋" w:cs="仿宋"/>
          <w:color w:val="auto"/>
          <w:sz w:val="28"/>
          <w:szCs w:val="28"/>
          <w:highlight w:val="none"/>
        </w:rPr>
        <w:t>筹措，安排遵循提前预存、分阶段足额预存的原则，矿山服务年限</w:t>
      </w:r>
      <w:r>
        <w:rPr>
          <w:rFonts w:hint="eastAsia" w:ascii="仿宋" w:hAnsi="仿宋" w:eastAsia="仿宋" w:cs="仿宋"/>
          <w:color w:val="auto"/>
          <w:sz w:val="28"/>
          <w:szCs w:val="28"/>
          <w:highlight w:val="none"/>
          <w:lang w:val="en-US" w:eastAsia="zh-CN"/>
        </w:rPr>
        <w:t>9.14年</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矿山基建开始后第五年</w:t>
      </w:r>
      <w:r>
        <w:rPr>
          <w:rFonts w:hint="eastAsia" w:ascii="仿宋" w:hAnsi="仿宋" w:eastAsia="仿宋" w:cs="仿宋"/>
          <w:color w:val="auto"/>
          <w:sz w:val="28"/>
          <w:szCs w:val="28"/>
          <w:highlight w:val="none"/>
        </w:rPr>
        <w:t>。</w:t>
      </w:r>
    </w:p>
    <w:p w14:paraId="40E86EE5">
      <w:pPr>
        <w:snapToGrid w:val="0"/>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表7-1</w:t>
      </w:r>
      <w:r>
        <w:rPr>
          <w:rFonts w:hint="eastAsia" w:ascii="Times New Roman" w:hAnsi="Times New Roman" w:eastAsia="宋体" w:cs="Times New Roman"/>
          <w:b/>
          <w:bCs/>
          <w:color w:val="auto"/>
          <w:highlight w:val="none"/>
        </w:rPr>
        <w:t>3</w:t>
      </w:r>
      <w:r>
        <w:rPr>
          <w:rFonts w:ascii="Times New Roman" w:hAnsi="Times New Roman" w:eastAsia="宋体" w:cs="Times New Roman"/>
          <w:b/>
          <w:bCs/>
          <w:color w:val="auto"/>
          <w:highlight w:val="none"/>
        </w:rPr>
        <w:t xml:space="preserve">     矿山地质环境保护与土地复垦费用年度提取安排表</w:t>
      </w:r>
    </w:p>
    <w:tbl>
      <w:tblPr>
        <w:tblStyle w:val="23"/>
        <w:tblW w:w="0" w:type="auto"/>
        <w:jc w:val="center"/>
        <w:tblLayout w:type="autofit"/>
        <w:tblCellMar>
          <w:top w:w="0" w:type="dxa"/>
          <w:left w:w="108" w:type="dxa"/>
          <w:bottom w:w="0" w:type="dxa"/>
          <w:right w:w="108" w:type="dxa"/>
        </w:tblCellMar>
      </w:tblPr>
      <w:tblGrid>
        <w:gridCol w:w="1686"/>
        <w:gridCol w:w="636"/>
        <w:gridCol w:w="636"/>
        <w:gridCol w:w="1745"/>
        <w:gridCol w:w="2946"/>
      </w:tblGrid>
      <w:tr w14:paraId="7078B153">
        <w:tblPrEx>
          <w:tblCellMar>
            <w:top w:w="0" w:type="dxa"/>
            <w:left w:w="108" w:type="dxa"/>
            <w:bottom w:w="0" w:type="dxa"/>
            <w:right w:w="108" w:type="dxa"/>
          </w:tblCellMar>
        </w:tblPrEx>
        <w:trPr>
          <w:trHeight w:val="45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A03359">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阶段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06CC5">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年限</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D09446">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年度</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7E00CB">
            <w:pPr>
              <w:widowControl/>
              <w:jc w:val="center"/>
              <w:textAlignment w:val="center"/>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kern w:val="0"/>
                <w:highlight w:val="none"/>
              </w:rPr>
              <w:t>年产量/万</w:t>
            </w:r>
            <w:r>
              <w:rPr>
                <w:rFonts w:hint="eastAsia" w:ascii="Times New Roman" w:hAnsi="Times New Roman" w:eastAsia="宋体" w:cs="Times New Roman"/>
                <w:color w:val="auto"/>
                <w:kern w:val="0"/>
                <w:highlight w:val="none"/>
                <w:lang w:val="en-US" w:eastAsia="zh-CN"/>
              </w:rPr>
              <w:t>立方米</w:t>
            </w:r>
          </w:p>
        </w:tc>
        <w:tc>
          <w:tcPr>
            <w:tcW w:w="0" w:type="auto"/>
            <w:vMerge w:val="restart"/>
            <w:tcBorders>
              <w:top w:val="single" w:color="000000" w:sz="4" w:space="0"/>
              <w:left w:val="single" w:color="000000" w:sz="4" w:space="0"/>
              <w:right w:val="single" w:color="000000" w:sz="4" w:space="0"/>
            </w:tcBorders>
            <w:shd w:val="clear" w:color="auto" w:fill="auto"/>
            <w:vAlign w:val="center"/>
          </w:tcPr>
          <w:p w14:paraId="372E53F2">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年度资金</w:t>
            </w:r>
            <w:r>
              <w:rPr>
                <w:rFonts w:hint="eastAsia" w:ascii="Times New Roman" w:hAnsi="Times New Roman" w:eastAsia="宋体" w:cs="Times New Roman"/>
                <w:color w:val="auto"/>
                <w:kern w:val="0"/>
                <w:highlight w:val="none"/>
                <w:lang w:val="en-US" w:eastAsia="zh-CN"/>
              </w:rPr>
              <w:t>最低</w:t>
            </w:r>
            <w:r>
              <w:rPr>
                <w:rFonts w:ascii="Times New Roman" w:hAnsi="Times New Roman" w:eastAsia="宋体" w:cs="Times New Roman"/>
                <w:color w:val="auto"/>
                <w:kern w:val="0"/>
                <w:highlight w:val="none"/>
              </w:rPr>
              <w:t>提取额（万元）</w:t>
            </w:r>
          </w:p>
        </w:tc>
      </w:tr>
      <w:tr w14:paraId="47577C09">
        <w:tblPrEx>
          <w:tblCellMar>
            <w:top w:w="0" w:type="dxa"/>
            <w:left w:w="108" w:type="dxa"/>
            <w:bottom w:w="0" w:type="dxa"/>
            <w:right w:w="108" w:type="dxa"/>
          </w:tblCellMar>
        </w:tblPrEx>
        <w:trPr>
          <w:trHeight w:val="312"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EDD8C">
            <w:pPr>
              <w:jc w:val="center"/>
              <w:rPr>
                <w:rFonts w:ascii="Times New Roman" w:hAnsi="Times New Roman" w:eastAsia="宋体" w:cs="Times New Roman"/>
                <w:color w:val="auto"/>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31B04">
            <w:pPr>
              <w:jc w:val="center"/>
              <w:rPr>
                <w:rFonts w:ascii="Times New Roman" w:hAnsi="Times New Roman" w:eastAsia="宋体" w:cs="Times New Roman"/>
                <w:color w:val="auto"/>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A0970">
            <w:pPr>
              <w:jc w:val="center"/>
              <w:rPr>
                <w:rFonts w:ascii="Times New Roman" w:hAnsi="Times New Roman" w:eastAsia="宋体" w:cs="Times New Roman"/>
                <w:color w:val="auto"/>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7ABDA">
            <w:pPr>
              <w:jc w:val="center"/>
              <w:rPr>
                <w:rFonts w:ascii="Times New Roman" w:hAnsi="Times New Roman" w:eastAsia="宋体" w:cs="Times New Roman"/>
                <w:color w:val="auto"/>
                <w:highlight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3720C01E">
            <w:pPr>
              <w:jc w:val="center"/>
              <w:rPr>
                <w:rFonts w:ascii="Times New Roman" w:hAnsi="Times New Roman" w:eastAsia="宋体" w:cs="Times New Roman"/>
                <w:color w:val="auto"/>
                <w:highlight w:val="none"/>
              </w:rPr>
            </w:pPr>
          </w:p>
        </w:tc>
      </w:tr>
      <w:tr w14:paraId="44A33E3B">
        <w:tblPrEx>
          <w:tblCellMar>
            <w:top w:w="0" w:type="dxa"/>
            <w:left w:w="108" w:type="dxa"/>
            <w:bottom w:w="0" w:type="dxa"/>
            <w:right w:w="108" w:type="dxa"/>
          </w:tblCellMar>
        </w:tblPrEx>
        <w:trPr>
          <w:trHeight w:val="234" w:hRule="atLeast"/>
          <w:jc w:val="center"/>
        </w:trPr>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14:paraId="708F4386">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矿山基建期</w:t>
            </w:r>
          </w:p>
        </w:tc>
        <w:tc>
          <w:tcPr>
            <w:tcW w:w="0" w:type="auto"/>
            <w:tcBorders>
              <w:top w:val="single" w:color="000000" w:sz="4" w:space="0"/>
              <w:left w:val="single" w:color="000000" w:sz="4" w:space="0"/>
              <w:bottom w:val="single" w:color="auto" w:sz="4" w:space="0"/>
              <w:right w:val="single" w:color="000000" w:sz="4" w:space="0"/>
            </w:tcBorders>
            <w:shd w:val="clear" w:color="auto" w:fill="auto"/>
            <w:vAlign w:val="center"/>
          </w:tcPr>
          <w:p w14:paraId="69B9688C">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0" w:type="auto"/>
            <w:tcBorders>
              <w:top w:val="nil"/>
              <w:left w:val="nil"/>
              <w:bottom w:val="single" w:color="auto" w:sz="4" w:space="0"/>
              <w:right w:val="nil"/>
            </w:tcBorders>
            <w:shd w:val="clear" w:color="auto" w:fill="auto"/>
            <w:noWrap/>
            <w:vAlign w:val="center"/>
          </w:tcPr>
          <w:p w14:paraId="22E8FE8C">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2025</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1ACE980D">
            <w:pPr>
              <w:widowControl/>
              <w:jc w:val="center"/>
              <w:textAlignment w:val="top"/>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1</w:t>
            </w: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9CE5B5">
            <w:pPr>
              <w:keepNext w:val="0"/>
              <w:keepLines w:val="0"/>
              <w:widowControl/>
              <w:suppressLineNumbers w:val="0"/>
              <w:jc w:val="right"/>
              <w:textAlignment w:val="bottom"/>
              <w:rPr>
                <w:rFonts w:hint="default" w:ascii="Times New Roman" w:hAnsi="Times New Roman" w:eastAsia="宋体" w:cs="Times New Roman"/>
                <w:color w:val="auto"/>
                <w:highlight w:val="none"/>
                <w:lang w:val="en-US" w:eastAsia="zh-CN"/>
              </w:rPr>
            </w:pPr>
            <w:r>
              <w:rPr>
                <w:rFonts w:hint="eastAsia" w:ascii="宋体" w:hAnsi="宋体" w:eastAsia="宋体" w:cs="宋体"/>
                <w:i w:val="0"/>
                <w:iCs w:val="0"/>
                <w:color w:val="auto"/>
                <w:kern w:val="0"/>
                <w:sz w:val="20"/>
                <w:szCs w:val="20"/>
                <w:u w:val="none"/>
                <w:lang w:val="en-US" w:eastAsia="zh-CN" w:bidi="ar"/>
              </w:rPr>
              <w:t>9.201</w:t>
            </w:r>
          </w:p>
        </w:tc>
      </w:tr>
      <w:tr w14:paraId="4CCC02B3">
        <w:tblPrEx>
          <w:tblCellMar>
            <w:top w:w="0" w:type="dxa"/>
            <w:left w:w="108" w:type="dxa"/>
            <w:bottom w:w="0" w:type="dxa"/>
            <w:right w:w="108" w:type="dxa"/>
          </w:tblCellMar>
        </w:tblPrEx>
        <w:trPr>
          <w:trHeight w:val="213" w:hRule="atLeast"/>
          <w:jc w:val="center"/>
        </w:trPr>
        <w:tc>
          <w:tcPr>
            <w:tcW w:w="0" w:type="auto"/>
            <w:vMerge w:val="restart"/>
            <w:tcBorders>
              <w:top w:val="single" w:color="auto" w:sz="4" w:space="0"/>
              <w:left w:val="single" w:color="000000" w:sz="4" w:space="0"/>
              <w:right w:val="single" w:color="000000" w:sz="4" w:space="0"/>
            </w:tcBorders>
            <w:shd w:val="clear" w:color="auto" w:fill="auto"/>
            <w:vAlign w:val="center"/>
          </w:tcPr>
          <w:p w14:paraId="11898A89">
            <w:pPr>
              <w:widowControl/>
              <w:jc w:val="center"/>
              <w:textAlignment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0"/>
                <w:highlight w:val="none"/>
              </w:rPr>
              <w:t>第一阶段生产期</w:t>
            </w:r>
          </w:p>
        </w:tc>
        <w:tc>
          <w:tcPr>
            <w:tcW w:w="0" w:type="auto"/>
            <w:vMerge w:val="restart"/>
            <w:tcBorders>
              <w:top w:val="single" w:color="auto" w:sz="4" w:space="0"/>
              <w:left w:val="single" w:color="000000" w:sz="4" w:space="0"/>
              <w:right w:val="single" w:color="000000" w:sz="4" w:space="0"/>
            </w:tcBorders>
            <w:shd w:val="clear" w:color="auto" w:fill="auto"/>
            <w:vAlign w:val="center"/>
          </w:tcPr>
          <w:p w14:paraId="44312D00">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highlight w:val="none"/>
                <w:lang w:val="en-US" w:eastAsia="zh-CN"/>
              </w:rPr>
              <w:t>4</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14:paraId="7269E5DA">
            <w:pPr>
              <w:widowControl/>
              <w:jc w:val="center"/>
              <w:textAlignment w:val="center"/>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kern w:val="0"/>
                <w:highlight w:val="none"/>
              </w:rPr>
              <w:t>202</w:t>
            </w:r>
            <w:r>
              <w:rPr>
                <w:rFonts w:hint="eastAsia" w:ascii="Times New Roman" w:hAnsi="Times New Roman" w:eastAsia="宋体" w:cs="Times New Roman"/>
                <w:color w:val="auto"/>
                <w:kern w:val="0"/>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1194AF54">
            <w:pPr>
              <w:widowControl/>
              <w:jc w:val="center"/>
              <w:textAlignment w:val="top"/>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1</w:t>
            </w: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1FBB0B">
            <w:pPr>
              <w:keepNext w:val="0"/>
              <w:keepLines w:val="0"/>
              <w:widowControl/>
              <w:suppressLineNumbers w:val="0"/>
              <w:jc w:val="right"/>
              <w:textAlignment w:val="bottom"/>
              <w:rPr>
                <w:rFonts w:hint="default" w:ascii="Times New Roman" w:hAnsi="Times New Roman" w:eastAsia="宋体" w:cs="Times New Roman"/>
                <w:color w:val="auto"/>
                <w:highlight w:val="none"/>
                <w:lang w:val="en-US" w:eastAsia="zh-CN"/>
              </w:rPr>
            </w:pPr>
            <w:r>
              <w:rPr>
                <w:rFonts w:hint="eastAsia" w:ascii="宋体" w:hAnsi="宋体" w:eastAsia="宋体" w:cs="宋体"/>
                <w:i w:val="0"/>
                <w:iCs w:val="0"/>
                <w:color w:val="auto"/>
                <w:kern w:val="0"/>
                <w:sz w:val="20"/>
                <w:szCs w:val="20"/>
                <w:u w:val="none"/>
                <w:lang w:val="en-US" w:eastAsia="zh-CN" w:bidi="ar"/>
              </w:rPr>
              <w:t>6.134</w:t>
            </w:r>
          </w:p>
        </w:tc>
      </w:tr>
      <w:tr w14:paraId="4C805AA3">
        <w:tblPrEx>
          <w:tblCellMar>
            <w:top w:w="0" w:type="dxa"/>
            <w:left w:w="108" w:type="dxa"/>
            <w:bottom w:w="0" w:type="dxa"/>
            <w:right w:w="108" w:type="dxa"/>
          </w:tblCellMar>
        </w:tblPrEx>
        <w:trPr>
          <w:trHeight w:val="429" w:hRule="atLeast"/>
          <w:jc w:val="center"/>
        </w:trPr>
        <w:tc>
          <w:tcPr>
            <w:tcW w:w="0" w:type="auto"/>
            <w:vMerge w:val="continue"/>
            <w:tcBorders>
              <w:left w:val="single" w:color="000000" w:sz="4" w:space="0"/>
              <w:right w:val="single" w:color="000000" w:sz="4" w:space="0"/>
            </w:tcBorders>
            <w:shd w:val="clear" w:color="auto" w:fill="auto"/>
            <w:vAlign w:val="center"/>
          </w:tcPr>
          <w:p w14:paraId="37B7F998">
            <w:pPr>
              <w:jc w:val="center"/>
              <w:rPr>
                <w:rFonts w:ascii="Times New Roman" w:hAnsi="Times New Roman" w:eastAsia="宋体" w:cs="Times New Roman"/>
                <w:color w:val="auto"/>
                <w:highlight w:val="none"/>
              </w:rPr>
            </w:pPr>
          </w:p>
        </w:tc>
        <w:tc>
          <w:tcPr>
            <w:tcW w:w="0" w:type="auto"/>
            <w:vMerge w:val="continue"/>
            <w:tcBorders>
              <w:left w:val="single" w:color="000000" w:sz="4" w:space="0"/>
              <w:right w:val="single" w:color="000000" w:sz="4" w:space="0"/>
            </w:tcBorders>
            <w:shd w:val="clear" w:color="auto" w:fill="auto"/>
            <w:vAlign w:val="center"/>
          </w:tcPr>
          <w:p w14:paraId="34FE2480">
            <w:pPr>
              <w:jc w:val="center"/>
              <w:rPr>
                <w:rFonts w:ascii="Times New Roman" w:hAnsi="Times New Roman" w:eastAsia="宋体" w:cs="Times New Roman"/>
                <w:color w:val="auto"/>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A20C4">
            <w:pPr>
              <w:widowControl/>
              <w:jc w:val="center"/>
              <w:textAlignment w:val="center"/>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kern w:val="0"/>
                <w:highlight w:val="none"/>
              </w:rPr>
              <w:t>202</w:t>
            </w:r>
            <w:r>
              <w:rPr>
                <w:rFonts w:hint="eastAsia" w:ascii="Times New Roman" w:hAnsi="Times New Roman" w:eastAsia="宋体" w:cs="Times New Roman"/>
                <w:color w:val="auto"/>
                <w:kern w:val="0"/>
                <w:highlight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24EC2CD7">
            <w:pPr>
              <w:widowControl/>
              <w:jc w:val="center"/>
              <w:textAlignment w:val="top"/>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1</w:t>
            </w: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D6C7D6">
            <w:pPr>
              <w:keepNext w:val="0"/>
              <w:keepLines w:val="0"/>
              <w:widowControl/>
              <w:suppressLineNumbers w:val="0"/>
              <w:jc w:val="right"/>
              <w:textAlignment w:val="bottom"/>
              <w:rPr>
                <w:rFonts w:hint="default" w:ascii="Times New Roman" w:hAnsi="Times New Roman" w:eastAsia="宋体" w:cs="Times New Roman"/>
                <w:color w:val="auto"/>
                <w:highlight w:val="none"/>
                <w:lang w:val="en-US" w:eastAsia="zh-CN"/>
              </w:rPr>
            </w:pPr>
            <w:r>
              <w:rPr>
                <w:rFonts w:hint="eastAsia" w:ascii="宋体" w:hAnsi="宋体" w:eastAsia="宋体" w:cs="宋体"/>
                <w:i w:val="0"/>
                <w:iCs w:val="0"/>
                <w:color w:val="auto"/>
                <w:kern w:val="0"/>
                <w:sz w:val="20"/>
                <w:szCs w:val="20"/>
                <w:u w:val="none"/>
                <w:lang w:val="en-US" w:eastAsia="zh-CN" w:bidi="ar"/>
              </w:rPr>
              <w:t>6.134</w:t>
            </w:r>
          </w:p>
        </w:tc>
      </w:tr>
      <w:tr w14:paraId="4C14C940">
        <w:tblPrEx>
          <w:tblCellMar>
            <w:top w:w="0" w:type="dxa"/>
            <w:left w:w="108" w:type="dxa"/>
            <w:bottom w:w="0" w:type="dxa"/>
            <w:right w:w="108" w:type="dxa"/>
          </w:tblCellMar>
        </w:tblPrEx>
        <w:trPr>
          <w:trHeight w:val="312" w:hRule="atLeast"/>
          <w:jc w:val="center"/>
        </w:trPr>
        <w:tc>
          <w:tcPr>
            <w:tcW w:w="0" w:type="auto"/>
            <w:vMerge w:val="continue"/>
            <w:tcBorders>
              <w:left w:val="single" w:color="000000" w:sz="4" w:space="0"/>
              <w:right w:val="single" w:color="000000" w:sz="4" w:space="0"/>
            </w:tcBorders>
            <w:shd w:val="clear" w:color="auto" w:fill="auto"/>
            <w:vAlign w:val="center"/>
          </w:tcPr>
          <w:p w14:paraId="7ABEFBDE">
            <w:pPr>
              <w:widowControl/>
              <w:jc w:val="center"/>
              <w:textAlignment w:val="center"/>
              <w:rPr>
                <w:rFonts w:ascii="Times New Roman" w:hAnsi="Times New Roman" w:eastAsia="宋体" w:cs="Times New Roman"/>
                <w:color w:val="auto"/>
                <w:highlight w:val="none"/>
              </w:rPr>
            </w:pPr>
          </w:p>
        </w:tc>
        <w:tc>
          <w:tcPr>
            <w:tcW w:w="0" w:type="auto"/>
            <w:vMerge w:val="continue"/>
            <w:tcBorders>
              <w:left w:val="single" w:color="000000" w:sz="4" w:space="0"/>
              <w:right w:val="single" w:color="000000" w:sz="4" w:space="0"/>
            </w:tcBorders>
            <w:shd w:val="clear" w:color="auto" w:fill="auto"/>
            <w:vAlign w:val="center"/>
          </w:tcPr>
          <w:p w14:paraId="023D3DF5">
            <w:pPr>
              <w:jc w:val="center"/>
              <w:rPr>
                <w:rFonts w:ascii="Times New Roman" w:hAnsi="Times New Roman" w:eastAsia="宋体" w:cs="Times New Roman"/>
                <w:color w:val="auto"/>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008B1A">
            <w:pPr>
              <w:widowControl/>
              <w:jc w:val="center"/>
              <w:textAlignment w:val="center"/>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kern w:val="0"/>
                <w:highlight w:val="none"/>
              </w:rPr>
              <w:t>202</w:t>
            </w:r>
            <w:r>
              <w:rPr>
                <w:rFonts w:hint="eastAsia" w:ascii="Times New Roman" w:hAnsi="Times New Roman" w:eastAsia="宋体" w:cs="Times New Roman"/>
                <w:color w:val="auto"/>
                <w:kern w:val="0"/>
                <w:highlight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7D94CCC">
            <w:pPr>
              <w:widowControl/>
              <w:jc w:val="center"/>
              <w:textAlignment w:val="top"/>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kern w:val="0"/>
                <w:highlight w:val="none"/>
                <w:lang w:val="en-US" w:eastAsia="zh-CN"/>
              </w:rPr>
              <w:t>1</w:t>
            </w: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DF7494">
            <w:pPr>
              <w:keepNext w:val="0"/>
              <w:keepLines w:val="0"/>
              <w:widowControl/>
              <w:suppressLineNumbers w:val="0"/>
              <w:jc w:val="right"/>
              <w:textAlignment w:val="bottom"/>
              <w:rPr>
                <w:rFonts w:hint="default" w:ascii="Times New Roman" w:hAnsi="Times New Roman" w:eastAsia="宋体" w:cs="Times New Roman"/>
                <w:color w:val="auto"/>
                <w:highlight w:val="none"/>
                <w:lang w:val="en-US" w:eastAsia="zh-CN"/>
              </w:rPr>
            </w:pPr>
            <w:r>
              <w:rPr>
                <w:rFonts w:hint="eastAsia" w:ascii="宋体" w:hAnsi="宋体" w:eastAsia="宋体" w:cs="宋体"/>
                <w:i w:val="0"/>
                <w:iCs w:val="0"/>
                <w:color w:val="auto"/>
                <w:kern w:val="0"/>
                <w:sz w:val="20"/>
                <w:szCs w:val="20"/>
                <w:u w:val="none"/>
                <w:lang w:val="en-US" w:eastAsia="zh-CN" w:bidi="ar"/>
              </w:rPr>
              <w:t>6.134</w:t>
            </w:r>
          </w:p>
        </w:tc>
      </w:tr>
      <w:tr w14:paraId="60416559">
        <w:tblPrEx>
          <w:tblCellMar>
            <w:top w:w="0" w:type="dxa"/>
            <w:left w:w="108" w:type="dxa"/>
            <w:bottom w:w="0" w:type="dxa"/>
            <w:right w:w="108" w:type="dxa"/>
          </w:tblCellMar>
        </w:tblPrEx>
        <w:trPr>
          <w:trHeight w:val="312" w:hRule="atLeast"/>
          <w:jc w:val="center"/>
        </w:trPr>
        <w:tc>
          <w:tcPr>
            <w:tcW w:w="0" w:type="auto"/>
            <w:vMerge w:val="continue"/>
            <w:tcBorders>
              <w:left w:val="single" w:color="000000" w:sz="4" w:space="0"/>
              <w:bottom w:val="single" w:color="000000" w:sz="4" w:space="0"/>
              <w:right w:val="single" w:color="000000" w:sz="4" w:space="0"/>
            </w:tcBorders>
            <w:shd w:val="clear" w:color="auto" w:fill="auto"/>
            <w:vAlign w:val="center"/>
          </w:tcPr>
          <w:p w14:paraId="07F0C62E">
            <w:pPr>
              <w:widowControl/>
              <w:jc w:val="center"/>
              <w:textAlignment w:val="center"/>
              <w:rPr>
                <w:rFonts w:ascii="Times New Roman" w:hAnsi="Times New Roman" w:eastAsia="宋体" w:cs="Times New Roman"/>
                <w:color w:val="auto"/>
                <w:highlight w:val="none"/>
              </w:rPr>
            </w:pPr>
          </w:p>
        </w:tc>
        <w:tc>
          <w:tcPr>
            <w:tcW w:w="0" w:type="auto"/>
            <w:vMerge w:val="continue"/>
            <w:tcBorders>
              <w:left w:val="single" w:color="000000" w:sz="4" w:space="0"/>
              <w:bottom w:val="single" w:color="000000" w:sz="4" w:space="0"/>
              <w:right w:val="single" w:color="000000" w:sz="4" w:space="0"/>
            </w:tcBorders>
            <w:shd w:val="clear" w:color="auto" w:fill="auto"/>
            <w:vAlign w:val="center"/>
          </w:tcPr>
          <w:p w14:paraId="2696CB01">
            <w:pPr>
              <w:jc w:val="center"/>
              <w:rPr>
                <w:rFonts w:ascii="Times New Roman" w:hAnsi="Times New Roman" w:eastAsia="宋体" w:cs="Times New Roman"/>
                <w:color w:val="auto"/>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442A10">
            <w:pPr>
              <w:widowControl/>
              <w:jc w:val="center"/>
              <w:textAlignment w:val="center"/>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2029</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8F9D311">
            <w:pPr>
              <w:widowControl/>
              <w:jc w:val="center"/>
              <w:textAlignment w:val="top"/>
              <w:rPr>
                <w:rFonts w:hint="default" w:ascii="Times New Roman" w:hAnsi="Times New Roman" w:eastAsia="宋体" w:cs="Times New Roman"/>
                <w:color w:val="auto"/>
                <w:kern w:val="0"/>
                <w:highlight w:val="none"/>
                <w:lang w:val="en-US" w:eastAsia="zh-CN"/>
              </w:rPr>
            </w:pPr>
            <w:r>
              <w:rPr>
                <w:rFonts w:hint="eastAsia" w:ascii="Times New Roman" w:hAnsi="Times New Roman" w:eastAsia="宋体" w:cs="Times New Roman"/>
                <w:color w:val="auto"/>
                <w:kern w:val="0"/>
                <w:highlight w:val="none"/>
                <w:lang w:val="en-US" w:eastAsia="zh-CN"/>
              </w:rPr>
              <w:t>1</w:t>
            </w:r>
          </w:p>
        </w:tc>
        <w:tc>
          <w:tcPr>
            <w:tcW w:w="294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B15303">
            <w:pPr>
              <w:keepNext w:val="0"/>
              <w:keepLines w:val="0"/>
              <w:widowControl/>
              <w:suppressLineNumbers w:val="0"/>
              <w:jc w:val="right"/>
              <w:textAlignment w:val="bottom"/>
              <w:rPr>
                <w:rFonts w:hint="default" w:ascii="Times New Roman" w:hAnsi="Times New Roman" w:eastAsia="宋体" w:cs="Times New Roman"/>
                <w:color w:val="auto"/>
                <w:highlight w:val="none"/>
                <w:lang w:val="en-US" w:eastAsia="zh-CN"/>
              </w:rPr>
            </w:pPr>
            <w:r>
              <w:rPr>
                <w:rFonts w:hint="eastAsia" w:ascii="宋体" w:hAnsi="宋体" w:eastAsia="宋体" w:cs="宋体"/>
                <w:i w:val="0"/>
                <w:iCs w:val="0"/>
                <w:color w:val="auto"/>
                <w:kern w:val="0"/>
                <w:sz w:val="20"/>
                <w:szCs w:val="20"/>
                <w:u w:val="none"/>
                <w:lang w:val="en-US" w:eastAsia="zh-CN" w:bidi="ar"/>
              </w:rPr>
              <w:t>3.067</w:t>
            </w:r>
          </w:p>
        </w:tc>
      </w:tr>
      <w:tr w14:paraId="0FCACF94">
        <w:tblPrEx>
          <w:tblCellMar>
            <w:top w:w="0" w:type="dxa"/>
            <w:left w:w="108" w:type="dxa"/>
            <w:bottom w:w="0" w:type="dxa"/>
            <w:right w:w="108" w:type="dxa"/>
          </w:tblCellMar>
        </w:tblPrEx>
        <w:trPr>
          <w:trHeight w:val="312"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3D7FCD">
            <w:pPr>
              <w:widowControl/>
              <w:jc w:val="center"/>
              <w:textAlignment w:val="center"/>
              <w:rPr>
                <w:rFonts w:ascii="Times New Roman" w:hAnsi="Times New Roman" w:eastAsia="宋体" w:cs="Times New Roman"/>
                <w:color w:val="auto"/>
                <w:highlight w:val="none"/>
              </w:rPr>
            </w:pPr>
            <w:r>
              <w:rPr>
                <w:rFonts w:ascii="Times New Roman" w:hAnsi="Times New Roman" w:eastAsia="宋体" w:cs="Times New Roman"/>
                <w:color w:val="auto"/>
                <w:kern w:val="0"/>
                <w:highlight w:val="none"/>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72DB1">
            <w:pPr>
              <w:widowControl/>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30.67</w:t>
            </w:r>
          </w:p>
        </w:tc>
      </w:tr>
    </w:tbl>
    <w:p w14:paraId="1E868EFA">
      <w:pPr>
        <w:rPr>
          <w:rFonts w:ascii="Times New Roman" w:hAnsi="Times New Roman" w:cs="Times New Roman"/>
          <w:color w:val="auto"/>
          <w:highlight w:val="none"/>
        </w:rPr>
      </w:pPr>
      <w:r>
        <w:rPr>
          <w:rFonts w:ascii="Times New Roman" w:hAnsi="Times New Roman" w:cs="Times New Roman"/>
          <w:color w:val="auto"/>
          <w:highlight w:val="none"/>
        </w:rPr>
        <w:br w:type="page"/>
      </w:r>
    </w:p>
    <w:p w14:paraId="0BE91EC3">
      <w:pPr>
        <w:pStyle w:val="13"/>
        <w:rPr>
          <w:color w:val="auto"/>
          <w:highlight w:val="none"/>
        </w:rPr>
      </w:pPr>
    </w:p>
    <w:p w14:paraId="1DEF3806">
      <w:pPr>
        <w:pStyle w:val="2"/>
        <w:spacing w:line="360" w:lineRule="auto"/>
        <w:jc w:val="center"/>
        <w:rPr>
          <w:rFonts w:ascii="Times New Roman" w:hAnsi="Times New Roman" w:eastAsia="宋体" w:cs="Times New Roman"/>
          <w:color w:val="auto"/>
          <w:sz w:val="32"/>
          <w:szCs w:val="32"/>
          <w:highlight w:val="none"/>
        </w:rPr>
      </w:pPr>
      <w:bookmarkStart w:id="221" w:name="_Toc30807"/>
      <w:r>
        <w:rPr>
          <w:rFonts w:ascii="Times New Roman" w:hAnsi="Times New Roman" w:eastAsia="宋体" w:cs="Times New Roman"/>
          <w:color w:val="auto"/>
          <w:sz w:val="32"/>
          <w:szCs w:val="32"/>
          <w:highlight w:val="none"/>
        </w:rPr>
        <w:t>第8章  保障措施与效益分析</w:t>
      </w:r>
      <w:bookmarkEnd w:id="221"/>
    </w:p>
    <w:p w14:paraId="124B753F">
      <w:pPr>
        <w:pStyle w:val="3"/>
        <w:spacing w:before="120" w:after="120"/>
        <w:rPr>
          <w:rFonts w:ascii="Times New Roman" w:hAnsi="Times New Roman" w:eastAsia="宋体" w:cs="Times New Roman"/>
          <w:color w:val="auto"/>
          <w:highlight w:val="none"/>
        </w:rPr>
      </w:pPr>
      <w:bookmarkStart w:id="222" w:name="_Toc29983"/>
      <w:bookmarkStart w:id="223" w:name="_Toc17610"/>
      <w:bookmarkStart w:id="224" w:name="_Toc511576367"/>
      <w:r>
        <w:rPr>
          <w:rFonts w:ascii="Times New Roman" w:hAnsi="Times New Roman" w:eastAsia="宋体" w:cs="Times New Roman"/>
          <w:color w:val="auto"/>
          <w:highlight w:val="none"/>
        </w:rPr>
        <w:t>一、组织保障</w:t>
      </w:r>
      <w:bookmarkEnd w:id="222"/>
      <w:bookmarkEnd w:id="223"/>
      <w:bookmarkEnd w:id="224"/>
    </w:p>
    <w:p w14:paraId="2300B035">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1、管理保障措施</w:t>
      </w:r>
    </w:p>
    <w:p w14:paraId="1CCBF0C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为保证方案顺利实施、损毁土地得到有效控制、矿区及周边生态环境良性发展，确保方案提出的各项措施的实施和落实，方案采取义务人自行治理和复垦的方式。成立项目领导小组，负责工程建设中的工程管理和实施工作，按照实施方案的工程措施、进度安排、技术标准等，严格要求实施单位，保质保量地完成各项措施。</w:t>
      </w:r>
    </w:p>
    <w:p w14:paraId="5AB4F9E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该项目由矿方成立矿山地质环境保护与土地复垦工作领导小组，统一协调和领导矿山地质环境保护与土地复垦工作，领导小组负责人由矿山副总级分管领导担任，配备专职人员2人，负责组织协调等日常工作。具体职责如下：</w:t>
      </w:r>
    </w:p>
    <w:p w14:paraId="0EE6541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（1）贯彻执行国家和地方政府、国土部门有关的方针政策，制定矿山地质环境保护与土地复垦工作管理规章制度；</w:t>
      </w:r>
    </w:p>
    <w:p w14:paraId="45EB6BC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（2）加强有关法律、法规及条例的学习和宣传力度，组织有关工作人员进行环保、复垦知识的技术培训，做到人人自觉树立起矿山环境保护意识；</w:t>
      </w:r>
    </w:p>
    <w:p w14:paraId="7BA8D20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（3）协调矿山地质环境保护与土地复垦工作与矿山生产的关系，确保矿山地质环境保护与土地复垦资金按计划计提、预存，保证工程措施正常实施；</w:t>
      </w:r>
    </w:p>
    <w:p w14:paraId="70668B3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（4）定期深入工程现场进行检查，掌握矿山地质环境破坏情况、土地损毁情况及矿山地质环境保护与土地复垦措施落实情况；</w:t>
      </w:r>
    </w:p>
    <w:p w14:paraId="09D9594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定期向主管领导汇报复垦工程进度，每年向地方自然资源主管部门报告矿山地质环境破坏情况、土地损毁情况及矿山地质环境保护与土地复垦情况，配合地方国土部门对矿山地质环境保护与土地复垦工作的监督检查；</w:t>
      </w:r>
    </w:p>
    <w:p w14:paraId="5F4B6C8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6）在矿山生产和矿山地质环境保护与土地复垦施工过程中，定期或不定期地对在建或已建的矿山地质环境保护与土地复垦工程进行检测，随时掌握其施工情况，并进行日常维护养护，建立、健全各项档案、资料。主动积累、分析及整编矿山地质环境保护与土地复垦资料，为工程的验收提供相关资料。 </w:t>
      </w:r>
    </w:p>
    <w:p w14:paraId="4025D796">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2、政策措施保障</w:t>
      </w:r>
    </w:p>
    <w:p w14:paraId="1497B28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当地政府充分应用相关的法律法规制定有利于矿山地质环境保护与土地复垦的优惠政策，鼓励和调动矿山企业各方面的积极性，做好矿山地质环境保护与土地复垦的宣传发动工作。既使矿山企业充分认识到矿山地质环境保护与土地复垦在经济建设中所处的地位和作用，增强紧迫感和责任感，取得广大干部和群众的理解支持，又使当地村民和基层组织积极主动参与，给矿山企业以热情周到的配合服务，使他们感觉到当地干部群众的温暖和各级政府的有力支持。</w:t>
      </w:r>
    </w:p>
    <w:p w14:paraId="02768DA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根据国家的有关政策制定矿山地质环境保护与土地复垦的奖惩制度。当地政府、职能部门领导、企业管理者制定任期岗位目标责任制，把矿山地质环境保护与土地复垦目标任务落实责任人，签订目标责任书，与效益挂钩，实行奖罚制度，切实抓好复垦工作。</w:t>
      </w:r>
    </w:p>
    <w:p w14:paraId="149833CA">
      <w:pPr>
        <w:spacing w:line="360" w:lineRule="auto"/>
        <w:ind w:firstLine="560" w:firstLineChars="20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（3）按照“谁损毁、谁复垦”的原则，进行矿区矿山地质环境保护与土地复垦工作。对不履行相关义务的，按照国家相关法律法规给以经济措施处理。</w:t>
      </w:r>
    </w:p>
    <w:p w14:paraId="1605DD6B">
      <w:pPr>
        <w:pStyle w:val="3"/>
        <w:spacing w:before="120" w:after="120"/>
        <w:rPr>
          <w:rFonts w:ascii="Times New Roman" w:hAnsi="Times New Roman" w:eastAsia="宋体" w:cs="Times New Roman"/>
          <w:color w:val="auto"/>
          <w:highlight w:val="none"/>
        </w:rPr>
      </w:pPr>
      <w:bookmarkStart w:id="225" w:name="_Toc5449"/>
      <w:bookmarkStart w:id="226" w:name="_Toc4832"/>
      <w:bookmarkStart w:id="227" w:name="_Toc511576368"/>
      <w:r>
        <w:rPr>
          <w:rFonts w:ascii="Times New Roman" w:hAnsi="Times New Roman" w:eastAsia="宋体" w:cs="Times New Roman"/>
          <w:color w:val="auto"/>
          <w:highlight w:val="none"/>
        </w:rPr>
        <w:t>二、技术保障</w:t>
      </w:r>
      <w:bookmarkEnd w:id="225"/>
      <w:bookmarkEnd w:id="226"/>
      <w:bookmarkEnd w:id="227"/>
    </w:p>
    <w:p w14:paraId="10CE6F7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矿山企业要引进专业技术人员，尤其是环境工程治理技术人员和植被恢复技术人员。通过引进专业对口、适应矿山工作环境的技术人员进行弥补，为矿山地质环境保护和土地复垦工作提供技术人才保证；同时，矿山企业要增置矿山地质环境保护与土地复垦工作所需仪器设备，为完善矿山地质环境保护与土地复垦工作提供技术上的物质保证。</w:t>
      </w:r>
    </w:p>
    <w:p w14:paraId="5E557F7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2、加强企业员工的环境及生态知识、法规宣传教育，增强意识和责任感，使各项治理工程落实到人，加强企业内部自检。</w:t>
      </w:r>
    </w:p>
    <w:p w14:paraId="4A436C3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3、在矿山地质环境保护与土地复垦方案技术上，委托有资质的设计单位对项目实施编制实施规划、设计施工图纸等，保证矿山地质环境保护与土地复垦方案的科学性、可操作性。</w:t>
      </w:r>
    </w:p>
    <w:p w14:paraId="31D7EB1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在工程实施阶段，科学制定阶段矿山地质环境治理与土地复垦实施计划和年度实施计划，及时总结阶段性治理及复垦实践经验，依据相关规程修订本方案。同时，加强学习研究国内外先进的治理及复垦技术，及时吸取经验和教训，完善治理及复垦措施。</w:t>
      </w:r>
    </w:p>
    <w:p w14:paraId="106C8592">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5、矿山企业应定期或不定期聘请有关专家对矿山地质环境保护与土地复垦工程进行专业咨询，对不合理的方案和措施及时进行调整，使矿山地质环境保护与土地复垦工程切实有效。</w:t>
      </w:r>
    </w:p>
    <w:p w14:paraId="7BEEBF1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6、建立技术监督制，重点监督义务人实施表剥离及保护、不将有毒有害物用作回填或者充填材料、不将重金属及其它有毒有害物污染的土地用作种植食用农作物。</w:t>
      </w:r>
    </w:p>
    <w:p w14:paraId="1303561D">
      <w:pPr>
        <w:pStyle w:val="3"/>
        <w:spacing w:before="120" w:after="120"/>
        <w:rPr>
          <w:rFonts w:ascii="Times New Roman" w:hAnsi="Times New Roman" w:eastAsia="宋体" w:cs="Times New Roman"/>
          <w:color w:val="auto"/>
          <w:highlight w:val="none"/>
        </w:rPr>
      </w:pPr>
      <w:bookmarkStart w:id="228" w:name="_Toc511576369"/>
      <w:bookmarkStart w:id="229" w:name="_Toc12545"/>
      <w:bookmarkStart w:id="230" w:name="_Toc30808"/>
      <w:r>
        <w:rPr>
          <w:rFonts w:ascii="Times New Roman" w:hAnsi="Times New Roman" w:eastAsia="宋体" w:cs="Times New Roman"/>
          <w:color w:val="auto"/>
          <w:highlight w:val="none"/>
        </w:rPr>
        <w:t>三、资金保障</w:t>
      </w:r>
      <w:bookmarkEnd w:id="228"/>
      <w:bookmarkEnd w:id="229"/>
      <w:bookmarkEnd w:id="230"/>
    </w:p>
    <w:p w14:paraId="2353AD4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资金落实是矿山地质环境保护与土地复垦工作成败的关键。做好矿山地质环境保护与土地复垦工作，必须制定出切实可行的资金保障措施，本方案将从资金的来源、存放、管理、使用、审计等环节落实资金保障措施。 </w:t>
      </w:r>
    </w:p>
    <w:p w14:paraId="00F70DC3">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1、资金来源</w:t>
      </w:r>
    </w:p>
    <w:p w14:paraId="305B273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u w:val="none"/>
        </w:rPr>
        <w:t>大英县</w:t>
      </w:r>
      <w:r>
        <w:rPr>
          <w:rFonts w:hint="eastAsia" w:ascii="仿宋" w:hAnsi="仿宋" w:eastAsia="仿宋" w:cs="仿宋"/>
          <w:color w:val="auto"/>
          <w:sz w:val="28"/>
          <w:szCs w:val="28"/>
          <w:u w:val="none"/>
          <w:lang w:eastAsia="zh-CN"/>
        </w:rPr>
        <w:t>顺源</w:t>
      </w:r>
      <w:r>
        <w:rPr>
          <w:rFonts w:hint="eastAsia" w:ascii="仿宋" w:hAnsi="仿宋" w:eastAsia="仿宋" w:cs="仿宋"/>
          <w:color w:val="auto"/>
          <w:sz w:val="28"/>
          <w:szCs w:val="28"/>
          <w:u w:val="none"/>
        </w:rPr>
        <w:t>矿业有限责任公司</w:t>
      </w:r>
      <w:r>
        <w:rPr>
          <w:rFonts w:hint="eastAsia" w:ascii="仿宋" w:hAnsi="仿宋" w:eastAsia="仿宋" w:cs="仿宋"/>
          <w:color w:val="auto"/>
          <w:sz w:val="28"/>
          <w:szCs w:val="28"/>
          <w:highlight w:val="none"/>
        </w:rPr>
        <w:t>为矿山地质环境保护与土地复垦义务人，应将矿山地质环境保护与土地复垦资金足额纳入生产建设成本，专项用于矿山地质环境保护与土地复垦工作的实施。投入资金存入专门</w:t>
      </w:r>
      <w:r>
        <w:rPr>
          <w:rFonts w:hint="eastAsia" w:ascii="仿宋" w:hAnsi="仿宋" w:eastAsia="仿宋" w:cs="仿宋"/>
          <w:color w:val="auto"/>
          <w:sz w:val="28"/>
          <w:szCs w:val="28"/>
          <w:highlight w:val="none"/>
          <w:lang w:val="en-US" w:eastAsia="zh-CN"/>
        </w:rPr>
        <w:t>账</w:t>
      </w:r>
      <w:r>
        <w:rPr>
          <w:rFonts w:hint="eastAsia" w:ascii="仿宋" w:hAnsi="仿宋" w:eastAsia="仿宋" w:cs="仿宋"/>
          <w:color w:val="auto"/>
          <w:sz w:val="28"/>
          <w:szCs w:val="28"/>
          <w:highlight w:val="none"/>
        </w:rPr>
        <w:t>户，确保资金足额到位、安全有效。</w:t>
      </w:r>
    </w:p>
    <w:p w14:paraId="2A9BD0F8">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2、资金存放</w:t>
      </w:r>
    </w:p>
    <w:p w14:paraId="4C6DBF9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矿山企业每年列入生产成本中的矿山地质环境保护与土地复垦资金采用集中管理，不得随便改变使用用途。为确保复垦资金的专款专用，矿山地质环境保护与土地复垦资金由当地自然资与矿山企业共同管理。</w:t>
      </w:r>
    </w:p>
    <w:p w14:paraId="3EA8EFB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（1）建立共管账户：建立矿山地质环境保护与土地复垦费用专用账户，费用账户按照“企业所有，政府监管，专户存储，专款专用”的原则进行管理。</w:t>
      </w:r>
    </w:p>
    <w:p w14:paraId="1DDBA83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共管账户工作人员具体工作职责：每年年底督促矿山按照矿山地质环境保护与土地复垦资金动态投资总额确定的年度计提标准将资金转划至共管账户内；负责统计矿山历年复垦资金缴纳总额及未缴纳余额；负责统计矿山完成矿地质环境保护与土地复垦工作投资、支出金额；在10日内将矿山缴纳、支出矿山地质环境保护与土地复垦资金的财务凭证送至自然资源监管部门实施备案；配合自然资源、财政等相关部门对专项账户内的资金进行监督检查，如实提供相关的数据、凭证。</w:t>
      </w:r>
    </w:p>
    <w:p w14:paraId="41468A6E">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3、资金管理</w:t>
      </w:r>
    </w:p>
    <w:p w14:paraId="6E6B472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（1）采用第三方监管：共管账户管理是保证资金安全、矿山地质环境保护与土地复垦工作顺利实施的切实保障，资金管理采取矿山和自然资源部门双方共管、第三方（银行或财政部门）监管的制度。</w:t>
      </w:r>
    </w:p>
    <w:p w14:paraId="572115F8">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资金的支出管理：共管账户内的资金专门用于本项目矿山地质环境保护与土地复垦工作实施，不得挪作他用。共管账户内的资金由银行根据监管协议，只有获取相关付款指令后方可实施资金的划转。该付款指令应由矿山和自然资源部门协商确定。</w:t>
      </w:r>
    </w:p>
    <w:p w14:paraId="549A2F2B">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4、资金使用</w:t>
      </w:r>
    </w:p>
    <w:p w14:paraId="355A43C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遏制项目资金的粗放利用行为。矿山地质环境保护与土地复垦工作切实关系着人民生命财产安全，每一分复垦资金都应落实在矿山地质环境保护与土地复垦项目中，杜绝项目资金的粗放利用现象。在复垦资金的使用中，将事中监督与事后检查制度同步实施，使复垦资金充分发挥效益。</w:t>
      </w:r>
    </w:p>
    <w:p w14:paraId="3A8D4A7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（2）杜绝改变项目资金用途现象。矿山地质环境保护与土地复垦费金额较大，在项目的实施过程中，任何个人和单位不得以配套工程、综合开发等名义将矿山地质环境保护与土地复垦资金变相的挪作他用。</w:t>
      </w:r>
    </w:p>
    <w:p w14:paraId="093BC71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严格资金拨付制度。在工程完成后，资金拨付由施工单位根据工程进度提出申请，经主管部门审查签字后，报财务部门审批。在拨付资金之前，必须对上期资金使用情况进行检查验收，合格后资金才予拨付。工程款可按照单项工程实施进度分阶段支付，每次支付的金额不得超过单项工程完成总额的70%。</w:t>
      </w:r>
    </w:p>
    <w:p w14:paraId="31096C62">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5、资金监督与审计</w:t>
      </w:r>
    </w:p>
    <w:p w14:paraId="177AF4F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保护与土地复垦专项资金的审计工作，由矿山地质环境保护与土地复垦管理机构申请，采用招标方式委托会计事务所从事审计业务，受当地自然资源和规划局组织与监督。会计师事务所通过招标承接和执行审计业务，审计准则和职业道德规范，严格按照业务约定书履行义务，具体审计内容如下：</w:t>
      </w:r>
    </w:p>
    <w:p w14:paraId="1A6E641F">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（1）确定资金的内部控制制度存在、有效并一贯被执行；</w:t>
      </w:r>
    </w:p>
    <w:p w14:paraId="2F07DAA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（2）确定会计报表所列金额真实；</w:t>
      </w:r>
    </w:p>
    <w:p w14:paraId="097C6DC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（3）确定资金的会计记录正确无误，金额正确，计量无误，明细账和总账一致，没有被贪污或挪用现象；</w:t>
      </w:r>
    </w:p>
    <w:p w14:paraId="4DFBC2E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（4）确定资金的收支真实，货币计价正确；</w:t>
      </w:r>
    </w:p>
    <w:p w14:paraId="5C63380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（5）确定资金在会计报表上的揭露恰当。</w:t>
      </w:r>
    </w:p>
    <w:p w14:paraId="5A48CCBC">
      <w:pPr>
        <w:pStyle w:val="3"/>
        <w:spacing w:before="120" w:after="120"/>
        <w:rPr>
          <w:rFonts w:ascii="Times New Roman" w:hAnsi="Times New Roman" w:eastAsia="宋体" w:cs="Times New Roman"/>
          <w:color w:val="auto"/>
          <w:highlight w:val="none"/>
        </w:rPr>
      </w:pPr>
      <w:bookmarkStart w:id="231" w:name="_Toc5473"/>
      <w:bookmarkStart w:id="232" w:name="_Toc11066"/>
      <w:bookmarkStart w:id="233" w:name="_Toc511576370"/>
      <w:r>
        <w:rPr>
          <w:rFonts w:ascii="Times New Roman" w:hAnsi="Times New Roman" w:eastAsia="宋体" w:cs="Times New Roman"/>
          <w:color w:val="auto"/>
          <w:highlight w:val="none"/>
        </w:rPr>
        <w:t>四、监督保障</w:t>
      </w:r>
      <w:bookmarkEnd w:id="231"/>
      <w:bookmarkEnd w:id="232"/>
      <w:bookmarkEnd w:id="233"/>
    </w:p>
    <w:p w14:paraId="632A8AC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矿山地质环境保护与土地复垦义务人即建设单位单位，承诺将严格按计划和阶段实施计划开展工作，每年定期向当地规划和自然资源局报告当年复情况，并将相关情况通过当地电视、报纸、网络向公众公开，接受政府相关职能部门和公众的监督。</w:t>
      </w:r>
    </w:p>
    <w:p w14:paraId="2BF4974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项目的实施，必须是具有资质的单位和人民政府及市、县自然资源和规划局共同组织实施，建立专职机构，由专职人员具体管理负责制，制定详细的勘查设计施工方案，建立质量监测及验收等工作程序，自觉地接受财政、监察、自然资源等部门的监督与检查。</w:t>
      </w:r>
    </w:p>
    <w:p w14:paraId="494CE72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参与项目勘查、设计、施工及管理的单位，必须具备国家规定的资质条件，取得相应的资质证书；项目质量管理必须严格按照有关规范、规程执行，做到责任明确，奖罚分明，施工所需材料须经质检部门验收合格方可使用；工程竣工后应及时报请财政及自然资源行政主管部门组织专家验收。</w:t>
      </w:r>
    </w:p>
    <w:p w14:paraId="3D21F141">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由当地规划和自然资源局和审计单位对矿山地质环境保护与土地复垦专项资金进行监督和审计。规划和自然资源局相关人员将定期对复垦资金进行检查验收，确保每笔复垦资金落到实处，真正用在矿山地质环境保护与土地复垦工程上。对滥用、挪用资金的，坚决追究当事人、相关责任人的责任，并给予相应的行政、经济以及刑事处罚。</w:t>
      </w:r>
    </w:p>
    <w:p w14:paraId="66EBE71E">
      <w:pPr>
        <w:pStyle w:val="3"/>
        <w:spacing w:before="120" w:after="120"/>
        <w:rPr>
          <w:rFonts w:ascii="Times New Roman" w:hAnsi="Times New Roman" w:eastAsia="宋体" w:cs="Times New Roman"/>
          <w:color w:val="auto"/>
          <w:highlight w:val="none"/>
        </w:rPr>
      </w:pPr>
      <w:bookmarkStart w:id="234" w:name="_Toc32041"/>
      <w:bookmarkStart w:id="235" w:name="_Toc12629"/>
      <w:bookmarkStart w:id="236" w:name="_Toc511576371"/>
      <w:r>
        <w:rPr>
          <w:rFonts w:ascii="Times New Roman" w:hAnsi="Times New Roman" w:eastAsia="宋体" w:cs="Times New Roman"/>
          <w:color w:val="auto"/>
          <w:highlight w:val="none"/>
        </w:rPr>
        <w:t>五、效益分析</w:t>
      </w:r>
      <w:bookmarkEnd w:id="234"/>
      <w:bookmarkEnd w:id="235"/>
      <w:bookmarkEnd w:id="236"/>
    </w:p>
    <w:p w14:paraId="43EA82E2">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1、社会效益</w:t>
      </w:r>
    </w:p>
    <w:p w14:paraId="3AE0B04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保护与土地复垦的投入将使项目建设运行产生的不利环境响得到有效控制，保护项目环境资源，对于维护和改善项目环境质量起到良好作用。复垦后林地可以继续由当地村民使用，既有利于促进土地合理利用，又可以增加农业收入，同时又可以改善当地生态环境，有利于当地百姓的身心健康，促进社会的安定团结。所以，矿山地质环境保护与土地复垦是关心国计民生的大事，不仅对发展生产和矿产事业有重要意义，而且对全社会的安定团结和稳定发展也有重要意义，它也是保证项目区域可持续发展的重要组成部分，因而具有重要的社会效益。</w:t>
      </w:r>
    </w:p>
    <w:p w14:paraId="172015E2">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2、环境效益</w:t>
      </w:r>
    </w:p>
    <w:p w14:paraId="0F89D3F0">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是一个自然、经济、社会的综合体，同时也是一个巨大的生态系统。矿山地质环境保护与土地复垦是与生态重建密切结合的大型工程。在该地区进行土地复垦与生态重建，对因开采造成的土地损毁进行治理，其生态意义极其巨大。</w:t>
      </w:r>
    </w:p>
    <w:p w14:paraId="7FF8EB25">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矿山地质环境保护与土地复垦方案按照“合理布局、因地制宜”的原则生产过程中损毁的土地进行综合治理，建立起新的土地利用生态体系，形成新的人工和自然绿色景观，起到蓄水保土、减轻土地损毁的作用，将使项目区恢复原有的良好生态环境，保持当地植被生态系统间的良性循环，调节区域小气候。</w:t>
      </w:r>
    </w:p>
    <w:p w14:paraId="3A26578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通过平整土地、改善土壤物化性质、树木栽植等具体措施，可以有效改善土地质量，使生态环境趋于平衡，可以得到良好的生态效益。</w:t>
      </w:r>
    </w:p>
    <w:p w14:paraId="77A16ABA">
      <w:p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3、经济效益</w:t>
      </w:r>
    </w:p>
    <w:p w14:paraId="045D2ACD">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经济效益包括直接经济效益和间接经济效益，矿山地质环境保护与土地复垦费用主要用于地质灾害、水土污染的监测及占用损毁土地的恢复治理等，以避免塌陷、地裂缝等地质灾害及人居环境不断恶化。如果不对这些地质问题进行治理恢复，一方面严重影响区内人员生命财产安全，从而增加企业赔偿费用，给企业造成持续的经济负担。另一方面，对水土、植被环境造成严重的破降，低了土地的利用等级，土地使用价值下降，其损失是不可估量的。</w:t>
      </w:r>
    </w:p>
    <w:p w14:paraId="657353E6">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所以，对矿山地质环境和土地损毁问题进行监测治理，有利于矿区人民生产生活，有利于生态平衡和可持续发展，能产生良好的经济效益。</w:t>
      </w:r>
    </w:p>
    <w:p w14:paraId="403700BC">
      <w:pPr>
        <w:pStyle w:val="3"/>
        <w:spacing w:before="120" w:after="120"/>
        <w:rPr>
          <w:rFonts w:ascii="Times New Roman" w:hAnsi="Times New Roman" w:eastAsia="宋体" w:cs="Times New Roman"/>
          <w:color w:val="auto"/>
          <w:highlight w:val="none"/>
        </w:rPr>
      </w:pPr>
      <w:bookmarkStart w:id="237" w:name="_Toc21383"/>
      <w:bookmarkStart w:id="238" w:name="_Toc511576372"/>
      <w:bookmarkStart w:id="239" w:name="_Toc27124"/>
      <w:r>
        <w:rPr>
          <w:rFonts w:ascii="Times New Roman" w:hAnsi="Times New Roman" w:eastAsia="宋体" w:cs="Times New Roman"/>
          <w:color w:val="auto"/>
          <w:highlight w:val="none"/>
        </w:rPr>
        <w:t>六、公众参与</w:t>
      </w:r>
      <w:bookmarkEnd w:id="237"/>
      <w:bookmarkEnd w:id="238"/>
      <w:bookmarkEnd w:id="239"/>
    </w:p>
    <w:p w14:paraId="16DF7C5B">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土地复垦中的公众参与的目的是收集当地土地资源主管部门、土地使用者和矿区周边公众对项目占地及开展后期复垦工作的意见和建议。</w:t>
      </w:r>
    </w:p>
    <w:p w14:paraId="0E9A9419">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根据土地复垦方案编制要求，必须让工程所在地周围群众对复垦方案的相关内容如复垦期限、复垦方向、复垦工程措施等有所了解，在此基础上充分表达自己的意见和建议，提出相应的建设性意见，使其落实到具体的土地复垦中，确保复垦方案可行，并且满足自治区、县自然资源主管部门的有关要求。</w:t>
      </w:r>
    </w:p>
    <w:p w14:paraId="7C7B950C">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案编制前期，建设单位与方案编制人员走访了矿区附近的当地群众，充分征求了土地权属人以及当地自然资源、水利、农业、环保等部门或代表意见，将方案规划的目标和内容与他们相互交流，明确损毁土地的复垦方向、治理复垦标准和实施措施，得到他们的帮助和大力支持，复垦工作具有较好的社会基础。</w:t>
      </w:r>
    </w:p>
    <w:p w14:paraId="2DAC81D3">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建设过程中积极邀请当地群众代表和相关部门对治理复垦工作进行指导，确保工作顺利开展。工程实施结束后，自然资源管理部门进行验收时，除组织相关专家外，也将邀请部分群众代表参加，确保验收工作公平、公正、公开。</w:t>
      </w:r>
    </w:p>
    <w:p w14:paraId="1F4BBD8A">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总体来看，公众对矿区的开采关注度都很高，具有良好的社会基础，但对矿山的土地复垦目的、措施、复垦目标等不甚了解。早了解了矿山土地复垦的方向和措施后，大多数群众和当地政府都对</w:t>
      </w:r>
      <w:r>
        <w:rPr>
          <w:rFonts w:hint="eastAsia" w:ascii="仿宋" w:hAnsi="仿宋" w:eastAsia="仿宋" w:cs="仿宋"/>
          <w:color w:val="auto"/>
          <w:sz w:val="28"/>
          <w:szCs w:val="28"/>
          <w:u w:val="none"/>
        </w:rPr>
        <w:t>大英县</w:t>
      </w:r>
      <w:r>
        <w:rPr>
          <w:rFonts w:hint="eastAsia" w:ascii="仿宋" w:hAnsi="仿宋" w:eastAsia="仿宋" w:cs="仿宋"/>
          <w:color w:val="auto"/>
          <w:sz w:val="28"/>
          <w:szCs w:val="28"/>
          <w:u w:val="none"/>
          <w:lang w:val="en-US" w:eastAsia="zh-CN"/>
        </w:rPr>
        <w:t>紫云村饰面用砂岩</w:t>
      </w:r>
      <w:r>
        <w:rPr>
          <w:rFonts w:hint="eastAsia" w:ascii="仿宋" w:hAnsi="仿宋" w:eastAsia="仿宋" w:cs="仿宋"/>
          <w:color w:val="auto"/>
          <w:sz w:val="28"/>
          <w:szCs w:val="28"/>
          <w:highlight w:val="none"/>
        </w:rPr>
        <w:t>矿矿山土地复垦有较大信心，认为该方案的实施可以有效地改善当地的生态环境。</w:t>
      </w:r>
    </w:p>
    <w:p w14:paraId="07045C9E">
      <w:pPr>
        <w:spacing w:line="360" w:lineRule="auto"/>
        <w:ind w:firstLine="560" w:firstLineChars="200"/>
        <w:rPr>
          <w:rFonts w:ascii="Times New Roman" w:hAnsi="Times New Roman" w:eastAsia="宋体" w:cs="Times New Roman"/>
          <w:color w:val="auto"/>
          <w:highlight w:val="none"/>
        </w:rPr>
      </w:pPr>
      <w:r>
        <w:rPr>
          <w:rFonts w:hint="eastAsia" w:ascii="仿宋" w:hAnsi="仿宋" w:eastAsia="仿宋" w:cs="仿宋"/>
          <w:color w:val="auto"/>
          <w:sz w:val="28"/>
          <w:szCs w:val="28"/>
          <w:highlight w:val="none"/>
        </w:rPr>
        <w:t>规划和自然资源局和当地村委会非常赞同开展土地复垦工作，希望该方案的实施过程中充分考虑当地的自然条件，选择当地优势植物，确保土地复垦率和复垦效果达到验收要求。同时，希望建设单位加强复垦后的管护和抚育工作，巩固土地复垦成果。</w:t>
      </w:r>
    </w:p>
    <w:p w14:paraId="0DE54A2C">
      <w:pPr>
        <w:rPr>
          <w:rFonts w:ascii="Times New Roman" w:hAnsi="Times New Roman" w:eastAsia="宋体" w:cs="Times New Roman"/>
          <w:bCs/>
          <w:color w:val="auto"/>
          <w:sz w:val="30"/>
          <w:szCs w:val="30"/>
          <w:highlight w:val="none"/>
        </w:rPr>
        <w:sectPr>
          <w:pgSz w:w="11906" w:h="16838"/>
          <w:pgMar w:top="1440" w:right="1800" w:bottom="1440" w:left="1800" w:header="851" w:footer="992" w:gutter="0"/>
          <w:cols w:space="425" w:num="1"/>
          <w:docGrid w:type="lines" w:linePitch="312" w:charSpace="0"/>
        </w:sectPr>
      </w:pPr>
    </w:p>
    <w:p w14:paraId="3572BEAC">
      <w:pPr>
        <w:pStyle w:val="2"/>
        <w:spacing w:line="360" w:lineRule="auto"/>
        <w:jc w:val="center"/>
        <w:rPr>
          <w:rFonts w:ascii="Times New Roman" w:hAnsi="Times New Roman" w:eastAsia="宋体" w:cs="Times New Roman"/>
          <w:color w:val="auto"/>
          <w:sz w:val="32"/>
          <w:szCs w:val="32"/>
          <w:highlight w:val="none"/>
        </w:rPr>
      </w:pPr>
      <w:bookmarkStart w:id="240" w:name="_Toc504"/>
      <w:r>
        <w:rPr>
          <w:rFonts w:ascii="Times New Roman" w:hAnsi="Times New Roman" w:eastAsia="宋体" w:cs="Times New Roman"/>
          <w:color w:val="auto"/>
          <w:sz w:val="32"/>
          <w:szCs w:val="32"/>
          <w:highlight w:val="none"/>
        </w:rPr>
        <w:t>第9章  结论与建议</w:t>
      </w:r>
      <w:bookmarkEnd w:id="240"/>
    </w:p>
    <w:p w14:paraId="44833685">
      <w:pPr>
        <w:pStyle w:val="3"/>
        <w:spacing w:before="120" w:after="120"/>
        <w:rPr>
          <w:rFonts w:ascii="Times New Roman" w:hAnsi="Times New Roman" w:eastAsia="宋体" w:cs="Times New Roman"/>
          <w:color w:val="auto"/>
          <w:highlight w:val="none"/>
        </w:rPr>
      </w:pPr>
      <w:bookmarkStart w:id="241" w:name="_Toc3645"/>
      <w:bookmarkStart w:id="242" w:name="_Toc511576374"/>
      <w:bookmarkStart w:id="243" w:name="_Toc4596"/>
      <w:r>
        <w:rPr>
          <w:rFonts w:ascii="Times New Roman" w:hAnsi="Times New Roman" w:eastAsia="宋体" w:cs="Times New Roman"/>
          <w:color w:val="auto"/>
          <w:highlight w:val="none"/>
        </w:rPr>
        <w:t>一、结论</w:t>
      </w:r>
      <w:bookmarkEnd w:id="241"/>
      <w:bookmarkEnd w:id="242"/>
      <w:bookmarkEnd w:id="243"/>
    </w:p>
    <w:p w14:paraId="70C97CB6">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大英县紫云村饰面用砂岩</w:t>
      </w:r>
      <w:r>
        <w:rPr>
          <w:rFonts w:hint="eastAsia" w:ascii="仿宋" w:hAnsi="仿宋" w:eastAsia="仿宋" w:cs="仿宋"/>
          <w:color w:val="auto"/>
          <w:sz w:val="28"/>
          <w:szCs w:val="28"/>
          <w:highlight w:val="none"/>
        </w:rPr>
        <w:t>矿开采方式为露天开采，开采矿种为</w:t>
      </w:r>
      <w:r>
        <w:rPr>
          <w:rFonts w:hint="eastAsia" w:ascii="仿宋" w:hAnsi="仿宋" w:eastAsia="仿宋" w:cs="仿宋"/>
          <w:color w:val="auto"/>
          <w:sz w:val="28"/>
          <w:szCs w:val="28"/>
          <w:highlight w:val="none"/>
          <w:lang w:eastAsia="zh-CN"/>
        </w:rPr>
        <w:t>饰面用砂岩</w:t>
      </w:r>
      <w:r>
        <w:rPr>
          <w:rFonts w:hint="eastAsia" w:ascii="仿宋" w:hAnsi="仿宋" w:eastAsia="仿宋" w:cs="仿宋"/>
          <w:color w:val="auto"/>
          <w:sz w:val="28"/>
          <w:szCs w:val="28"/>
          <w:highlight w:val="none"/>
        </w:rPr>
        <w:t>；设计生产规模为</w:t>
      </w:r>
      <w:r>
        <w:rPr>
          <w:rFonts w:hint="eastAsia" w:ascii="仿宋" w:hAnsi="仿宋" w:eastAsia="仿宋" w:cs="仿宋"/>
          <w:color w:val="auto"/>
          <w:sz w:val="28"/>
          <w:szCs w:val="28"/>
          <w:highlight w:val="none"/>
          <w:lang w:val="en-US" w:eastAsia="zh-CN"/>
        </w:rPr>
        <w:t>1万立方米</w:t>
      </w:r>
      <w:r>
        <w:rPr>
          <w:rFonts w:hint="eastAsia" w:ascii="仿宋" w:hAnsi="仿宋" w:eastAsia="仿宋" w:cs="仿宋"/>
          <w:color w:val="auto"/>
          <w:sz w:val="28"/>
          <w:szCs w:val="28"/>
          <w:highlight w:val="none"/>
        </w:rPr>
        <w:t>/年。矿山</w:t>
      </w:r>
      <w:r>
        <w:rPr>
          <w:rFonts w:hint="eastAsia" w:ascii="仿宋" w:hAnsi="仿宋" w:eastAsia="仿宋" w:cs="仿宋"/>
          <w:color w:val="auto"/>
          <w:sz w:val="28"/>
          <w:szCs w:val="28"/>
          <w:highlight w:val="none"/>
          <w:lang w:val="en-US" w:eastAsia="zh-CN"/>
        </w:rPr>
        <w:t>设计</w:t>
      </w:r>
      <w:r>
        <w:rPr>
          <w:rFonts w:hint="eastAsia" w:ascii="仿宋" w:hAnsi="仿宋" w:eastAsia="仿宋" w:cs="仿宋"/>
          <w:color w:val="auto"/>
          <w:sz w:val="28"/>
          <w:szCs w:val="28"/>
          <w:highlight w:val="none"/>
        </w:rPr>
        <w:t>服务年限</w:t>
      </w:r>
      <w:r>
        <w:rPr>
          <w:rFonts w:hint="eastAsia" w:ascii="仿宋" w:hAnsi="仿宋" w:eastAsia="仿宋" w:cs="仿宋"/>
          <w:color w:val="auto"/>
          <w:sz w:val="28"/>
          <w:szCs w:val="28"/>
          <w:highlight w:val="none"/>
          <w:lang w:val="en-US" w:eastAsia="zh-CN"/>
        </w:rPr>
        <w:t>9.14年</w:t>
      </w:r>
      <w:r>
        <w:rPr>
          <w:rFonts w:hint="eastAsia" w:ascii="仿宋" w:hAnsi="仿宋" w:eastAsia="仿宋" w:cs="仿宋"/>
          <w:color w:val="auto"/>
          <w:sz w:val="28"/>
          <w:szCs w:val="28"/>
          <w:highlight w:val="none"/>
        </w:rPr>
        <w:t>，矿山闭坑后，矿山地质保护与土地复垦工程施工期为1年，监测管护期为3年，故本方案适用期为</w:t>
      </w:r>
      <w:r>
        <w:rPr>
          <w:rFonts w:hint="eastAsia" w:ascii="仿宋" w:hAnsi="仿宋" w:eastAsia="仿宋" w:cs="仿宋"/>
          <w:color w:val="auto"/>
          <w:sz w:val="28"/>
          <w:szCs w:val="28"/>
          <w:highlight w:val="none"/>
          <w:lang w:val="en-US" w:eastAsia="zh-CN"/>
        </w:rPr>
        <w:t>13.14</w:t>
      </w:r>
      <w:r>
        <w:rPr>
          <w:rFonts w:hint="eastAsia" w:ascii="仿宋" w:hAnsi="仿宋" w:eastAsia="仿宋" w:cs="仿宋"/>
          <w:color w:val="auto"/>
          <w:sz w:val="28"/>
          <w:szCs w:val="28"/>
          <w:highlight w:val="none"/>
        </w:rPr>
        <w:t>年。</w:t>
      </w:r>
    </w:p>
    <w:p w14:paraId="2EC5F69C">
      <w:pPr>
        <w:pStyle w:val="9"/>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本方案的编制</w:t>
      </w:r>
      <w:r>
        <w:rPr>
          <w:rFonts w:hint="eastAsia" w:ascii="仿宋" w:hAnsi="仿宋" w:eastAsia="仿宋" w:cs="仿宋"/>
          <w:b/>
          <w:color w:val="auto"/>
          <w:sz w:val="28"/>
          <w:szCs w:val="28"/>
          <w:highlight w:val="none"/>
        </w:rPr>
        <w:t>基准年为</w:t>
      </w:r>
      <w:r>
        <w:rPr>
          <w:rFonts w:hint="eastAsia" w:ascii="仿宋" w:hAnsi="仿宋" w:eastAsia="仿宋" w:cs="仿宋"/>
          <w:b/>
          <w:color w:val="auto"/>
          <w:sz w:val="28"/>
          <w:szCs w:val="28"/>
          <w:highlight w:val="none"/>
          <w:lang w:val="en-US" w:eastAsia="zh-CN"/>
        </w:rPr>
        <w:t>矿山办理采矿证开始计算</w:t>
      </w:r>
      <w:r>
        <w:rPr>
          <w:rFonts w:hint="eastAsia" w:ascii="仿宋" w:hAnsi="仿宋" w:eastAsia="仿宋" w:cs="仿宋"/>
          <w:color w:val="auto"/>
          <w:sz w:val="28"/>
          <w:szCs w:val="28"/>
          <w:highlight w:val="none"/>
        </w:rPr>
        <w:t>，本方案在实施过程中，每5年应进行修订。当矿井扩大生产规模、扩大矿区范围、变更开采方式时，应重新编制或修订矿山地质环境保护与土地复垦方案。</w:t>
      </w:r>
    </w:p>
    <w:p w14:paraId="321FA9F3">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大英县紫云村饰面用砂岩</w:t>
      </w:r>
      <w:r>
        <w:rPr>
          <w:rFonts w:hint="eastAsia" w:ascii="仿宋" w:hAnsi="仿宋" w:eastAsia="仿宋" w:cs="仿宋"/>
          <w:color w:val="auto"/>
          <w:sz w:val="28"/>
          <w:szCs w:val="28"/>
          <w:highlight w:val="none"/>
        </w:rPr>
        <w:t>矿矿矿山为</w:t>
      </w:r>
      <w:r>
        <w:rPr>
          <w:rFonts w:hint="eastAsia" w:ascii="仿宋" w:hAnsi="仿宋" w:eastAsia="仿宋" w:cs="仿宋"/>
          <w:b/>
          <w:bCs/>
          <w:color w:val="auto"/>
          <w:sz w:val="28"/>
          <w:szCs w:val="28"/>
          <w:highlight w:val="none"/>
        </w:rPr>
        <w:t>“</w:t>
      </w:r>
      <w:r>
        <w:rPr>
          <w:rFonts w:hint="eastAsia" w:ascii="仿宋" w:hAnsi="仿宋" w:eastAsia="仿宋" w:cs="仿宋"/>
          <w:b/>
          <w:bCs/>
          <w:color w:val="auto"/>
          <w:sz w:val="28"/>
          <w:szCs w:val="28"/>
          <w:highlight w:val="none"/>
          <w:lang w:val="en-US" w:eastAsia="zh-CN"/>
        </w:rPr>
        <w:t>小</w:t>
      </w:r>
      <w:r>
        <w:rPr>
          <w:rFonts w:hint="eastAsia" w:ascii="仿宋" w:hAnsi="仿宋" w:eastAsia="仿宋" w:cs="仿宋"/>
          <w:b/>
          <w:bCs/>
          <w:color w:val="auto"/>
          <w:sz w:val="28"/>
          <w:szCs w:val="28"/>
          <w:highlight w:val="none"/>
        </w:rPr>
        <w:t>型矿山”</w:t>
      </w:r>
      <w:r>
        <w:rPr>
          <w:rFonts w:hint="eastAsia" w:ascii="仿宋" w:hAnsi="仿宋" w:eastAsia="仿宋" w:cs="仿宋"/>
          <w:color w:val="auto"/>
          <w:sz w:val="28"/>
          <w:szCs w:val="28"/>
          <w:highlight w:val="none"/>
        </w:rPr>
        <w:t>，评估区重要程度为</w:t>
      </w:r>
      <w:r>
        <w:rPr>
          <w:rFonts w:hint="eastAsia" w:ascii="仿宋" w:hAnsi="仿宋" w:eastAsia="仿宋" w:cs="仿宋"/>
          <w:b/>
          <w:color w:val="auto"/>
          <w:sz w:val="28"/>
          <w:szCs w:val="28"/>
          <w:highlight w:val="none"/>
        </w:rPr>
        <w:t>“重要区”</w:t>
      </w:r>
      <w:r>
        <w:rPr>
          <w:rFonts w:hint="eastAsia" w:ascii="仿宋" w:hAnsi="仿宋" w:eastAsia="仿宋" w:cs="仿宋"/>
          <w:color w:val="auto"/>
          <w:sz w:val="28"/>
          <w:szCs w:val="28"/>
          <w:highlight w:val="none"/>
        </w:rPr>
        <w:t>，矿山地质环境条件复杂程度为</w:t>
      </w: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简单</w:t>
      </w:r>
      <w:r>
        <w:rPr>
          <w:rFonts w:hint="eastAsia" w:ascii="仿宋" w:hAnsi="仿宋" w:eastAsia="仿宋" w:cs="仿宋"/>
          <w:b/>
          <w:color w:val="auto"/>
          <w:sz w:val="28"/>
          <w:szCs w:val="28"/>
          <w:highlight w:val="none"/>
        </w:rPr>
        <w:t>”</w:t>
      </w:r>
      <w:r>
        <w:rPr>
          <w:rFonts w:hint="eastAsia" w:ascii="仿宋" w:hAnsi="仿宋" w:eastAsia="仿宋" w:cs="仿宋"/>
          <w:color w:val="auto"/>
          <w:sz w:val="28"/>
          <w:szCs w:val="28"/>
          <w:highlight w:val="none"/>
        </w:rPr>
        <w:t>，确定评估级别为</w:t>
      </w: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二</w:t>
      </w:r>
      <w:r>
        <w:rPr>
          <w:rFonts w:hint="eastAsia" w:ascii="仿宋" w:hAnsi="仿宋" w:eastAsia="仿宋" w:cs="仿宋"/>
          <w:b/>
          <w:color w:val="auto"/>
          <w:sz w:val="28"/>
          <w:szCs w:val="28"/>
          <w:highlight w:val="none"/>
        </w:rPr>
        <w:t>级”</w:t>
      </w:r>
      <w:r>
        <w:rPr>
          <w:rFonts w:hint="eastAsia" w:ascii="仿宋" w:hAnsi="仿宋" w:eastAsia="仿宋" w:cs="仿宋"/>
          <w:color w:val="auto"/>
          <w:sz w:val="28"/>
          <w:szCs w:val="28"/>
          <w:highlight w:val="none"/>
        </w:rPr>
        <w:t>。</w:t>
      </w:r>
    </w:p>
    <w:p w14:paraId="2D5B7849">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现状评估：矿山现状条件下，评估区发生地质灾害的可能性较小，规模较小；采矿对含水层的影响较轻；对地貌景观破坏较严重；对地质遗迹、人文景观的影响和破坏较轻；对土地资源的影响较严重。矿业活动强度还处于较低状态，评估区范围内现状条件下未发现滑坡、地裂缝、泥石流等地质灾害，未发现有地表水疏漏。现状条件下矿山地质环境影响程度划分为“较严重”。</w:t>
      </w:r>
    </w:p>
    <w:p w14:paraId="2080FF1A">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4）预测评估：矿山露天采场发生崩塌或滑坡的可能性较</w:t>
      </w:r>
      <w:r>
        <w:rPr>
          <w:rFonts w:hint="eastAsia" w:ascii="仿宋" w:hAnsi="仿宋" w:eastAsia="仿宋" w:cs="仿宋"/>
          <w:color w:val="auto"/>
          <w:sz w:val="28"/>
          <w:szCs w:val="28"/>
          <w:highlight w:val="none"/>
          <w:lang w:val="en-US" w:eastAsia="zh-CN"/>
        </w:rPr>
        <w:t>小</w:t>
      </w:r>
      <w:r>
        <w:rPr>
          <w:rFonts w:hint="eastAsia" w:ascii="仿宋" w:hAnsi="仿宋" w:eastAsia="仿宋" w:cs="仿宋"/>
          <w:color w:val="auto"/>
          <w:sz w:val="28"/>
          <w:szCs w:val="28"/>
          <w:highlight w:val="none"/>
        </w:rPr>
        <w:t>，危险性较</w:t>
      </w:r>
      <w:r>
        <w:rPr>
          <w:rFonts w:hint="eastAsia" w:ascii="仿宋" w:hAnsi="仿宋" w:eastAsia="仿宋" w:cs="仿宋"/>
          <w:color w:val="auto"/>
          <w:sz w:val="28"/>
          <w:szCs w:val="28"/>
          <w:highlight w:val="none"/>
          <w:lang w:val="en-US" w:eastAsia="zh-CN"/>
        </w:rPr>
        <w:t>小</w:t>
      </w:r>
      <w:r>
        <w:rPr>
          <w:rFonts w:hint="eastAsia" w:ascii="仿宋" w:hAnsi="仿宋" w:eastAsia="仿宋" w:cs="仿宋"/>
          <w:color w:val="auto"/>
          <w:sz w:val="28"/>
          <w:szCs w:val="28"/>
          <w:highlight w:val="none"/>
        </w:rPr>
        <w:t>；采矿对含水层的影响较轻；对地貌景观的破坏较严重，对地质遗迹、人文景观无影响；对土地资源的影响较严重。依据各单要素影响范围及影响程度，预测矿山采矿活动将矿山地质环境影响程度划分为“较严重”。</w:t>
      </w:r>
    </w:p>
    <w:p w14:paraId="6878FB8C">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依据矿山地质环境影响现状评估、预测评估结果，充分考虑矿山开采对人居环境的影响，遵从区内相似，区际相异的原则，按同一区内有多种地质环境问题共存时，影响程度就大不就小，就高不就低的分区原则，将矿山地质环境保护与恢复治理区域划分为2个分区，即较重点防治区及一般防治区。</w:t>
      </w:r>
    </w:p>
    <w:p w14:paraId="34CA75B8">
      <w:pPr>
        <w:spacing w:line="360" w:lineRule="auto"/>
        <w:ind w:firstLine="48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6）矿山累计损毁土地总面积</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，无永久性用地，复垦责任范围面积为</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w:t>
      </w:r>
      <w:bookmarkStart w:id="244" w:name="_Hlk36137022"/>
      <w:r>
        <w:rPr>
          <w:rFonts w:hint="eastAsia" w:ascii="仿宋" w:hAnsi="仿宋" w:eastAsia="仿宋" w:cs="仿宋"/>
          <w:color w:val="auto"/>
          <w:sz w:val="28"/>
          <w:szCs w:val="28"/>
          <w:highlight w:val="none"/>
        </w:rPr>
        <w:t>经估算，本矿山环境治理工程和土地复垦工程动态总投资</w:t>
      </w:r>
      <w:r>
        <w:rPr>
          <w:rFonts w:hint="eastAsia" w:ascii="仿宋" w:hAnsi="仿宋" w:eastAsia="仿宋" w:cs="仿宋"/>
          <w:color w:val="auto"/>
          <w:sz w:val="28"/>
          <w:szCs w:val="28"/>
          <w:highlight w:val="none"/>
          <w:lang w:val="en-US" w:eastAsia="zh-CN"/>
        </w:rPr>
        <w:t>29.28</w:t>
      </w:r>
      <w:r>
        <w:rPr>
          <w:rFonts w:hint="eastAsia" w:ascii="仿宋" w:hAnsi="仿宋" w:eastAsia="仿宋" w:cs="仿宋"/>
          <w:color w:val="auto"/>
          <w:sz w:val="28"/>
          <w:szCs w:val="28"/>
          <w:highlight w:val="none"/>
        </w:rPr>
        <w:t>万元，静态总投资</w:t>
      </w:r>
      <w:r>
        <w:rPr>
          <w:rFonts w:hint="eastAsia" w:ascii="仿宋" w:hAnsi="仿宋" w:eastAsia="仿宋" w:cs="仿宋"/>
          <w:color w:val="auto"/>
          <w:sz w:val="28"/>
          <w:szCs w:val="28"/>
          <w:highlight w:val="none"/>
          <w:lang w:val="en-US" w:eastAsia="zh-CN"/>
        </w:rPr>
        <w:t>30.67</w:t>
      </w:r>
      <w:r>
        <w:rPr>
          <w:rFonts w:hint="eastAsia" w:ascii="仿宋" w:hAnsi="仿宋" w:eastAsia="仿宋" w:cs="仿宋"/>
          <w:color w:val="auto"/>
          <w:sz w:val="28"/>
          <w:szCs w:val="28"/>
          <w:highlight w:val="none"/>
        </w:rPr>
        <w:t>万元。项目区复垦责任面积为</w:t>
      </w:r>
      <w:r>
        <w:rPr>
          <w:rFonts w:hint="eastAsia" w:ascii="仿宋" w:hAnsi="仿宋" w:eastAsia="仿宋" w:cs="仿宋"/>
          <w:color w:val="auto"/>
          <w:sz w:val="28"/>
          <w:szCs w:val="28"/>
          <w:highlight w:val="none"/>
          <w:lang w:val="en-US" w:eastAsia="zh-CN"/>
        </w:rPr>
        <w:t>0.8</w:t>
      </w:r>
      <w:r>
        <w:rPr>
          <w:rFonts w:hint="eastAsia" w:ascii="仿宋" w:hAnsi="仿宋" w:eastAsia="仿宋" w:cs="仿宋"/>
          <w:color w:val="auto"/>
          <w:sz w:val="28"/>
          <w:szCs w:val="28"/>
          <w:highlight w:val="none"/>
        </w:rPr>
        <w:t>hm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，单位面积投资为</w:t>
      </w:r>
      <w:r>
        <w:rPr>
          <w:rFonts w:hint="eastAsia" w:ascii="仿宋" w:hAnsi="仿宋" w:eastAsia="仿宋" w:cs="仿宋"/>
          <w:color w:val="auto"/>
          <w:sz w:val="28"/>
          <w:szCs w:val="28"/>
          <w:highlight w:val="none"/>
          <w:lang w:val="en-US" w:eastAsia="zh-CN"/>
        </w:rPr>
        <w:t>38.34</w:t>
      </w:r>
      <w:r>
        <w:rPr>
          <w:rFonts w:hint="eastAsia" w:ascii="仿宋" w:hAnsi="仿宋" w:eastAsia="仿宋" w:cs="仿宋"/>
          <w:color w:val="auto"/>
          <w:sz w:val="28"/>
          <w:szCs w:val="28"/>
          <w:highlight w:val="none"/>
        </w:rPr>
        <w:t>元/m</w:t>
      </w:r>
      <w:r>
        <w:rPr>
          <w:rFonts w:hint="eastAsia" w:ascii="仿宋" w:hAnsi="仿宋" w:eastAsia="仿宋" w:cs="仿宋"/>
          <w:color w:val="auto"/>
          <w:sz w:val="28"/>
          <w:szCs w:val="28"/>
          <w:highlight w:val="none"/>
          <w:vertAlign w:val="superscript"/>
        </w:rPr>
        <w:t>2</w:t>
      </w:r>
      <w:r>
        <w:rPr>
          <w:rFonts w:hint="eastAsia" w:ascii="仿宋" w:hAnsi="仿宋" w:eastAsia="仿宋" w:cs="仿宋"/>
          <w:color w:val="auto"/>
          <w:sz w:val="28"/>
          <w:szCs w:val="28"/>
          <w:highlight w:val="none"/>
        </w:rPr>
        <w:t>，矿山的复垦责任全部由</w:t>
      </w:r>
      <w:r>
        <w:rPr>
          <w:rFonts w:hint="eastAsia" w:ascii="仿宋" w:hAnsi="仿宋" w:eastAsia="仿宋" w:cs="仿宋"/>
          <w:color w:val="auto"/>
          <w:sz w:val="28"/>
          <w:szCs w:val="28"/>
          <w:u w:val="none"/>
        </w:rPr>
        <w:t>大英县</w:t>
      </w:r>
      <w:r>
        <w:rPr>
          <w:rFonts w:hint="eastAsia" w:ascii="仿宋" w:hAnsi="仿宋" w:eastAsia="仿宋" w:cs="仿宋"/>
          <w:color w:val="auto"/>
          <w:sz w:val="28"/>
          <w:szCs w:val="28"/>
          <w:u w:val="none"/>
          <w:lang w:eastAsia="zh-CN"/>
        </w:rPr>
        <w:t>顺源</w:t>
      </w:r>
      <w:r>
        <w:rPr>
          <w:rFonts w:hint="eastAsia" w:ascii="仿宋" w:hAnsi="仿宋" w:eastAsia="仿宋" w:cs="仿宋"/>
          <w:color w:val="auto"/>
          <w:sz w:val="28"/>
          <w:szCs w:val="28"/>
          <w:u w:val="none"/>
        </w:rPr>
        <w:t>矿业有限责任公司</w:t>
      </w:r>
      <w:r>
        <w:rPr>
          <w:rFonts w:hint="eastAsia" w:ascii="仿宋" w:hAnsi="仿宋" w:eastAsia="仿宋" w:cs="仿宋"/>
          <w:color w:val="auto"/>
          <w:sz w:val="28"/>
          <w:szCs w:val="28"/>
          <w:highlight w:val="none"/>
          <w:u w:val="none"/>
        </w:rPr>
        <w:t>承</w:t>
      </w:r>
      <w:r>
        <w:rPr>
          <w:rFonts w:hint="eastAsia" w:ascii="仿宋" w:hAnsi="仿宋" w:eastAsia="仿宋" w:cs="仿宋"/>
          <w:color w:val="auto"/>
          <w:sz w:val="28"/>
          <w:szCs w:val="28"/>
          <w:highlight w:val="none"/>
        </w:rPr>
        <w:t>担。</w:t>
      </w:r>
      <w:bookmarkEnd w:id="244"/>
    </w:p>
    <w:p w14:paraId="350BBC20">
      <w:pPr>
        <w:pStyle w:val="3"/>
        <w:spacing w:before="120" w:after="120"/>
        <w:rPr>
          <w:rFonts w:ascii="Times New Roman" w:hAnsi="Times New Roman" w:eastAsia="宋体" w:cs="Times New Roman"/>
          <w:color w:val="auto"/>
          <w:highlight w:val="none"/>
        </w:rPr>
      </w:pPr>
      <w:bookmarkStart w:id="245" w:name="_Toc4910"/>
      <w:bookmarkStart w:id="246" w:name="_Toc16455"/>
      <w:bookmarkStart w:id="247" w:name="_Toc511576375"/>
      <w:r>
        <w:rPr>
          <w:rFonts w:ascii="Times New Roman" w:hAnsi="Times New Roman" w:eastAsia="宋体" w:cs="Times New Roman"/>
          <w:color w:val="auto"/>
          <w:highlight w:val="none"/>
        </w:rPr>
        <w:t>二、建议</w:t>
      </w:r>
      <w:bookmarkEnd w:id="245"/>
      <w:bookmarkEnd w:id="246"/>
      <w:bookmarkEnd w:id="247"/>
    </w:p>
    <w:p w14:paraId="5E6C8263">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1、本方案不代替工程勘查工作、环境影响评价等相关工作，也不代替最终矿山地质环境治理工程和土地复垦工程施工图设计。建议矿山企业在进行地质环境治理工程和土地复垦工程时，委托相关单位对矿山地质环境影响区和土地复垦区进行专项工程勘察、设计。 </w:t>
      </w:r>
    </w:p>
    <w:p w14:paraId="2DBD4FF6">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2、矿山必须严格执行国家及地方有关矿业活动的法律、法规、规范；落实各种安全措施，保证安全生产。加强矿山安全生产管理工作，防止各种地质灾害事故的发生。</w:t>
      </w:r>
    </w:p>
    <w:p w14:paraId="636B7798">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3、矿山应强调环境保护意识，采矿活动与环境保护工程同步进行，矿山地质环境监测工作应及时建立与完善，保证危险区人</w:t>
      </w:r>
      <w:r>
        <w:rPr>
          <w:rFonts w:hint="eastAsia" w:ascii="仿宋" w:hAnsi="仿宋" w:eastAsia="仿宋" w:cs="仿宋"/>
          <w:color w:val="auto"/>
          <w:sz w:val="28"/>
          <w:szCs w:val="28"/>
          <w:highlight w:val="none"/>
          <w:lang w:val="en-US" w:eastAsia="zh-CN"/>
        </w:rPr>
        <w:t>民</w:t>
      </w:r>
      <w:bookmarkStart w:id="248" w:name="_GoBack"/>
      <w:bookmarkEnd w:id="248"/>
      <w:r>
        <w:rPr>
          <w:rFonts w:hint="eastAsia" w:ascii="仿宋" w:hAnsi="仿宋" w:eastAsia="仿宋" w:cs="仿宋"/>
          <w:color w:val="auto"/>
          <w:sz w:val="28"/>
          <w:szCs w:val="28"/>
          <w:highlight w:val="none"/>
        </w:rPr>
        <w:t>生命财产安全。</w:t>
      </w:r>
    </w:p>
    <w:p w14:paraId="3673321F">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4、矿方按本方案进行矿山环境治理和土地复垦过程中要不断积累资料和经验，为下一个规划期方案编制提供可靠数据，更好</w:t>
      </w:r>
      <w:r>
        <w:rPr>
          <w:rFonts w:hint="eastAsia" w:ascii="仿宋" w:hAnsi="仿宋" w:eastAsia="仿宋" w:cs="仿宋"/>
          <w:color w:val="auto"/>
          <w:sz w:val="28"/>
          <w:szCs w:val="28"/>
          <w:highlight w:val="none"/>
          <w:lang w:val="en-US" w:eastAsia="zh-CN"/>
        </w:rPr>
        <w:t>地</w:t>
      </w:r>
      <w:r>
        <w:rPr>
          <w:rFonts w:hint="eastAsia" w:ascii="仿宋" w:hAnsi="仿宋" w:eastAsia="仿宋" w:cs="仿宋"/>
          <w:color w:val="auto"/>
          <w:sz w:val="28"/>
          <w:szCs w:val="28"/>
          <w:highlight w:val="none"/>
        </w:rPr>
        <w:t>为矿山建设服务。</w:t>
      </w:r>
    </w:p>
    <w:p w14:paraId="383DBB1C">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5、建议矿山在生产过程中加强工程地质勘查工作，预防发生采空塌陷、滑坡、崩塌和泥石流灾害，并编制应急预案，发生重大事故时立即启动相应应急预案，做到防患于未然。</w:t>
      </w:r>
    </w:p>
    <w:p w14:paraId="79A949B6">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6、矿山要及时交纳矿山地质环境治理保证金；矿山“三废”实行达标排放，确实做好矿山废弃物资源化利。</w:t>
      </w:r>
    </w:p>
    <w:p w14:paraId="7041891C">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7、矿山地质环境恢复治理工程完成后应加强维护管理，确保发挥长期效益。</w:t>
      </w:r>
    </w:p>
    <w:p w14:paraId="7346E037">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8、对于矿山开发中出现的新问题应重新评估并妥善处置。</w:t>
      </w:r>
    </w:p>
    <w:p w14:paraId="3A6D661B">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9、本方案是依据现有的开发方案进行分析的，若开发利用方案发生变动，应修订或重新编制恢复治理方案。</w:t>
      </w:r>
    </w:p>
    <w:p w14:paraId="5F86D88B">
      <w:pPr>
        <w:spacing w:line="360" w:lineRule="auto"/>
        <w:ind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10、对设计单位、施工单位、监测单位、监理单位等，建议严格按照相关法律、法规、规范、规程等要求工作，保证本方案有效地实施。 </w:t>
      </w:r>
    </w:p>
    <w:p w14:paraId="30B77406">
      <w:pPr>
        <w:spacing w:line="360" w:lineRule="auto"/>
        <w:ind w:firstLine="480"/>
        <w:rPr>
          <w:rFonts w:ascii="Times New Roman" w:hAnsi="Times New Roman" w:eastAsia="宋体" w:cs="Times New Roman"/>
          <w:color w:val="auto"/>
          <w:sz w:val="24"/>
          <w:highlight w:val="none"/>
        </w:rPr>
      </w:pPr>
      <w:r>
        <w:rPr>
          <w:rFonts w:hint="eastAsia" w:ascii="仿宋" w:hAnsi="仿宋" w:eastAsia="仿宋" w:cs="仿宋"/>
          <w:color w:val="auto"/>
          <w:sz w:val="28"/>
          <w:szCs w:val="28"/>
          <w:highlight w:val="none"/>
        </w:rPr>
        <w:t>11、矿山环境影响是动态的，在实施矿山环境治理和土地复垦过程中对于资金的概算，依据各行业工程收费标准和当地人工费进行概算，根据现在市场物价和社会经济发展趋势，本方案估算资金为已知矿山环境治理和土地复垦部分，经济估算在近期时间内，暂时是合理的，治理期限以5年为一个阶段，5年后应对本方案进行重新修订。</w:t>
      </w:r>
    </w:p>
    <w:p w14:paraId="67BBBCD9">
      <w:pPr>
        <w:pStyle w:val="22"/>
        <w:ind w:firstLine="600"/>
        <w:rPr>
          <w:rFonts w:ascii="Times New Roman" w:hAnsi="Times New Roman" w:cs="Times New Roman"/>
          <w:color w:val="auto"/>
          <w:highlight w:val="none"/>
        </w:rPr>
        <w:sectPr>
          <w:pgSz w:w="11906" w:h="16838"/>
          <w:pgMar w:top="1440" w:right="1800" w:bottom="1440" w:left="1800" w:header="851" w:footer="992" w:gutter="0"/>
          <w:cols w:space="425" w:num="1"/>
          <w:docGrid w:type="lines" w:linePitch="312" w:charSpace="0"/>
        </w:sectPr>
      </w:pPr>
    </w:p>
    <w:p w14:paraId="5DB1C380">
      <w:pPr>
        <w:spacing w:after="312" w:afterLines="100"/>
        <w:jc w:val="center"/>
        <w:rPr>
          <w:rFonts w:ascii="Times New Roman" w:hAnsi="Times New Roman" w:cs="Times New Roman"/>
          <w:b/>
          <w:bCs/>
          <w:color w:val="auto"/>
          <w:sz w:val="36"/>
          <w:szCs w:val="36"/>
          <w:highlight w:val="none"/>
        </w:rPr>
      </w:pPr>
      <w:r>
        <w:rPr>
          <w:rFonts w:ascii="Times New Roman" w:hAnsi="Times New Roman" w:cs="Times New Roman"/>
          <w:b/>
          <w:bCs/>
          <w:color w:val="auto"/>
          <w:sz w:val="36"/>
          <w:szCs w:val="36"/>
          <w:highlight w:val="none"/>
        </w:rPr>
        <w:t>附件目录</w:t>
      </w:r>
    </w:p>
    <w:p w14:paraId="7DA3CB07">
      <w:pPr>
        <w:ind w:firstLine="840" w:firstLineChars="3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附件1   方案编制委托函；</w:t>
      </w:r>
    </w:p>
    <w:p w14:paraId="5467A2E0">
      <w:pPr>
        <w:ind w:firstLine="840" w:firstLineChars="3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附件2   编制单位</w:t>
      </w:r>
      <w:r>
        <w:rPr>
          <w:rFonts w:hint="eastAsia" w:ascii="Times New Roman" w:hAnsi="Times New Roman" w:cs="Times New Roman"/>
          <w:color w:val="auto"/>
          <w:sz w:val="28"/>
          <w:szCs w:val="28"/>
          <w:highlight w:val="none"/>
        </w:rPr>
        <w:t>营业执照</w:t>
      </w:r>
      <w:r>
        <w:rPr>
          <w:rFonts w:ascii="Times New Roman" w:hAnsi="Times New Roman" w:cs="Times New Roman"/>
          <w:color w:val="auto"/>
          <w:sz w:val="28"/>
          <w:szCs w:val="28"/>
          <w:highlight w:val="none"/>
        </w:rPr>
        <w:t>；</w:t>
      </w:r>
    </w:p>
    <w:p w14:paraId="5BF50371">
      <w:pPr>
        <w:ind w:firstLine="840" w:firstLineChars="300"/>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t xml:space="preserve">附件3   </w:t>
      </w:r>
      <w:r>
        <w:rPr>
          <w:rFonts w:hint="eastAsia" w:ascii="Times New Roman" w:hAnsi="Times New Roman" w:cs="Times New Roman"/>
          <w:color w:val="auto"/>
          <w:sz w:val="28"/>
          <w:szCs w:val="28"/>
          <w:highlight w:val="none"/>
          <w:lang w:val="en-US" w:eastAsia="zh-CN"/>
        </w:rPr>
        <w:t>勘查成果审查意见</w:t>
      </w:r>
      <w:r>
        <w:rPr>
          <w:rFonts w:ascii="Times New Roman" w:hAnsi="Times New Roman" w:cs="Times New Roman"/>
          <w:color w:val="auto"/>
          <w:sz w:val="28"/>
          <w:szCs w:val="28"/>
          <w:highlight w:val="none"/>
        </w:rPr>
        <w:t>；</w:t>
      </w:r>
    </w:p>
    <w:p w14:paraId="0374850C">
      <w:pPr>
        <w:ind w:firstLine="840" w:firstLineChars="300"/>
        <w:rPr>
          <w:rFonts w:ascii="Times New Roman" w:hAnsi="Times New Roman" w:cs="Times New Roman"/>
          <w:color w:val="auto"/>
          <w:sz w:val="28"/>
          <w:szCs w:val="28"/>
          <w:highlight w:val="none"/>
        </w:rPr>
      </w:pPr>
      <w:r>
        <w:rPr>
          <w:rFonts w:hint="eastAsia" w:ascii="Times New Roman" w:hAnsi="Times New Roman" w:cs="Times New Roman"/>
          <w:color w:val="auto"/>
          <w:sz w:val="28"/>
          <w:szCs w:val="28"/>
          <w:highlight w:val="none"/>
        </w:rPr>
        <w:t>附件</w:t>
      </w:r>
      <w:r>
        <w:rPr>
          <w:rFonts w:hint="eastAsia" w:ascii="Times New Roman" w:hAnsi="Times New Roman" w:cs="Times New Roman"/>
          <w:color w:val="auto"/>
          <w:sz w:val="28"/>
          <w:szCs w:val="28"/>
          <w:highlight w:val="none"/>
          <w:lang w:val="en-US" w:eastAsia="zh-CN"/>
        </w:rPr>
        <w:t>4</w:t>
      </w:r>
      <w:r>
        <w:rPr>
          <w:rFonts w:hint="eastAsia" w:ascii="Times New Roman" w:hAnsi="Times New Roman" w:cs="Times New Roman"/>
          <w:color w:val="auto"/>
          <w:sz w:val="28"/>
          <w:szCs w:val="28"/>
          <w:highlight w:val="none"/>
        </w:rPr>
        <w:t xml:space="preserve">   </w:t>
      </w:r>
      <w:r>
        <w:rPr>
          <w:rFonts w:hint="eastAsia" w:ascii="Times New Roman" w:hAnsi="Times New Roman" w:cs="Times New Roman"/>
          <w:color w:val="auto"/>
          <w:sz w:val="28"/>
          <w:szCs w:val="28"/>
          <w:highlight w:val="none"/>
          <w:lang w:val="en-US" w:eastAsia="zh-CN"/>
        </w:rPr>
        <w:t>开发利用方案审查意见</w:t>
      </w:r>
      <w:r>
        <w:rPr>
          <w:rFonts w:hint="eastAsia" w:ascii="Times New Roman" w:hAnsi="Times New Roman" w:cs="Times New Roman"/>
          <w:color w:val="auto"/>
          <w:sz w:val="28"/>
          <w:szCs w:val="28"/>
          <w:highlight w:val="none"/>
        </w:rPr>
        <w:t>；</w:t>
      </w:r>
    </w:p>
    <w:p w14:paraId="09E98D05">
      <w:pPr>
        <w:ind w:firstLine="840" w:firstLineChars="300"/>
        <w:rPr>
          <w:color w:val="auto"/>
          <w:highlight w:val="none"/>
        </w:rPr>
      </w:pPr>
      <w:r>
        <w:rPr>
          <w:rFonts w:hint="eastAsia" w:ascii="Times New Roman" w:hAnsi="Times New Roman" w:cs="Times New Roman"/>
          <w:color w:val="auto"/>
          <w:sz w:val="28"/>
          <w:szCs w:val="28"/>
          <w:highlight w:val="none"/>
        </w:rPr>
        <w:t>附件</w:t>
      </w:r>
      <w:r>
        <w:rPr>
          <w:rFonts w:hint="eastAsia" w:ascii="Times New Roman" w:hAnsi="Times New Roman" w:cs="Times New Roman"/>
          <w:color w:val="auto"/>
          <w:sz w:val="28"/>
          <w:szCs w:val="28"/>
          <w:highlight w:val="none"/>
          <w:lang w:val="en-US" w:eastAsia="zh-CN"/>
        </w:rPr>
        <w:t>5</w:t>
      </w:r>
      <w:r>
        <w:rPr>
          <w:rFonts w:hint="eastAsia" w:ascii="Times New Roman" w:hAnsi="Times New Roman" w:cs="Times New Roman"/>
          <w:color w:val="auto"/>
          <w:sz w:val="28"/>
          <w:szCs w:val="28"/>
          <w:highlight w:val="none"/>
        </w:rPr>
        <w:t xml:space="preserve">   </w:t>
      </w:r>
      <w:r>
        <w:rPr>
          <w:rFonts w:hint="eastAsia" w:ascii="Times New Roman" w:hAnsi="Times New Roman" w:cs="Times New Roman"/>
          <w:color w:val="auto"/>
          <w:sz w:val="28"/>
          <w:szCs w:val="28"/>
          <w:highlight w:val="none"/>
          <w:lang w:val="en-US" w:eastAsia="zh-CN"/>
        </w:rPr>
        <w:t>矿山企业营业执照</w:t>
      </w:r>
      <w:r>
        <w:rPr>
          <w:rFonts w:hint="eastAsia" w:ascii="Times New Roman" w:hAnsi="Times New Roman" w:cs="Times New Roman"/>
          <w:color w:val="auto"/>
          <w:sz w:val="28"/>
          <w:szCs w:val="28"/>
          <w:highlight w:val="none"/>
        </w:rPr>
        <w:t>；</w:t>
      </w:r>
    </w:p>
    <w:p w14:paraId="2BE52D51">
      <w:pPr>
        <w:ind w:firstLine="840" w:firstLineChars="300"/>
        <w:rPr>
          <w:rFonts w:ascii="Times New Roman" w:hAnsi="Times New Roman" w:cs="Times New Roman"/>
          <w:color w:val="auto"/>
          <w:sz w:val="28"/>
          <w:szCs w:val="28"/>
          <w:highlight w:val="none"/>
        </w:rPr>
      </w:pPr>
      <w:r>
        <w:rPr>
          <w:rFonts w:hint="eastAsia" w:ascii="Times New Roman" w:hAnsi="Times New Roman" w:cs="Times New Roman"/>
          <w:color w:val="auto"/>
          <w:sz w:val="28"/>
          <w:szCs w:val="28"/>
          <w:highlight w:val="none"/>
        </w:rPr>
        <w:t>附件</w:t>
      </w:r>
      <w:r>
        <w:rPr>
          <w:rFonts w:hint="eastAsia" w:ascii="Times New Roman" w:hAnsi="Times New Roman" w:cs="Times New Roman"/>
          <w:color w:val="auto"/>
          <w:sz w:val="28"/>
          <w:szCs w:val="28"/>
          <w:highlight w:val="none"/>
          <w:lang w:val="en-US" w:eastAsia="zh-CN"/>
        </w:rPr>
        <w:t>6</w:t>
      </w:r>
      <w:r>
        <w:rPr>
          <w:rFonts w:hint="eastAsia" w:ascii="Times New Roman" w:hAnsi="Times New Roman" w:cs="Times New Roman"/>
          <w:color w:val="auto"/>
          <w:sz w:val="28"/>
          <w:szCs w:val="28"/>
          <w:highlight w:val="none"/>
        </w:rPr>
        <w:t xml:space="preserve">   </w:t>
      </w:r>
      <w:r>
        <w:rPr>
          <w:rFonts w:hint="eastAsia" w:ascii="Times New Roman" w:hAnsi="Times New Roman" w:cs="Times New Roman"/>
          <w:color w:val="auto"/>
          <w:sz w:val="28"/>
          <w:szCs w:val="28"/>
          <w:highlight w:val="none"/>
          <w:lang w:val="en-US" w:eastAsia="zh-CN"/>
        </w:rPr>
        <w:t>编制单位营业执照</w:t>
      </w:r>
      <w:r>
        <w:rPr>
          <w:rFonts w:hint="eastAsia" w:ascii="Times New Roman" w:hAnsi="Times New Roman" w:cs="Times New Roman"/>
          <w:color w:val="auto"/>
          <w:sz w:val="28"/>
          <w:szCs w:val="28"/>
          <w:highlight w:val="none"/>
        </w:rPr>
        <w:t>；</w:t>
      </w:r>
    </w:p>
    <w:p w14:paraId="58FB2F79">
      <w:pPr>
        <w:ind w:firstLine="840" w:firstLineChars="300"/>
        <w:rPr>
          <w:rFonts w:ascii="Times New Roman" w:hAnsi="Times New Roman" w:cs="Times New Roman"/>
          <w:color w:val="auto"/>
          <w:sz w:val="28"/>
          <w:szCs w:val="28"/>
          <w:highlight w:val="none"/>
        </w:rPr>
      </w:pPr>
      <w:r>
        <w:rPr>
          <w:rFonts w:hint="eastAsia" w:ascii="Times New Roman" w:hAnsi="Times New Roman" w:cs="Times New Roman"/>
          <w:color w:val="auto"/>
          <w:sz w:val="28"/>
          <w:szCs w:val="28"/>
          <w:highlight w:val="none"/>
        </w:rPr>
        <w:t>附件</w:t>
      </w:r>
      <w:r>
        <w:rPr>
          <w:rFonts w:hint="eastAsia" w:ascii="Times New Roman" w:hAnsi="Times New Roman" w:cs="Times New Roman"/>
          <w:color w:val="auto"/>
          <w:sz w:val="28"/>
          <w:szCs w:val="28"/>
          <w:highlight w:val="none"/>
          <w:lang w:val="en-US" w:eastAsia="zh-CN"/>
        </w:rPr>
        <w:t>7</w:t>
      </w:r>
      <w:r>
        <w:rPr>
          <w:rFonts w:hint="eastAsia" w:ascii="Times New Roman" w:hAnsi="Times New Roman" w:cs="Times New Roman"/>
          <w:color w:val="auto"/>
          <w:sz w:val="28"/>
          <w:szCs w:val="28"/>
          <w:highlight w:val="none"/>
        </w:rPr>
        <w:t xml:space="preserve">   </w:t>
      </w:r>
      <w:r>
        <w:rPr>
          <w:rFonts w:hint="eastAsia" w:ascii="Times New Roman" w:hAnsi="Times New Roman" w:cs="Times New Roman"/>
          <w:color w:val="auto"/>
          <w:sz w:val="28"/>
          <w:szCs w:val="28"/>
          <w:highlight w:val="none"/>
          <w:lang w:val="en-US" w:eastAsia="zh-CN"/>
        </w:rPr>
        <w:t>测量、试验等相关报告</w:t>
      </w:r>
      <w:r>
        <w:rPr>
          <w:rFonts w:hint="eastAsia" w:ascii="Times New Roman" w:hAnsi="Times New Roman" w:cs="Times New Roman"/>
          <w:color w:val="auto"/>
          <w:sz w:val="28"/>
          <w:szCs w:val="28"/>
          <w:highlight w:val="none"/>
        </w:rPr>
        <w:t>；</w:t>
      </w:r>
    </w:p>
    <w:p w14:paraId="7CFF2551">
      <w:pPr>
        <w:ind w:firstLine="840" w:firstLineChars="300"/>
        <w:rPr>
          <w:rFonts w:ascii="Times New Roman" w:hAnsi="Times New Roman" w:cs="Times New Roman"/>
          <w:color w:val="auto"/>
          <w:sz w:val="28"/>
          <w:szCs w:val="28"/>
          <w:highlight w:val="none"/>
        </w:rPr>
      </w:pPr>
    </w:p>
    <w:p w14:paraId="762973F0">
      <w:pPr>
        <w:pStyle w:val="22"/>
        <w:ind w:firstLine="0" w:firstLineChars="0"/>
        <w:rPr>
          <w:rFonts w:ascii="Times New Roman" w:hAnsi="Times New Roman" w:cs="Times New Roman"/>
          <w:color w:val="auto"/>
          <w:highlight w:val="none"/>
        </w:rPr>
      </w:pPr>
    </w:p>
    <w:p w14:paraId="46FB4FDF">
      <w:pPr>
        <w:rPr>
          <w:rFonts w:ascii="Times New Roman" w:hAnsi="Times New Roman" w:eastAsia="宋体" w:cs="Times New Roman"/>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方正书宋_GBK">
    <w:altName w:val="微软雅黑"/>
    <w:panose1 w:val="02000000000000000000"/>
    <w:charset w:val="86"/>
    <w:family w:val="auto"/>
    <w:pitch w:val="default"/>
    <w:sig w:usb0="00000000" w:usb1="00000000" w:usb2="00000000" w:usb3="00000000" w:csb0="00040000" w:csb1="00000000"/>
  </w:font>
  <w:font w:name="David">
    <w:altName w:val="Segoe Print"/>
    <w:panose1 w:val="020E0502060401010101"/>
    <w:charset w:val="B1"/>
    <w:family w:val="swiss"/>
    <w:pitch w:val="default"/>
    <w:sig w:usb0="00000000" w:usb1="00000000" w:usb2="00000000" w:usb3="00000000" w:csb0="00000020" w:csb1="00200000"/>
  </w:font>
  <w:font w:name="Noto Sans Hebrew">
    <w:altName w:val="Yu Gothic UI"/>
    <w:panose1 w:val="020B0502040504020204"/>
    <w:charset w:val="00"/>
    <w:family w:val="auto"/>
    <w:pitch w:val="default"/>
    <w:sig w:usb0="00000000" w:usb1="00000000" w:usb2="00000000" w:usb3="00000000" w:csb0="0000002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Noto Sans SC">
    <w:altName w:val="宋体"/>
    <w:panose1 w:val="020B0200000000000000"/>
    <w:charset w:val="86"/>
    <w:family w:val="auto"/>
    <w:pitch w:val="default"/>
    <w:sig w:usb0="00000000" w:usb1="00000000" w:usb2="00000016" w:usb3="00000000" w:csb0="60060107" w:csb1="00000000"/>
  </w:font>
  <w:font w:name="Noto Sans CJK HK">
    <w:altName w:val="Microsoft JhengHei UI"/>
    <w:panose1 w:val="020B0500000000000000"/>
    <w:charset w:val="88"/>
    <w:family w:val="auto"/>
    <w:pitch w:val="default"/>
    <w:sig w:usb0="00000000" w:usb1="00000000" w:usb2="00000016" w:usb3="00000000" w:csb0="603A0107" w:csb1="00000000"/>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B9FB1">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3990" cy="139700"/>
              <wp:effectExtent l="0" t="0" r="10160" b="6350"/>
              <wp:wrapNone/>
              <wp:docPr id="42" name="文本框 4"/>
              <wp:cNvGraphicFramePr/>
              <a:graphic xmlns:a="http://schemas.openxmlformats.org/drawingml/2006/main">
                <a:graphicData uri="http://schemas.microsoft.com/office/word/2010/wordprocessingShape">
                  <wps:wsp>
                    <wps:cNvSpPr txBox="1"/>
                    <wps:spPr>
                      <a:xfrm>
                        <a:off x="0" y="0"/>
                        <a:ext cx="173990" cy="139700"/>
                      </a:xfrm>
                      <a:prstGeom prst="rect">
                        <a:avLst/>
                      </a:prstGeom>
                      <a:noFill/>
                      <a:ln w="6350">
                        <a:noFill/>
                      </a:ln>
                    </wps:spPr>
                    <wps:txbx>
                      <w:txbxContent>
                        <w:p w14:paraId="69AD9AF1">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1pt;width:13.7pt;mso-position-horizontal:center;mso-position-horizontal-relative:margin;mso-wrap-style:none;z-index:251659264;mso-width-relative:page;mso-height-relative:page;" filled="f" stroked="f" coordsize="21600,21600" o:gfxdata="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SHyVtEAAAADAQAADwAAAAAAAAABACAAAAAiAAAAZHJzL2Rvd25yZXYueG1sUEsBAhQA&#10;FAAAAAgAh07iQOUB3QYyAgAAVAQAAA4AAAAAAAAAAQAgAAAAIAEAAGRycy9lMm9Eb2MueG1sUEsF&#10;BgAAAAAGAAYAWQEAAMQFAAAAAA==&#10;">
              <v:fill on="f" focussize="0,0"/>
              <v:stroke on="f" weight="0.5pt"/>
              <v:imagedata o:title=""/>
              <o:lock v:ext="edit" aspectratio="f"/>
              <v:textbox inset="0mm,0mm,0mm,0mm" style="mso-fit-shape-to-text:t;">
                <w:txbxContent>
                  <w:p w14:paraId="69AD9AF1">
                    <w:pPr>
                      <w:snapToGrid w:val="0"/>
                      <w:rPr>
                        <w:rFonts w:eastAsia="宋体"/>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130</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5A64F8"/>
    <w:multiLevelType w:val="singleLevel"/>
    <w:tmpl w:val="AC5A64F8"/>
    <w:lvl w:ilvl="0" w:tentative="0">
      <w:start w:val="1"/>
      <w:numFmt w:val="decimal"/>
      <w:pStyle w:val="62"/>
      <w:suff w:val="nothing"/>
      <w:lvlText w:val="（%1）"/>
      <w:lvlJc w:val="left"/>
      <w:pPr>
        <w:tabs>
          <w:tab w:val="left" w:pos="0"/>
        </w:tabs>
        <w:ind w:left="0" w:firstLine="0"/>
      </w:pPr>
      <w:rPr>
        <w:rFonts w:hint="default" w:ascii="宋体" w:hAnsi="宋体" w:eastAsia="宋体" w:cs="宋体"/>
      </w:rPr>
    </w:lvl>
  </w:abstractNum>
  <w:abstractNum w:abstractNumId="1">
    <w:nsid w:val="D572D9FF"/>
    <w:multiLevelType w:val="singleLevel"/>
    <w:tmpl w:val="D572D9FF"/>
    <w:lvl w:ilvl="0" w:tentative="0">
      <w:start w:val="3"/>
      <w:numFmt w:val="chineseCounting"/>
      <w:suff w:val="nothing"/>
      <w:lvlText w:val="%1、"/>
      <w:lvlJc w:val="left"/>
      <w:rPr>
        <w:rFonts w:hint="eastAsia"/>
      </w:rPr>
    </w:lvl>
  </w:abstractNum>
  <w:abstractNum w:abstractNumId="2">
    <w:nsid w:val="F5E6F1E6"/>
    <w:multiLevelType w:val="singleLevel"/>
    <w:tmpl w:val="F5E6F1E6"/>
    <w:lvl w:ilvl="0" w:tentative="0">
      <w:start w:val="2"/>
      <w:numFmt w:val="chineseCounting"/>
      <w:suff w:val="nothing"/>
      <w:lvlText w:val="%1、"/>
      <w:lvlJc w:val="left"/>
      <w:rPr>
        <w:rFonts w:hint="eastAsia"/>
      </w:rPr>
    </w:lvl>
  </w:abstractNum>
  <w:abstractNum w:abstractNumId="3">
    <w:nsid w:val="181BD5CF"/>
    <w:multiLevelType w:val="multilevel"/>
    <w:tmpl w:val="181BD5CF"/>
    <w:lvl w:ilvl="0" w:tentative="0">
      <w:start w:val="2"/>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4">
    <w:nsid w:val="18B23223"/>
    <w:multiLevelType w:val="singleLevel"/>
    <w:tmpl w:val="18B23223"/>
    <w:lvl w:ilvl="0" w:tentative="0">
      <w:start w:val="7"/>
      <w:numFmt w:val="decimal"/>
      <w:suff w:val="space"/>
      <w:lvlText w:val="第%1章"/>
      <w:lvlJc w:val="left"/>
    </w:lvl>
  </w:abstractNum>
  <w:abstractNum w:abstractNumId="5">
    <w:nsid w:val="41F64F15"/>
    <w:multiLevelType w:val="singleLevel"/>
    <w:tmpl w:val="41F64F15"/>
    <w:lvl w:ilvl="0" w:tentative="0">
      <w:start w:val="2"/>
      <w:numFmt w:val="decimal"/>
      <w:suff w:val="nothing"/>
      <w:lvlText w:val="%1、"/>
      <w:lvlJc w:val="left"/>
    </w:lvl>
  </w:abstractNum>
  <w:abstractNum w:abstractNumId="6">
    <w:nsid w:val="5A46E7CC"/>
    <w:multiLevelType w:val="singleLevel"/>
    <w:tmpl w:val="5A46E7CC"/>
    <w:lvl w:ilvl="0" w:tentative="0">
      <w:start w:val="4"/>
      <w:numFmt w:val="decimal"/>
      <w:suff w:val="nothing"/>
      <w:lvlText w:val="%1、"/>
      <w:lvlJc w:val="left"/>
      <w:pPr>
        <w:ind w:left="273"/>
      </w:pPr>
    </w:lvl>
  </w:abstractNum>
  <w:num w:numId="1">
    <w:abstractNumId w:val="0"/>
  </w:num>
  <w:num w:numId="2">
    <w:abstractNumId w:val="3"/>
  </w:num>
  <w:num w:numId="3">
    <w:abstractNumId w:val="5"/>
  </w:num>
  <w:num w:numId="4">
    <w:abstractNumId w:val="1"/>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1NWRmN2I1Y2Q0NTZhYjNkNDlhZGUxMTE1MjFhN2UifQ=="/>
  </w:docVars>
  <w:rsids>
    <w:rsidRoot w:val="00172A27"/>
    <w:rsid w:val="00026EBD"/>
    <w:rsid w:val="0003055D"/>
    <w:rsid w:val="00032550"/>
    <w:rsid w:val="000E1BB6"/>
    <w:rsid w:val="000E74D1"/>
    <w:rsid w:val="001645C6"/>
    <w:rsid w:val="00166C83"/>
    <w:rsid w:val="00172A27"/>
    <w:rsid w:val="0017401F"/>
    <w:rsid w:val="00191313"/>
    <w:rsid w:val="001C053C"/>
    <w:rsid w:val="001F1371"/>
    <w:rsid w:val="001F69C8"/>
    <w:rsid w:val="00221527"/>
    <w:rsid w:val="002453C8"/>
    <w:rsid w:val="00252E91"/>
    <w:rsid w:val="002612BE"/>
    <w:rsid w:val="002753D1"/>
    <w:rsid w:val="0027568E"/>
    <w:rsid w:val="002958CE"/>
    <w:rsid w:val="002C612E"/>
    <w:rsid w:val="00301002"/>
    <w:rsid w:val="00336878"/>
    <w:rsid w:val="003376E3"/>
    <w:rsid w:val="003519B5"/>
    <w:rsid w:val="00374CBC"/>
    <w:rsid w:val="00380F67"/>
    <w:rsid w:val="003B3319"/>
    <w:rsid w:val="003C532E"/>
    <w:rsid w:val="00403CFD"/>
    <w:rsid w:val="004200E9"/>
    <w:rsid w:val="0047050F"/>
    <w:rsid w:val="00484774"/>
    <w:rsid w:val="004A60D5"/>
    <w:rsid w:val="004A7E4C"/>
    <w:rsid w:val="004D2C0C"/>
    <w:rsid w:val="00507FDE"/>
    <w:rsid w:val="00535862"/>
    <w:rsid w:val="00541BD7"/>
    <w:rsid w:val="00560740"/>
    <w:rsid w:val="00613961"/>
    <w:rsid w:val="00615CD0"/>
    <w:rsid w:val="00655249"/>
    <w:rsid w:val="00670702"/>
    <w:rsid w:val="00694589"/>
    <w:rsid w:val="006961CF"/>
    <w:rsid w:val="006A368E"/>
    <w:rsid w:val="006C4440"/>
    <w:rsid w:val="007723FE"/>
    <w:rsid w:val="007D64CE"/>
    <w:rsid w:val="007E2FC1"/>
    <w:rsid w:val="00850375"/>
    <w:rsid w:val="00872DED"/>
    <w:rsid w:val="008D3B79"/>
    <w:rsid w:val="008D751C"/>
    <w:rsid w:val="008F732F"/>
    <w:rsid w:val="009008DC"/>
    <w:rsid w:val="00932872"/>
    <w:rsid w:val="00964E3B"/>
    <w:rsid w:val="00990603"/>
    <w:rsid w:val="009D0AEB"/>
    <w:rsid w:val="009D2DBB"/>
    <w:rsid w:val="00A025C3"/>
    <w:rsid w:val="00A422CF"/>
    <w:rsid w:val="00A46EA3"/>
    <w:rsid w:val="00A5089D"/>
    <w:rsid w:val="00A60526"/>
    <w:rsid w:val="00A87497"/>
    <w:rsid w:val="00AA6531"/>
    <w:rsid w:val="00AD5DE3"/>
    <w:rsid w:val="00AF0BF2"/>
    <w:rsid w:val="00B36B46"/>
    <w:rsid w:val="00BA228C"/>
    <w:rsid w:val="00BA6819"/>
    <w:rsid w:val="00BD0C6F"/>
    <w:rsid w:val="00C21FA3"/>
    <w:rsid w:val="00C35711"/>
    <w:rsid w:val="00C46F22"/>
    <w:rsid w:val="00C56034"/>
    <w:rsid w:val="00C60074"/>
    <w:rsid w:val="00CD2E41"/>
    <w:rsid w:val="00CF0CAA"/>
    <w:rsid w:val="00D171A7"/>
    <w:rsid w:val="00D40766"/>
    <w:rsid w:val="00D553C2"/>
    <w:rsid w:val="00D5688F"/>
    <w:rsid w:val="00D67386"/>
    <w:rsid w:val="00D76739"/>
    <w:rsid w:val="00D841FA"/>
    <w:rsid w:val="00DB40EA"/>
    <w:rsid w:val="00E0155E"/>
    <w:rsid w:val="00E210DE"/>
    <w:rsid w:val="00E34945"/>
    <w:rsid w:val="00E47A71"/>
    <w:rsid w:val="00E8267B"/>
    <w:rsid w:val="00ED215C"/>
    <w:rsid w:val="00EE3385"/>
    <w:rsid w:val="00EF3AA4"/>
    <w:rsid w:val="00F04DA3"/>
    <w:rsid w:val="00F1191B"/>
    <w:rsid w:val="00F32EF6"/>
    <w:rsid w:val="00F34DD5"/>
    <w:rsid w:val="00F46D77"/>
    <w:rsid w:val="00F706FE"/>
    <w:rsid w:val="00FC0060"/>
    <w:rsid w:val="01153701"/>
    <w:rsid w:val="011D2E90"/>
    <w:rsid w:val="013701DC"/>
    <w:rsid w:val="016E2FF1"/>
    <w:rsid w:val="01976B8F"/>
    <w:rsid w:val="019D4882"/>
    <w:rsid w:val="01BB6C22"/>
    <w:rsid w:val="01CA1AE6"/>
    <w:rsid w:val="01D23F28"/>
    <w:rsid w:val="01D66D9F"/>
    <w:rsid w:val="01E35F07"/>
    <w:rsid w:val="020E74AB"/>
    <w:rsid w:val="021402BF"/>
    <w:rsid w:val="021E590F"/>
    <w:rsid w:val="025F6401"/>
    <w:rsid w:val="028C3AA2"/>
    <w:rsid w:val="028F5D1A"/>
    <w:rsid w:val="029109F5"/>
    <w:rsid w:val="029F0BDC"/>
    <w:rsid w:val="02B14B6E"/>
    <w:rsid w:val="02E334E5"/>
    <w:rsid w:val="02F243DF"/>
    <w:rsid w:val="03347278"/>
    <w:rsid w:val="03D9356B"/>
    <w:rsid w:val="040B7160"/>
    <w:rsid w:val="041E536A"/>
    <w:rsid w:val="04225FF4"/>
    <w:rsid w:val="04802032"/>
    <w:rsid w:val="04C83F78"/>
    <w:rsid w:val="04CB1FAA"/>
    <w:rsid w:val="04DA26C6"/>
    <w:rsid w:val="04FB3579"/>
    <w:rsid w:val="054C2543"/>
    <w:rsid w:val="058C508B"/>
    <w:rsid w:val="059351D2"/>
    <w:rsid w:val="059F02A1"/>
    <w:rsid w:val="05A827C4"/>
    <w:rsid w:val="05EA778E"/>
    <w:rsid w:val="05EE70CA"/>
    <w:rsid w:val="05FF43F9"/>
    <w:rsid w:val="06256BDB"/>
    <w:rsid w:val="062652AA"/>
    <w:rsid w:val="06790420"/>
    <w:rsid w:val="06A40A41"/>
    <w:rsid w:val="06CB0B90"/>
    <w:rsid w:val="07080FDE"/>
    <w:rsid w:val="07756731"/>
    <w:rsid w:val="07A451DB"/>
    <w:rsid w:val="07AE4F5B"/>
    <w:rsid w:val="07B454D5"/>
    <w:rsid w:val="07B64A97"/>
    <w:rsid w:val="07E44E65"/>
    <w:rsid w:val="07FF7612"/>
    <w:rsid w:val="0819173D"/>
    <w:rsid w:val="081A2C12"/>
    <w:rsid w:val="09347949"/>
    <w:rsid w:val="0957660E"/>
    <w:rsid w:val="098907CC"/>
    <w:rsid w:val="09C853BC"/>
    <w:rsid w:val="0A0705B9"/>
    <w:rsid w:val="0A1D0788"/>
    <w:rsid w:val="0A301362"/>
    <w:rsid w:val="0A891FB9"/>
    <w:rsid w:val="0ABE3FDE"/>
    <w:rsid w:val="0AC4542D"/>
    <w:rsid w:val="0B1F59A6"/>
    <w:rsid w:val="0B3E4DA1"/>
    <w:rsid w:val="0B472137"/>
    <w:rsid w:val="0B6F7416"/>
    <w:rsid w:val="0B7A03C4"/>
    <w:rsid w:val="0B97575F"/>
    <w:rsid w:val="0C0614B5"/>
    <w:rsid w:val="0C0B00B8"/>
    <w:rsid w:val="0C6A218E"/>
    <w:rsid w:val="0C7766EE"/>
    <w:rsid w:val="0C8F7F3B"/>
    <w:rsid w:val="0C9747A6"/>
    <w:rsid w:val="0CAC20C4"/>
    <w:rsid w:val="0CC9374C"/>
    <w:rsid w:val="0CD72093"/>
    <w:rsid w:val="0CD81BE1"/>
    <w:rsid w:val="0CDF4A88"/>
    <w:rsid w:val="0D0F43E8"/>
    <w:rsid w:val="0D2F43EA"/>
    <w:rsid w:val="0D62131D"/>
    <w:rsid w:val="0D9E7BBF"/>
    <w:rsid w:val="0DAD24FD"/>
    <w:rsid w:val="0DC207FF"/>
    <w:rsid w:val="0DD803A3"/>
    <w:rsid w:val="0E324686"/>
    <w:rsid w:val="0E5A4271"/>
    <w:rsid w:val="0E75310C"/>
    <w:rsid w:val="0EA432EF"/>
    <w:rsid w:val="0EB13868"/>
    <w:rsid w:val="0EC71F0D"/>
    <w:rsid w:val="0EDC5CE2"/>
    <w:rsid w:val="0F0B21FF"/>
    <w:rsid w:val="0F0D0CCE"/>
    <w:rsid w:val="0F46523E"/>
    <w:rsid w:val="0F817EA6"/>
    <w:rsid w:val="0F95583F"/>
    <w:rsid w:val="0FCA1E5B"/>
    <w:rsid w:val="0FD825B7"/>
    <w:rsid w:val="0FDD38C7"/>
    <w:rsid w:val="0FEA09AC"/>
    <w:rsid w:val="0FEF3AD3"/>
    <w:rsid w:val="1002449F"/>
    <w:rsid w:val="100859D0"/>
    <w:rsid w:val="101740AC"/>
    <w:rsid w:val="101A2BCD"/>
    <w:rsid w:val="10511B26"/>
    <w:rsid w:val="105668F7"/>
    <w:rsid w:val="107D489B"/>
    <w:rsid w:val="10BE5E4A"/>
    <w:rsid w:val="10C30090"/>
    <w:rsid w:val="11132D8F"/>
    <w:rsid w:val="1186357B"/>
    <w:rsid w:val="119D6C2A"/>
    <w:rsid w:val="11CB46E9"/>
    <w:rsid w:val="12320320"/>
    <w:rsid w:val="12494B65"/>
    <w:rsid w:val="12B37893"/>
    <w:rsid w:val="134C6E65"/>
    <w:rsid w:val="13580A0A"/>
    <w:rsid w:val="135F2A57"/>
    <w:rsid w:val="136C7547"/>
    <w:rsid w:val="136F3927"/>
    <w:rsid w:val="13873A19"/>
    <w:rsid w:val="138F0B1F"/>
    <w:rsid w:val="13B16E67"/>
    <w:rsid w:val="13C149AF"/>
    <w:rsid w:val="14757D15"/>
    <w:rsid w:val="147D26C1"/>
    <w:rsid w:val="15262561"/>
    <w:rsid w:val="15506B23"/>
    <w:rsid w:val="157D3A60"/>
    <w:rsid w:val="15C27E29"/>
    <w:rsid w:val="15D827AE"/>
    <w:rsid w:val="161720D9"/>
    <w:rsid w:val="16210B07"/>
    <w:rsid w:val="164C726B"/>
    <w:rsid w:val="169C4B4D"/>
    <w:rsid w:val="16C60CFC"/>
    <w:rsid w:val="16D0337F"/>
    <w:rsid w:val="16E53799"/>
    <w:rsid w:val="170107DB"/>
    <w:rsid w:val="17372C89"/>
    <w:rsid w:val="176A6C50"/>
    <w:rsid w:val="176C7287"/>
    <w:rsid w:val="178845AC"/>
    <w:rsid w:val="17BA0860"/>
    <w:rsid w:val="17C90AA4"/>
    <w:rsid w:val="17DE2BF5"/>
    <w:rsid w:val="17E40E27"/>
    <w:rsid w:val="1811681A"/>
    <w:rsid w:val="18197B73"/>
    <w:rsid w:val="18602A8A"/>
    <w:rsid w:val="188565F7"/>
    <w:rsid w:val="188F0B02"/>
    <w:rsid w:val="189B4CE2"/>
    <w:rsid w:val="18AB2387"/>
    <w:rsid w:val="18E224B7"/>
    <w:rsid w:val="19194C21"/>
    <w:rsid w:val="194A78B0"/>
    <w:rsid w:val="198D4DBD"/>
    <w:rsid w:val="19932519"/>
    <w:rsid w:val="19A7588B"/>
    <w:rsid w:val="19AC41D9"/>
    <w:rsid w:val="19C27C87"/>
    <w:rsid w:val="19EE12CB"/>
    <w:rsid w:val="19EE76B3"/>
    <w:rsid w:val="19FB015D"/>
    <w:rsid w:val="1A02295D"/>
    <w:rsid w:val="1A1C44A6"/>
    <w:rsid w:val="1A7A21D4"/>
    <w:rsid w:val="1AAC1FB7"/>
    <w:rsid w:val="1AAC5182"/>
    <w:rsid w:val="1AC06FDF"/>
    <w:rsid w:val="1ACB1F62"/>
    <w:rsid w:val="1AE34BE4"/>
    <w:rsid w:val="1B0D32C9"/>
    <w:rsid w:val="1B133F19"/>
    <w:rsid w:val="1B2B737F"/>
    <w:rsid w:val="1B4D7039"/>
    <w:rsid w:val="1B801B09"/>
    <w:rsid w:val="1C14208F"/>
    <w:rsid w:val="1C4050AC"/>
    <w:rsid w:val="1C4A1ECF"/>
    <w:rsid w:val="1C557DE5"/>
    <w:rsid w:val="1C6713A3"/>
    <w:rsid w:val="1C68609E"/>
    <w:rsid w:val="1C6B5FFE"/>
    <w:rsid w:val="1CF716BE"/>
    <w:rsid w:val="1D0132E5"/>
    <w:rsid w:val="1D214EDE"/>
    <w:rsid w:val="1D2D5631"/>
    <w:rsid w:val="1DE73BA2"/>
    <w:rsid w:val="1DF61EC7"/>
    <w:rsid w:val="1E4622A4"/>
    <w:rsid w:val="1E831280"/>
    <w:rsid w:val="1E9D7B6F"/>
    <w:rsid w:val="1EF6655C"/>
    <w:rsid w:val="1F634658"/>
    <w:rsid w:val="1F6D1FBB"/>
    <w:rsid w:val="1F775A5F"/>
    <w:rsid w:val="1F7C63B0"/>
    <w:rsid w:val="1F935803"/>
    <w:rsid w:val="1F971487"/>
    <w:rsid w:val="1FAD0CAB"/>
    <w:rsid w:val="1FC84184"/>
    <w:rsid w:val="1FE971EF"/>
    <w:rsid w:val="1FF561AE"/>
    <w:rsid w:val="20FA2F6F"/>
    <w:rsid w:val="22072440"/>
    <w:rsid w:val="22163E22"/>
    <w:rsid w:val="22415BBC"/>
    <w:rsid w:val="2295665B"/>
    <w:rsid w:val="22DA7328"/>
    <w:rsid w:val="22E114B9"/>
    <w:rsid w:val="22E86870"/>
    <w:rsid w:val="23915E48"/>
    <w:rsid w:val="23AB2DEC"/>
    <w:rsid w:val="23AD62A9"/>
    <w:rsid w:val="23C578EB"/>
    <w:rsid w:val="24044C11"/>
    <w:rsid w:val="24101445"/>
    <w:rsid w:val="241A54C2"/>
    <w:rsid w:val="241F1606"/>
    <w:rsid w:val="24212F0F"/>
    <w:rsid w:val="2453509B"/>
    <w:rsid w:val="246D6C5B"/>
    <w:rsid w:val="24855B54"/>
    <w:rsid w:val="24A856A9"/>
    <w:rsid w:val="24B32360"/>
    <w:rsid w:val="24F33047"/>
    <w:rsid w:val="250C4609"/>
    <w:rsid w:val="25221683"/>
    <w:rsid w:val="2557798A"/>
    <w:rsid w:val="2568534F"/>
    <w:rsid w:val="25924B91"/>
    <w:rsid w:val="25BF0E4C"/>
    <w:rsid w:val="25BF5294"/>
    <w:rsid w:val="25C40AFC"/>
    <w:rsid w:val="25CE64B1"/>
    <w:rsid w:val="25EC0FB4"/>
    <w:rsid w:val="25F53236"/>
    <w:rsid w:val="25FE62CF"/>
    <w:rsid w:val="263F1B7C"/>
    <w:rsid w:val="2644028C"/>
    <w:rsid w:val="268005CC"/>
    <w:rsid w:val="268566EC"/>
    <w:rsid w:val="269E35F2"/>
    <w:rsid w:val="26A71D2F"/>
    <w:rsid w:val="26F4129F"/>
    <w:rsid w:val="26F61189"/>
    <w:rsid w:val="26FB3A20"/>
    <w:rsid w:val="270C6D7F"/>
    <w:rsid w:val="27333D5A"/>
    <w:rsid w:val="279F1EDC"/>
    <w:rsid w:val="27B81A58"/>
    <w:rsid w:val="27C93569"/>
    <w:rsid w:val="27D61213"/>
    <w:rsid w:val="27FF0478"/>
    <w:rsid w:val="281178FD"/>
    <w:rsid w:val="28130C37"/>
    <w:rsid w:val="281C2CE4"/>
    <w:rsid w:val="284748C5"/>
    <w:rsid w:val="28C85C54"/>
    <w:rsid w:val="28FB46EB"/>
    <w:rsid w:val="29110E28"/>
    <w:rsid w:val="291D231F"/>
    <w:rsid w:val="294702D7"/>
    <w:rsid w:val="294A756A"/>
    <w:rsid w:val="294F4B81"/>
    <w:rsid w:val="298760C9"/>
    <w:rsid w:val="29A8215A"/>
    <w:rsid w:val="29C12FA9"/>
    <w:rsid w:val="2A1F4AA0"/>
    <w:rsid w:val="2A874E88"/>
    <w:rsid w:val="2A9D32FB"/>
    <w:rsid w:val="2AA07F73"/>
    <w:rsid w:val="2AAE2812"/>
    <w:rsid w:val="2AC51316"/>
    <w:rsid w:val="2AE95EED"/>
    <w:rsid w:val="2AF50ACD"/>
    <w:rsid w:val="2B005000"/>
    <w:rsid w:val="2B170F0A"/>
    <w:rsid w:val="2B46577A"/>
    <w:rsid w:val="2B60606F"/>
    <w:rsid w:val="2B7C361D"/>
    <w:rsid w:val="2B9733C5"/>
    <w:rsid w:val="2BCE551F"/>
    <w:rsid w:val="2BE94E19"/>
    <w:rsid w:val="2C086DA9"/>
    <w:rsid w:val="2C1160C4"/>
    <w:rsid w:val="2C231FBB"/>
    <w:rsid w:val="2C282E66"/>
    <w:rsid w:val="2C572A2B"/>
    <w:rsid w:val="2C6C2FF6"/>
    <w:rsid w:val="2C7D4FE4"/>
    <w:rsid w:val="2CBF0E56"/>
    <w:rsid w:val="2CC0201B"/>
    <w:rsid w:val="2CE025C4"/>
    <w:rsid w:val="2CF241A1"/>
    <w:rsid w:val="2D3E0715"/>
    <w:rsid w:val="2D487FB9"/>
    <w:rsid w:val="2D7A2D69"/>
    <w:rsid w:val="2D89237D"/>
    <w:rsid w:val="2DB65F64"/>
    <w:rsid w:val="2DE01337"/>
    <w:rsid w:val="2DE532E3"/>
    <w:rsid w:val="2DFE2564"/>
    <w:rsid w:val="2E112405"/>
    <w:rsid w:val="2E1143AB"/>
    <w:rsid w:val="2E153C18"/>
    <w:rsid w:val="2E2D73B4"/>
    <w:rsid w:val="2E5E0503"/>
    <w:rsid w:val="2E6A034F"/>
    <w:rsid w:val="2EA43717"/>
    <w:rsid w:val="2ECE2C36"/>
    <w:rsid w:val="2ED21719"/>
    <w:rsid w:val="2EDC756E"/>
    <w:rsid w:val="2F006030"/>
    <w:rsid w:val="2F1B69B6"/>
    <w:rsid w:val="2F1E127D"/>
    <w:rsid w:val="2F387AD6"/>
    <w:rsid w:val="2F4B7670"/>
    <w:rsid w:val="2F880D2A"/>
    <w:rsid w:val="2F8B662B"/>
    <w:rsid w:val="2FAB1B73"/>
    <w:rsid w:val="2FCD0534"/>
    <w:rsid w:val="2FDE2FB7"/>
    <w:rsid w:val="2FED2DDC"/>
    <w:rsid w:val="3002031B"/>
    <w:rsid w:val="30301E9F"/>
    <w:rsid w:val="30522810"/>
    <w:rsid w:val="30821B89"/>
    <w:rsid w:val="30B2504B"/>
    <w:rsid w:val="30E90A64"/>
    <w:rsid w:val="30FB0577"/>
    <w:rsid w:val="317415B8"/>
    <w:rsid w:val="31CE031E"/>
    <w:rsid w:val="31E66851"/>
    <w:rsid w:val="322F3C4C"/>
    <w:rsid w:val="3287118C"/>
    <w:rsid w:val="32A12CB2"/>
    <w:rsid w:val="32AF7304"/>
    <w:rsid w:val="3301155F"/>
    <w:rsid w:val="332E3B0D"/>
    <w:rsid w:val="33327BDA"/>
    <w:rsid w:val="33797461"/>
    <w:rsid w:val="33E32A95"/>
    <w:rsid w:val="342D2AF5"/>
    <w:rsid w:val="34603266"/>
    <w:rsid w:val="346A04B9"/>
    <w:rsid w:val="346C7CD4"/>
    <w:rsid w:val="34BD397D"/>
    <w:rsid w:val="34BE74FA"/>
    <w:rsid w:val="34D20319"/>
    <w:rsid w:val="34D60EEB"/>
    <w:rsid w:val="353024CC"/>
    <w:rsid w:val="354C01C6"/>
    <w:rsid w:val="356A2329"/>
    <w:rsid w:val="356B08F4"/>
    <w:rsid w:val="359304E6"/>
    <w:rsid w:val="35C52DDB"/>
    <w:rsid w:val="35CB1490"/>
    <w:rsid w:val="36415DE5"/>
    <w:rsid w:val="36665C0D"/>
    <w:rsid w:val="36A17C13"/>
    <w:rsid w:val="36B01B98"/>
    <w:rsid w:val="36E44B5A"/>
    <w:rsid w:val="36FE7CDE"/>
    <w:rsid w:val="37070849"/>
    <w:rsid w:val="37094512"/>
    <w:rsid w:val="373B0FC1"/>
    <w:rsid w:val="37405CF2"/>
    <w:rsid w:val="37443580"/>
    <w:rsid w:val="376E1E51"/>
    <w:rsid w:val="377965A9"/>
    <w:rsid w:val="37964C14"/>
    <w:rsid w:val="37A95DEE"/>
    <w:rsid w:val="37B918FC"/>
    <w:rsid w:val="37C718DF"/>
    <w:rsid w:val="37C9384A"/>
    <w:rsid w:val="380F26AF"/>
    <w:rsid w:val="38364268"/>
    <w:rsid w:val="38C84544"/>
    <w:rsid w:val="38C92CE5"/>
    <w:rsid w:val="38CD7855"/>
    <w:rsid w:val="38E06A56"/>
    <w:rsid w:val="393D17FD"/>
    <w:rsid w:val="393D3264"/>
    <w:rsid w:val="395064D7"/>
    <w:rsid w:val="396C537E"/>
    <w:rsid w:val="397905BD"/>
    <w:rsid w:val="39A94026"/>
    <w:rsid w:val="39D52E80"/>
    <w:rsid w:val="3A0A7FBB"/>
    <w:rsid w:val="3A144BF9"/>
    <w:rsid w:val="3A2E3CAF"/>
    <w:rsid w:val="3A493647"/>
    <w:rsid w:val="3A794EBA"/>
    <w:rsid w:val="3A9C403C"/>
    <w:rsid w:val="3AAA4C10"/>
    <w:rsid w:val="3AAA6C31"/>
    <w:rsid w:val="3AAB24CE"/>
    <w:rsid w:val="3AB64A60"/>
    <w:rsid w:val="3AC03120"/>
    <w:rsid w:val="3AD14B9A"/>
    <w:rsid w:val="3B093521"/>
    <w:rsid w:val="3B180FBF"/>
    <w:rsid w:val="3B25788B"/>
    <w:rsid w:val="3B3D0CDD"/>
    <w:rsid w:val="3BE70D1C"/>
    <w:rsid w:val="3C0179F0"/>
    <w:rsid w:val="3C1D4F68"/>
    <w:rsid w:val="3C2846F1"/>
    <w:rsid w:val="3C592A31"/>
    <w:rsid w:val="3C9C4F94"/>
    <w:rsid w:val="3CF065E7"/>
    <w:rsid w:val="3CF4035D"/>
    <w:rsid w:val="3D125759"/>
    <w:rsid w:val="3D1B75AF"/>
    <w:rsid w:val="3D504738"/>
    <w:rsid w:val="3D57260A"/>
    <w:rsid w:val="3DD20930"/>
    <w:rsid w:val="3DD461B9"/>
    <w:rsid w:val="3E150DFB"/>
    <w:rsid w:val="3E1700C8"/>
    <w:rsid w:val="3E1706BB"/>
    <w:rsid w:val="3E4266D2"/>
    <w:rsid w:val="3E45010B"/>
    <w:rsid w:val="3E596ED3"/>
    <w:rsid w:val="3E5E6FFF"/>
    <w:rsid w:val="3E9E7569"/>
    <w:rsid w:val="3EB71D4E"/>
    <w:rsid w:val="3EC36B58"/>
    <w:rsid w:val="3EDF7D47"/>
    <w:rsid w:val="3EFB4122"/>
    <w:rsid w:val="3F314B61"/>
    <w:rsid w:val="3F792CD7"/>
    <w:rsid w:val="3F9D4347"/>
    <w:rsid w:val="3FB672B0"/>
    <w:rsid w:val="3FDE2B25"/>
    <w:rsid w:val="3FEB67EB"/>
    <w:rsid w:val="400B57B4"/>
    <w:rsid w:val="40511C8F"/>
    <w:rsid w:val="405E3F0B"/>
    <w:rsid w:val="405F73AD"/>
    <w:rsid w:val="40D24A15"/>
    <w:rsid w:val="40F55BB6"/>
    <w:rsid w:val="410D73A4"/>
    <w:rsid w:val="41306558"/>
    <w:rsid w:val="41530D53"/>
    <w:rsid w:val="41571E3A"/>
    <w:rsid w:val="41990D25"/>
    <w:rsid w:val="41C523F4"/>
    <w:rsid w:val="41FA1ECF"/>
    <w:rsid w:val="42316AB6"/>
    <w:rsid w:val="426254F1"/>
    <w:rsid w:val="4271001C"/>
    <w:rsid w:val="42863DB7"/>
    <w:rsid w:val="42940CC3"/>
    <w:rsid w:val="42D069A7"/>
    <w:rsid w:val="42F17B9B"/>
    <w:rsid w:val="42FB416E"/>
    <w:rsid w:val="430220EC"/>
    <w:rsid w:val="434C6CCD"/>
    <w:rsid w:val="436155AC"/>
    <w:rsid w:val="43617313"/>
    <w:rsid w:val="438F1A98"/>
    <w:rsid w:val="43966640"/>
    <w:rsid w:val="43B94007"/>
    <w:rsid w:val="43C53A8A"/>
    <w:rsid w:val="43CB71DF"/>
    <w:rsid w:val="43D94410"/>
    <w:rsid w:val="44211221"/>
    <w:rsid w:val="44365E25"/>
    <w:rsid w:val="4451578C"/>
    <w:rsid w:val="4473611F"/>
    <w:rsid w:val="448210CF"/>
    <w:rsid w:val="44840BF8"/>
    <w:rsid w:val="448477B9"/>
    <w:rsid w:val="448E3564"/>
    <w:rsid w:val="44932C28"/>
    <w:rsid w:val="44937BC0"/>
    <w:rsid w:val="449C6DE2"/>
    <w:rsid w:val="449D53E5"/>
    <w:rsid w:val="44CB358F"/>
    <w:rsid w:val="44D04B32"/>
    <w:rsid w:val="45243697"/>
    <w:rsid w:val="456353C8"/>
    <w:rsid w:val="45C47F0A"/>
    <w:rsid w:val="45E9595D"/>
    <w:rsid w:val="45F77513"/>
    <w:rsid w:val="462B5FA5"/>
    <w:rsid w:val="464A32B7"/>
    <w:rsid w:val="467370F1"/>
    <w:rsid w:val="468F06B1"/>
    <w:rsid w:val="46BA7686"/>
    <w:rsid w:val="46CF7079"/>
    <w:rsid w:val="4735292A"/>
    <w:rsid w:val="474C30F6"/>
    <w:rsid w:val="475576EA"/>
    <w:rsid w:val="477B1D5F"/>
    <w:rsid w:val="47BB1907"/>
    <w:rsid w:val="47D14F74"/>
    <w:rsid w:val="47F2401F"/>
    <w:rsid w:val="47F66BF7"/>
    <w:rsid w:val="483043D2"/>
    <w:rsid w:val="48565693"/>
    <w:rsid w:val="48710218"/>
    <w:rsid w:val="48B47A6F"/>
    <w:rsid w:val="48CC694C"/>
    <w:rsid w:val="48DD4E04"/>
    <w:rsid w:val="48F3143B"/>
    <w:rsid w:val="48F776E2"/>
    <w:rsid w:val="4915249A"/>
    <w:rsid w:val="496F0BFB"/>
    <w:rsid w:val="499135C4"/>
    <w:rsid w:val="49E93D20"/>
    <w:rsid w:val="4A004BBE"/>
    <w:rsid w:val="4A0C0698"/>
    <w:rsid w:val="4A3729E1"/>
    <w:rsid w:val="4A3D30F4"/>
    <w:rsid w:val="4A44382D"/>
    <w:rsid w:val="4A665D2D"/>
    <w:rsid w:val="4A820AE7"/>
    <w:rsid w:val="4AA227EB"/>
    <w:rsid w:val="4ABC178C"/>
    <w:rsid w:val="4B180E6D"/>
    <w:rsid w:val="4B1D5D82"/>
    <w:rsid w:val="4B2262C5"/>
    <w:rsid w:val="4BB019D4"/>
    <w:rsid w:val="4BD05490"/>
    <w:rsid w:val="4BDA3D7B"/>
    <w:rsid w:val="4C0A4000"/>
    <w:rsid w:val="4C242F29"/>
    <w:rsid w:val="4CAB7964"/>
    <w:rsid w:val="4CBF54F2"/>
    <w:rsid w:val="4CDF11B8"/>
    <w:rsid w:val="4D231477"/>
    <w:rsid w:val="4D71262E"/>
    <w:rsid w:val="4D923139"/>
    <w:rsid w:val="4DA22C22"/>
    <w:rsid w:val="4DA92202"/>
    <w:rsid w:val="4DB3516F"/>
    <w:rsid w:val="4DB56DF9"/>
    <w:rsid w:val="4DF070A8"/>
    <w:rsid w:val="4E0C0211"/>
    <w:rsid w:val="4E10127B"/>
    <w:rsid w:val="4E113BDA"/>
    <w:rsid w:val="4E314C3B"/>
    <w:rsid w:val="4E3B01C6"/>
    <w:rsid w:val="4E565B8B"/>
    <w:rsid w:val="4E761BB6"/>
    <w:rsid w:val="4F1263BD"/>
    <w:rsid w:val="4F2E592A"/>
    <w:rsid w:val="4F423B8A"/>
    <w:rsid w:val="4F5A0CDC"/>
    <w:rsid w:val="4F7F4A03"/>
    <w:rsid w:val="4F8611D3"/>
    <w:rsid w:val="4FA35CE3"/>
    <w:rsid w:val="4FE3721C"/>
    <w:rsid w:val="5043762C"/>
    <w:rsid w:val="504B134F"/>
    <w:rsid w:val="50A26DF8"/>
    <w:rsid w:val="50D75AA1"/>
    <w:rsid w:val="51070B5B"/>
    <w:rsid w:val="513333CB"/>
    <w:rsid w:val="51365602"/>
    <w:rsid w:val="515B1EA1"/>
    <w:rsid w:val="519913FC"/>
    <w:rsid w:val="51B1799A"/>
    <w:rsid w:val="520000E7"/>
    <w:rsid w:val="5209105A"/>
    <w:rsid w:val="5213148A"/>
    <w:rsid w:val="52242CFD"/>
    <w:rsid w:val="52382926"/>
    <w:rsid w:val="52530D9A"/>
    <w:rsid w:val="529F7150"/>
    <w:rsid w:val="52E70A2D"/>
    <w:rsid w:val="52F04997"/>
    <w:rsid w:val="53210278"/>
    <w:rsid w:val="53435031"/>
    <w:rsid w:val="535632EF"/>
    <w:rsid w:val="53602551"/>
    <w:rsid w:val="53D60510"/>
    <w:rsid w:val="54332F77"/>
    <w:rsid w:val="54362DA0"/>
    <w:rsid w:val="54982E63"/>
    <w:rsid w:val="54F16799"/>
    <w:rsid w:val="55190E1A"/>
    <w:rsid w:val="55355E30"/>
    <w:rsid w:val="553B0E8E"/>
    <w:rsid w:val="553E3104"/>
    <w:rsid w:val="555132EC"/>
    <w:rsid w:val="555A3154"/>
    <w:rsid w:val="555E0A81"/>
    <w:rsid w:val="56221B8A"/>
    <w:rsid w:val="56E04EE6"/>
    <w:rsid w:val="56F8633B"/>
    <w:rsid w:val="573C2E4B"/>
    <w:rsid w:val="57414A62"/>
    <w:rsid w:val="57574A7D"/>
    <w:rsid w:val="578176F0"/>
    <w:rsid w:val="57E21A7B"/>
    <w:rsid w:val="581F5D5C"/>
    <w:rsid w:val="58255E64"/>
    <w:rsid w:val="58403763"/>
    <w:rsid w:val="585F3CF0"/>
    <w:rsid w:val="587E6708"/>
    <w:rsid w:val="588F43B1"/>
    <w:rsid w:val="58D90F72"/>
    <w:rsid w:val="58DB3111"/>
    <w:rsid w:val="59500A54"/>
    <w:rsid w:val="59923408"/>
    <w:rsid w:val="59C30CC7"/>
    <w:rsid w:val="59D659C5"/>
    <w:rsid w:val="5A5E0BE8"/>
    <w:rsid w:val="5A647BDD"/>
    <w:rsid w:val="5A661C99"/>
    <w:rsid w:val="5A72309A"/>
    <w:rsid w:val="5A8460A8"/>
    <w:rsid w:val="5AA12B00"/>
    <w:rsid w:val="5AB42BDE"/>
    <w:rsid w:val="5ADB6887"/>
    <w:rsid w:val="5ADD34EB"/>
    <w:rsid w:val="5B1F1D55"/>
    <w:rsid w:val="5B210F1D"/>
    <w:rsid w:val="5B380E81"/>
    <w:rsid w:val="5B646A46"/>
    <w:rsid w:val="5BE014E5"/>
    <w:rsid w:val="5C2C4A7B"/>
    <w:rsid w:val="5C2D3C28"/>
    <w:rsid w:val="5C5E2F10"/>
    <w:rsid w:val="5C8B72C7"/>
    <w:rsid w:val="5C907B55"/>
    <w:rsid w:val="5CAB07FD"/>
    <w:rsid w:val="5CEB05CC"/>
    <w:rsid w:val="5D2C7E02"/>
    <w:rsid w:val="5D3507FD"/>
    <w:rsid w:val="5D7A2829"/>
    <w:rsid w:val="5D7A7717"/>
    <w:rsid w:val="5D9843FD"/>
    <w:rsid w:val="5D9A660C"/>
    <w:rsid w:val="5DAC5BCA"/>
    <w:rsid w:val="5DC54718"/>
    <w:rsid w:val="5E28641E"/>
    <w:rsid w:val="5E3B0A9F"/>
    <w:rsid w:val="5E5428BD"/>
    <w:rsid w:val="5E5F6058"/>
    <w:rsid w:val="5E856BC9"/>
    <w:rsid w:val="5E9A2880"/>
    <w:rsid w:val="5F353CD1"/>
    <w:rsid w:val="5F376F91"/>
    <w:rsid w:val="5F636B4D"/>
    <w:rsid w:val="5F8E3006"/>
    <w:rsid w:val="5F8E528C"/>
    <w:rsid w:val="60142A7B"/>
    <w:rsid w:val="6062107C"/>
    <w:rsid w:val="608042BA"/>
    <w:rsid w:val="60A1271D"/>
    <w:rsid w:val="60F11A9E"/>
    <w:rsid w:val="612C5E0C"/>
    <w:rsid w:val="617D546E"/>
    <w:rsid w:val="619A0388"/>
    <w:rsid w:val="61E15E5A"/>
    <w:rsid w:val="61F74924"/>
    <w:rsid w:val="61F8518F"/>
    <w:rsid w:val="62040C85"/>
    <w:rsid w:val="627A4244"/>
    <w:rsid w:val="6285114A"/>
    <w:rsid w:val="62933774"/>
    <w:rsid w:val="629B7F14"/>
    <w:rsid w:val="62C03E1E"/>
    <w:rsid w:val="62C22A1C"/>
    <w:rsid w:val="62CE0726"/>
    <w:rsid w:val="63142771"/>
    <w:rsid w:val="632443AD"/>
    <w:rsid w:val="63473BF7"/>
    <w:rsid w:val="63626C83"/>
    <w:rsid w:val="63761A35"/>
    <w:rsid w:val="63A068D2"/>
    <w:rsid w:val="63C0550A"/>
    <w:rsid w:val="640324E7"/>
    <w:rsid w:val="640A40E9"/>
    <w:rsid w:val="6485101C"/>
    <w:rsid w:val="64AF0089"/>
    <w:rsid w:val="64F63636"/>
    <w:rsid w:val="64FC7681"/>
    <w:rsid w:val="656315A3"/>
    <w:rsid w:val="65677B64"/>
    <w:rsid w:val="65804C4D"/>
    <w:rsid w:val="659D56EB"/>
    <w:rsid w:val="65B35574"/>
    <w:rsid w:val="66433578"/>
    <w:rsid w:val="664811B3"/>
    <w:rsid w:val="665D55E7"/>
    <w:rsid w:val="66885CB4"/>
    <w:rsid w:val="66AF2512"/>
    <w:rsid w:val="67114C48"/>
    <w:rsid w:val="67233B75"/>
    <w:rsid w:val="673334C8"/>
    <w:rsid w:val="67704084"/>
    <w:rsid w:val="67990979"/>
    <w:rsid w:val="67A535E2"/>
    <w:rsid w:val="67C85683"/>
    <w:rsid w:val="67D44907"/>
    <w:rsid w:val="68077481"/>
    <w:rsid w:val="681F3087"/>
    <w:rsid w:val="68391992"/>
    <w:rsid w:val="68486590"/>
    <w:rsid w:val="688B71E7"/>
    <w:rsid w:val="688D02FE"/>
    <w:rsid w:val="68977222"/>
    <w:rsid w:val="689D3D65"/>
    <w:rsid w:val="68A439AB"/>
    <w:rsid w:val="68A614FD"/>
    <w:rsid w:val="68AD7852"/>
    <w:rsid w:val="68DE3461"/>
    <w:rsid w:val="68EC6827"/>
    <w:rsid w:val="690815DA"/>
    <w:rsid w:val="691E56DF"/>
    <w:rsid w:val="694D041D"/>
    <w:rsid w:val="69C6501A"/>
    <w:rsid w:val="6A117052"/>
    <w:rsid w:val="6A3541DD"/>
    <w:rsid w:val="6A5E77BF"/>
    <w:rsid w:val="6A7F3E10"/>
    <w:rsid w:val="6A9811DC"/>
    <w:rsid w:val="6A991A75"/>
    <w:rsid w:val="6AA879AE"/>
    <w:rsid w:val="6AD01BCD"/>
    <w:rsid w:val="6B0D2DCF"/>
    <w:rsid w:val="6B233C26"/>
    <w:rsid w:val="6B741AFD"/>
    <w:rsid w:val="6BDB04DA"/>
    <w:rsid w:val="6BE17066"/>
    <w:rsid w:val="6BF551BD"/>
    <w:rsid w:val="6C0D5D02"/>
    <w:rsid w:val="6C0F76B8"/>
    <w:rsid w:val="6C13528C"/>
    <w:rsid w:val="6C225262"/>
    <w:rsid w:val="6C2732D4"/>
    <w:rsid w:val="6C517D6D"/>
    <w:rsid w:val="6C7812C6"/>
    <w:rsid w:val="6C9E53FE"/>
    <w:rsid w:val="6CA420BB"/>
    <w:rsid w:val="6CBC4753"/>
    <w:rsid w:val="6CEB6404"/>
    <w:rsid w:val="6D1351A7"/>
    <w:rsid w:val="6D196276"/>
    <w:rsid w:val="6D2C1471"/>
    <w:rsid w:val="6D780DAF"/>
    <w:rsid w:val="6D7B06F1"/>
    <w:rsid w:val="6D841450"/>
    <w:rsid w:val="6D9F21AC"/>
    <w:rsid w:val="6DC279BA"/>
    <w:rsid w:val="6E3340B2"/>
    <w:rsid w:val="6E394AF1"/>
    <w:rsid w:val="6E527B19"/>
    <w:rsid w:val="6E7066F8"/>
    <w:rsid w:val="6E7C32EF"/>
    <w:rsid w:val="6E7D3BB4"/>
    <w:rsid w:val="6EDB07C6"/>
    <w:rsid w:val="6EF70EC1"/>
    <w:rsid w:val="6F2262E0"/>
    <w:rsid w:val="6F600DAC"/>
    <w:rsid w:val="6F6F14CF"/>
    <w:rsid w:val="6F7C2E7B"/>
    <w:rsid w:val="6F86077F"/>
    <w:rsid w:val="6F9F0176"/>
    <w:rsid w:val="6FEE2DAF"/>
    <w:rsid w:val="700C6B99"/>
    <w:rsid w:val="70311EB7"/>
    <w:rsid w:val="70665D4C"/>
    <w:rsid w:val="706F7FE7"/>
    <w:rsid w:val="70851157"/>
    <w:rsid w:val="70D3219F"/>
    <w:rsid w:val="70D40E2B"/>
    <w:rsid w:val="70D83020"/>
    <w:rsid w:val="710271A9"/>
    <w:rsid w:val="7109548C"/>
    <w:rsid w:val="715900FB"/>
    <w:rsid w:val="71720B79"/>
    <w:rsid w:val="71750CBB"/>
    <w:rsid w:val="719343FA"/>
    <w:rsid w:val="7196785E"/>
    <w:rsid w:val="72331F17"/>
    <w:rsid w:val="725A1449"/>
    <w:rsid w:val="727A36EA"/>
    <w:rsid w:val="7297518B"/>
    <w:rsid w:val="72AF312B"/>
    <w:rsid w:val="72C4320D"/>
    <w:rsid w:val="72FD52BE"/>
    <w:rsid w:val="7305497D"/>
    <w:rsid w:val="73190CA7"/>
    <w:rsid w:val="732535B1"/>
    <w:rsid w:val="736A2C85"/>
    <w:rsid w:val="736C2B03"/>
    <w:rsid w:val="736F377D"/>
    <w:rsid w:val="73A61B76"/>
    <w:rsid w:val="73CD0149"/>
    <w:rsid w:val="73D1574A"/>
    <w:rsid w:val="73D35A4C"/>
    <w:rsid w:val="73E8550A"/>
    <w:rsid w:val="740849CD"/>
    <w:rsid w:val="74461834"/>
    <w:rsid w:val="745B71F7"/>
    <w:rsid w:val="749063C2"/>
    <w:rsid w:val="74E25ED4"/>
    <w:rsid w:val="74F4163B"/>
    <w:rsid w:val="7519750B"/>
    <w:rsid w:val="75265FDB"/>
    <w:rsid w:val="758D1EDD"/>
    <w:rsid w:val="76452218"/>
    <w:rsid w:val="764775A7"/>
    <w:rsid w:val="764E30F5"/>
    <w:rsid w:val="765F240A"/>
    <w:rsid w:val="766960BF"/>
    <w:rsid w:val="76797102"/>
    <w:rsid w:val="76CB7AA1"/>
    <w:rsid w:val="773F135E"/>
    <w:rsid w:val="77481A7B"/>
    <w:rsid w:val="77B04009"/>
    <w:rsid w:val="78034139"/>
    <w:rsid w:val="780C2716"/>
    <w:rsid w:val="781E37AB"/>
    <w:rsid w:val="78207DE3"/>
    <w:rsid w:val="78727511"/>
    <w:rsid w:val="788C1ABE"/>
    <w:rsid w:val="78972AD3"/>
    <w:rsid w:val="78C55516"/>
    <w:rsid w:val="78CD30FF"/>
    <w:rsid w:val="78F83429"/>
    <w:rsid w:val="792C036B"/>
    <w:rsid w:val="7975478C"/>
    <w:rsid w:val="79E3368E"/>
    <w:rsid w:val="7A2E1121"/>
    <w:rsid w:val="7A3946F5"/>
    <w:rsid w:val="7A671A7A"/>
    <w:rsid w:val="7A772FAF"/>
    <w:rsid w:val="7AC848A4"/>
    <w:rsid w:val="7B146441"/>
    <w:rsid w:val="7B1E510C"/>
    <w:rsid w:val="7B2F612C"/>
    <w:rsid w:val="7B412B22"/>
    <w:rsid w:val="7B59615A"/>
    <w:rsid w:val="7B9B105C"/>
    <w:rsid w:val="7BAF7FC0"/>
    <w:rsid w:val="7BF0650D"/>
    <w:rsid w:val="7BF538C2"/>
    <w:rsid w:val="7C097307"/>
    <w:rsid w:val="7C522D5F"/>
    <w:rsid w:val="7C6161D0"/>
    <w:rsid w:val="7C740E72"/>
    <w:rsid w:val="7C8A2853"/>
    <w:rsid w:val="7CAB2FF1"/>
    <w:rsid w:val="7CCF025B"/>
    <w:rsid w:val="7CD65001"/>
    <w:rsid w:val="7D0D6042"/>
    <w:rsid w:val="7D15503B"/>
    <w:rsid w:val="7D2E4B27"/>
    <w:rsid w:val="7D2E5ECD"/>
    <w:rsid w:val="7D500D23"/>
    <w:rsid w:val="7DA1085A"/>
    <w:rsid w:val="7DA27C62"/>
    <w:rsid w:val="7DDB4AC3"/>
    <w:rsid w:val="7DF86B91"/>
    <w:rsid w:val="7E0F6D19"/>
    <w:rsid w:val="7E3B5341"/>
    <w:rsid w:val="7E4F1952"/>
    <w:rsid w:val="7F7A343D"/>
    <w:rsid w:val="7F802E6D"/>
    <w:rsid w:val="7F965BB3"/>
    <w:rsid w:val="7FE44192"/>
    <w:rsid w:val="7FF216D3"/>
    <w:rsid w:val="F7EEC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paragraph" w:styleId="5">
    <w:name w:val="heading 4"/>
    <w:basedOn w:val="1"/>
    <w:next w:val="1"/>
    <w:unhideWhenUsed/>
    <w:qFormat/>
    <w:uiPriority w:val="1"/>
    <w:pPr>
      <w:keepNext/>
      <w:keepLines/>
      <w:spacing w:before="280" w:after="290" w:line="376" w:lineRule="atLeast"/>
      <w:outlineLvl w:val="3"/>
    </w:pPr>
    <w:rPr>
      <w:rFonts w:ascii="Cambria" w:hAnsi="Cambria" w:eastAsia="宋体" w:cs="Times New Roman"/>
      <w:b/>
      <w:bCs/>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0"/>
    <w:rPr>
      <w:rFonts w:ascii="Arial" w:hAnsi="Arial" w:eastAsia="黑体"/>
      <w:sz w:val="20"/>
    </w:rPr>
  </w:style>
  <w:style w:type="paragraph" w:styleId="7">
    <w:name w:val="Document Map"/>
    <w:basedOn w:val="1"/>
    <w:link w:val="50"/>
    <w:qFormat/>
    <w:uiPriority w:val="0"/>
    <w:rPr>
      <w:rFonts w:ascii="宋体" w:eastAsia="宋体"/>
      <w:sz w:val="18"/>
      <w:szCs w:val="18"/>
    </w:rPr>
  </w:style>
  <w:style w:type="paragraph" w:styleId="8">
    <w:name w:val="annotation text"/>
    <w:basedOn w:val="1"/>
    <w:link w:val="65"/>
    <w:qFormat/>
    <w:uiPriority w:val="0"/>
    <w:pPr>
      <w:jc w:val="left"/>
    </w:pPr>
  </w:style>
  <w:style w:type="paragraph" w:styleId="9">
    <w:name w:val="Body Text"/>
    <w:basedOn w:val="1"/>
    <w:qFormat/>
    <w:uiPriority w:val="0"/>
    <w:rPr>
      <w:rFonts w:ascii="楷体_GB2312" w:eastAsia="楷体_GB2312"/>
      <w:sz w:val="32"/>
      <w:szCs w:val="20"/>
    </w:rPr>
  </w:style>
  <w:style w:type="paragraph" w:styleId="10">
    <w:name w:val="Body Text Indent"/>
    <w:basedOn w:val="1"/>
    <w:next w:val="11"/>
    <w:qFormat/>
    <w:uiPriority w:val="0"/>
    <w:pPr>
      <w:ind w:firstLine="600" w:firstLineChars="200"/>
    </w:pPr>
    <w:rPr>
      <w:rFonts w:eastAsia="仿宋_GB2312"/>
      <w:sz w:val="30"/>
    </w:rPr>
  </w:style>
  <w:style w:type="paragraph" w:styleId="11">
    <w:name w:val="footer"/>
    <w:basedOn w:val="1"/>
    <w:qFormat/>
    <w:uiPriority w:val="0"/>
    <w:pPr>
      <w:tabs>
        <w:tab w:val="center" w:pos="4153"/>
        <w:tab w:val="right" w:pos="8306"/>
      </w:tabs>
      <w:snapToGrid w:val="0"/>
      <w:jc w:val="left"/>
    </w:pPr>
    <w:rPr>
      <w:sz w:val="18"/>
    </w:rPr>
  </w:style>
  <w:style w:type="paragraph" w:styleId="12">
    <w:name w:val="index 4"/>
    <w:basedOn w:val="1"/>
    <w:next w:val="1"/>
    <w:qFormat/>
    <w:uiPriority w:val="0"/>
    <w:pPr>
      <w:ind w:left="600" w:leftChars="600" w:firstLine="200"/>
      <w:textAlignment w:val="center"/>
    </w:pPr>
    <w:rPr>
      <w:rFonts w:hAnsi="Times New Roman"/>
    </w:rPr>
  </w:style>
  <w:style w:type="paragraph" w:styleId="13">
    <w:name w:val="toc 3"/>
    <w:basedOn w:val="1"/>
    <w:next w:val="1"/>
    <w:qFormat/>
    <w:uiPriority w:val="39"/>
    <w:pPr>
      <w:ind w:left="840" w:leftChars="400"/>
    </w:pPr>
  </w:style>
  <w:style w:type="paragraph" w:styleId="14">
    <w:name w:val="Plain Text"/>
    <w:basedOn w:val="1"/>
    <w:qFormat/>
    <w:uiPriority w:val="0"/>
    <w:pPr>
      <w:spacing w:line="520" w:lineRule="exact"/>
      <w:ind w:firstLine="200" w:firstLineChars="200"/>
    </w:pPr>
    <w:rPr>
      <w:rFonts w:ascii="宋体" w:hAnsi="Courier New"/>
      <w:sz w:val="28"/>
    </w:rPr>
  </w:style>
  <w:style w:type="paragraph" w:styleId="15">
    <w:name w:val="Body Text Indent 2"/>
    <w:basedOn w:val="1"/>
    <w:qFormat/>
    <w:uiPriority w:val="0"/>
    <w:pPr>
      <w:spacing w:after="120" w:line="480" w:lineRule="auto"/>
      <w:ind w:left="420" w:leftChars="200"/>
    </w:pPr>
  </w:style>
  <w:style w:type="paragraph" w:styleId="16">
    <w:name w:val="Balloon Text"/>
    <w:basedOn w:val="1"/>
    <w:link w:val="51"/>
    <w:qFormat/>
    <w:uiPriority w:val="0"/>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style>
  <w:style w:type="paragraph" w:styleId="19">
    <w:name w:val="toc 2"/>
    <w:basedOn w:val="1"/>
    <w:next w:val="1"/>
    <w:qFormat/>
    <w:uiPriority w:val="39"/>
    <w:pPr>
      <w:ind w:left="420" w:leftChars="200"/>
    </w:p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annotation subject"/>
    <w:basedOn w:val="8"/>
    <w:next w:val="8"/>
    <w:link w:val="66"/>
    <w:qFormat/>
    <w:uiPriority w:val="0"/>
    <w:rPr>
      <w:b/>
      <w:bCs/>
    </w:rPr>
  </w:style>
  <w:style w:type="paragraph" w:styleId="22">
    <w:name w:val="Body Text First Indent 2"/>
    <w:basedOn w:val="10"/>
    <w:next w:val="1"/>
    <w:qFormat/>
    <w:uiPriority w:val="0"/>
    <w:pPr>
      <w:ind w:firstLine="42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unhideWhenUsed/>
    <w:qFormat/>
    <w:uiPriority w:val="99"/>
    <w:rPr>
      <w:color w:val="0563C1" w:themeColor="hyperlink"/>
      <w:u w:val="single"/>
      <w14:textFill>
        <w14:solidFill>
          <w14:schemeClr w14:val="hlink"/>
        </w14:solidFill>
      </w14:textFill>
    </w:rPr>
  </w:style>
  <w:style w:type="character" w:styleId="27">
    <w:name w:val="annotation reference"/>
    <w:basedOn w:val="25"/>
    <w:qFormat/>
    <w:uiPriority w:val="0"/>
    <w:rPr>
      <w:sz w:val="21"/>
      <w:szCs w:val="21"/>
    </w:rPr>
  </w:style>
  <w:style w:type="paragraph" w:customStyle="1" w:styleId="28">
    <w:name w:val="列出段落1"/>
    <w:basedOn w:val="1"/>
    <w:qFormat/>
    <w:uiPriority w:val="0"/>
    <w:pPr>
      <w:ind w:firstLine="420" w:firstLineChars="200"/>
    </w:pPr>
  </w:style>
  <w:style w:type="paragraph" w:customStyle="1" w:styleId="29">
    <w:name w:val="1正文"/>
    <w:basedOn w:val="1"/>
    <w:qFormat/>
    <w:uiPriority w:val="0"/>
    <w:pPr>
      <w:adjustRightInd w:val="0"/>
      <w:snapToGrid w:val="0"/>
      <w:spacing w:line="560" w:lineRule="exact"/>
      <w:ind w:firstLine="200" w:firstLineChars="200"/>
    </w:pPr>
    <w:rPr>
      <w:rFonts w:eastAsia="仿宋_GB2312"/>
      <w:sz w:val="28"/>
    </w:rPr>
  </w:style>
  <w:style w:type="character" w:customStyle="1" w:styleId="30">
    <w:name w:val="font11"/>
    <w:basedOn w:val="25"/>
    <w:qFormat/>
    <w:uiPriority w:val="0"/>
    <w:rPr>
      <w:rFonts w:hint="default" w:ascii="Times New Roman" w:hAnsi="Times New Roman" w:cs="Times New Roman"/>
      <w:color w:val="000000"/>
      <w:sz w:val="18"/>
      <w:szCs w:val="18"/>
      <w:u w:val="none"/>
    </w:rPr>
  </w:style>
  <w:style w:type="character" w:customStyle="1" w:styleId="31">
    <w:name w:val="font21"/>
    <w:basedOn w:val="25"/>
    <w:qFormat/>
    <w:uiPriority w:val="0"/>
    <w:rPr>
      <w:rFonts w:hint="eastAsia" w:ascii="宋体" w:hAnsi="宋体" w:eastAsia="宋体" w:cs="宋体"/>
      <w:color w:val="000000"/>
      <w:sz w:val="18"/>
      <w:szCs w:val="18"/>
      <w:u w:val="none"/>
    </w:rPr>
  </w:style>
  <w:style w:type="character" w:customStyle="1" w:styleId="32">
    <w:name w:val="font31"/>
    <w:basedOn w:val="25"/>
    <w:qFormat/>
    <w:uiPriority w:val="0"/>
    <w:rPr>
      <w:rFonts w:hint="default" w:ascii="Times New Roman" w:hAnsi="Times New Roman" w:cs="Times New Roman"/>
      <w:color w:val="000000"/>
      <w:sz w:val="18"/>
      <w:szCs w:val="18"/>
      <w:u w:val="none"/>
    </w:rPr>
  </w:style>
  <w:style w:type="character" w:customStyle="1" w:styleId="33">
    <w:name w:val="font41"/>
    <w:basedOn w:val="25"/>
    <w:qFormat/>
    <w:uiPriority w:val="0"/>
    <w:rPr>
      <w:rFonts w:hint="eastAsia" w:ascii="宋体" w:hAnsi="宋体" w:eastAsia="宋体" w:cs="宋体"/>
      <w:color w:val="000000"/>
      <w:sz w:val="18"/>
      <w:szCs w:val="18"/>
      <w:u w:val="none"/>
    </w:rPr>
  </w:style>
  <w:style w:type="character" w:customStyle="1" w:styleId="34">
    <w:name w:val="font01"/>
    <w:basedOn w:val="25"/>
    <w:qFormat/>
    <w:uiPriority w:val="0"/>
    <w:rPr>
      <w:rFonts w:hint="default" w:ascii="Times New Roman" w:hAnsi="Times New Roman" w:cs="Times New Roman"/>
      <w:color w:val="000000"/>
      <w:sz w:val="18"/>
      <w:szCs w:val="18"/>
      <w:u w:val="none"/>
    </w:rPr>
  </w:style>
  <w:style w:type="paragraph" w:customStyle="1" w:styleId="35">
    <w:name w:val="标题4"/>
    <w:basedOn w:val="12"/>
    <w:qFormat/>
    <w:uiPriority w:val="0"/>
    <w:pPr>
      <w:overflowPunct w:val="0"/>
      <w:topLinePunct/>
      <w:adjustRightInd w:val="0"/>
      <w:ind w:left="0" w:leftChars="0" w:firstLine="0"/>
      <w:jc w:val="center"/>
      <w:outlineLvl w:val="3"/>
    </w:pPr>
    <w:rPr>
      <w:rFonts w:ascii="Arial" w:hAnsi="Arial" w:eastAsia="黑体"/>
      <w:bCs/>
      <w:snapToGrid w:val="0"/>
      <w:kern w:val="0"/>
    </w:rPr>
  </w:style>
  <w:style w:type="paragraph" w:customStyle="1" w:styleId="36">
    <w:name w:val="标题5"/>
    <w:basedOn w:val="1"/>
    <w:qFormat/>
    <w:uiPriority w:val="0"/>
    <w:pPr>
      <w:autoSpaceDE w:val="0"/>
      <w:autoSpaceDN w:val="0"/>
      <w:ind w:firstLine="480"/>
      <w:jc w:val="left"/>
    </w:pPr>
    <w:rPr>
      <w:bCs/>
      <w:snapToGrid w:val="0"/>
      <w:kern w:val="0"/>
    </w:rPr>
  </w:style>
  <w:style w:type="paragraph" w:customStyle="1" w:styleId="37">
    <w:name w:val="正文文本 (2)1"/>
    <w:basedOn w:val="1"/>
    <w:link w:val="38"/>
    <w:qFormat/>
    <w:uiPriority w:val="99"/>
    <w:pPr>
      <w:shd w:val="clear" w:color="auto" w:fill="FFFFFF"/>
      <w:spacing w:after="900" w:line="442" w:lineRule="exact"/>
      <w:jc w:val="distribute"/>
    </w:pPr>
    <w:rPr>
      <w:rFonts w:ascii="MingLiU" w:eastAsia="MingLiU" w:cs="MingLiU"/>
      <w:kern w:val="0"/>
      <w:sz w:val="22"/>
      <w:szCs w:val="22"/>
    </w:rPr>
  </w:style>
  <w:style w:type="character" w:customStyle="1" w:styleId="38">
    <w:name w:val="正文文本 (2)_"/>
    <w:basedOn w:val="25"/>
    <w:link w:val="37"/>
    <w:qFormat/>
    <w:locked/>
    <w:uiPriority w:val="99"/>
    <w:rPr>
      <w:rFonts w:ascii="MingLiU" w:eastAsia="MingLiU" w:cs="MingLiU"/>
      <w:kern w:val="0"/>
      <w:sz w:val="22"/>
      <w:szCs w:val="22"/>
    </w:rPr>
  </w:style>
  <w:style w:type="character" w:customStyle="1" w:styleId="39">
    <w:name w:val="正文文本 (2) + 9 pt12"/>
    <w:basedOn w:val="38"/>
    <w:qFormat/>
    <w:uiPriority w:val="99"/>
    <w:rPr>
      <w:rFonts w:ascii="MingLiU" w:eastAsia="MingLiU" w:cs="MingLiU"/>
      <w:kern w:val="0"/>
      <w:sz w:val="18"/>
      <w:szCs w:val="18"/>
      <w:u w:val="none"/>
    </w:rPr>
  </w:style>
  <w:style w:type="character" w:customStyle="1" w:styleId="40">
    <w:name w:val="正文文本 (2) + David13"/>
    <w:basedOn w:val="38"/>
    <w:qFormat/>
    <w:uiPriority w:val="99"/>
    <w:rPr>
      <w:rFonts w:ascii="David" w:eastAsia="MingLiU" w:cs="David"/>
      <w:kern w:val="0"/>
      <w:sz w:val="22"/>
      <w:szCs w:val="22"/>
      <w:u w:val="none"/>
      <w:lang w:val="en-US" w:eastAsia="en-US" w:bidi="he-IL"/>
    </w:rPr>
  </w:style>
  <w:style w:type="character" w:customStyle="1" w:styleId="41">
    <w:name w:val="正文文本 (2) + 9 pt8"/>
    <w:basedOn w:val="38"/>
    <w:qFormat/>
    <w:uiPriority w:val="99"/>
    <w:rPr>
      <w:rFonts w:ascii="MingLiU" w:eastAsia="MingLiU" w:cs="MingLiU"/>
      <w:spacing w:val="20"/>
      <w:kern w:val="0"/>
      <w:sz w:val="18"/>
      <w:szCs w:val="18"/>
      <w:u w:val="none"/>
    </w:rPr>
  </w:style>
  <w:style w:type="character" w:customStyle="1" w:styleId="42">
    <w:name w:val="font71"/>
    <w:basedOn w:val="25"/>
    <w:qFormat/>
    <w:uiPriority w:val="0"/>
    <w:rPr>
      <w:rFonts w:hint="default" w:ascii="Times New Roman" w:hAnsi="Times New Roman" w:cs="Times New Roman"/>
      <w:color w:val="000000"/>
      <w:sz w:val="20"/>
      <w:szCs w:val="20"/>
      <w:u w:val="none"/>
    </w:rPr>
  </w:style>
  <w:style w:type="character" w:customStyle="1" w:styleId="43">
    <w:name w:val="font81"/>
    <w:basedOn w:val="25"/>
    <w:qFormat/>
    <w:uiPriority w:val="0"/>
    <w:rPr>
      <w:rFonts w:hint="eastAsia" w:ascii="宋体" w:hAnsi="宋体" w:eastAsia="宋体" w:cs="宋体"/>
      <w:color w:val="000000"/>
      <w:sz w:val="20"/>
      <w:szCs w:val="20"/>
      <w:u w:val="none"/>
    </w:rPr>
  </w:style>
  <w:style w:type="character" w:customStyle="1" w:styleId="44">
    <w:name w:val="font91"/>
    <w:basedOn w:val="25"/>
    <w:qFormat/>
    <w:uiPriority w:val="0"/>
    <w:rPr>
      <w:rFonts w:hint="default" w:ascii="Times New Roman" w:hAnsi="Times New Roman" w:cs="Times New Roman"/>
      <w:color w:val="000000"/>
      <w:sz w:val="20"/>
      <w:szCs w:val="20"/>
      <w:u w:val="none"/>
      <w:vertAlign w:val="superscript"/>
    </w:rPr>
  </w:style>
  <w:style w:type="character" w:customStyle="1" w:styleId="45">
    <w:name w:val="font51"/>
    <w:basedOn w:val="25"/>
    <w:qFormat/>
    <w:uiPriority w:val="0"/>
    <w:rPr>
      <w:rFonts w:hint="eastAsia" w:ascii="宋体" w:hAnsi="宋体" w:eastAsia="宋体" w:cs="宋体"/>
      <w:color w:val="000000"/>
      <w:sz w:val="21"/>
      <w:szCs w:val="21"/>
      <w:u w:val="none"/>
    </w:rPr>
  </w:style>
  <w:style w:type="character" w:customStyle="1" w:styleId="46">
    <w:name w:val="font61"/>
    <w:basedOn w:val="25"/>
    <w:qFormat/>
    <w:uiPriority w:val="0"/>
    <w:rPr>
      <w:rFonts w:hint="eastAsia" w:ascii="宋体" w:hAnsi="宋体" w:eastAsia="宋体" w:cs="宋体"/>
      <w:b/>
      <w:color w:val="000000"/>
      <w:sz w:val="21"/>
      <w:szCs w:val="21"/>
      <w:u w:val="none"/>
    </w:rPr>
  </w:style>
  <w:style w:type="paragraph" w:customStyle="1" w:styleId="47">
    <w:name w:val="2图表内容"/>
    <w:basedOn w:val="1"/>
    <w:qFormat/>
    <w:uiPriority w:val="0"/>
    <w:pPr>
      <w:jc w:val="center"/>
    </w:pPr>
  </w:style>
  <w:style w:type="character" w:customStyle="1" w:styleId="48">
    <w:name w:val="font101"/>
    <w:basedOn w:val="25"/>
    <w:qFormat/>
    <w:uiPriority w:val="0"/>
    <w:rPr>
      <w:rFonts w:hint="eastAsia" w:ascii="宋体" w:hAnsi="宋体" w:eastAsia="宋体" w:cs="宋体"/>
      <w:color w:val="000000"/>
      <w:sz w:val="18"/>
      <w:szCs w:val="18"/>
      <w:u w:val="none"/>
    </w:rPr>
  </w:style>
  <w:style w:type="character" w:customStyle="1" w:styleId="49">
    <w:name w:val="font111"/>
    <w:basedOn w:val="25"/>
    <w:qFormat/>
    <w:uiPriority w:val="0"/>
    <w:rPr>
      <w:rFonts w:ascii="Arial" w:hAnsi="Arial" w:cs="Arial"/>
      <w:color w:val="000000"/>
      <w:sz w:val="18"/>
      <w:szCs w:val="18"/>
      <w:u w:val="none"/>
    </w:rPr>
  </w:style>
  <w:style w:type="character" w:customStyle="1" w:styleId="50">
    <w:name w:val="文档结构图 字符"/>
    <w:basedOn w:val="25"/>
    <w:link w:val="7"/>
    <w:qFormat/>
    <w:uiPriority w:val="0"/>
    <w:rPr>
      <w:rFonts w:ascii="宋体" w:hAnsiTheme="minorHAnsi" w:cstheme="minorBidi"/>
      <w:kern w:val="2"/>
      <w:sz w:val="18"/>
      <w:szCs w:val="18"/>
    </w:rPr>
  </w:style>
  <w:style w:type="character" w:customStyle="1" w:styleId="51">
    <w:name w:val="批注框文本 字符"/>
    <w:basedOn w:val="25"/>
    <w:link w:val="16"/>
    <w:qFormat/>
    <w:uiPriority w:val="0"/>
    <w:rPr>
      <w:rFonts w:asciiTheme="minorHAnsi" w:hAnsiTheme="minorHAnsi" w:eastAsiaTheme="minorEastAsia" w:cstheme="minorBidi"/>
      <w:kern w:val="2"/>
      <w:sz w:val="18"/>
      <w:szCs w:val="18"/>
    </w:rPr>
  </w:style>
  <w:style w:type="paragraph" w:customStyle="1" w:styleId="52">
    <w:name w:val="表格"/>
    <w:qFormat/>
    <w:uiPriority w:val="0"/>
    <w:pPr>
      <w:snapToGrid w:val="0"/>
      <w:jc w:val="center"/>
    </w:pPr>
    <w:rPr>
      <w:rFonts w:hint="eastAsia" w:ascii="Times New Roman" w:hAnsi="Times New Roman" w:eastAsia="宋体" w:cs="Times New Roman"/>
      <w:sz w:val="21"/>
      <w:lang w:val="en-US" w:eastAsia="zh-CN" w:bidi="ar-SA"/>
    </w:rPr>
  </w:style>
  <w:style w:type="paragraph" w:customStyle="1" w:styleId="53">
    <w:name w:val="报告正文"/>
    <w:basedOn w:val="1"/>
    <w:qFormat/>
    <w:uiPriority w:val="0"/>
    <w:pPr>
      <w:spacing w:line="360" w:lineRule="auto"/>
      <w:ind w:firstLine="480" w:firstLineChars="200"/>
    </w:pPr>
    <w:rPr>
      <w:rFonts w:ascii="宋体" w:hAnsi="宋体" w:eastAsia="宋体"/>
      <w:sz w:val="28"/>
      <w:szCs w:val="24"/>
    </w:rPr>
  </w:style>
  <w:style w:type="paragraph" w:customStyle="1" w:styleId="54">
    <w:name w:val="5正文"/>
    <w:basedOn w:val="1"/>
    <w:qFormat/>
    <w:uiPriority w:val="0"/>
    <w:pPr>
      <w:spacing w:line="360" w:lineRule="auto"/>
    </w:pPr>
    <w:rPr>
      <w:rFonts w:ascii="仿宋_GB2312" w:hAnsi="宋体"/>
      <w:bCs/>
      <w:szCs w:val="24"/>
    </w:rPr>
  </w:style>
  <w:style w:type="paragraph" w:customStyle="1" w:styleId="55">
    <w:name w:val="1图表名称"/>
    <w:basedOn w:val="1"/>
    <w:qFormat/>
    <w:uiPriority w:val="0"/>
    <w:pPr>
      <w:widowControl/>
      <w:jc w:val="center"/>
    </w:pPr>
    <w:rPr>
      <w:b/>
      <w:bCs/>
      <w:kern w:val="0"/>
    </w:rPr>
  </w:style>
  <w:style w:type="paragraph" w:customStyle="1" w:styleId="56">
    <w:name w:val="1图表内容"/>
    <w:basedOn w:val="1"/>
    <w:qFormat/>
    <w:uiPriority w:val="0"/>
    <w:pPr>
      <w:widowControl/>
      <w:jc w:val="center"/>
    </w:pPr>
    <w:rPr>
      <w:kern w:val="28"/>
    </w:rPr>
  </w:style>
  <w:style w:type="paragraph" w:customStyle="1" w:styleId="57">
    <w:name w:val="评价报告正文"/>
    <w:basedOn w:val="1"/>
    <w:qFormat/>
    <w:uiPriority w:val="0"/>
    <w:pPr>
      <w:spacing w:line="360" w:lineRule="auto"/>
      <w:ind w:firstLine="560"/>
    </w:pPr>
    <w:rPr>
      <w:sz w:val="28"/>
      <w:szCs w:val="28"/>
    </w:rPr>
  </w:style>
  <w:style w:type="paragraph" w:customStyle="1" w:styleId="58">
    <w:name w:val="1 正文"/>
    <w:basedOn w:val="1"/>
    <w:next w:val="54"/>
    <w:qFormat/>
    <w:uiPriority w:val="0"/>
    <w:pPr>
      <w:tabs>
        <w:tab w:val="left" w:pos="3514"/>
      </w:tabs>
      <w:adjustRightInd w:val="0"/>
      <w:snapToGrid w:val="0"/>
      <w:spacing w:line="500" w:lineRule="exact"/>
      <w:ind w:firstLine="200" w:firstLineChars="200"/>
    </w:pPr>
    <w:rPr>
      <w:rFonts w:eastAsia="宋体"/>
      <w:sz w:val="24"/>
    </w:rPr>
  </w:style>
  <w:style w:type="paragraph" w:customStyle="1" w:styleId="59">
    <w:name w:val="正文（首行缩进两字）"/>
    <w:basedOn w:val="1"/>
    <w:qFormat/>
    <w:uiPriority w:val="0"/>
    <w:pPr>
      <w:spacing w:line="360" w:lineRule="auto"/>
    </w:pPr>
  </w:style>
  <w:style w:type="character" w:customStyle="1" w:styleId="60">
    <w:name w:val="样式 正文 +"/>
    <w:qFormat/>
    <w:uiPriority w:val="0"/>
    <w:rPr>
      <w:rFonts w:ascii="Tahoma" w:hAnsi="Tahoma" w:eastAsia="仿宋_GB2312"/>
      <w:bCs/>
      <w:kern w:val="2"/>
      <w:sz w:val="28"/>
      <w:szCs w:val="28"/>
      <w:lang w:val="en-US" w:eastAsia="zh-CN" w:bidi="ar-SA"/>
    </w:rPr>
  </w:style>
  <w:style w:type="paragraph" w:customStyle="1" w:styleId="6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2">
    <w:name w:val="编号（1）"/>
    <w:basedOn w:val="1"/>
    <w:qFormat/>
    <w:uiPriority w:val="0"/>
    <w:pPr>
      <w:numPr>
        <w:ilvl w:val="0"/>
        <w:numId w:val="1"/>
      </w:numPr>
      <w:ind w:firstLine="480" w:firstLineChars="200"/>
    </w:pPr>
    <w:rPr>
      <w:rFonts w:hint="eastAsia" w:eastAsia="宋体" w:cs="宋体"/>
      <w:sz w:val="24"/>
    </w:rPr>
  </w:style>
  <w:style w:type="character" w:customStyle="1" w:styleId="63">
    <w:name w:val="font121"/>
    <w:basedOn w:val="25"/>
    <w:qFormat/>
    <w:uiPriority w:val="0"/>
    <w:rPr>
      <w:rFonts w:hint="default" w:ascii="Times New Roman" w:hAnsi="Times New Roman" w:cs="Times New Roman"/>
      <w:color w:val="FF0000"/>
      <w:sz w:val="21"/>
      <w:szCs w:val="21"/>
      <w:u w:val="none"/>
      <w:vertAlign w:val="superscript"/>
    </w:rPr>
  </w:style>
  <w:style w:type="character" w:customStyle="1" w:styleId="64">
    <w:name w:val="font131"/>
    <w:basedOn w:val="25"/>
    <w:qFormat/>
    <w:uiPriority w:val="0"/>
    <w:rPr>
      <w:rFonts w:hint="default" w:ascii="Times New Roman" w:hAnsi="Times New Roman" w:cs="Times New Roman"/>
      <w:color w:val="000000"/>
      <w:sz w:val="21"/>
      <w:szCs w:val="21"/>
      <w:u w:val="none"/>
      <w:vertAlign w:val="superscript"/>
    </w:rPr>
  </w:style>
  <w:style w:type="character" w:customStyle="1" w:styleId="65">
    <w:name w:val="批注文字 字符"/>
    <w:basedOn w:val="25"/>
    <w:link w:val="8"/>
    <w:qFormat/>
    <w:uiPriority w:val="0"/>
    <w:rPr>
      <w:rFonts w:asciiTheme="minorHAnsi" w:hAnsiTheme="minorHAnsi" w:eastAsiaTheme="minorEastAsia" w:cstheme="minorBidi"/>
      <w:kern w:val="2"/>
      <w:sz w:val="21"/>
      <w:szCs w:val="21"/>
    </w:rPr>
  </w:style>
  <w:style w:type="character" w:customStyle="1" w:styleId="66">
    <w:name w:val="批注主题 字符"/>
    <w:basedOn w:val="65"/>
    <w:link w:val="21"/>
    <w:qFormat/>
    <w:uiPriority w:val="0"/>
    <w:rPr>
      <w:rFonts w:asciiTheme="minorHAnsi" w:hAnsiTheme="minorHAnsi" w:eastAsiaTheme="minorEastAsia" w:cstheme="minorBidi"/>
      <w:b/>
      <w:bCs/>
      <w:kern w:val="2"/>
      <w:sz w:val="21"/>
      <w:szCs w:val="21"/>
    </w:rPr>
  </w:style>
  <w:style w:type="paragraph" w:customStyle="1" w:styleId="67">
    <w:name w:val="正文文字缩进"/>
    <w:basedOn w:val="1"/>
    <w:qFormat/>
    <w:uiPriority w:val="0"/>
    <w:pPr>
      <w:widowControl/>
      <w:spacing w:line="640" w:lineRule="atLeast"/>
      <w:ind w:firstLine="566"/>
      <w:jc w:val="left"/>
      <w:textAlignment w:val="baseline"/>
    </w:pPr>
    <w:rPr>
      <w:rFonts w:eastAsia="宋体"/>
      <w:color w:val="000000"/>
      <w:kern w:val="0"/>
    </w:rPr>
  </w:style>
  <w:style w:type="paragraph" w:styleId="68">
    <w:name w:val="List Paragraph"/>
    <w:basedOn w:val="1"/>
    <w:qFormat/>
    <w:uiPriority w:val="1"/>
    <w:pPr>
      <w:ind w:firstLine="420"/>
    </w:pPr>
  </w:style>
  <w:style w:type="paragraph" w:customStyle="1" w:styleId="69">
    <w:name w:val="Table Paragraph"/>
    <w:basedOn w:val="1"/>
    <w:qFormat/>
    <w:uiPriority w:val="1"/>
    <w:pPr>
      <w:autoSpaceDE w:val="0"/>
      <w:autoSpaceDN w:val="0"/>
      <w:adjustRightInd w:val="0"/>
      <w:jc w:val="left"/>
    </w:pPr>
    <w:rPr>
      <w:rFonts w:eastAsia="宋体"/>
      <w:kern w:val="0"/>
      <w:sz w:val="24"/>
      <w:szCs w:val="24"/>
    </w:rPr>
  </w:style>
  <w:style w:type="paragraph" w:customStyle="1" w:styleId="70">
    <w:name w:val="正文3"/>
    <w:qFormat/>
    <w:uiPriority w:val="0"/>
    <w:pPr>
      <w:spacing w:line="360" w:lineRule="auto"/>
    </w:pPr>
    <w:rPr>
      <w:rFonts w:ascii="Times New Roman" w:hAnsi="Times New Roman" w:eastAsia="宋体" w:cs="Times New Roman"/>
      <w:sz w:val="24"/>
      <w:lang w:val="en-US" w:eastAsia="zh-CN" w:bidi="ar-SA"/>
    </w:rPr>
  </w:style>
  <w:style w:type="paragraph" w:customStyle="1" w:styleId="71">
    <w:name w:val="正文 缩进2字符"/>
    <w:basedOn w:val="1"/>
    <w:qFormat/>
    <w:uiPriority w:val="0"/>
    <w:pPr>
      <w:spacing w:line="500" w:lineRule="exact"/>
      <w:ind w:firstLine="200" w:firstLineChars="200"/>
    </w:pPr>
    <w:rPr>
      <w:rFonts w:cstheme="minorBidi"/>
      <w:szCs w:val="22"/>
    </w:rPr>
  </w:style>
  <w:style w:type="paragraph" w:customStyle="1" w:styleId="72">
    <w:name w:val="图表标题"/>
    <w:basedOn w:val="1"/>
    <w:qFormat/>
    <w:uiPriority w:val="0"/>
    <w:pPr>
      <w:ind w:firstLine="0" w:firstLineChars="0"/>
      <w:jc w:val="center"/>
    </w:pPr>
    <w:rPr>
      <w:rFonts w:ascii="Times New Roman" w:hAnsi="Times New Roman"/>
      <w:b/>
      <w:sz w:val="21"/>
      <w:szCs w:val="22"/>
    </w:rPr>
  </w:style>
  <w:style w:type="paragraph" w:customStyle="1" w:styleId="73">
    <w:name w:val="图表正文"/>
    <w:basedOn w:val="1"/>
    <w:qFormat/>
    <w:uiPriority w:val="0"/>
    <w:pPr>
      <w:spacing w:line="240" w:lineRule="atLeast"/>
      <w:ind w:firstLine="0" w:firstLineChars="0"/>
      <w:jc w:val="center"/>
    </w:pPr>
    <w:rPr>
      <w:rFonts w:ascii="Times New Roman" w:hAnsi="Times New Roman" w:eastAsia="宋体"/>
      <w:kern w:val="2"/>
      <w:sz w:val="21"/>
      <w:szCs w:val="22"/>
    </w:rPr>
  </w:style>
  <w:style w:type="paragraph" w:customStyle="1" w:styleId="74">
    <w:name w:val="4正文"/>
    <w:basedOn w:val="1"/>
    <w:qFormat/>
    <w:uiPriority w:val="0"/>
    <w:pPr>
      <w:widowControl/>
      <w:ind w:firstLine="200" w:firstLineChars="200"/>
    </w:pPr>
    <w:rPr>
      <w:kern w:val="0"/>
      <w:szCs w:val="24"/>
      <w:lang w:val="zh-CN"/>
    </w:rPr>
  </w:style>
  <w:style w:type="character" w:customStyle="1" w:styleId="75">
    <w:name w:val="fontstyle01"/>
    <w:basedOn w:val="25"/>
    <w:qFormat/>
    <w:uiPriority w:val="0"/>
    <w:rPr>
      <w:rFonts w:hint="eastAsia" w:ascii="宋体" w:hAnsi="宋体" w:eastAsia="宋体"/>
      <w:color w:val="000000"/>
      <w:sz w:val="24"/>
      <w:szCs w:val="24"/>
    </w:rPr>
  </w:style>
  <w:style w:type="table" w:customStyle="1" w:styleId="76">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77">
    <w:name w:val="XY-正文"/>
    <w:basedOn w:val="1"/>
    <w:qFormat/>
    <w:uiPriority w:val="0"/>
    <w:pPr>
      <w:spacing w:line="360" w:lineRule="auto"/>
      <w:ind w:firstLine="200" w:firstLineChars="200"/>
    </w:pPr>
    <w:rPr>
      <w:rFonts w:ascii="仿宋" w:hAnsi="仿宋" w:cs="Times New Roman"/>
      <w:color w:val="000000"/>
      <w:sz w:val="28"/>
      <w:szCs w:val="24"/>
      <w:lang w:val="zh-CN"/>
    </w:rPr>
  </w:style>
  <w:style w:type="paragraph" w:customStyle="1" w:styleId="78">
    <w:name w:val="XY-表内文字"/>
    <w:basedOn w:val="77"/>
    <w:next w:val="77"/>
    <w:qFormat/>
    <w:uiPriority w:val="0"/>
    <w:pPr>
      <w:spacing w:line="240" w:lineRule="auto"/>
      <w:ind w:firstLine="0" w:firstLineChars="0"/>
      <w:jc w:val="left"/>
    </w:pPr>
    <w:rPr>
      <w:rFonts w:ascii="宋体"/>
      <w:sz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44849A-3DDB-401C-A49C-0760DEA877D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120</Pages>
  <Words>2334</Words>
  <Characters>2465</Characters>
  <Lines>608</Lines>
  <Paragraphs>171</Paragraphs>
  <TotalTime>37</TotalTime>
  <ScaleCrop>false</ScaleCrop>
  <LinksUpToDate>false</LinksUpToDate>
  <CharactersWithSpaces>2611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2022-09-30T08:50:00Z</dcterms:created>
  <dc:creator>HuangYong</dc:creator>
  <cp:lastModifiedBy>Liuliu</cp:lastModifiedBy>
  <dcterms:modified xsi:type="dcterms:W3CDTF">2025-11-03T01:25:12Z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9C8416B1170146499B8D7B131F5A2777_13</vt:lpwstr>
  </property>
  <property fmtid="{D5CDD505-2E9C-101B-9397-08002B2CF9AE}" pid="4" name="KSOTemplateDocerSaveRecord">
    <vt:lpwstr>eyJoZGlkIjoiYmYyMTkwMTk1NWMzMGJlOGQ0Y2ZiMTBlMzQ2ZTZiOGUiLCJ1c2VySWQiOiI0Nzc2Mzg2NDEifQ==</vt:lpwstr>
  </property>
</Properties>
</file>