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8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rPr>
        <w:t>号</w:t>
      </w:r>
    </w:p>
    <w:p>
      <w:pPr>
        <w:pStyle w:val="3"/>
        <w:pageBreakBefore w:val="0"/>
        <w:widowControl w:val="0"/>
        <w:kinsoku/>
        <w:wordWrap/>
        <w:overflowPunct/>
        <w:topLinePunct w:val="0"/>
        <w:autoSpaceDE/>
        <w:autoSpaceDN/>
        <w:bidi w:val="0"/>
        <w:adjustRightInd/>
        <w:snapToGrid/>
        <w:spacing w:beforeLines="0" w:afterLines="0" w:line="50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p>
      <w:pPr>
        <w:keepNext w:val="0"/>
        <w:keepLines w:val="0"/>
        <w:pageBreakBefore w:val="0"/>
        <w:kinsoku/>
        <w:autoSpaceDE/>
        <w:autoSpaceDN/>
        <w:bidi w:val="0"/>
        <w:spacing w:line="600" w:lineRule="exact"/>
        <w:jc w:val="center"/>
        <w:textAlignment w:val="auto"/>
        <w:rPr>
          <w:rFonts w:eastAsia="方正小标宋简体"/>
          <w:sz w:val="44"/>
          <w:szCs w:val="44"/>
        </w:rPr>
      </w:pPr>
      <w:r>
        <w:rPr>
          <w:rFonts w:eastAsia="方正小标宋简体"/>
          <w:sz w:val="44"/>
          <w:szCs w:val="44"/>
        </w:rPr>
        <w:t>遂宁市大英生态环境局</w:t>
      </w:r>
    </w:p>
    <w:p>
      <w:pPr>
        <w:keepNext w:val="0"/>
        <w:keepLines w:val="0"/>
        <w:pageBreakBefore w:val="0"/>
        <w:kinsoku/>
        <w:wordWrap w:val="0"/>
        <w:overflowPunct w:val="0"/>
        <w:autoSpaceDE/>
        <w:autoSpaceDN/>
        <w:bidi w:val="0"/>
        <w:adjustRightInd w:val="0"/>
        <w:snapToGrid w:val="0"/>
        <w:spacing w:line="600" w:lineRule="exact"/>
        <w:jc w:val="center"/>
        <w:textAlignment w:val="auto"/>
        <w:rPr>
          <w:rFonts w:hint="eastAsia" w:eastAsia="方正小标宋简体"/>
          <w:kern w:val="0"/>
          <w:sz w:val="44"/>
          <w:szCs w:val="44"/>
        </w:rPr>
      </w:pPr>
      <w:r>
        <w:rPr>
          <w:rFonts w:hint="eastAsia" w:eastAsia="方正小标宋简体"/>
          <w:kern w:val="0"/>
          <w:sz w:val="44"/>
          <w:szCs w:val="44"/>
        </w:rPr>
        <w:t>关于原料粉碎、废丝回收综合利用项目</w:t>
      </w:r>
    </w:p>
    <w:p>
      <w:pPr>
        <w:keepNext w:val="0"/>
        <w:keepLines w:val="0"/>
        <w:pageBreakBefore w:val="0"/>
        <w:kinsoku/>
        <w:wordWrap w:val="0"/>
        <w:overflowPunct w:val="0"/>
        <w:autoSpaceDE/>
        <w:autoSpaceDN/>
        <w:bidi w:val="0"/>
        <w:adjustRightInd w:val="0"/>
        <w:snapToGrid w:val="0"/>
        <w:spacing w:line="600" w:lineRule="exact"/>
        <w:jc w:val="center"/>
        <w:textAlignment w:val="auto"/>
        <w:rPr>
          <w:rFonts w:eastAsia="方正小标宋简体"/>
          <w:kern w:val="0"/>
          <w:sz w:val="44"/>
          <w:szCs w:val="44"/>
        </w:rPr>
      </w:pPr>
      <w:r>
        <w:rPr>
          <w:rFonts w:eastAsia="方正小标宋简体"/>
          <w:kern w:val="0"/>
          <w:sz w:val="44"/>
          <w:szCs w:val="44"/>
        </w:rPr>
        <w:t>环境影响报告表的批复</w:t>
      </w:r>
    </w:p>
    <w:p>
      <w:pPr>
        <w:keepNext w:val="0"/>
        <w:keepLines w:val="0"/>
        <w:pageBreakBefore w:val="0"/>
        <w:widowControl w:val="0"/>
        <w:kinsoku/>
        <w:wordWrap w:val="0"/>
        <w:overflowPunct w:val="0"/>
        <w:topLinePunct/>
        <w:autoSpaceDE/>
        <w:autoSpaceDN/>
        <w:bidi w:val="0"/>
        <w:snapToGrid w:val="0"/>
        <w:spacing w:line="600" w:lineRule="exact"/>
        <w:textAlignment w:val="auto"/>
        <w:rPr>
          <w:rFonts w:hint="eastAsia" w:ascii="仿宋" w:hAnsi="仿宋" w:eastAsia="仿宋" w:cs="仿宋"/>
          <w:sz w:val="32"/>
          <w:szCs w:val="32"/>
        </w:rPr>
      </w:pPr>
    </w:p>
    <w:p>
      <w:pPr>
        <w:keepNext w:val="0"/>
        <w:keepLines w:val="0"/>
        <w:pageBreakBefore w:val="0"/>
        <w:kinsoku/>
        <w:wordWrap w:val="0"/>
        <w:overflowPunct w:val="0"/>
        <w:topLinePunct/>
        <w:autoSpaceDE/>
        <w:autoSpaceDN/>
        <w:bidi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四川达盛源化纤有限公司：</w:t>
      </w:r>
    </w:p>
    <w:p>
      <w:pPr>
        <w:keepNext w:val="0"/>
        <w:keepLines w:val="0"/>
        <w:pageBreakBefore w:val="0"/>
        <w:kinsoku/>
        <w:wordWrap w:val="0"/>
        <w:overflowPunct w:val="0"/>
        <w:topLinePunct/>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你公司报送的《原料粉碎、废丝回收综合利用项目环境影响报告表》（以下简称《报告表》）收悉。经研究，批复如下：</w:t>
      </w:r>
    </w:p>
    <w:p>
      <w:pPr>
        <w:keepNext w:val="0"/>
        <w:keepLines w:val="0"/>
        <w:pageBreakBefore w:val="0"/>
        <w:kinsoku/>
        <w:autoSpaceDE/>
        <w:autoSpaceDN/>
        <w:bidi w:val="0"/>
        <w:adjustRightIn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一、项目概况及总体意见</w:t>
      </w:r>
    </w:p>
    <w:p>
      <w:pPr>
        <w:keepNext w:val="0"/>
        <w:keepLines w:val="0"/>
        <w:pageBreakBefore w:val="0"/>
        <w:kinsoku/>
        <w:autoSpaceDE/>
        <w:autoSpaceDN/>
        <w:bidi w:val="0"/>
        <w:adjustRightIn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项目在四川大英经济开发区你公司已建厂区5号厂房内及1号厂房北侧实施，新增1条废塑料瓶前处理线、1台色选机及1条</w:t>
      </w:r>
      <w:r>
        <w:rPr>
          <w:rFonts w:hint="default" w:ascii="Times New Roman" w:hAnsi="Times New Roman" w:eastAsia="仿宋_GB2312" w:cs="Times New Roman"/>
          <w:b w:val="0"/>
          <w:bCs w:val="0"/>
          <w:sz w:val="32"/>
          <w:szCs w:val="32"/>
        </w:rPr>
        <w:t>涤纶</w:t>
      </w:r>
      <w:r>
        <w:rPr>
          <w:rFonts w:hint="default" w:ascii="Times New Roman" w:hAnsi="Times New Roman" w:eastAsia="仿宋_GB2312" w:cs="Times New Roman"/>
          <w:sz w:val="32"/>
          <w:szCs w:val="32"/>
        </w:rPr>
        <w:t>废丝回收线，其中废塑料瓶前处理线将废塑料PET瓶加工成为瓶片（处理能力20000t/a）用于现有工程涤纶化纤制造，色选机用于替代现有工程塑料瓶片人工色选，涤纶废丝回收线将现有工程生产线不合格产品进行切丝、造粒后回用于生产（处理能力3000t/a）。</w:t>
      </w:r>
    </w:p>
    <w:p>
      <w:pPr>
        <w:keepNext w:val="0"/>
        <w:keepLines w:val="0"/>
        <w:pageBreakBefore w:val="0"/>
        <w:kinsoku/>
        <w:autoSpaceDE/>
        <w:autoSpaceDN/>
        <w:bidi w:val="0"/>
        <w:adjustRightInd w:val="0"/>
        <w:spacing w:line="600" w:lineRule="exact"/>
        <w:ind w:firstLine="640" w:firstLineChars="200"/>
        <w:textAlignment w:val="auto"/>
        <w:rPr>
          <w:rFonts w:hint="default" w:ascii="Times New Roman" w:hAnsi="Times New Roman" w:eastAsia="仿宋_GB2312" w:cs="Times New Roman"/>
          <w:sz w:val="32"/>
          <w:szCs w:val="32"/>
        </w:rPr>
        <w:sectPr>
          <w:footerReference r:id="rId3" w:type="default"/>
          <w:pgSz w:w="11906" w:h="16838"/>
          <w:pgMar w:top="2098" w:right="1474" w:bottom="1440" w:left="1587" w:header="851" w:footer="992" w:gutter="0"/>
          <w:pgBorders>
            <w:top w:val="none" w:sz="0" w:space="0"/>
            <w:left w:val="none" w:sz="0" w:space="0"/>
            <w:bottom w:val="none" w:sz="0" w:space="0"/>
            <w:right w:val="none" w:sz="0" w:space="0"/>
          </w:pgBorders>
          <w:pgNumType w:fmt="numberInDash" w:start="2"/>
          <w:cols w:space="0" w:num="1"/>
          <w:rtlGutter w:val="0"/>
          <w:docGrid w:type="lines" w:linePitch="312" w:charSpace="0"/>
        </w:sectPr>
      </w:pPr>
      <w:r>
        <w:rPr>
          <w:rFonts w:hint="default" w:ascii="Times New Roman" w:hAnsi="Times New Roman" w:eastAsia="仿宋_GB2312" w:cs="Times New Roman"/>
          <w:sz w:val="32"/>
          <w:szCs w:val="32"/>
        </w:rPr>
        <w:t>本次技改调整内容主要为原料形态和前处理工序调整，调整内容：原料从全部外购PET瓶片43000t/a调整为外购PET瓶片</w:t>
      </w:r>
    </w:p>
    <w:p>
      <w:pPr>
        <w:keepNext w:val="0"/>
        <w:keepLines w:val="0"/>
        <w:pageBreakBefore w:val="0"/>
        <w:kinsoku/>
        <w:autoSpaceDE/>
        <w:autoSpaceDN/>
        <w:bidi w:val="0"/>
        <w:adjustRightInd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20000t/a、外购废塑料PET瓶自行加工瓶片20000t/a，将原项目不合格产品（废丝3000t/a）外售调整为综合利用回用于现有工程。项目投运后全厂产品种类、规模不发生变化，最终产品仍为再生涤纶短纤维4000t/a 。项目投资200万元，其中环保投资30万元。</w:t>
      </w:r>
    </w:p>
    <w:p>
      <w:pPr>
        <w:keepNext w:val="0"/>
        <w:keepLines w:val="0"/>
        <w:pageBreakBefore w:val="0"/>
        <w:kinsoku/>
        <w:autoSpaceDE/>
        <w:autoSpaceDN/>
        <w:bidi w:val="0"/>
        <w:adjustRightIn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经大英县经济信息局备案（川投资备〔2206-510923-07-02-532455〕JXQB-0044号），属于《产业结构调整指导目录》（2019年本）中的鼓励类项目。项目在现有厂区用地范围内建设，不新增建设用地。项目已取得不动产权证，用地性质为工业用地。项目建设选址的四川大英经济开发区，已开展规划环评并取得审查意见（川环建函〔2019〕48号）。《报告表》认为该项目建设符合国家产业政策，选址符合相关规划和规划环评相关要求。</w:t>
      </w:r>
    </w:p>
    <w:p>
      <w:pPr>
        <w:keepNext w:val="0"/>
        <w:keepLines w:val="0"/>
        <w:pageBreakBefore w:val="0"/>
        <w:kinsoku/>
        <w:overflow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严格落实《报告表》提出的环保对策及措施，严格执行环境保护“三同时”制度，确保污染物达标排放，认真落实环境风险防范措施及应急预案的前提下，该项目建设从环境保护角度可行，我局原则同意《报告表》的环境影响评价总体结论和拟采取的各项生态环境保护措施。你公司应严格按照《报告表》中所列项目的建设性质、规模、工艺、地点和拟采取的环境保护措施进行建设和运行，以确保对环境的不利影响得到缓解和控制。</w:t>
      </w:r>
    </w:p>
    <w:p>
      <w:pPr>
        <w:keepNext w:val="0"/>
        <w:keepLines w:val="0"/>
        <w:pageBreakBefore w:val="0"/>
        <w:kinsoku/>
        <w:wordWrap w:val="0"/>
        <w:overflowPunct w:val="0"/>
        <w:autoSpaceDE/>
        <w:autoSpaceDN/>
        <w:bidi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二、项目建设及营运期应重点做好以下工作</w:t>
      </w:r>
    </w:p>
    <w:p>
      <w:pPr>
        <w:pStyle w:val="8"/>
        <w:keepNext w:val="0"/>
        <w:keepLines w:val="0"/>
        <w:pageBreakBefore w:val="0"/>
        <w:kinsoku/>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楷体" w:hAnsi="楷体" w:eastAsia="楷体" w:cs="楷体"/>
          <w:bCs/>
          <w:sz w:val="32"/>
          <w:szCs w:val="32"/>
        </w:rPr>
        <w:t>（一）落实施工期的各项环保措施。</w:t>
      </w:r>
      <w:r>
        <w:rPr>
          <w:rFonts w:hint="eastAsia" w:ascii="仿宋_GB2312" w:hAnsi="仿宋_GB2312" w:eastAsia="仿宋_GB2312" w:cs="仿宋_GB2312"/>
          <w:bCs/>
          <w:sz w:val="32"/>
          <w:szCs w:val="32"/>
        </w:rPr>
        <w:t>项目在你公司现有厂房内进行适应性改造和设备安装，不涉及基础开挖、土石方工程等。项目施工严格按照《报告表》要求，落实扬尘、施工废水、噪声、建筑垃圾等污染防治措施，减少对周围环境的影响。</w:t>
      </w:r>
    </w:p>
    <w:p>
      <w:pPr>
        <w:pStyle w:val="8"/>
        <w:keepNext w:val="0"/>
        <w:keepLines w:val="0"/>
        <w:pageBreakBefore w:val="0"/>
        <w:kinsoku/>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bCs/>
          <w:sz w:val="32"/>
          <w:szCs w:val="32"/>
        </w:rPr>
        <w:t>（二）严格落实“以新带老”措施。</w:t>
      </w:r>
      <w:r>
        <w:rPr>
          <w:rFonts w:hint="eastAsia" w:ascii="仿宋_GB2312" w:hAnsi="仿宋_GB2312" w:eastAsia="仿宋_GB2312" w:cs="仿宋_GB2312"/>
          <w:sz w:val="32"/>
          <w:szCs w:val="32"/>
        </w:rPr>
        <w:t>在现有工程后纺烘干设</w:t>
      </w:r>
      <w:r>
        <w:rPr>
          <w:rFonts w:hint="default" w:ascii="Times New Roman" w:hAnsi="Times New Roman" w:eastAsia="仿宋_GB2312" w:cs="Times New Roman"/>
          <w:sz w:val="32"/>
          <w:szCs w:val="32"/>
        </w:rPr>
        <w:t>备进出口设置集气罩对后纺油剂废气进行收集，通过湿式除尘+静电除尘处理达标后经15米高5#排气筒排放；</w:t>
      </w:r>
      <w:r>
        <w:rPr>
          <w:rFonts w:hint="default" w:ascii="Times New Roman" w:hAnsi="Times New Roman" w:eastAsia="仿宋_GB2312" w:cs="Times New Roman"/>
          <w:color w:val="auto"/>
          <w:sz w:val="32"/>
          <w:szCs w:val="32"/>
        </w:rPr>
        <w:t>瓶片转</w:t>
      </w:r>
      <w:r>
        <w:rPr>
          <w:rFonts w:hint="default" w:ascii="Times New Roman" w:hAnsi="Times New Roman" w:eastAsia="仿宋_GB2312" w:cs="Times New Roman"/>
          <w:sz w:val="32"/>
          <w:szCs w:val="32"/>
        </w:rPr>
        <w:t>鼓烘干工序产生的有机废气密闭收集后通过活性炭吸附处理达标后，经15米高排气筒6#排放。</w:t>
      </w:r>
    </w:p>
    <w:p>
      <w:pPr>
        <w:pStyle w:val="8"/>
        <w:keepNext w:val="0"/>
        <w:keepLines w:val="0"/>
        <w:pageBreakBefore w:val="0"/>
        <w:kinsoku/>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bCs/>
          <w:sz w:val="32"/>
          <w:szCs w:val="32"/>
        </w:rPr>
        <w:t>（三）落实废气防治措施。</w:t>
      </w:r>
      <w:r>
        <w:rPr>
          <w:rFonts w:hint="eastAsia" w:ascii="仿宋_GB2312" w:hAnsi="仿宋_GB2312" w:eastAsia="仿宋_GB2312" w:cs="仿宋_GB2312"/>
          <w:bCs/>
          <w:sz w:val="32"/>
          <w:szCs w:val="32"/>
        </w:rPr>
        <w:t>严格按照《报告表》要求，</w:t>
      </w:r>
      <w:r>
        <w:rPr>
          <w:rFonts w:hint="eastAsia" w:ascii="仿宋_GB2312" w:hAnsi="仿宋_GB2312" w:eastAsia="仿宋_GB2312" w:cs="仿宋_GB2312"/>
          <w:sz w:val="32"/>
          <w:szCs w:val="32"/>
        </w:rPr>
        <w:t>废塑</w:t>
      </w:r>
      <w:r>
        <w:rPr>
          <w:rFonts w:hint="default" w:ascii="Times New Roman" w:hAnsi="Times New Roman" w:eastAsia="仿宋_GB2312" w:cs="Times New Roman"/>
          <w:sz w:val="32"/>
          <w:szCs w:val="32"/>
        </w:rPr>
        <w:t>料瓶前处理线的破碎机出口上方设置集气罩对破碎过程产生的粉尘进行收集，经布袋除尘处理达标后经15米高3#排气筒排放；在涤纶废丝回收线的团粒机上方设置集气罩对造粒工序产生的有机废气进行收集，通过二级活性炭吸附处理达标后经15米高4#排气筒排放。</w:t>
      </w:r>
    </w:p>
    <w:p>
      <w:pPr>
        <w:pStyle w:val="8"/>
        <w:keepNext w:val="0"/>
        <w:keepLines w:val="0"/>
        <w:pageBreakBefore w:val="0"/>
        <w:kinsoku/>
        <w:autoSpaceDE/>
        <w:autoSpaceDN/>
        <w:bidi w:val="0"/>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本次项目实施后，全厂有组织废气排气筒共6根，包括现有工程的燃气锅炉排气筒（1#）、前纺工序有机废气排气筒（2#）。</w:t>
      </w:r>
    </w:p>
    <w:p>
      <w:pPr>
        <w:pStyle w:val="8"/>
        <w:keepNext w:val="0"/>
        <w:keepLines w:val="0"/>
        <w:pageBreakBefore w:val="0"/>
        <w:kinsoku/>
        <w:autoSpaceDE/>
        <w:autoSpaceDN/>
        <w:bidi w:val="0"/>
        <w:spacing w:line="600" w:lineRule="exact"/>
        <w:ind w:firstLine="640" w:firstLineChars="200"/>
        <w:textAlignment w:val="auto"/>
        <w:rPr>
          <w:rFonts w:hint="default" w:ascii="Times New Roman" w:hAnsi="Times New Roman" w:eastAsia="仿宋_GB2312" w:cs="Times New Roman"/>
          <w:bCs/>
          <w:sz w:val="32"/>
          <w:szCs w:val="32"/>
        </w:rPr>
      </w:pPr>
      <w:r>
        <w:rPr>
          <w:rFonts w:hint="eastAsia" w:ascii="楷体" w:hAnsi="楷体" w:eastAsia="楷体" w:cs="楷体"/>
          <w:bCs/>
          <w:sz w:val="32"/>
          <w:szCs w:val="32"/>
        </w:rPr>
        <w:t>（</w:t>
      </w:r>
      <w:r>
        <w:rPr>
          <w:rFonts w:hint="eastAsia" w:ascii="楷体" w:hAnsi="楷体" w:eastAsia="楷体" w:cs="楷体"/>
          <w:bCs/>
          <w:sz w:val="32"/>
          <w:szCs w:val="32"/>
          <w:lang w:val="en-US" w:eastAsia="zh-CN"/>
        </w:rPr>
        <w:t>四</w:t>
      </w:r>
      <w:r>
        <w:rPr>
          <w:rFonts w:hint="eastAsia" w:ascii="楷体" w:hAnsi="楷体" w:eastAsia="楷体" w:cs="楷体"/>
          <w:bCs/>
          <w:sz w:val="32"/>
          <w:szCs w:val="32"/>
        </w:rPr>
        <w:t>）落实废水防治措施。</w:t>
      </w:r>
      <w:r>
        <w:rPr>
          <w:rFonts w:hint="default" w:ascii="Times New Roman" w:hAnsi="Times New Roman" w:eastAsia="仿宋_GB2312" w:cs="Times New Roman"/>
          <w:bCs/>
          <w:sz w:val="32"/>
          <w:szCs w:val="32"/>
        </w:rPr>
        <w:t>严格按照《报告表》要求，确保各类废水规范化处置。生产废水经现有污水处理站处理后回用于生产，不外排。生活污水经现有预处理池处理达到</w:t>
      </w:r>
      <w:r>
        <w:rPr>
          <w:rFonts w:hint="default" w:ascii="Times New Roman" w:hAnsi="Times New Roman" w:eastAsia="仿宋_GB2312" w:cs="Times New Roman"/>
          <w:sz w:val="32"/>
          <w:szCs w:val="32"/>
        </w:rPr>
        <w:t>《污水综合排放标准》（GB8978-1996）表4三级标准</w:t>
      </w:r>
      <w:r>
        <w:rPr>
          <w:rFonts w:hint="default" w:ascii="Times New Roman" w:hAnsi="Times New Roman" w:eastAsia="仿宋_GB2312" w:cs="Times New Roman"/>
          <w:bCs/>
          <w:sz w:val="32"/>
          <w:szCs w:val="32"/>
        </w:rPr>
        <w:t>后排入园区工业污水处理厂进行处理。</w:t>
      </w:r>
    </w:p>
    <w:p>
      <w:pPr>
        <w:pStyle w:val="8"/>
        <w:keepNext w:val="0"/>
        <w:keepLines w:val="0"/>
        <w:pageBreakBefore w:val="0"/>
        <w:kinsoku/>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楷体" w:hAnsi="楷体" w:eastAsia="楷体" w:cs="楷体"/>
          <w:bCs/>
          <w:sz w:val="32"/>
          <w:szCs w:val="32"/>
        </w:rPr>
        <w:t>（</w:t>
      </w:r>
      <w:r>
        <w:rPr>
          <w:rFonts w:hint="eastAsia" w:ascii="楷体" w:hAnsi="楷体" w:eastAsia="楷体" w:cs="楷体"/>
          <w:bCs/>
          <w:sz w:val="32"/>
          <w:szCs w:val="32"/>
          <w:lang w:val="en-US" w:eastAsia="zh-CN"/>
        </w:rPr>
        <w:t>五</w:t>
      </w:r>
      <w:r>
        <w:rPr>
          <w:rFonts w:hint="eastAsia" w:ascii="楷体" w:hAnsi="楷体" w:eastAsia="楷体" w:cs="楷体"/>
          <w:bCs/>
          <w:sz w:val="32"/>
          <w:szCs w:val="32"/>
        </w:rPr>
        <w:t>）落实固废处置措施。</w:t>
      </w:r>
      <w:r>
        <w:rPr>
          <w:rFonts w:hint="eastAsia" w:ascii="仿宋_GB2312" w:hAnsi="仿宋_GB2312" w:eastAsia="仿宋_GB2312" w:cs="仿宋_GB2312"/>
          <w:bCs/>
          <w:sz w:val="32"/>
          <w:szCs w:val="32"/>
        </w:rPr>
        <w:t>严格按照《报告表》要求，分类收集各类固体废物并妥善处置。下脚料、除尘设备收集粉尘集中收集暂存，交由环卫部门处理；现有工程不合格废丝经本期工程涤纶废丝回收线处理后回用于生产；废油泥、废活性炭属于危险废物，分类暂存于危险废物暂存间，定期交由有资质单位处置，转移过程严格落实《危险废物转移管理办法》要求。</w:t>
      </w:r>
    </w:p>
    <w:p>
      <w:pPr>
        <w:pStyle w:val="8"/>
        <w:keepNext w:val="0"/>
        <w:keepLines w:val="0"/>
        <w:pageBreakBefore w:val="0"/>
        <w:kinsoku/>
        <w:autoSpaceDE/>
        <w:autoSpaceDN/>
        <w:bidi w:val="0"/>
        <w:spacing w:line="600" w:lineRule="exact"/>
        <w:ind w:firstLine="640" w:firstLineChars="200"/>
        <w:textAlignment w:val="auto"/>
        <w:rPr>
          <w:rFonts w:hint="default" w:ascii="Times New Roman" w:hAnsi="Times New Roman" w:eastAsia="仿宋_GB2312" w:cs="Times New Roman"/>
          <w:bCs/>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六</w:t>
      </w:r>
      <w:r>
        <w:rPr>
          <w:rFonts w:hint="eastAsia" w:ascii="楷体" w:hAnsi="楷体" w:eastAsia="楷体" w:cs="楷体"/>
          <w:sz w:val="32"/>
          <w:szCs w:val="32"/>
        </w:rPr>
        <w:t>）落实噪声污染防治措施。</w:t>
      </w:r>
      <w:r>
        <w:rPr>
          <w:rFonts w:hint="default" w:ascii="Times New Roman" w:hAnsi="Times New Roman" w:eastAsia="仿宋_GB2312" w:cs="Times New Roman"/>
          <w:bCs/>
          <w:sz w:val="32"/>
          <w:szCs w:val="32"/>
        </w:rPr>
        <w:t>项目生产车间应合理布局，选用低噪声设备，通过采取厂房隔声、基础减振、消声、合理安排高噪声设备工作时间等措施，确保满足厂界噪声《工业企业厂界环境噪声排放标准》（GB12348-2008）中的3类声环境功能区排放限值的要求。</w:t>
      </w:r>
    </w:p>
    <w:p>
      <w:pPr>
        <w:pStyle w:val="8"/>
        <w:keepNext w:val="0"/>
        <w:keepLines w:val="0"/>
        <w:pageBreakBefore w:val="0"/>
        <w:kinsoku/>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七</w:t>
      </w:r>
      <w:r>
        <w:rPr>
          <w:rFonts w:hint="eastAsia" w:ascii="楷体" w:hAnsi="楷体" w:eastAsia="楷体" w:cs="楷体"/>
          <w:sz w:val="32"/>
          <w:szCs w:val="32"/>
        </w:rPr>
        <w:t>）落实地下水、土壤污染防治措施。</w:t>
      </w:r>
      <w:r>
        <w:rPr>
          <w:rFonts w:hint="eastAsia" w:ascii="仿宋_GB2312" w:hAnsi="仿宋_GB2312" w:eastAsia="仿宋_GB2312" w:cs="仿宋_GB2312"/>
          <w:bCs/>
          <w:sz w:val="32"/>
          <w:szCs w:val="32"/>
        </w:rPr>
        <w:t>严格按照《报告表》要求，</w:t>
      </w:r>
      <w:r>
        <w:rPr>
          <w:rFonts w:hint="eastAsia" w:ascii="仿宋_GB2312" w:hAnsi="仿宋_GB2312" w:eastAsia="仿宋_GB2312" w:cs="仿宋_GB2312"/>
          <w:sz w:val="32"/>
          <w:szCs w:val="32"/>
        </w:rPr>
        <w:t>油类物质采用专柜存放，存储场所与危废暂存间</w:t>
      </w:r>
      <w:r>
        <w:rPr>
          <w:rFonts w:hint="eastAsia" w:ascii="仿宋_GB2312" w:hAnsi="仿宋_GB2312" w:eastAsia="仿宋_GB2312" w:cs="仿宋_GB2312"/>
          <w:bCs/>
          <w:sz w:val="32"/>
          <w:szCs w:val="32"/>
        </w:rPr>
        <w:t>进行重点防渗，并</w:t>
      </w:r>
      <w:r>
        <w:rPr>
          <w:rFonts w:hint="eastAsia" w:ascii="仿宋_GB2312" w:hAnsi="仿宋_GB2312" w:eastAsia="仿宋_GB2312" w:cs="仿宋_GB2312"/>
          <w:sz w:val="32"/>
          <w:szCs w:val="32"/>
        </w:rPr>
        <w:t>设置托盘、围堰、收集池等紧急收集措施，确保油类物质及危险废物泄漏不会污染地下水和土壤。其他生产及办公区为简单防渗区。</w:t>
      </w:r>
    </w:p>
    <w:p>
      <w:pPr>
        <w:pStyle w:val="8"/>
        <w:keepNext w:val="0"/>
        <w:keepLines w:val="0"/>
        <w:pageBreakBefore w:val="0"/>
        <w:kinsoku/>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八</w:t>
      </w:r>
      <w:bookmarkStart w:id="0" w:name="_GoBack"/>
      <w:bookmarkEnd w:id="0"/>
      <w:r>
        <w:rPr>
          <w:rFonts w:hint="eastAsia" w:ascii="楷体" w:hAnsi="楷体" w:eastAsia="楷体" w:cs="楷体"/>
          <w:sz w:val="32"/>
          <w:szCs w:val="32"/>
        </w:rPr>
        <w:t>）落实环境风险防范措施。</w:t>
      </w:r>
      <w:r>
        <w:rPr>
          <w:rFonts w:hint="eastAsia" w:ascii="仿宋_GB2312" w:hAnsi="仿宋_GB2312" w:eastAsia="仿宋_GB2312" w:cs="仿宋_GB2312"/>
          <w:bCs/>
          <w:sz w:val="32"/>
          <w:szCs w:val="32"/>
        </w:rPr>
        <w:t>严格落实《报告表》提出的风险防范措施，制定并不断完善突发环境事件应急预案，规范内部管理，严格操作规范，定期开展自行监测，防止污染事故的发生。</w:t>
      </w:r>
    </w:p>
    <w:p>
      <w:pPr>
        <w:pStyle w:val="8"/>
        <w:keepNext w:val="0"/>
        <w:keepLines w:val="0"/>
        <w:pageBreakBefore w:val="0"/>
        <w:kinsoku/>
        <w:autoSpaceDE/>
        <w:autoSpaceDN/>
        <w:bidi w:val="0"/>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三、</w:t>
      </w:r>
      <w:r>
        <w:rPr>
          <w:rFonts w:hint="eastAsia" w:ascii="黑体" w:hAnsi="黑体" w:eastAsia="黑体" w:cs="黑体"/>
          <w:sz w:val="32"/>
          <w:szCs w:val="32"/>
        </w:rPr>
        <w:t>污染物排放总量</w:t>
      </w:r>
    </w:p>
    <w:p>
      <w:pPr>
        <w:pStyle w:val="8"/>
        <w:keepNext w:val="0"/>
        <w:keepLines w:val="0"/>
        <w:pageBreakBefore w:val="0"/>
        <w:kinsoku/>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sz w:val="32"/>
          <w:szCs w:val="32"/>
        </w:rPr>
        <w:t>根据项目环评报告预测，项目实施后全厂污染物总量分别为：大气污染物排放</w:t>
      </w:r>
      <w:r>
        <w:rPr>
          <w:rFonts w:hint="default" w:ascii="Times New Roman" w:hAnsi="Times New Roman" w:eastAsia="仿宋_GB2312" w:cs="Times New Roman"/>
          <w:color w:val="000000"/>
          <w:sz w:val="32"/>
          <w:szCs w:val="32"/>
        </w:rPr>
        <w:t>VOC</w:t>
      </w:r>
      <w:r>
        <w:rPr>
          <w:rFonts w:hint="default" w:ascii="Times New Roman" w:hAnsi="Times New Roman" w:eastAsia="仿宋_GB2312" w:cs="Times New Roman"/>
          <w:color w:val="000000"/>
          <w:sz w:val="32"/>
          <w:szCs w:val="32"/>
          <w:vertAlign w:val="subscript"/>
        </w:rPr>
        <w:t>s</w:t>
      </w:r>
      <w:r>
        <w:rPr>
          <w:rFonts w:hint="default" w:ascii="Times New Roman" w:hAnsi="Times New Roman" w:eastAsia="仿宋_GB2312" w:cs="Times New Roman"/>
          <w:sz w:val="32"/>
          <w:szCs w:val="32"/>
        </w:rPr>
        <w:t>0.384</w:t>
      </w:r>
      <w:r>
        <w:rPr>
          <w:rFonts w:hint="default" w:ascii="Times New Roman" w:hAnsi="Times New Roman" w:eastAsia="仿宋_GB2312" w:cs="Times New Roman"/>
          <w:bCs/>
          <w:sz w:val="32"/>
          <w:szCs w:val="32"/>
        </w:rPr>
        <w:t>t</w:t>
      </w:r>
      <w:r>
        <w:rPr>
          <w:rFonts w:hint="default" w:ascii="Times New Roman" w:hAnsi="Times New Roman" w:eastAsia="仿宋_GB2312" w:cs="Times New Roman"/>
          <w:color w:val="000000"/>
          <w:sz w:val="32"/>
          <w:szCs w:val="32"/>
        </w:rPr>
        <w:t>/a、</w:t>
      </w:r>
      <w:r>
        <w:rPr>
          <w:rFonts w:hint="default" w:ascii="Times New Roman" w:hAnsi="Times New Roman" w:eastAsia="仿宋_GB2312" w:cs="Times New Roman"/>
          <w:sz w:val="32"/>
          <w:szCs w:val="32"/>
        </w:rPr>
        <w:t>氮氧化物</w:t>
      </w:r>
      <w:r>
        <w:rPr>
          <w:rFonts w:hint="default" w:ascii="Times New Roman" w:hAnsi="Times New Roman" w:eastAsia="仿宋_GB2312" w:cs="Times New Roman"/>
          <w:sz w:val="32"/>
          <w:szCs w:val="32"/>
          <w:lang w:val="en-US" w:eastAsia="zh-CN"/>
        </w:rPr>
        <w:t>2.066</w:t>
      </w:r>
      <w:r>
        <w:rPr>
          <w:rFonts w:hint="default" w:ascii="Times New Roman" w:hAnsi="Times New Roman" w:eastAsia="仿宋_GB2312" w:cs="Times New Roman"/>
          <w:sz w:val="32"/>
          <w:szCs w:val="32"/>
        </w:rPr>
        <w:t>t/a、二氧化硫0.605t/a、颗粒物0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328</w:t>
      </w:r>
      <w:r>
        <w:rPr>
          <w:rFonts w:hint="default" w:ascii="Times New Roman" w:hAnsi="Times New Roman" w:eastAsia="仿宋_GB2312" w:cs="Times New Roman"/>
          <w:color w:val="auto"/>
          <w:sz w:val="32"/>
          <w:szCs w:val="32"/>
        </w:rPr>
        <w:t>t/a；</w:t>
      </w:r>
      <w:r>
        <w:rPr>
          <w:rFonts w:hint="default" w:ascii="Times New Roman" w:hAnsi="Times New Roman" w:eastAsia="仿宋_GB2312" w:cs="Times New Roman"/>
          <w:bCs/>
          <w:color w:val="auto"/>
          <w:sz w:val="32"/>
          <w:szCs w:val="32"/>
        </w:rPr>
        <w:t>水污染物CODcr0.259t/a、氨氮</w:t>
      </w:r>
      <w:r>
        <w:rPr>
          <w:rFonts w:hint="default" w:ascii="Times New Roman" w:hAnsi="Times New Roman" w:eastAsia="仿宋_GB2312" w:cs="Times New Roman"/>
          <w:color w:val="auto"/>
          <w:sz w:val="32"/>
          <w:szCs w:val="32"/>
        </w:rPr>
        <w:t>0.026t/a（工业污水处理厂外排郪江）。其中，本次项目新增大气污染物总量VOC</w:t>
      </w:r>
      <w:r>
        <w:rPr>
          <w:rFonts w:hint="default" w:ascii="Times New Roman" w:hAnsi="Times New Roman" w:eastAsia="仿宋_GB2312" w:cs="Times New Roman"/>
          <w:color w:val="auto"/>
          <w:sz w:val="32"/>
          <w:szCs w:val="32"/>
          <w:vertAlign w:val="subscript"/>
        </w:rPr>
        <w:t>s</w:t>
      </w:r>
      <w:r>
        <w:rPr>
          <w:rFonts w:hint="default" w:ascii="Times New Roman" w:hAnsi="Times New Roman" w:eastAsia="仿宋_GB2312" w:cs="Times New Roman"/>
          <w:color w:val="auto"/>
          <w:sz w:val="32"/>
          <w:szCs w:val="32"/>
        </w:rPr>
        <w:t>0.3</w:t>
      </w:r>
      <w:r>
        <w:rPr>
          <w:rFonts w:hint="default" w:ascii="Times New Roman" w:hAnsi="Times New Roman" w:eastAsia="仿宋_GB2312" w:cs="Times New Roman"/>
          <w:color w:val="auto"/>
          <w:sz w:val="32"/>
          <w:szCs w:val="32"/>
          <w:lang w:val="en-US" w:eastAsia="zh-CN"/>
        </w:rPr>
        <w:t>84</w:t>
      </w:r>
      <w:r>
        <w:rPr>
          <w:rFonts w:hint="default" w:ascii="Times New Roman" w:hAnsi="Times New Roman" w:eastAsia="仿宋_GB2312" w:cs="Times New Roman"/>
          <w:color w:val="auto"/>
          <w:sz w:val="32"/>
          <w:szCs w:val="32"/>
        </w:rPr>
        <w:t>t/a，颗粒物0.198t/a。</w:t>
      </w:r>
    </w:p>
    <w:p>
      <w:pPr>
        <w:pStyle w:val="8"/>
        <w:keepNext w:val="0"/>
        <w:keepLines w:val="0"/>
        <w:pageBreakBefore w:val="0"/>
        <w:kinsoku/>
        <w:autoSpaceDE/>
        <w:autoSpaceDN/>
        <w:bidi w:val="0"/>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四、项目建设应依法完备其他行政许可手续。</w:t>
      </w:r>
    </w:p>
    <w:p>
      <w:pPr>
        <w:keepNext w:val="0"/>
        <w:keepLines w:val="0"/>
        <w:pageBreakBefore w:val="0"/>
        <w:kinsoku/>
        <w:overflowPunct w:val="0"/>
        <w:autoSpaceDE/>
        <w:autoSpaceDN/>
        <w:bidi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五、验收和排污许可</w:t>
      </w:r>
    </w:p>
    <w:p>
      <w:pPr>
        <w:keepNext w:val="0"/>
        <w:keepLines w:val="0"/>
        <w:pageBreakBefore w:val="0"/>
        <w:kinsoku/>
        <w:overflow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必须严格执行配套建设的环境保护设施与主体工程同时设计、同时施工、同时投产使用的环境保护“三同时”制度。在发生实际排污行为前，必须按照国家排污许可有关管理规定要求，依法申领排污许可证或填报排污登记表。建设项目竣工后，应当按照规定的程序和标准，组织对配套建设的环境保护设施及对策措施进行验收，并依法向社会公开验收报告，验收合格后方可投入生产或使用。</w:t>
      </w:r>
    </w:p>
    <w:p>
      <w:pPr>
        <w:pStyle w:val="21"/>
        <w:keepNext w:val="0"/>
        <w:keepLines w:val="0"/>
        <w:pageBreakBefore w:val="0"/>
        <w:kinsoku/>
        <w:autoSpaceDE/>
        <w:autoSpaceDN/>
        <w:bidi w:val="0"/>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sz w:val="32"/>
          <w:szCs w:val="32"/>
        </w:rPr>
        <w:t>项目环境影响评价文件经批准后，如工程的性质、规模、地点、采用的生产工艺或者防治污染、防止生态破坏的措施发生重大变动，你公司应当重新报批环境影响评价文件，否则不得实施</w:t>
      </w:r>
      <w:r>
        <w:rPr>
          <w:rFonts w:hint="default" w:ascii="Times New Roman" w:hAnsi="Times New Roman" w:eastAsia="仿宋_GB2312" w:cs="Times New Roman"/>
          <w:sz w:val="32"/>
          <w:szCs w:val="32"/>
        </w:rPr>
        <w:t>建设。自环评文件批准之日起，如工程超过5年未开工建设，环境影响评价文件应当报我局重新审核。</w:t>
      </w:r>
    </w:p>
    <w:p>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592" w:firstLineChars="1400"/>
        <w:jc w:val="both"/>
        <w:textAlignment w:val="auto"/>
        <w:rPr>
          <w:rFonts w:hint="default" w:ascii="Times New Roman" w:hAnsi="Times New Roman" w:eastAsia="仿宋_GB2312" w:cs="Times New Roman"/>
          <w:color w:val="auto"/>
          <w:spacing w:val="4"/>
          <w:kern w:val="2"/>
          <w:sz w:val="32"/>
          <w:szCs w:val="32"/>
          <w:lang w:val="en-US" w:eastAsia="zh-CN" w:bidi="ar-SA"/>
        </w:rPr>
      </w:pPr>
      <w:r>
        <w:rPr>
          <w:rFonts w:hint="default" w:ascii="Times New Roman" w:hAnsi="Times New Roman" w:eastAsia="仿宋_GB2312" w:cs="Times New Roman"/>
          <w:color w:val="auto"/>
          <w:spacing w:val="4"/>
          <w:kern w:val="2"/>
          <w:sz w:val="32"/>
          <w:szCs w:val="32"/>
          <w:lang w:val="en-US" w:eastAsia="zh-CN" w:bidi="ar-SA"/>
        </w:rPr>
        <w:t>遂宁市大英生态环境局</w:t>
      </w: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center"/>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 xml:space="preserve">2023年5月18日  </w:t>
      </w: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p>
      <w:pPr>
        <w:wordWrap/>
        <w:rPr>
          <w:rFonts w:hint="default"/>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kern w:val="2"/>
          <w:sz w:val="32"/>
          <w:szCs w:val="32"/>
          <w:lang w:val="en-US" w:eastAsia="zh-CN" w:bidi="ar-SA"/>
        </w:rPr>
      </w:pPr>
    </w:p>
    <w:tbl>
      <w:tblPr>
        <w:tblStyle w:val="15"/>
        <w:tblpPr w:leftFromText="180" w:rightFromText="180" w:vertAnchor="text" w:horzAnchor="page" w:tblpX="1703" w:tblpY="1006"/>
        <w:tblOverlap w:val="never"/>
        <w:tblW w:w="0" w:type="auto"/>
        <w:tblInd w:w="0" w:type="dxa"/>
        <w:tblBorders>
          <w:top w:val="single" w:color="auto" w:sz="6" w:space="0"/>
          <w:left w:val="none" w:color="auto" w:sz="0" w:space="0"/>
          <w:bottom w:val="single" w:color="auto" w:sz="6"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422"/>
        <w:gridCol w:w="4422"/>
      </w:tblGrid>
      <w:tr>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22" w:hRule="atLeast"/>
        </w:trPr>
        <w:tc>
          <w:tcPr>
            <w:tcW w:w="4422" w:type="dxa"/>
            <w:tcBorders>
              <w:tl2br w:val="nil"/>
              <w:tr2bl w:val="nil"/>
            </w:tcBorders>
            <w:vAlign w:val="top"/>
          </w:tcPr>
          <w:p>
            <w:pPr>
              <w:pStyle w:val="2"/>
              <w:keepNext w:val="0"/>
              <w:keepLines w:val="0"/>
              <w:pageBreakBefore w:val="0"/>
              <w:widowControl w:val="0"/>
              <w:kinsoku/>
              <w:wordWrap w:val="0"/>
              <w:overflowPunct/>
              <w:topLinePunct w:val="0"/>
              <w:autoSpaceDE/>
              <w:autoSpaceDN/>
              <w:bidi w:val="0"/>
              <w:adjustRightInd/>
              <w:snapToGrid/>
              <w:spacing w:after="0" w:line="500" w:lineRule="exact"/>
              <w:ind w:left="0" w:firstLine="280" w:firstLineChars="100"/>
              <w:jc w:val="left"/>
              <w:textAlignment w:val="auto"/>
              <w:rPr>
                <w:rFonts w:hint="default" w:ascii="Times New Roman" w:hAnsi="Times New Roman" w:cs="Times New Roman"/>
                <w:vertAlign w:val="baseline"/>
              </w:rPr>
            </w:pPr>
            <w:r>
              <w:rPr>
                <w:rFonts w:hint="eastAsia" w:ascii="仿宋_GB2312" w:eastAsia="仿宋_GB2312"/>
                <w:sz w:val="28"/>
                <w:szCs w:val="28"/>
                <w:lang w:eastAsia="zh-CN"/>
              </w:rPr>
              <w:t>遂宁市</w:t>
            </w:r>
            <w:r>
              <w:rPr>
                <w:rFonts w:hint="eastAsia" w:ascii="仿宋_GB2312" w:eastAsia="仿宋_GB2312"/>
                <w:sz w:val="28"/>
                <w:szCs w:val="28"/>
              </w:rPr>
              <w:t>大英</w:t>
            </w:r>
            <w:r>
              <w:rPr>
                <w:rFonts w:hint="eastAsia" w:ascii="仿宋_GB2312" w:eastAsia="仿宋_GB2312"/>
                <w:sz w:val="28"/>
                <w:szCs w:val="28"/>
                <w:lang w:eastAsia="zh-CN"/>
              </w:rPr>
              <w:t>生态</w:t>
            </w:r>
            <w:r>
              <w:rPr>
                <w:rFonts w:hint="eastAsia" w:ascii="仿宋_GB2312" w:eastAsia="仿宋_GB2312"/>
                <w:sz w:val="28"/>
                <w:szCs w:val="28"/>
              </w:rPr>
              <w:t>环境局办公室</w:t>
            </w:r>
          </w:p>
        </w:tc>
        <w:tc>
          <w:tcPr>
            <w:tcW w:w="4422" w:type="dxa"/>
            <w:tcBorders>
              <w:tl2br w:val="nil"/>
              <w:tr2bl w:val="nil"/>
            </w:tcBorders>
            <w:vAlign w:val="top"/>
          </w:tcPr>
          <w:p>
            <w:pPr>
              <w:pStyle w:val="2"/>
              <w:keepNext w:val="0"/>
              <w:keepLines w:val="0"/>
              <w:pageBreakBefore w:val="0"/>
              <w:widowControl w:val="0"/>
              <w:kinsoku/>
              <w:wordWrap w:val="0"/>
              <w:overflowPunct/>
              <w:topLinePunct w:val="0"/>
              <w:autoSpaceDE/>
              <w:autoSpaceDN/>
              <w:bidi w:val="0"/>
              <w:adjustRightInd/>
              <w:snapToGrid/>
              <w:spacing w:after="0" w:line="500" w:lineRule="exact"/>
              <w:ind w:left="0"/>
              <w:jc w:val="right"/>
              <w:textAlignment w:val="auto"/>
              <w:rPr>
                <w:rFonts w:hint="default" w:ascii="Times New Roman" w:hAnsi="Times New Roman" w:eastAsia="宋体" w:cs="Times New Roman"/>
                <w:vertAlign w:val="baseline"/>
                <w:lang w:val="en-US" w:eastAsia="zh-CN"/>
              </w:rPr>
            </w:pPr>
            <w:r>
              <w:rPr>
                <w:rFonts w:hint="default" w:ascii="Times New Roman" w:hAnsi="Times New Roman" w:eastAsia="仿宋_GB2312" w:cs="Times New Roman"/>
                <w:sz w:val="28"/>
                <w:szCs w:val="28"/>
                <w:lang w:val="en-US" w:eastAsia="zh-CN"/>
              </w:rPr>
              <w:t>2023</w:t>
            </w:r>
            <w:r>
              <w:rPr>
                <w:rFonts w:hint="eastAsia" w:ascii="仿宋_GB2312" w:hAnsi="仿宋_GB2312" w:eastAsia="仿宋_GB2312" w:cs="仿宋_GB2312"/>
                <w:sz w:val="28"/>
                <w:szCs w:val="28"/>
                <w:lang w:val="en-US" w:eastAsia="zh-CN"/>
              </w:rPr>
              <w:t>年</w:t>
            </w:r>
            <w:r>
              <w:rPr>
                <w:rFonts w:hint="eastAsia" w:ascii="Times New Roman" w:hAnsi="Times New Roman" w:eastAsia="仿宋_GB2312" w:cs="Times New Roman"/>
                <w:sz w:val="28"/>
                <w:szCs w:val="28"/>
                <w:lang w:val="en-US" w:eastAsia="zh-CN"/>
              </w:rPr>
              <w:t>5</w:t>
            </w:r>
            <w:r>
              <w:rPr>
                <w:rFonts w:hint="eastAsia" w:ascii="仿宋_GB2312" w:hAnsi="仿宋_GB2312" w:eastAsia="仿宋_GB2312" w:cs="仿宋_GB2312"/>
                <w:sz w:val="28"/>
                <w:szCs w:val="28"/>
                <w:lang w:val="en-US" w:eastAsia="zh-CN"/>
              </w:rPr>
              <w:t>月</w:t>
            </w:r>
            <w:r>
              <w:rPr>
                <w:rFonts w:hint="eastAsia" w:ascii="Times New Roman" w:hAnsi="Times New Roman" w:eastAsia="仿宋_GB2312" w:cs="Times New Roman"/>
                <w:sz w:val="28"/>
                <w:szCs w:val="28"/>
                <w:lang w:val="en-US" w:eastAsia="zh-CN"/>
              </w:rPr>
              <w:t>18</w:t>
            </w:r>
            <w:r>
              <w:rPr>
                <w:rFonts w:hint="eastAsia" w:ascii="仿宋_GB2312" w:hAnsi="仿宋_GB2312" w:eastAsia="仿宋_GB2312" w:cs="仿宋_GB2312"/>
                <w:sz w:val="28"/>
                <w:szCs w:val="28"/>
                <w:lang w:val="en-US" w:eastAsia="zh-CN"/>
              </w:rPr>
              <w:t>日印发</w:t>
            </w:r>
            <w:r>
              <w:rPr>
                <w:rFonts w:hint="eastAsia" w:ascii="仿宋_GB2312" w:eastAsia="仿宋_GB2312"/>
                <w:sz w:val="28"/>
                <w:szCs w:val="28"/>
                <w:lang w:val="en-US" w:eastAsia="zh-CN"/>
              </w:rPr>
              <w:t xml:space="preserve">  </w:t>
            </w:r>
          </w:p>
        </w:tc>
      </w:tr>
    </w:tbl>
    <w:p>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 xml:space="preserve">    </w:t>
      </w:r>
    </w:p>
    <w:sectPr>
      <w:footerReference r:id="rId4" w:type="default"/>
      <w:pgSz w:w="11906" w:h="16838"/>
      <w:pgMar w:top="2098" w:right="1474" w:bottom="1440" w:left="1587" w:header="851" w:footer="992" w:gutter="0"/>
      <w:pgBorders>
        <w:top w:val="none" w:sz="0" w:space="0"/>
        <w:left w:val="none" w:sz="0" w:space="0"/>
        <w:bottom w:val="none" w:sz="0" w:space="0"/>
        <w:right w:val="none" w:sz="0" w:space="0"/>
      </w:pgBorders>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jhlNGQwNDgwZDhkYzQzMjZiNmNlMTE1NGJmN2IifQ=="/>
  </w:docVars>
  <w:rsids>
    <w:rsidRoot w:val="00000000"/>
    <w:rsid w:val="00200875"/>
    <w:rsid w:val="00951FEE"/>
    <w:rsid w:val="01844E19"/>
    <w:rsid w:val="01FD40F1"/>
    <w:rsid w:val="02B22144"/>
    <w:rsid w:val="041E0EAD"/>
    <w:rsid w:val="07445783"/>
    <w:rsid w:val="082B7D91"/>
    <w:rsid w:val="088675ED"/>
    <w:rsid w:val="089E130F"/>
    <w:rsid w:val="092A1E12"/>
    <w:rsid w:val="094E2162"/>
    <w:rsid w:val="098F0FA5"/>
    <w:rsid w:val="0AE4604C"/>
    <w:rsid w:val="0C4C2651"/>
    <w:rsid w:val="0F5D7B56"/>
    <w:rsid w:val="0FB35FED"/>
    <w:rsid w:val="10632F32"/>
    <w:rsid w:val="108B04C2"/>
    <w:rsid w:val="11553800"/>
    <w:rsid w:val="12011292"/>
    <w:rsid w:val="13A050E7"/>
    <w:rsid w:val="14741B39"/>
    <w:rsid w:val="14AA3E63"/>
    <w:rsid w:val="15AB60E4"/>
    <w:rsid w:val="15C947BC"/>
    <w:rsid w:val="16243B6E"/>
    <w:rsid w:val="1735378C"/>
    <w:rsid w:val="182725C6"/>
    <w:rsid w:val="1ADB2985"/>
    <w:rsid w:val="1B326960"/>
    <w:rsid w:val="1BCC1635"/>
    <w:rsid w:val="1D04432C"/>
    <w:rsid w:val="1D1F6E89"/>
    <w:rsid w:val="1DC1221D"/>
    <w:rsid w:val="1DEC2C84"/>
    <w:rsid w:val="1E1E6202"/>
    <w:rsid w:val="1E29348B"/>
    <w:rsid w:val="1E6609BF"/>
    <w:rsid w:val="1EAC44A7"/>
    <w:rsid w:val="1F8E271B"/>
    <w:rsid w:val="1FC85967"/>
    <w:rsid w:val="204F3B10"/>
    <w:rsid w:val="20E64474"/>
    <w:rsid w:val="21464F13"/>
    <w:rsid w:val="224F429B"/>
    <w:rsid w:val="23631F61"/>
    <w:rsid w:val="23E07BD5"/>
    <w:rsid w:val="251C281B"/>
    <w:rsid w:val="26672398"/>
    <w:rsid w:val="273A436A"/>
    <w:rsid w:val="2794676B"/>
    <w:rsid w:val="27E16961"/>
    <w:rsid w:val="29E46919"/>
    <w:rsid w:val="2A1F2C38"/>
    <w:rsid w:val="2A784B2D"/>
    <w:rsid w:val="2A785045"/>
    <w:rsid w:val="2EC37801"/>
    <w:rsid w:val="2F1C72B3"/>
    <w:rsid w:val="31442D31"/>
    <w:rsid w:val="31774C75"/>
    <w:rsid w:val="31F50C2D"/>
    <w:rsid w:val="31FD6612"/>
    <w:rsid w:val="32C1089D"/>
    <w:rsid w:val="344E1C6F"/>
    <w:rsid w:val="34A22009"/>
    <w:rsid w:val="354A265C"/>
    <w:rsid w:val="37225683"/>
    <w:rsid w:val="372748CB"/>
    <w:rsid w:val="376A1E4F"/>
    <w:rsid w:val="38C236CA"/>
    <w:rsid w:val="3965276B"/>
    <w:rsid w:val="3A2A31CC"/>
    <w:rsid w:val="40B97948"/>
    <w:rsid w:val="415844BA"/>
    <w:rsid w:val="42A751E8"/>
    <w:rsid w:val="433E49AD"/>
    <w:rsid w:val="44000AFA"/>
    <w:rsid w:val="44242A3A"/>
    <w:rsid w:val="46564467"/>
    <w:rsid w:val="47173438"/>
    <w:rsid w:val="486C0E54"/>
    <w:rsid w:val="491F4DFE"/>
    <w:rsid w:val="4944487A"/>
    <w:rsid w:val="4C6267F5"/>
    <w:rsid w:val="4E4D24B7"/>
    <w:rsid w:val="4F2251C0"/>
    <w:rsid w:val="504C6A58"/>
    <w:rsid w:val="509E5922"/>
    <w:rsid w:val="518979CC"/>
    <w:rsid w:val="52614E59"/>
    <w:rsid w:val="54454557"/>
    <w:rsid w:val="54C73958"/>
    <w:rsid w:val="558A2919"/>
    <w:rsid w:val="55D1023B"/>
    <w:rsid w:val="55E55DA1"/>
    <w:rsid w:val="566A0472"/>
    <w:rsid w:val="56B365F2"/>
    <w:rsid w:val="571C1C97"/>
    <w:rsid w:val="577473DD"/>
    <w:rsid w:val="57EE76DD"/>
    <w:rsid w:val="585711D8"/>
    <w:rsid w:val="58C4394C"/>
    <w:rsid w:val="58D418CA"/>
    <w:rsid w:val="59030A18"/>
    <w:rsid w:val="59205D38"/>
    <w:rsid w:val="59C94FB5"/>
    <w:rsid w:val="5CBA1D36"/>
    <w:rsid w:val="5D307EFB"/>
    <w:rsid w:val="5D942597"/>
    <w:rsid w:val="5DCB6DD4"/>
    <w:rsid w:val="5EC51967"/>
    <w:rsid w:val="5F13397F"/>
    <w:rsid w:val="5F304531"/>
    <w:rsid w:val="60570CFE"/>
    <w:rsid w:val="60B414A2"/>
    <w:rsid w:val="61CF012A"/>
    <w:rsid w:val="63133F4E"/>
    <w:rsid w:val="64EF4296"/>
    <w:rsid w:val="670815C7"/>
    <w:rsid w:val="69BE7A7D"/>
    <w:rsid w:val="6A832EF5"/>
    <w:rsid w:val="6AAA7F05"/>
    <w:rsid w:val="6AAE27AE"/>
    <w:rsid w:val="6C846928"/>
    <w:rsid w:val="6D3C5791"/>
    <w:rsid w:val="6E02688E"/>
    <w:rsid w:val="6E550418"/>
    <w:rsid w:val="6E560B0F"/>
    <w:rsid w:val="6EF74724"/>
    <w:rsid w:val="6EFF47BA"/>
    <w:rsid w:val="6F394D3C"/>
    <w:rsid w:val="6F6E3FD1"/>
    <w:rsid w:val="6F705600"/>
    <w:rsid w:val="6FF46C64"/>
    <w:rsid w:val="708C17E3"/>
    <w:rsid w:val="70D24CB2"/>
    <w:rsid w:val="724B2FD5"/>
    <w:rsid w:val="72B86D8A"/>
    <w:rsid w:val="72C65FB9"/>
    <w:rsid w:val="75091655"/>
    <w:rsid w:val="751C3136"/>
    <w:rsid w:val="76150602"/>
    <w:rsid w:val="76FC7D28"/>
    <w:rsid w:val="77992DA9"/>
    <w:rsid w:val="78E7601E"/>
    <w:rsid w:val="78F06C72"/>
    <w:rsid w:val="7A195E96"/>
    <w:rsid w:val="7B191EC6"/>
    <w:rsid w:val="7E17693C"/>
    <w:rsid w:val="7EBC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20"/>
    </w:pPr>
    <w:rPr>
      <w:rFonts w:ascii="宋体" w:hAnsi="宋体"/>
      <w:sz w:val="32"/>
      <w:szCs w:val="32"/>
    </w:rPr>
  </w:style>
  <w:style w:type="paragraph" w:styleId="4">
    <w:name w:val="List Number"/>
    <w:basedOn w:val="1"/>
    <w:qFormat/>
    <w:uiPriority w:val="0"/>
    <w:pPr>
      <w:numPr>
        <w:ilvl w:val="0"/>
        <w:numId w:val="1"/>
      </w:numPr>
    </w:pPr>
  </w:style>
  <w:style w:type="paragraph" w:styleId="5">
    <w:name w:val="annotation text"/>
    <w:basedOn w:val="1"/>
    <w:qFormat/>
    <w:uiPriority w:val="0"/>
    <w:pPr>
      <w:jc w:val="left"/>
    </w:p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eastAsia="宋体" w:cs="Times New Roman"/>
    </w:rPr>
  </w:style>
  <w:style w:type="paragraph" w:styleId="8">
    <w:name w:val="Body Text Indent 2"/>
    <w:basedOn w:val="1"/>
    <w:next w:val="9"/>
    <w:qFormat/>
    <w:uiPriority w:val="0"/>
    <w:pPr>
      <w:adjustRightInd w:val="0"/>
      <w:snapToGrid w:val="0"/>
      <w:spacing w:line="440" w:lineRule="atLeast"/>
      <w:ind w:firstLine="573"/>
    </w:pPr>
    <w:rPr>
      <w:rFonts w:ascii="宋体"/>
    </w:rPr>
  </w:style>
  <w:style w:type="paragraph" w:customStyle="1" w:styleId="9">
    <w:name w:val="简单回函地址"/>
    <w:basedOn w:val="1"/>
    <w:next w:val="10"/>
    <w:qFormat/>
    <w:uiPriority w:val="0"/>
    <w:rPr>
      <w:szCs w:val="20"/>
    </w:rPr>
  </w:style>
  <w:style w:type="paragraph" w:customStyle="1" w:styleId="10">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6"/>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qFormat/>
    <w:uiPriority w:val="0"/>
    <w:rPr>
      <w:rFonts w:ascii="Calibri" w:hAnsi="Calibri" w:eastAsia="宋体" w:cs="Times New Roman"/>
      <w:kern w:val="2"/>
      <w:sz w:val="21"/>
      <w:szCs w:val="21"/>
      <w:lang w:val="en-US" w:eastAsia="zh-CN" w:bidi="ar-SA"/>
    </w:rPr>
  </w:style>
  <w:style w:type="paragraph" w:customStyle="1" w:styleId="18">
    <w:name w:val="常用样式（方正仿宋简）"/>
    <w:basedOn w:val="1"/>
    <w:next w:val="1"/>
    <w:qFormat/>
    <w:uiPriority w:val="0"/>
    <w:pPr>
      <w:spacing w:line="560" w:lineRule="exact"/>
      <w:ind w:firstLine="640" w:firstLineChars="200"/>
    </w:pPr>
    <w:rPr>
      <w:rFonts w:ascii="Times New Roman" w:hAnsi="Times New Roman" w:eastAsia="方正仿宋简体"/>
      <w:sz w:val="32"/>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_Style 2"/>
    <w:basedOn w:val="1"/>
    <w:qFormat/>
    <w:uiPriority w:val="34"/>
    <w:pPr>
      <w:ind w:firstLine="420" w:firstLineChars="200"/>
    </w:pPr>
  </w:style>
  <w:style w:type="paragraph" w:customStyle="1" w:styleId="21">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2">
    <w:name w:val="Normal_37"/>
    <w:qFormat/>
    <w:uiPriority w:val="0"/>
    <w:pPr>
      <w:spacing w:before="120" w:after="240"/>
      <w:jc w:val="both"/>
    </w:pPr>
    <w:rPr>
      <w:rFonts w:ascii="Calibri" w:hAnsi="Calibri" w:eastAsia="Calibri" w:cs="Times New Roman"/>
      <w:sz w:val="22"/>
      <w:szCs w:val="22"/>
      <w:lang w:val="ru-RU" w:eastAsia="en-US" w:bidi="ar-SA"/>
    </w:rPr>
  </w:style>
  <w:style w:type="character" w:customStyle="1" w:styleId="23">
    <w:name w:val="font21"/>
    <w:basedOn w:val="16"/>
    <w:qFormat/>
    <w:uiPriority w:val="0"/>
    <w:rPr>
      <w:rFonts w:hint="eastAsia" w:ascii="宋体" w:hAnsi="宋体" w:eastAsia="宋体" w:cs="宋体"/>
      <w:color w:val="000000"/>
      <w:sz w:val="20"/>
      <w:szCs w:val="20"/>
      <w:u w:val="none"/>
    </w:rPr>
  </w:style>
  <w:style w:type="paragraph" w:customStyle="1" w:styleId="24">
    <w:name w:val=" Char Char Char Char Char Char"/>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25">
    <w:name w:val="font71"/>
    <w:basedOn w:val="16"/>
    <w:qFormat/>
    <w:uiPriority w:val="0"/>
    <w:rPr>
      <w:rFonts w:hint="eastAsia" w:ascii="宋体" w:hAnsi="宋体" w:eastAsia="宋体" w:cs="宋体"/>
      <w:color w:val="000000"/>
      <w:sz w:val="22"/>
      <w:szCs w:val="22"/>
      <w:u w:val="none"/>
    </w:rPr>
  </w:style>
  <w:style w:type="paragraph" w:customStyle="1" w:styleId="26">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2313</Words>
  <Characters>2520</Characters>
  <Lines>0</Lines>
  <Paragraphs>0</Paragraphs>
  <TotalTime>3</TotalTime>
  <ScaleCrop>false</ScaleCrop>
  <LinksUpToDate>false</LinksUpToDate>
  <CharactersWithSpaces>2539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隆盛何红江</cp:lastModifiedBy>
  <cp:lastPrinted>2023-05-18T02:05:00Z</cp:lastPrinted>
  <dcterms:modified xsi:type="dcterms:W3CDTF">2023-05-19T02:40:01Z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9F4DC0DB42AB41B78CE5A0ACF013FAC1_13</vt:lpwstr>
  </property>
</Properties>
</file>