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ascii="Times New Roman" w:hAnsi="Times New Roman" w:eastAsia="仿宋_GB2312"/>
          <w:color w:val="auto"/>
          <w:kern w:val="0"/>
          <w:sz w:val="21"/>
          <w:szCs w:val="21"/>
        </w:rPr>
      </w:pPr>
      <w:r>
        <w:rPr>
          <w:rFonts w:ascii="Times New Roman" w:hAnsi="Times New Roman" w:eastAsia="仿宋_GB2312"/>
          <w:color w:val="auto"/>
          <w:sz w:val="21"/>
          <w:szCs w:val="21"/>
        </w:rPr>
        <mc:AlternateContent>
          <mc:Choice Requires="wps">
            <w:drawing>
              <wp:anchor distT="0" distB="0" distL="114300" distR="114300" simplePos="0" relativeHeight="1363991552"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1363991552;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eastAsia="zh-CN"/>
        </w:rPr>
        <w:t>大</w:t>
      </w:r>
      <w:r>
        <w:rPr>
          <w:rFonts w:ascii="Times New Roman" w:hAnsi="Times New Roman" w:eastAsia="仿宋_GB2312"/>
          <w:color w:val="auto"/>
          <w:sz w:val="21"/>
          <w:szCs w:val="21"/>
        </w:rPr>
        <w:t>）食药监</w:t>
      </w:r>
      <w:r>
        <w:rPr>
          <w:rFonts w:hint="eastAsia" w:ascii="Times New Roman" w:hAnsi="Times New Roman" w:eastAsia="仿宋_GB2312"/>
          <w:color w:val="auto"/>
          <w:sz w:val="21"/>
          <w:szCs w:val="21"/>
          <w:lang w:eastAsia="zh-CN"/>
        </w:rPr>
        <w:t>食</w:t>
      </w:r>
      <w:r>
        <w:rPr>
          <w:rFonts w:ascii="Times New Roman" w:hAnsi="Times New Roman" w:eastAsia="仿宋_GB2312"/>
          <w:color w:val="auto"/>
          <w:kern w:val="0"/>
          <w:sz w:val="21"/>
          <w:szCs w:val="21"/>
        </w:rPr>
        <w:t>罚</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2018</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145</w:t>
      </w:r>
      <w:r>
        <w:rPr>
          <w:rFonts w:ascii="Times New Roman" w:hAnsi="Times New Roman" w:eastAsia="仿宋_GB2312"/>
          <w:color w:val="auto"/>
          <w:kern w:val="0"/>
          <w:sz w:val="21"/>
          <w:szCs w:val="21"/>
        </w:rPr>
        <w:t>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Times New Roman" w:hAnsi="Times New Roman" w:eastAsia="仿宋_GB2312"/>
          <w:color w:val="auto"/>
          <w:kern w:val="0"/>
          <w:sz w:val="32"/>
          <w:szCs w:val="32"/>
          <w:lang w:val="en-US" w:eastAsia="zh-CN"/>
        </w:rPr>
        <w:t>廖朝书（</w:t>
      </w:r>
      <w:r>
        <w:rPr>
          <w:rFonts w:hint="eastAsia" w:ascii="Times New Roman" w:hAnsi="Times New Roman" w:eastAsia="仿宋_GB2312"/>
          <w:b w:val="0"/>
          <w:bCs w:val="0"/>
          <w:color w:val="auto"/>
          <w:sz w:val="32"/>
          <w:szCs w:val="32"/>
          <w:lang w:val="en-US" w:eastAsia="zh-CN"/>
        </w:rPr>
        <w:t>大英县隆盛镇廖朝书百货店</w:t>
      </w:r>
      <w:r>
        <w:rPr>
          <w:rFonts w:hint="eastAsia" w:ascii="Times New Roman" w:hAnsi="Times New Roman"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营业执照：</w:t>
      </w:r>
      <w:r>
        <w:rPr>
          <w:rFonts w:hint="eastAsia" w:ascii="Times New Roman" w:hAnsi="Times New Roman" w:eastAsia="仿宋_GB2312"/>
          <w:color w:val="auto"/>
          <w:sz w:val="32"/>
          <w:szCs w:val="32"/>
          <w:lang w:val="en-US" w:eastAsia="zh-CN"/>
        </w:rPr>
        <w:t>注册号</w:t>
      </w:r>
      <w:r>
        <w:rPr>
          <w:rFonts w:hint="eastAsia" w:ascii="仿宋" w:hAnsi="仿宋" w:eastAsia="仿宋" w:cs="仿宋"/>
          <w:color w:val="auto"/>
          <w:sz w:val="32"/>
          <w:szCs w:val="32"/>
          <w:lang w:val="en-US" w:eastAsia="zh-CN"/>
        </w:rPr>
        <w:t xml:space="preserve">510923600086803（1-1）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both"/>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2018年11月5日，我局执法人员在大英县隆盛镇廖朝书百货店经营者廖朝书的全程陪同下，对该副食店进行检查时在其合格食品销售区查见：1、“八宝土鸡土鸭炖料”1袋，净含量：200克/袋，生产日期：2017年8月17日，保质期：12个月，该食品已超过保质期；2、“一滴香酒坊酒”1瓶（密封未开盖），未查见该产品的生产厂家、生产日期等其它任何信息。</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仿宋_GB2312"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当事人</w:t>
      </w:r>
      <w:r>
        <w:rPr>
          <w:rFonts w:hint="eastAsia" w:ascii="仿宋_GB2312" w:hAnsi="仿宋" w:eastAsia="仿宋_GB2312"/>
          <w:color w:val="auto"/>
          <w:sz w:val="30"/>
          <w:szCs w:val="30"/>
          <w:lang w:val="en-US" w:eastAsia="zh-CN"/>
        </w:rPr>
        <w:t>经营</w:t>
      </w:r>
      <w:r>
        <w:rPr>
          <w:rFonts w:hint="eastAsia" w:ascii="Times New Roman" w:hAnsi="Times New Roman" w:eastAsia="仿宋_GB2312"/>
          <w:color w:val="auto"/>
          <w:sz w:val="30"/>
          <w:szCs w:val="30"/>
          <w:lang w:val="en-US" w:eastAsia="zh-CN"/>
        </w:rPr>
        <w:t>超过保质期及无标签预包装食品的行为分别违反了《四川省小作坊、小经营店及摊贩管理办法》第二十二条第一款第（五）项、第（十）项的情形，构成了违反《四川省食品小作坊、小经营店及摊贩管理条例》第八条第七项的规定，</w:t>
      </w:r>
      <w:r>
        <w:rPr>
          <w:rFonts w:hint="eastAsia" w:ascii="仿宋_GB2312" w:hAnsi="Times New Roman" w:eastAsia="仿宋_GB2312"/>
          <w:color w:val="auto"/>
          <w:sz w:val="30"/>
          <w:szCs w:val="30"/>
          <w:lang w:val="en-US" w:eastAsia="zh-CN"/>
        </w:rPr>
        <w:t>遂于2018年11月7日经请示局领导同意，立案调查。</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left"/>
        <w:textAlignment w:val="auto"/>
        <w:outlineLvl w:val="9"/>
        <w:rPr>
          <w:rFonts w:hint="eastAsia" w:ascii="Times New Roman" w:hAnsi="Times New Roman" w:eastAsia="仿宋_GB2312"/>
          <w:color w:val="auto"/>
          <w:sz w:val="30"/>
          <w:szCs w:val="30"/>
          <w:u w:val="none"/>
          <w:lang w:val="en-US" w:eastAsia="zh-CN"/>
        </w:rPr>
      </w:pPr>
      <w:r>
        <w:rPr>
          <w:rFonts w:hint="eastAsia" w:ascii="Times New Roman" w:hAnsi="Times New Roman" w:eastAsia="仿宋_GB2312"/>
          <w:b w:val="0"/>
          <w:bCs w:val="0"/>
          <w:color w:val="auto"/>
          <w:sz w:val="30"/>
          <w:szCs w:val="30"/>
          <w:lang w:val="en-US" w:eastAsia="zh-CN"/>
        </w:rPr>
        <w:t xml:space="preserve"> </w:t>
      </w:r>
      <w:r>
        <w:rPr>
          <w:rFonts w:hint="eastAsia" w:ascii="Times New Roman" w:hAnsi="Times New Roman" w:eastAsia="仿宋_GB2312"/>
          <w:color w:val="auto"/>
          <w:sz w:val="30"/>
          <w:szCs w:val="30"/>
          <w:lang w:val="en-US" w:eastAsia="zh-CN"/>
        </w:rPr>
        <w:t>现查明，当事人于2017年下半年进购的“八宝土鸡土鸭炖料”，销售价格为6元/袋。“一滴香酒坊酒”是亲戚赠与，用于自饮，但当事人将该产品放置于合格食品销售区域内，故认为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Times New Roman" w:hAnsi="Times New Roman" w:eastAsia="仿宋_GB2312"/>
          <w:color w:val="auto"/>
          <w:sz w:val="21"/>
          <w:szCs w:val="21"/>
          <w:u w:val="none"/>
          <w:lang w:val="en-US" w:eastAsia="zh-CN"/>
        </w:rPr>
      </w:pPr>
      <w:r>
        <w:rPr>
          <w:rFonts w:hint="eastAsia" w:ascii="Times New Roman" w:hAnsi="Times New Roman" w:eastAsia="仿宋_GB2312"/>
          <w:color w:val="auto"/>
          <w:sz w:val="30"/>
          <w:szCs w:val="30"/>
          <w:lang w:val="en-US" w:eastAsia="zh-CN"/>
        </w:rPr>
        <w:t>有经营行为，且按市场价格，该产品货值金额为30元。上述食</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品货值金额为36元，超过保质期后未销售，故无违法所得。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上述事实有下列证据予以证实：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1、《现场检查笔录》1份；2、《查封（扣押）决定书》《扣押清单》各1份；3、李宗寿《询问调查笔录》1份；4、大英县隆盛镇廖朝书百货店《营业执照》《四川省食品小经营店（食品销售）备案证》、廖朝书《居民身份证》复印件李宗寿《居民身份证》复印件各1份，廖朝书2018年4月20日至2019年4月19日止的《健康证》复印件1份；5、现场执法情况图片2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当事人</w:t>
      </w:r>
      <w:r>
        <w:rPr>
          <w:rFonts w:hint="eastAsia" w:ascii="仿宋_GB2312" w:hAnsi="仿宋" w:eastAsia="仿宋_GB2312"/>
          <w:color w:val="auto"/>
          <w:sz w:val="30"/>
          <w:szCs w:val="30"/>
          <w:lang w:val="en-US" w:eastAsia="zh-CN"/>
        </w:rPr>
        <w:t>经营</w:t>
      </w:r>
      <w:r>
        <w:rPr>
          <w:rFonts w:hint="eastAsia" w:ascii="Times New Roman" w:hAnsi="Times New Roman" w:eastAsia="仿宋_GB2312"/>
          <w:color w:val="auto"/>
          <w:sz w:val="30"/>
          <w:szCs w:val="30"/>
          <w:lang w:val="en-US" w:eastAsia="zh-CN"/>
        </w:rPr>
        <w:t>超过保质期及无标签预包装食品的行为分别违反了《四川省小作坊、小经营店及摊贩管理办法》第二十二条第一款第（五）项、第（十）项的情形，构成了违反《四川省食品小作坊、小经营店及摊贩管理条例》第八条第七项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依据《四川省小作坊、小经营店及摊贩管理条例》第四十一条：“食品小作坊、小经营店及摊贩违反本条例第八条规定的，由县级食品监督行政部门责令改正，予以警告，可处五百元以上五千元以下罚款，并可没收违法生产经营的食品；拒不改正的，处五千元以上三万元以下罚款，并没收违法生产经营的食品；情节严重的，由县级食品监督行政部门注销备案证或者由原发证部门注销登记卡，食品生产经营者、直接负责的主管人员和直接责任人员五年内不得从事食品生产经营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参照《四川省食品小作坊、小经营店及摊贩行政处罚裁量基准》第三条第三款第（一项）、第三条第五款第（一）项：“违</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right"/>
        <w:textAlignment w:val="auto"/>
        <w:outlineLvl w:val="9"/>
        <w:rPr>
          <w:rFonts w:hint="eastAsia" w:ascii="Times New Roman" w:hAnsi="Times New Roman" w:eastAsia="仿宋_GB2312"/>
          <w:color w:val="auto"/>
          <w:sz w:val="30"/>
          <w:szCs w:val="30"/>
          <w:u w:val="none"/>
          <w:lang w:val="en-US" w:eastAsia="zh-CN"/>
        </w:rPr>
      </w:pPr>
      <w:r>
        <w:rPr>
          <w:rFonts w:hint="eastAsia" w:ascii="Times New Roman" w:hAnsi="Times New Roman" w:eastAsia="仿宋_GB2312"/>
          <w:color w:val="auto"/>
          <w:sz w:val="30"/>
          <w:szCs w:val="30"/>
          <w:lang w:val="en-US" w:eastAsia="zh-CN"/>
        </w:rPr>
        <w:t>反条例第八条规定，符合裁量规则规定的从轻行政处罚情形，且具有下列情形之一的，责令立即改正，予以警告，处五百元以上不满三千元罚款：（一）经营无标签的预包装食品、食品添加剂或者标签、说明书不符合食品安全法律、法规或者食品安全标准规定（食品、食品添加剂的标签、说明书存在瑕疵但不影响食品安全且不会对消费者造成误导的情形除外）”；“违反条例第八条规定，生产经营标注虚假生产日期、保质期或者超过保质期的</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食品、食品添加剂的，责令立即改正，予以警告，没收违法生产经营的食品，一般情况下，处罚金额按以下标准，结合裁量规则规定的从轻、从重、一般行政处罚规定的情形确定：（一）货值金额不足五十元的，处五百元罚款”的规定，综合本案事实，我局决定给予大英县隆盛镇廖朝书百货店以下行政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1、警告；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2、没收超过保质期的“八宝土鸡土鸭炖料”1袋、无标签的一滴香酒1瓶；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3、处经营超过保质期食品的行为罚款500元；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4、处经营无标签预装食品的行为罚款500元；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合并处罚款600元。</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640" w:firstLineChars="200"/>
        <w:jc w:val="left"/>
        <w:textAlignment w:val="auto"/>
        <w:rPr>
          <w:rFonts w:hint="eastAsia" w:ascii="Times New Roman" w:hAnsi="Times New Roman" w:eastAsia="仿宋_GB2312"/>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640" w:firstLineChars="200"/>
        <w:jc w:val="lef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20" w:lineRule="exact"/>
        <w:ind w:right="0" w:rightChars="0"/>
        <w:jc w:val="center"/>
        <w:textAlignment w:val="auto"/>
        <w:rPr>
          <w:rFonts w:hint="eastAsia" w:ascii="Times New Roman" w:hAnsi="Times New Roman" w:eastAsia="仿宋_GB2312"/>
          <w:color w:val="FF0000"/>
          <w:sz w:val="32"/>
          <w:szCs w:val="32"/>
          <w:lang w:val="en-US" w:eastAsia="zh-CN"/>
        </w:rPr>
      </w:pPr>
      <w:r>
        <w:rPr>
          <w:rFonts w:hint="eastAsia" w:ascii="Times New Roman" w:hAnsi="Times New Roman" w:eastAsia="仿宋_GB2312"/>
          <w:color w:val="FF0000"/>
          <w:sz w:val="32"/>
          <w:szCs w:val="32"/>
          <w:lang w:val="en-US" w:eastAsia="zh-CN"/>
        </w:rPr>
        <w:t xml:space="preserve">                             </w:t>
      </w:r>
      <w:r>
        <w:rPr>
          <w:rFonts w:hint="eastAsia" w:ascii="Times New Roman" w:hAnsi="Times New Roman" w:eastAsia="仿宋_GB2312"/>
          <w:color w:val="auto"/>
          <w:sz w:val="32"/>
          <w:szCs w:val="32"/>
          <w:lang w:val="en-US" w:eastAsia="zh-CN"/>
        </w:rPr>
        <w:t xml:space="preserve"> 2018</w:t>
      </w:r>
      <w:r>
        <w:rPr>
          <w:rFonts w:hint="eastAsia" w:ascii="Times New Roman" w:hAnsi="Times New Roman" w:eastAsia="仿宋_GB2312"/>
          <w:color w:val="auto"/>
          <w:sz w:val="32"/>
          <w:szCs w:val="32"/>
          <w:lang w:val="en-US" w:eastAsia="zh-CN"/>
        </w:rPr>
        <w:t>年12月11日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25DD3"/>
    <w:rsid w:val="0B7C7F39"/>
    <w:rsid w:val="1AFB2DF5"/>
    <w:rsid w:val="5B9F0736"/>
    <w:rsid w:val="658A478B"/>
    <w:rsid w:val="6A395F43"/>
    <w:rsid w:val="7902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2018-12-12T05:06:00Z</dcterms:created>
  <dc:creator>Administrator</dc:creator>
  <cp:lastModifiedBy>大英食药稽查</cp:lastModifiedBy>
  <dcterms:modified xsi:type="dcterms:W3CDTF">2019-01-02T02:51:22Z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