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26</w:t>
      </w:r>
      <w:r>
        <w:rPr>
          <w:rFonts w:hint="eastAsia" w:ascii="仿宋_GB2312" w:hAnsi="仿宋_GB2312" w:eastAsia="仿宋_GB2312" w:cs="仿宋_GB2312"/>
          <w:sz w:val="32"/>
          <w:szCs w:val="32"/>
        </w:rPr>
        <w:t>号</w:t>
      </w:r>
    </w:p>
    <w:p>
      <w:pPr>
        <w:pStyle w:val="5"/>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eastAsia="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kern w:val="0"/>
          <w:sz w:val="44"/>
          <w:szCs w:val="44"/>
        </w:rPr>
        <w:t>大英县殡仪馆建设项目</w:t>
      </w:r>
      <w:r>
        <w:rPr>
          <w:rFonts w:hint="eastAsia" w:ascii="方正小标宋简体" w:hAnsi="方正小标宋简体" w:eastAsia="方正小标宋简体" w:cs="方正小标宋简体"/>
          <w:spacing w:val="-20"/>
          <w:sz w:val="44"/>
          <w:szCs w:val="44"/>
        </w:rPr>
        <w:t>环境影响报告表的批   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pacing w:val="0"/>
          <w:sz w:val="32"/>
          <w:szCs w:val="32"/>
        </w:rPr>
      </w:pPr>
    </w:p>
    <w:p>
      <w:pPr>
        <w:keepNext w:val="0"/>
        <w:keepLines w:val="0"/>
        <w:pageBreakBefore w:val="0"/>
        <w:kinsoku/>
        <w:wordWrap w:val="0"/>
        <w:overflowPunct w:val="0"/>
        <w:topLinePunct/>
        <w:autoSpaceDE/>
        <w:autoSpaceDN/>
        <w:bidi w:val="0"/>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大英县民政局：</w:t>
      </w:r>
    </w:p>
    <w:p>
      <w:pPr>
        <w:keepNext w:val="0"/>
        <w:keepLines w:val="0"/>
        <w:pageBreakBefore w:val="0"/>
        <w:kinsoku/>
        <w:wordWrap w:val="0"/>
        <w:overflowPunct w:val="0"/>
        <w:topLinePunct/>
        <w:autoSpaceDE/>
        <w:autoSpaceDN/>
        <w:bidi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你单位报送的《大英县殡仪馆建设项目环境影响报告表》（以下简称《报告表》）收悉。经研究，批复如下：</w:t>
      </w:r>
    </w:p>
    <w:p>
      <w:pPr>
        <w:keepNext w:val="0"/>
        <w:keepLines w:val="0"/>
        <w:pageBreakBefore w:val="0"/>
        <w:kinsoku/>
        <w:wordWrap w:val="0"/>
        <w:overflowPunct w:val="0"/>
        <w:topLinePunct/>
        <w:autoSpaceDE/>
        <w:autoSpaceDN/>
        <w:bidi w:val="0"/>
        <w:snapToGrid w:val="0"/>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w:t>
      </w:r>
      <w:r>
        <w:rPr>
          <w:rFonts w:hint="eastAsia" w:ascii="仿宋" w:hAnsi="仿宋" w:eastAsia="仿宋" w:cs="仿宋"/>
          <w:sz w:val="32"/>
          <w:szCs w:val="32"/>
        </w:rPr>
        <w:t>项目在大英县殡仪馆原址范围内重新建设，占地面积</w:t>
      </w:r>
    </w:p>
    <w:p>
      <w:pPr>
        <w:keepNext w:val="0"/>
        <w:keepLines w:val="0"/>
        <w:pageBreakBefore w:val="0"/>
        <w:kinsoku/>
        <w:wordWrap w:val="0"/>
        <w:overflowPunct w:val="0"/>
        <w:topLinePunct/>
        <w:autoSpaceDE/>
        <w:autoSpaceDN/>
        <w:bidi w:val="0"/>
        <w:snapToGrid w:val="0"/>
        <w:spacing w:line="520" w:lineRule="exact"/>
        <w:textAlignment w:val="auto"/>
        <w:rPr>
          <w:rFonts w:hint="eastAsia" w:ascii="仿宋" w:hAnsi="仿宋" w:eastAsia="仿宋" w:cs="仿宋"/>
          <w:sz w:val="32"/>
          <w:szCs w:val="32"/>
        </w:rPr>
      </w:pPr>
      <w:r>
        <w:rPr>
          <w:rFonts w:hint="default" w:ascii="Times New Roman" w:hAnsi="Times New Roman" w:eastAsia="仿宋" w:cs="Times New Roman"/>
          <w:sz w:val="32"/>
          <w:szCs w:val="32"/>
        </w:rPr>
        <w:t>11335.10m</w:t>
      </w:r>
      <w:r>
        <w:rPr>
          <w:rFonts w:hint="default" w:ascii="Times New Roman" w:hAnsi="Times New Roman" w:eastAsia="仿宋" w:cs="Times New Roman"/>
          <w:sz w:val="32"/>
          <w:szCs w:val="32"/>
          <w:vertAlign w:val="superscript"/>
        </w:rPr>
        <w:t>2</w:t>
      </w:r>
      <w:r>
        <w:rPr>
          <w:rFonts w:hint="eastAsia" w:ascii="仿宋" w:hAnsi="仿宋" w:eastAsia="仿宋" w:cs="仿宋"/>
          <w:sz w:val="32"/>
          <w:szCs w:val="32"/>
        </w:rPr>
        <w:t>，规划总建筑面积</w:t>
      </w:r>
      <w:r>
        <w:rPr>
          <w:rFonts w:hint="default" w:ascii="Times New Roman" w:hAnsi="Times New Roman" w:eastAsia="仿宋" w:cs="Times New Roman"/>
          <w:sz w:val="32"/>
          <w:szCs w:val="32"/>
        </w:rPr>
        <w:t>5480.58</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eastAsia" w:ascii="仿宋" w:hAnsi="仿宋" w:eastAsia="仿宋" w:cs="仿宋"/>
          <w:sz w:val="32"/>
          <w:szCs w:val="32"/>
        </w:rPr>
        <w:t>，主要建设内容包括综合楼、守灵馆、火化车间、祭祀区，并配套建设相关公辅设施，年火化遗体</w:t>
      </w:r>
      <w:r>
        <w:rPr>
          <w:rFonts w:hint="eastAsia" w:ascii="Times New Roman" w:hAnsi="Times New Roman" w:eastAsia="仿宋" w:cs="Times New Roman"/>
          <w:sz w:val="32"/>
          <w:szCs w:val="32"/>
        </w:rPr>
        <w:t>1200</w:t>
      </w:r>
      <w:r>
        <w:rPr>
          <w:rFonts w:hint="eastAsia" w:ascii="仿宋" w:hAnsi="仿宋" w:eastAsia="仿宋" w:cs="仿宋"/>
          <w:sz w:val="32"/>
          <w:szCs w:val="32"/>
        </w:rPr>
        <w:t>具。项目总投资</w:t>
      </w:r>
      <w:r>
        <w:rPr>
          <w:rFonts w:hint="eastAsia" w:ascii="Times New Roman" w:hAnsi="Times New Roman" w:eastAsia="仿宋" w:cs="Times New Roman"/>
          <w:sz w:val="32"/>
          <w:szCs w:val="32"/>
        </w:rPr>
        <w:t>1500</w:t>
      </w:r>
      <w:r>
        <w:rPr>
          <w:rFonts w:hint="eastAsia" w:ascii="仿宋" w:hAnsi="仿宋" w:eastAsia="仿宋" w:cs="仿宋"/>
          <w:sz w:val="32"/>
          <w:szCs w:val="32"/>
        </w:rPr>
        <w:t>万元，环保投资</w:t>
      </w:r>
      <w:r>
        <w:rPr>
          <w:rFonts w:hint="eastAsia" w:ascii="Times New Roman" w:hAnsi="Times New Roman" w:eastAsia="仿宋" w:cs="Times New Roman"/>
          <w:sz w:val="32"/>
          <w:szCs w:val="32"/>
        </w:rPr>
        <w:t>95</w:t>
      </w:r>
      <w:r>
        <w:rPr>
          <w:rFonts w:hint="eastAsia" w:ascii="仿宋" w:hAnsi="仿宋" w:eastAsia="仿宋" w:cs="仿宋"/>
          <w:sz w:val="32"/>
          <w:szCs w:val="32"/>
        </w:rPr>
        <w:t>万元。</w:t>
      </w:r>
    </w:p>
    <w:p>
      <w:pPr>
        <w:keepNext w:val="0"/>
        <w:keepLines w:val="0"/>
        <w:pageBreakBefore w:val="0"/>
        <w:kinsoku/>
        <w:autoSpaceDE/>
        <w:autoSpaceDN/>
        <w:bidi w:val="0"/>
        <w:adjustRightIn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项目经大英县发展和改革局出具《关于大英县殡仪馆建设项目可行性研究报告（代项目建议书）的批复》（大发改许可〔</w:t>
      </w:r>
      <w:r>
        <w:rPr>
          <w:rFonts w:hint="eastAsia" w:ascii="Times New Roman" w:hAnsi="Times New Roman" w:eastAsia="仿宋" w:cs="Times New Roman"/>
          <w:sz w:val="32"/>
          <w:szCs w:val="32"/>
        </w:rPr>
        <w:t>2020</w:t>
      </w:r>
      <w:r>
        <w:rPr>
          <w:rFonts w:hint="eastAsia" w:ascii="仿宋" w:hAnsi="仿宋" w:eastAsia="仿宋" w:cs="仿宋"/>
          <w:sz w:val="32"/>
          <w:szCs w:val="32"/>
        </w:rPr>
        <w:t>〕</w:t>
      </w:r>
      <w:r>
        <w:rPr>
          <w:rFonts w:hint="eastAsia" w:ascii="Times New Roman" w:hAnsi="Times New Roman" w:eastAsia="仿宋" w:cs="Times New Roman"/>
          <w:sz w:val="32"/>
          <w:szCs w:val="32"/>
        </w:rPr>
        <w:t>371号）。项目在大英县殡仪馆原址范围内重新建设，已取得《国</w:t>
      </w:r>
      <w:r>
        <w:rPr>
          <w:rFonts w:hint="eastAsia" w:ascii="仿宋" w:hAnsi="仿宋" w:eastAsia="仿宋" w:cs="仿宋"/>
          <w:sz w:val="32"/>
          <w:szCs w:val="32"/>
        </w:rPr>
        <w:t>有土地使用证》（大国用〔</w:t>
      </w:r>
      <w:r>
        <w:rPr>
          <w:rFonts w:hint="default" w:ascii="Times New Roman" w:hAnsi="Times New Roman" w:eastAsia="仿宋" w:cs="Times New Roman"/>
          <w:sz w:val="32"/>
          <w:szCs w:val="32"/>
        </w:rPr>
        <w:t>2002</w:t>
      </w:r>
      <w:r>
        <w:rPr>
          <w:rFonts w:hint="eastAsia" w:ascii="仿宋" w:hAnsi="仿宋" w:eastAsia="仿宋" w:cs="仿宋"/>
          <w:sz w:val="32"/>
          <w:szCs w:val="32"/>
        </w:rPr>
        <w:t>〕字第</w:t>
      </w:r>
      <w:r>
        <w:rPr>
          <w:rFonts w:hint="eastAsia" w:ascii="Times New Roman" w:hAnsi="Times New Roman" w:eastAsia="仿宋" w:cs="Times New Roman"/>
          <w:sz w:val="32"/>
          <w:szCs w:val="32"/>
        </w:rPr>
        <w:t>1820</w:t>
      </w:r>
      <w:r>
        <w:rPr>
          <w:rFonts w:hint="eastAsia" w:ascii="仿宋" w:hAnsi="仿宋" w:eastAsia="仿宋" w:cs="仿宋"/>
          <w:sz w:val="32"/>
          <w:szCs w:val="32"/>
        </w:rPr>
        <w:t>号），不新增建设用地，大英县自然资源和规划局出具《关于大英县殡仪馆建设项目区域规划的情况说明》，明确殡仪馆周边</w:t>
      </w:r>
      <w:r>
        <w:rPr>
          <w:rFonts w:hint="eastAsia" w:ascii="Times New Roman" w:hAnsi="Times New Roman" w:eastAsia="仿宋" w:cs="Times New Roman"/>
          <w:sz w:val="32"/>
          <w:szCs w:val="32"/>
        </w:rPr>
        <w:t>500 m</w:t>
      </w:r>
      <w:r>
        <w:rPr>
          <w:rFonts w:hint="eastAsia" w:ascii="仿宋" w:hAnsi="仿宋" w:eastAsia="仿宋" w:cs="仿宋"/>
          <w:sz w:val="32"/>
          <w:szCs w:val="32"/>
        </w:rPr>
        <w:t>范围内不会规划新建学校、医院、居民点等人口聚集的环境敏感项目。《报告表》认为该项目建设符合国家产业政策，选址符合相关规划要求。</w:t>
      </w:r>
      <w:bookmarkStart w:id="0" w:name="_GoBack"/>
      <w:bookmarkEnd w:id="0"/>
    </w:p>
    <w:p>
      <w:pPr>
        <w:keepNext w:val="0"/>
        <w:keepLines w:val="0"/>
        <w:pageBreakBefore w:val="0"/>
        <w:kinsoku/>
        <w:overflow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sz w:val="32"/>
          <w:szCs w:val="32"/>
        </w:rPr>
        <w:t>在严格落实《报告表》提出的环境保护对策及措施，严格执</w:t>
      </w:r>
    </w:p>
    <w:p>
      <w:pPr>
        <w:keepNext w:val="0"/>
        <w:keepLines w:val="0"/>
        <w:pageBreakBefore w:val="0"/>
        <w:kinsoku/>
        <w:overflowPunct w:val="0"/>
        <w:autoSpaceDE/>
        <w:autoSpaceDN/>
        <w:bidi w:val="0"/>
        <w:adjustRightInd w:val="0"/>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行环境保护“三同时”制度，确保污染物达标排放，认真落实环境风险防范措施及应急预案的前提下，该项目建设从环境保护角度可行，我局原则同意《报告表》的总体结论和拟采取的各项生态环境保护措施。你单位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autoSpaceDE/>
        <w:autoSpaceDN/>
        <w:bidi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(一)加强施工期环境管理工作，防止水土流失、施工扬尘和噪声污染。</w:t>
      </w:r>
      <w:r>
        <w:rPr>
          <w:rFonts w:hint="eastAsia" w:ascii="仿宋" w:hAnsi="仿宋" w:eastAsia="仿宋" w:cs="仿宋"/>
          <w:sz w:val="32"/>
          <w:szCs w:val="32"/>
        </w:rPr>
        <w:t>施工人员的生活污水排入市政管网；施工过程中产生的施工废水，经隔油+沉淀处理后回用于工程，不得外排；生活垃圾集中收集，由环卫部门统一清运处理；施工过程中产生建筑垃圾及时清运至政府指定地点；严格落实建筑施工“六必须六不准”和“六个百分百”要求，严格控制扬尘污染；施工场界噪声要满足《建筑施工场界环境噪声排放标准》(</w:t>
      </w:r>
      <w:r>
        <w:rPr>
          <w:rFonts w:hint="eastAsia" w:ascii="Times New Roman" w:hAnsi="Times New Roman" w:eastAsia="仿宋" w:cs="Times New Roman"/>
          <w:kern w:val="2"/>
          <w:sz w:val="32"/>
          <w:szCs w:val="32"/>
          <w:lang w:val="en-US" w:eastAsia="zh-CN" w:bidi="ar-SA"/>
        </w:rPr>
        <w:t>GB12523-2011</w:t>
      </w:r>
      <w:r>
        <w:rPr>
          <w:rFonts w:hint="eastAsia" w:ascii="仿宋" w:hAnsi="仿宋" w:eastAsia="仿宋" w:cs="仿宋"/>
          <w:sz w:val="32"/>
          <w:szCs w:val="32"/>
        </w:rPr>
        <w:t>)的要求。</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（二）落实废气处置措施。</w:t>
      </w:r>
      <w:r>
        <w:rPr>
          <w:rFonts w:hint="eastAsia" w:ascii="仿宋" w:hAnsi="仿宋" w:eastAsia="仿宋" w:cs="仿宋"/>
          <w:sz w:val="32"/>
          <w:szCs w:val="32"/>
        </w:rPr>
        <w:t>火化机废气通过引风机引入“风冷急冷+火星拦截器+布袋除尘+消石灰+活性炭喷射”废气处理装置处理达标后，经</w:t>
      </w:r>
      <w:r>
        <w:rPr>
          <w:rFonts w:hint="eastAsia" w:ascii="Times New Roman" w:hAnsi="Times New Roman" w:eastAsia="仿宋" w:cs="Times New Roman"/>
          <w:kern w:val="2"/>
          <w:sz w:val="32"/>
          <w:szCs w:val="32"/>
          <w:lang w:val="en-US" w:eastAsia="zh-CN" w:bidi="ar-SA"/>
        </w:rPr>
        <w:t>15m</w:t>
      </w:r>
      <w:r>
        <w:rPr>
          <w:rFonts w:hint="eastAsia" w:ascii="仿宋" w:hAnsi="仿宋" w:eastAsia="仿宋" w:cs="仿宋"/>
          <w:sz w:val="32"/>
          <w:szCs w:val="32"/>
        </w:rPr>
        <w:t>高的</w:t>
      </w:r>
      <w:r>
        <w:rPr>
          <w:rFonts w:hint="eastAsia" w:ascii="Times New Roman" w:hAnsi="Times New Roman" w:eastAsia="仿宋" w:cs="Times New Roman"/>
          <w:kern w:val="2"/>
          <w:sz w:val="32"/>
          <w:szCs w:val="32"/>
          <w:lang w:val="en-US" w:eastAsia="zh-CN" w:bidi="ar-SA"/>
        </w:rPr>
        <w:t>DA001</w:t>
      </w:r>
      <w:r>
        <w:rPr>
          <w:rFonts w:hint="eastAsia" w:ascii="仿宋" w:hAnsi="仿宋" w:eastAsia="仿宋" w:cs="仿宋"/>
          <w:sz w:val="32"/>
          <w:szCs w:val="32"/>
        </w:rPr>
        <w:t>排气筒排放，焚烧炉废气</w:t>
      </w:r>
      <w:r>
        <w:rPr>
          <w:rFonts w:hint="eastAsia" w:ascii="仿宋" w:hAnsi="仿宋" w:eastAsia="仿宋" w:cs="仿宋"/>
          <w:color w:val="auto"/>
          <w:sz w:val="32"/>
          <w:szCs w:val="32"/>
        </w:rPr>
        <w:t>通过引风机引入另一套</w:t>
      </w:r>
      <w:r>
        <w:rPr>
          <w:rFonts w:hint="eastAsia" w:ascii="仿宋" w:hAnsi="仿宋" w:eastAsia="仿宋" w:cs="仿宋"/>
          <w:sz w:val="32"/>
          <w:szCs w:val="32"/>
        </w:rPr>
        <w:t>“风冷急冷+火星拦截器+布袋除尘+消石灰+活性炭喷射”废气处理装置进行处理达标后，经</w:t>
      </w:r>
      <w:r>
        <w:rPr>
          <w:rFonts w:hint="eastAsia" w:ascii="Times New Roman" w:hAnsi="Times New Roman" w:eastAsia="仿宋" w:cs="Times New Roman"/>
          <w:kern w:val="2"/>
          <w:sz w:val="32"/>
          <w:szCs w:val="32"/>
          <w:lang w:val="en-US" w:eastAsia="zh-CN" w:bidi="ar-SA"/>
        </w:rPr>
        <w:t>15m</w:t>
      </w:r>
      <w:r>
        <w:rPr>
          <w:rFonts w:hint="eastAsia" w:ascii="仿宋" w:hAnsi="仿宋" w:eastAsia="仿宋" w:cs="仿宋"/>
          <w:sz w:val="32"/>
          <w:szCs w:val="32"/>
        </w:rPr>
        <w:t>高的</w:t>
      </w:r>
      <w:r>
        <w:rPr>
          <w:rFonts w:hint="eastAsia" w:ascii="Times New Roman" w:hAnsi="Times New Roman" w:eastAsia="仿宋" w:cs="Times New Roman"/>
          <w:kern w:val="2"/>
          <w:sz w:val="32"/>
          <w:szCs w:val="32"/>
          <w:lang w:val="en-US" w:eastAsia="zh-CN" w:bidi="ar-SA"/>
        </w:rPr>
        <w:t>DA002</w:t>
      </w:r>
      <w:r>
        <w:rPr>
          <w:rFonts w:hint="eastAsia" w:ascii="仿宋" w:hAnsi="仿宋" w:eastAsia="仿宋" w:cs="仿宋"/>
          <w:sz w:val="32"/>
          <w:szCs w:val="32"/>
        </w:rPr>
        <w:t>排气筒排放；备用发电机烟气经自带消烟除尘设施处理后由专门烟道引至楼顶高空排放。项目生产时应加强无组织废气排放管控措施，有效减少无组织废气排放。项目以火化炉及焚烧炉车间边界设置</w:t>
      </w:r>
      <w:r>
        <w:rPr>
          <w:rFonts w:hint="eastAsia" w:ascii="Times New Roman" w:hAnsi="Times New Roman" w:eastAsia="仿宋" w:cs="Times New Roman"/>
          <w:kern w:val="2"/>
          <w:sz w:val="32"/>
          <w:szCs w:val="32"/>
          <w:lang w:val="en-US" w:eastAsia="zh-CN" w:bidi="ar-SA"/>
        </w:rPr>
        <w:t>100m</w:t>
      </w:r>
      <w:r>
        <w:rPr>
          <w:rFonts w:hint="eastAsia" w:ascii="仿宋" w:hAnsi="仿宋" w:eastAsia="仿宋" w:cs="仿宋"/>
          <w:sz w:val="32"/>
          <w:szCs w:val="32"/>
        </w:rPr>
        <w:t>的卫生防护距离，你单位应及时告知规划等主管部门，在项目周边卫生防护距离范围内，今后不得规划建设学校、医院、居民区等敏感目标。</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（三）落实废水处置措施。</w:t>
      </w:r>
      <w:r>
        <w:rPr>
          <w:rFonts w:hint="eastAsia" w:ascii="仿宋" w:hAnsi="仿宋" w:eastAsia="仿宋" w:cs="仿宋"/>
          <w:sz w:val="32"/>
          <w:szCs w:val="32"/>
        </w:rPr>
        <w:t>采用“雨污分流”，运营期产生的员工生活污水、殡葬废水、治丧人员生活污水等经自建的一体化污水处理设施处理达到《污水综合排放标准》(</w:t>
      </w:r>
      <w:r>
        <w:rPr>
          <w:rFonts w:hint="eastAsia" w:ascii="Times New Roman" w:hAnsi="Times New Roman" w:eastAsia="仿宋" w:cs="Times New Roman"/>
          <w:kern w:val="2"/>
          <w:sz w:val="32"/>
          <w:szCs w:val="32"/>
          <w:lang w:val="en-US" w:eastAsia="zh-CN" w:bidi="ar-SA"/>
        </w:rPr>
        <w:t>GB8978-1996</w:t>
      </w:r>
      <w:r>
        <w:rPr>
          <w:rFonts w:hint="eastAsia" w:ascii="仿宋" w:hAnsi="仿宋" w:eastAsia="仿宋" w:cs="仿宋"/>
          <w:sz w:val="32"/>
          <w:szCs w:val="32"/>
        </w:rPr>
        <w:t>)表</w:t>
      </w:r>
      <w:r>
        <w:rPr>
          <w:rFonts w:hint="eastAsia" w:ascii="Times New Roman" w:hAnsi="Times New Roman" w:eastAsia="仿宋" w:cs="Times New Roman"/>
          <w:kern w:val="2"/>
          <w:sz w:val="32"/>
          <w:szCs w:val="32"/>
          <w:lang w:val="en-US" w:eastAsia="zh-CN" w:bidi="ar-SA"/>
        </w:rPr>
        <w:t>4</w:t>
      </w:r>
      <w:r>
        <w:rPr>
          <w:rFonts w:hint="eastAsia" w:ascii="仿宋" w:hAnsi="仿宋" w:eastAsia="仿宋" w:cs="仿宋"/>
          <w:sz w:val="32"/>
          <w:szCs w:val="32"/>
        </w:rPr>
        <w:t>的三级标准，进入市政污水管网经大英工业污水处理厂达标后排入郪江。一体化污水处理设施采用格栅+调节池+“</w:t>
      </w:r>
      <w:r>
        <w:rPr>
          <w:rFonts w:hint="eastAsia" w:ascii="Times New Roman" w:hAnsi="Times New Roman" w:eastAsia="仿宋" w:cs="Times New Roman"/>
          <w:kern w:val="2"/>
          <w:sz w:val="32"/>
          <w:szCs w:val="32"/>
          <w:lang w:val="en-US" w:eastAsia="zh-CN" w:bidi="ar-SA"/>
        </w:rPr>
        <w:t>AO</w:t>
      </w:r>
      <w:r>
        <w:rPr>
          <w:rFonts w:hint="eastAsia" w:ascii="仿宋" w:hAnsi="仿宋" w:eastAsia="仿宋" w:cs="仿宋"/>
          <w:sz w:val="32"/>
          <w:szCs w:val="32"/>
        </w:rPr>
        <w:t>+沉淀+消毒”工艺。</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（四）落实固废处置措施。</w:t>
      </w:r>
      <w:r>
        <w:rPr>
          <w:rFonts w:hint="eastAsia" w:ascii="仿宋" w:hAnsi="仿宋" w:eastAsia="仿宋" w:cs="仿宋"/>
          <w:sz w:val="32"/>
          <w:szCs w:val="32"/>
        </w:rPr>
        <w:t>火化骨灰由家属领走或送入公墓安葬处理；除尘飞灰及除尘器废布袋、遗物祭品焚烧灰渣统一收集后置于固废暂存间内，交由环卫部门统一清运；生活垃圾统一收集后交由环卫部门统一清运；污泥定期清掏规范化处置；废活性炭属于危险废物，暂存于危险废物暂存间，定期交由有资质单位处置，转移过程严格落实《危险废物转移管理办法》要求。</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（五）落实噪声处置措施。</w:t>
      </w:r>
      <w:r>
        <w:rPr>
          <w:rFonts w:hint="eastAsia" w:ascii="仿宋" w:hAnsi="仿宋" w:eastAsia="仿宋" w:cs="仿宋"/>
          <w:sz w:val="32"/>
          <w:szCs w:val="32"/>
        </w:rPr>
        <w:t>项目采取设备合理布局，通过选用低噪声设备、隔声降噪、基础减震等措施，降低对周围声环境的影响，厂界噪声排放需满足《工业企业厂界环境噪声排放标准》（</w:t>
      </w:r>
      <w:r>
        <w:rPr>
          <w:rFonts w:hint="eastAsia" w:ascii="Times New Roman" w:hAnsi="Times New Roman" w:eastAsia="仿宋" w:cs="Times New Roman"/>
          <w:kern w:val="2"/>
          <w:sz w:val="32"/>
          <w:szCs w:val="32"/>
          <w:lang w:val="en-US" w:eastAsia="zh-CN" w:bidi="ar-SA"/>
        </w:rPr>
        <w:t>GB12348-2008</w:t>
      </w:r>
      <w:r>
        <w:rPr>
          <w:rFonts w:hint="eastAsia" w:ascii="仿宋" w:hAnsi="仿宋" w:eastAsia="仿宋" w:cs="仿宋"/>
          <w:sz w:val="32"/>
          <w:szCs w:val="32"/>
        </w:rPr>
        <w:t>）中</w:t>
      </w:r>
      <w:r>
        <w:rPr>
          <w:rFonts w:hint="eastAsia" w:ascii="Times New Roman" w:hAnsi="Times New Roman" w:eastAsia="仿宋" w:cs="Times New Roman"/>
          <w:kern w:val="2"/>
          <w:sz w:val="32"/>
          <w:szCs w:val="32"/>
          <w:lang w:val="en-US" w:eastAsia="zh-CN" w:bidi="ar-SA"/>
        </w:rPr>
        <w:t>3</w:t>
      </w:r>
      <w:r>
        <w:rPr>
          <w:rFonts w:hint="eastAsia" w:ascii="仿宋" w:hAnsi="仿宋" w:eastAsia="仿宋" w:cs="仿宋"/>
          <w:sz w:val="32"/>
          <w:szCs w:val="32"/>
        </w:rPr>
        <w:t>类标准。</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（六）落实地下水、土壤防治措施。</w:t>
      </w:r>
      <w:r>
        <w:rPr>
          <w:rFonts w:hint="eastAsia" w:ascii="仿宋" w:hAnsi="仿宋" w:eastAsia="仿宋" w:cs="仿宋"/>
          <w:sz w:val="32"/>
          <w:szCs w:val="32"/>
        </w:rPr>
        <w:t>严格按照《报告表》要求，落实分区防渗措施，防止地下水和土壤环境污染。对危废暂存间、柴油油罐区采用“防渗混凝土硬化+</w:t>
      </w:r>
      <w:r>
        <w:rPr>
          <w:rFonts w:hint="eastAsia" w:ascii="Times New Roman" w:hAnsi="Times New Roman" w:eastAsia="仿宋" w:cs="Times New Roman"/>
          <w:kern w:val="2"/>
          <w:sz w:val="32"/>
          <w:szCs w:val="32"/>
          <w:lang w:val="en-US" w:eastAsia="zh-CN" w:bidi="ar-SA"/>
        </w:rPr>
        <w:t>2mm</w:t>
      </w:r>
      <w:r>
        <w:rPr>
          <w:rFonts w:hint="eastAsia" w:ascii="仿宋" w:hAnsi="仿宋" w:eastAsia="仿宋" w:cs="仿宋"/>
          <w:sz w:val="32"/>
          <w:szCs w:val="32"/>
        </w:rPr>
        <w:t>环氧树脂或其它防渗材料”进行重点防渗处理；对重点防渗区以外的生产厂区采用防渗混凝土硬化进行一般防渗处理；综合楼、停车区、厂区道路等可采用一般混凝土硬化。</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（七）落实环境风险防范措施。</w:t>
      </w:r>
      <w:r>
        <w:rPr>
          <w:rFonts w:hint="eastAsia" w:ascii="仿宋" w:hAnsi="仿宋" w:eastAsia="仿宋" w:cs="仿宋"/>
          <w:sz w:val="32"/>
          <w:szCs w:val="32"/>
        </w:rPr>
        <w:t xml:space="preserve">严格落实《报告表》提出的风险防范措施，制定并不断完善突发环境事件应急预案，规范内部管理，严格操作规范，防止污染事故的发生。建立畅通的公众参与渠道，及时解决公众合理的环境诉求。  </w:t>
      </w:r>
    </w:p>
    <w:p>
      <w:pPr>
        <w:pStyle w:val="8"/>
        <w:keepNext w:val="0"/>
        <w:keepLines w:val="0"/>
        <w:pageBreakBefore w:val="0"/>
        <w:kinsoku/>
        <w:autoSpaceDE/>
        <w:autoSpaceDN/>
        <w:bidi w:val="0"/>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w:t>
      </w:r>
      <w:r>
        <w:rPr>
          <w:rFonts w:hint="eastAsia" w:ascii="仿宋" w:hAnsi="仿宋" w:eastAsia="仿宋" w:cs="仿宋"/>
          <w:sz w:val="32"/>
          <w:szCs w:val="32"/>
        </w:rPr>
        <w:t>根据《报告表》预测，项目实施后主要大气污染物排放总量为：</w:t>
      </w:r>
      <w:r>
        <w:rPr>
          <w:rFonts w:hint="default" w:ascii="Times New Roman" w:hAnsi="Times New Roman" w:eastAsia="仿宋" w:cs="Times New Roman"/>
          <w:sz w:val="32"/>
          <w:szCs w:val="32"/>
        </w:rPr>
        <w:t>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0.121t/a</w:t>
      </w:r>
      <w:r>
        <w:rPr>
          <w:rFonts w:hint="eastAsia" w:ascii="仿宋" w:hAnsi="仿宋" w:eastAsia="仿宋" w:cs="仿宋"/>
          <w:sz w:val="32"/>
          <w:szCs w:val="32"/>
        </w:rPr>
        <w:t>、</w:t>
      </w:r>
      <w:r>
        <w:rPr>
          <w:rFonts w:hint="default" w:ascii="Times New Roman" w:hAnsi="Times New Roman" w:eastAsia="仿宋" w:cs="Times New Roman"/>
          <w:sz w:val="32"/>
          <w:szCs w:val="32"/>
        </w:rPr>
        <w:t>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0.069t/a</w:t>
      </w:r>
      <w:r>
        <w:rPr>
          <w:rFonts w:hint="eastAsia" w:ascii="仿宋" w:hAnsi="仿宋" w:eastAsia="仿宋" w:cs="仿宋"/>
          <w:sz w:val="32"/>
          <w:szCs w:val="32"/>
        </w:rPr>
        <w:t>、颗粒物</w:t>
      </w:r>
      <w:r>
        <w:rPr>
          <w:rFonts w:hint="default" w:ascii="Times New Roman" w:hAnsi="Times New Roman" w:eastAsia="仿宋" w:cs="Times New Roman"/>
          <w:sz w:val="32"/>
          <w:szCs w:val="32"/>
        </w:rPr>
        <w:t>0.07t/a</w:t>
      </w:r>
      <w:r>
        <w:rPr>
          <w:rFonts w:hint="eastAsia" w:ascii="仿宋" w:hAnsi="仿宋" w:eastAsia="仿宋" w:cs="仿宋"/>
          <w:sz w:val="32"/>
          <w:szCs w:val="32"/>
        </w:rPr>
        <w:t>；主要水污染物排放总量为：</w:t>
      </w:r>
      <w:r>
        <w:rPr>
          <w:rFonts w:hint="default" w:ascii="Times New Roman" w:hAnsi="Times New Roman" w:eastAsia="仿宋" w:cs="Times New Roman"/>
          <w:sz w:val="32"/>
          <w:szCs w:val="32"/>
        </w:rPr>
        <w:t>COD0.01t/a</w:t>
      </w:r>
      <w:r>
        <w:rPr>
          <w:rFonts w:hint="eastAsia" w:ascii="仿宋" w:hAnsi="仿宋" w:eastAsia="仿宋" w:cs="仿宋"/>
          <w:sz w:val="32"/>
          <w:szCs w:val="32"/>
        </w:rPr>
        <w:t>、氨氮</w:t>
      </w:r>
      <w:r>
        <w:rPr>
          <w:rFonts w:hint="default" w:ascii="Times New Roman" w:hAnsi="Times New Roman" w:eastAsia="仿宋" w:cs="Times New Roman"/>
          <w:sz w:val="32"/>
          <w:szCs w:val="32"/>
        </w:rPr>
        <w:t>0.00049t/a</w:t>
      </w:r>
      <w:r>
        <w:rPr>
          <w:rFonts w:hint="eastAsia" w:ascii="仿宋" w:hAnsi="仿宋" w:eastAsia="仿宋" w:cs="仿宋"/>
          <w:bCs/>
          <w:sz w:val="32"/>
          <w:szCs w:val="32"/>
        </w:rPr>
        <w:t>（经工业污水处理厂处理达标后的排放量）。</w:t>
      </w:r>
    </w:p>
    <w:p>
      <w:pPr>
        <w:pStyle w:val="8"/>
        <w:keepNext w:val="0"/>
        <w:keepLines w:val="0"/>
        <w:pageBreakBefore w:val="0"/>
        <w:kinsoku/>
        <w:autoSpaceDE/>
        <w:autoSpaceDN/>
        <w:bidi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四、项目建设应依法完备其他行政许可手续。</w:t>
      </w:r>
    </w:p>
    <w:p>
      <w:pPr>
        <w:keepNext w:val="0"/>
        <w:keepLines w:val="0"/>
        <w:pageBreakBefore w:val="0"/>
        <w:kinsoku/>
        <w:overflowPunct w:val="0"/>
        <w:autoSpaceDE/>
        <w:autoSpaceDN/>
        <w:bidi w:val="0"/>
        <w:snapToGrid w:val="0"/>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五、项目建设必须严格执行配套建设的环境保护设施与主体工程同时设计、同时施工、同时投产使用的环境保护“三同时”制度。</w:t>
      </w:r>
      <w:r>
        <w:rPr>
          <w:rFonts w:hint="eastAsia" w:ascii="仿宋" w:hAnsi="仿宋" w:eastAsia="仿宋" w:cs="仿宋"/>
          <w:sz w:val="32"/>
          <w:szCs w:val="32"/>
        </w:rPr>
        <w:t>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kinsoku/>
        <w:overflowPunct w:val="0"/>
        <w:autoSpaceDE/>
        <w:autoSpaceDN/>
        <w:bidi w:val="0"/>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w:t>
      </w:r>
      <w:r>
        <w:rPr>
          <w:rFonts w:hint="default" w:ascii="Times New Roman" w:hAnsi="Times New Roman" w:eastAsia="仿宋" w:cs="Times New Roman"/>
          <w:sz w:val="32"/>
          <w:szCs w:val="32"/>
        </w:rPr>
        <w:t>5</w:t>
      </w:r>
      <w:r>
        <w:rPr>
          <w:rFonts w:hint="eastAsia" w:ascii="仿宋" w:hAnsi="仿宋" w:eastAsia="仿宋" w:cs="仿宋"/>
          <w:sz w:val="32"/>
          <w:szCs w:val="32"/>
        </w:rPr>
        <w:t>年未开工建设，环境影响评价文件应当报我局重新审核。</w:t>
      </w:r>
    </w:p>
    <w:p>
      <w:pPr>
        <w:pStyle w:val="19"/>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遂宁市大英生态环境局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8"/>
        <w:keepNext w:val="0"/>
        <w:keepLines w:val="0"/>
        <w:pageBreakBefore w:val="0"/>
        <w:widowControl w:val="0"/>
        <w:kinsoku/>
        <w:wordWrap w:val="0"/>
        <w:topLinePunct w:val="0"/>
        <w:autoSpaceDE/>
        <w:autoSpaceDN/>
        <w:bidi w:val="0"/>
        <w:spacing w:line="600" w:lineRule="exact"/>
        <w:ind w:left="0" w:leftChars="0" w:firstLine="0" w:firstLineChars="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bCs/>
          <w:sz w:val="32"/>
          <w:szCs w:val="32"/>
        </w:rPr>
        <w:t>年</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Cs/>
          <w:sz w:val="32"/>
          <w:szCs w:val="32"/>
        </w:rPr>
        <w:t>月</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p>
    <w:tbl>
      <w:tblPr>
        <w:tblStyle w:val="14"/>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422" w:type="dxa"/>
            <w:tcBorders>
              <w:tl2br w:val="nil"/>
              <w:tr2bl w:val="nil"/>
            </w:tcBorders>
            <w:vAlign w:val="top"/>
          </w:tcPr>
          <w:p>
            <w:pPr>
              <w:pStyle w:val="4"/>
              <w:keepNext w:val="0"/>
              <w:keepLines w:val="0"/>
              <w:pageBreakBefore w:val="0"/>
              <w:widowControl w:val="0"/>
              <w:kinsoku/>
              <w:wordWrap w:val="0"/>
              <w:overflowPunct/>
              <w:topLinePunct w:val="0"/>
              <w:autoSpaceDE/>
              <w:autoSpaceDN/>
              <w:bidi w:val="0"/>
              <w:adjustRightInd/>
              <w:snapToGrid/>
              <w:spacing w:after="0" w:line="600" w:lineRule="exact"/>
              <w:ind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4"/>
              <w:keepNext w:val="0"/>
              <w:keepLines w:val="0"/>
              <w:pageBreakBefore w:val="0"/>
              <w:widowControl w:val="0"/>
              <w:kinsoku/>
              <w:wordWrap w:val="0"/>
              <w:overflowPunct/>
              <w:topLinePunct w:val="0"/>
              <w:autoSpaceDE/>
              <w:autoSpaceDN/>
              <w:bidi w:val="0"/>
              <w:adjustRightInd/>
              <w:snapToGrid/>
              <w:spacing w:after="0" w:line="600" w:lineRule="exact"/>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10</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楷体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tabs>
        <w:tab w:val="left" w:pos="6925"/>
        <w:tab w:val="clear" w:pos="4153"/>
      </w:tabs>
      <w:kinsoku/>
      <w:wordWrap/>
      <w:overflowPunct/>
      <w:topLinePunct w:val="0"/>
      <w:autoSpaceDE/>
      <w:autoSpaceDN/>
      <w:bidi w:val="0"/>
      <w:adjustRightInd/>
      <w:snapToGrid w:val="0"/>
      <w:spacing w:line="240" w:lineRule="atLeast"/>
      <w:textAlignment w:val="auto"/>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tabs>
        <w:tab w:val="left" w:pos="6925"/>
        <w:tab w:val="clear" w:pos="4153"/>
      </w:tabs>
      <w:kinsoku/>
      <w:wordWrap/>
      <w:overflowPunct/>
      <w:topLinePunct w:val="0"/>
      <w:autoSpaceDE/>
      <w:autoSpaceDN/>
      <w:bidi w:val="0"/>
      <w:adjustRightInd/>
      <w:snapToGrid w:val="0"/>
      <w:spacing w:line="240" w:lineRule="atLeas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19685</wp:posOffset>
              </wp:positionV>
              <wp:extent cx="1068705"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8705"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5pt;height:20pt;width:84.15pt;mso-position-horizontal:outside;mso-position-horizontal-relative:margin;z-index:251659264;mso-width-relative:page;mso-height-relative:page;" filled="f" stroked="f" coordsize="21600,21600" o:gfxdata="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vJ2MTUAAAABQEAAA8AAAAAAAAAAQAgAAAAIgAAAGRycy9kb3ducmV2Lnht&#10;bFBLAQIUABQAAAAIAIdO4kAOEfPgNgIAAGIEAAAOAAAAAAAAAAEAIAAAACMBAABkcnMvZTJvRG9j&#10;LnhtbFBLBQYAAAAABgAGAFkBAADLBQAAAAA=&#10;">
              <v:fill on="f" focussize="0,0"/>
              <v:stroke on="f" weight="0.5pt"/>
              <v:imagedata o:title=""/>
              <o:lock v:ext="edit" aspectratio="f"/>
              <v:textbox inset="0mm,0mm,0mm,0mm">
                <w:txbxContent>
                  <w:p>
                    <w:pPr>
                      <w:pStyle w:val="11"/>
                      <w:keepNext w:val="0"/>
                      <w:keepLines w:val="0"/>
                      <w:pageBreakBefore w:val="0"/>
                      <w:widowControl w:val="0"/>
                      <w:kinsoku/>
                      <w:wordWrap w:val="0"/>
                      <w:overflowPunct/>
                      <w:topLinePunct w:val="0"/>
                      <w:autoSpaceDE/>
                      <w:autoSpaceDN/>
                      <w:bidi w:val="0"/>
                      <w:adjustRightInd/>
                      <w:snapToGrid w:val="0"/>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cstheme="minorEastAsia"/>
                        <w:sz w:val="28"/>
                        <w:szCs w:val="28"/>
                        <w:lang w:val="en-US" w:eastAsia="zh-CN"/>
                      </w:rPr>
                      <w:t xml:space="preserve">— </w:t>
                    </w:r>
                    <w:r>
                      <w:rPr>
                        <w:rFonts w:hint="default" w:asciiTheme="minorEastAsia" w:hAnsiTheme="minorEastAsia" w:cstheme="minorEastAsia"/>
                        <w:sz w:val="28"/>
                        <w:szCs w:val="28"/>
                        <w:lang w:val="en-US" w:eastAsia="zh-CN"/>
                      </w:rPr>
                      <w:fldChar w:fldCharType="begin"/>
                    </w:r>
                    <w:r>
                      <w:rPr>
                        <w:rFonts w:hint="default" w:asciiTheme="minorEastAsia" w:hAnsiTheme="minorEastAsia" w:cstheme="minorEastAsia"/>
                        <w:sz w:val="28"/>
                        <w:szCs w:val="28"/>
                        <w:lang w:val="en-US" w:eastAsia="zh-CN"/>
                      </w:rPr>
                      <w:instrText xml:space="preserve"> PAGE  \* MERGEFORMAT </w:instrText>
                    </w:r>
                    <w:r>
                      <w:rPr>
                        <w:rFonts w:hint="default" w:asciiTheme="minorEastAsia" w:hAnsiTheme="minorEastAsia" w:cstheme="minorEastAsia"/>
                        <w:sz w:val="28"/>
                        <w:szCs w:val="28"/>
                        <w:lang w:val="en-US" w:eastAsia="zh-CN"/>
                      </w:rPr>
                      <w:fldChar w:fldCharType="separate"/>
                    </w:r>
                    <w:r>
                      <w:rPr>
                        <w:rFonts w:hint="default"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fldChar w:fldCharType="end"/>
                    </w:r>
                    <w:r>
                      <w:rPr>
                        <w:rFonts w:hint="default" w:asciiTheme="minorEastAsia" w:hAnsiTheme="minorEastAsia" w:cstheme="minorEastAsia"/>
                        <w:sz w:val="28"/>
                        <w:szCs w:val="28"/>
                        <w:lang w:val="en-US" w:eastAsia="zh-CN"/>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1844E19"/>
    <w:rsid w:val="01FD40F1"/>
    <w:rsid w:val="02B22144"/>
    <w:rsid w:val="082B7D91"/>
    <w:rsid w:val="088675ED"/>
    <w:rsid w:val="089E130F"/>
    <w:rsid w:val="094E2162"/>
    <w:rsid w:val="0AB74B79"/>
    <w:rsid w:val="0AE4604C"/>
    <w:rsid w:val="0C4C2651"/>
    <w:rsid w:val="0F5D7B56"/>
    <w:rsid w:val="13A050E7"/>
    <w:rsid w:val="1735378C"/>
    <w:rsid w:val="1ADB2985"/>
    <w:rsid w:val="1B326960"/>
    <w:rsid w:val="1D04432C"/>
    <w:rsid w:val="1E29348B"/>
    <w:rsid w:val="1EAC44A7"/>
    <w:rsid w:val="1F8E271B"/>
    <w:rsid w:val="1FC85967"/>
    <w:rsid w:val="204F3B10"/>
    <w:rsid w:val="20E64474"/>
    <w:rsid w:val="224F429B"/>
    <w:rsid w:val="23E07BD5"/>
    <w:rsid w:val="24E504BB"/>
    <w:rsid w:val="25137802"/>
    <w:rsid w:val="251C281B"/>
    <w:rsid w:val="26672398"/>
    <w:rsid w:val="27E16961"/>
    <w:rsid w:val="2A1F2C38"/>
    <w:rsid w:val="2ECF0CB6"/>
    <w:rsid w:val="2F1C72B3"/>
    <w:rsid w:val="31F50C2D"/>
    <w:rsid w:val="31FD6612"/>
    <w:rsid w:val="37225683"/>
    <w:rsid w:val="372748CB"/>
    <w:rsid w:val="376A1E4F"/>
    <w:rsid w:val="38C236CA"/>
    <w:rsid w:val="3A2A31CC"/>
    <w:rsid w:val="415844BA"/>
    <w:rsid w:val="42A751E8"/>
    <w:rsid w:val="44242A3A"/>
    <w:rsid w:val="491F4DFE"/>
    <w:rsid w:val="509E5922"/>
    <w:rsid w:val="518979CC"/>
    <w:rsid w:val="54454557"/>
    <w:rsid w:val="54C73958"/>
    <w:rsid w:val="558A2919"/>
    <w:rsid w:val="55E55DA1"/>
    <w:rsid w:val="566A0472"/>
    <w:rsid w:val="56B365F2"/>
    <w:rsid w:val="577473DD"/>
    <w:rsid w:val="58C4394C"/>
    <w:rsid w:val="58D418CA"/>
    <w:rsid w:val="59205D38"/>
    <w:rsid w:val="5CBA1D36"/>
    <w:rsid w:val="5D942597"/>
    <w:rsid w:val="5EC51967"/>
    <w:rsid w:val="5F13397F"/>
    <w:rsid w:val="60570CFE"/>
    <w:rsid w:val="60B414A2"/>
    <w:rsid w:val="61CF012A"/>
    <w:rsid w:val="63133F4E"/>
    <w:rsid w:val="64EF4296"/>
    <w:rsid w:val="68FC6EDC"/>
    <w:rsid w:val="6A832EF5"/>
    <w:rsid w:val="6AAE27AE"/>
    <w:rsid w:val="6D3C5791"/>
    <w:rsid w:val="6E550418"/>
    <w:rsid w:val="6F394D3C"/>
    <w:rsid w:val="6F6E3FD1"/>
    <w:rsid w:val="6F705600"/>
    <w:rsid w:val="6FF46C64"/>
    <w:rsid w:val="70D24CB2"/>
    <w:rsid w:val="751C3136"/>
    <w:rsid w:val="76150602"/>
    <w:rsid w:val="78E7601E"/>
    <w:rsid w:val="7A195E96"/>
    <w:rsid w:val="7B19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w:basedOn w:val="1"/>
    <w:next w:val="1"/>
    <w:qFormat/>
    <w:uiPriority w:val="0"/>
    <w:pPr>
      <w:ind w:left="120"/>
    </w:pPr>
    <w:rPr>
      <w:rFonts w:ascii="宋体" w:hAnsi="宋体"/>
      <w:sz w:val="32"/>
      <w:szCs w:val="32"/>
    </w:rPr>
  </w:style>
  <w:style w:type="paragraph" w:styleId="6">
    <w:name w:val="List Number"/>
    <w:basedOn w:val="1"/>
    <w:qFormat/>
    <w:uiPriority w:val="0"/>
    <w:pPr>
      <w:numPr>
        <w:ilvl w:val="0"/>
        <w:numId w:val="1"/>
      </w:numPr>
    </w:pPr>
  </w:style>
  <w:style w:type="paragraph" w:styleId="7">
    <w:name w:val="Plain Text"/>
    <w:basedOn w:val="1"/>
    <w:qFormat/>
    <w:uiPriority w:val="0"/>
    <w:rPr>
      <w:rFonts w:ascii="宋体" w:hAnsi="Courier New" w:eastAsia="宋体" w:cs="Times New Roman"/>
    </w:rPr>
  </w:style>
  <w:style w:type="paragraph" w:styleId="8">
    <w:name w:val="Body Text Indent 2"/>
    <w:basedOn w:val="1"/>
    <w:next w:val="9"/>
    <w:qFormat/>
    <w:uiPriority w:val="0"/>
    <w:pPr>
      <w:adjustRightInd w:val="0"/>
      <w:snapToGrid w:val="0"/>
      <w:spacing w:line="440" w:lineRule="atLeast"/>
      <w:ind w:firstLine="573"/>
    </w:pPr>
    <w:rPr>
      <w:rFonts w:ascii="宋体"/>
    </w:rPr>
  </w:style>
  <w:style w:type="paragraph" w:customStyle="1" w:styleId="9">
    <w:name w:val="简单回函地址"/>
    <w:basedOn w:val="1"/>
    <w:next w:val="10"/>
    <w:qFormat/>
    <w:uiPriority w:val="0"/>
    <w:rPr>
      <w:szCs w:val="20"/>
    </w:rPr>
  </w:style>
  <w:style w:type="paragraph" w:customStyle="1" w:styleId="10">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章标题"/>
    <w:basedOn w:val="1"/>
    <w:next w:val="17"/>
    <w:qFormat/>
    <w:uiPriority w:val="0"/>
    <w:pPr>
      <w:spacing w:before="158" w:after="153" w:line="323" w:lineRule="atLeast"/>
      <w:ind w:right="-120"/>
      <w:jc w:val="center"/>
      <w:textAlignment w:val="baseline"/>
    </w:pPr>
    <w:rPr>
      <w:color w:val="FF0000"/>
      <w:sz w:val="18"/>
      <w:szCs w:val="18"/>
    </w:rPr>
  </w:style>
  <w:style w:type="paragraph" w:customStyle="1" w:styleId="17">
    <w:name w:val="节标题"/>
    <w:basedOn w:val="1"/>
    <w:next w:val="1"/>
    <w:qFormat/>
    <w:uiPriority w:val="0"/>
    <w:pPr>
      <w:spacing w:line="289" w:lineRule="atLeast"/>
      <w:jc w:val="center"/>
      <w:textAlignment w:val="baseline"/>
    </w:pPr>
    <w:rPr>
      <w:color w:val="000000"/>
      <w:sz w:val="28"/>
      <w:szCs w:val="28"/>
    </w:rPr>
  </w:style>
  <w:style w:type="paragraph" w:customStyle="1" w:styleId="18">
    <w:name w:val="_Style 2"/>
    <w:basedOn w:val="1"/>
    <w:qFormat/>
    <w:uiPriority w:val="34"/>
    <w:pPr>
      <w:ind w:firstLine="420" w:firstLineChars="200"/>
    </w:pPr>
  </w:style>
  <w:style w:type="paragraph" w:customStyle="1" w:styleId="19">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0">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1">
    <w:name w:val="font21"/>
    <w:basedOn w:val="15"/>
    <w:qFormat/>
    <w:uiPriority w:val="0"/>
    <w:rPr>
      <w:rFonts w:hint="eastAsia" w:ascii="宋体" w:hAnsi="宋体" w:eastAsia="宋体" w:cs="宋体"/>
      <w:color w:val="000000"/>
      <w:sz w:val="20"/>
      <w:szCs w:val="20"/>
      <w:u w:val="none"/>
    </w:rPr>
  </w:style>
  <w:style w:type="paragraph" w:customStyle="1" w:styleId="22">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3">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4">
    <w:name w:val="font7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2183</Words>
  <Characters>2332</Characters>
  <Lines>0</Lines>
  <Paragraphs>0</Paragraphs>
  <TotalTime>11</TotalTime>
  <ScaleCrop>false</ScaleCrop>
  <LinksUpToDate>false</LinksUpToDate>
  <CharactersWithSpaces>2379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洛丽塔塔塔</cp:lastModifiedBy>
  <cp:lastPrinted>2023-03-13T05:43:40Z</cp:lastPrinted>
  <dcterms:modified xsi:type="dcterms:W3CDTF">2023-03-13T05:51:13Z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84AF9974EFDA41BBB430CA9C288762B8</vt:lpwstr>
  </property>
</Properties>
</file>