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8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00" w:lineRule="exact"/>
        <w:textAlignment w:val="auto"/>
        <w:rPr>
          <w:sz w:val="32"/>
          <w:szCs w:val="32"/>
        </w:rPr>
      </w:pPr>
    </w:p>
    <w:p>
      <w:pPr>
        <w:pageBreakBefore w:val="0"/>
        <w:widowControl w:val="0"/>
        <w:kinsoku/>
        <w:wordWrap/>
        <w:overflowPunct/>
        <w:topLinePunct w:val="0"/>
        <w:autoSpaceDE/>
        <w:autoSpaceDN/>
        <w:bidi w:val="0"/>
        <w:adjustRightInd/>
        <w:snapToGrid/>
        <w:spacing w:line="500" w:lineRule="exact"/>
        <w:textAlignment w:val="auto"/>
        <w:rPr>
          <w:sz w:val="32"/>
          <w:szCs w:val="32"/>
        </w:rPr>
      </w:pPr>
    </w:p>
    <w:p>
      <w:pPr>
        <w:keepNext w:val="0"/>
        <w:keepLines w:val="0"/>
        <w:pageBreakBefore w:val="0"/>
        <w:widowControl w:val="0"/>
        <w:kinsoku/>
        <w:topLinePunct w:val="0"/>
        <w:autoSpaceDE/>
        <w:autoSpaceDN/>
        <w:bidi w:val="0"/>
        <w:spacing w:line="600" w:lineRule="exact"/>
        <w:jc w:val="center"/>
        <w:textAlignment w:val="auto"/>
        <w:rPr>
          <w:rFonts w:eastAsia="方正小标宋简体"/>
          <w:sz w:val="44"/>
          <w:szCs w:val="44"/>
        </w:rPr>
      </w:pPr>
      <w:r>
        <w:rPr>
          <w:rFonts w:eastAsia="方正小标宋简体"/>
          <w:sz w:val="44"/>
          <w:szCs w:val="44"/>
        </w:rPr>
        <w:t>遂宁市大英生态环境局</w:t>
      </w:r>
    </w:p>
    <w:p>
      <w:pPr>
        <w:keepNext w:val="0"/>
        <w:keepLines w:val="0"/>
        <w:pageBreakBefore w:val="0"/>
        <w:widowControl w:val="0"/>
        <w:kinsoku/>
        <w:wordWrap w:val="0"/>
        <w:overflowPunct w:val="0"/>
        <w:topLinePunct w:val="0"/>
        <w:autoSpaceDE/>
        <w:autoSpaceDN/>
        <w:bidi w:val="0"/>
        <w:adjustRightInd w:val="0"/>
        <w:snapToGrid w:val="0"/>
        <w:spacing w:line="600" w:lineRule="exact"/>
        <w:jc w:val="center"/>
        <w:textAlignment w:val="auto"/>
        <w:rPr>
          <w:rFonts w:eastAsia="方正小标宋简体"/>
          <w:kern w:val="0"/>
          <w:sz w:val="44"/>
          <w:szCs w:val="44"/>
        </w:rPr>
      </w:pPr>
      <w:r>
        <w:rPr>
          <w:rFonts w:hint="default" w:ascii="Times New Roman" w:hAnsi="Times New Roman" w:eastAsia="方正小标宋简体" w:cs="Times New Roman"/>
          <w:kern w:val="0"/>
          <w:sz w:val="44"/>
          <w:szCs w:val="44"/>
        </w:rPr>
        <w:t>关于四川圣拉斯包装制品有限公司年产2000</w:t>
      </w:r>
      <w:r>
        <w:rPr>
          <w:rFonts w:hint="eastAsia" w:eastAsia="方正小标宋简体"/>
          <w:kern w:val="0"/>
          <w:sz w:val="44"/>
          <w:szCs w:val="44"/>
        </w:rPr>
        <w:t>万套酒类及家电制品表处理自动化生产线项目</w:t>
      </w:r>
      <w:r>
        <w:rPr>
          <w:rFonts w:eastAsia="方正小标宋简体"/>
          <w:kern w:val="0"/>
          <w:sz w:val="44"/>
          <w:szCs w:val="44"/>
        </w:rPr>
        <w:t>环境影响报告表的批复</w:t>
      </w:r>
    </w:p>
    <w:p>
      <w:pPr>
        <w:keepNext w:val="0"/>
        <w:keepLines w:val="0"/>
        <w:pageBreakBefore w:val="0"/>
        <w:widowControl w:val="0"/>
        <w:kinsoku/>
        <w:wordWrap w:val="0"/>
        <w:overflowPunct w:val="0"/>
        <w:topLinePunct/>
        <w:autoSpaceDE/>
        <w:autoSpaceDN/>
        <w:bidi w:val="0"/>
        <w:snapToGrid w:val="0"/>
        <w:spacing w:line="600" w:lineRule="exact"/>
        <w:textAlignment w:val="auto"/>
        <w:rPr>
          <w:rFonts w:hint="eastAsia" w:ascii="仿宋" w:hAnsi="仿宋" w:eastAsia="仿宋" w:cs="仿宋"/>
          <w:sz w:val="32"/>
          <w:szCs w:val="32"/>
        </w:rPr>
      </w:pPr>
    </w:p>
    <w:p>
      <w:pPr>
        <w:keepNext w:val="0"/>
        <w:keepLines w:val="0"/>
        <w:pageBreakBefore w:val="0"/>
        <w:widowControl w:val="0"/>
        <w:kinsoku/>
        <w:wordWrap w:val="0"/>
        <w:overflowPunct w:val="0"/>
        <w:topLinePunct/>
        <w:autoSpaceDE/>
        <w:autoSpaceDN/>
        <w:bidi w:val="0"/>
        <w:snapToGrid w:val="0"/>
        <w:spacing w:line="600" w:lineRule="exact"/>
        <w:textAlignment w:val="auto"/>
        <w:rPr>
          <w:rFonts w:eastAsia="仿宋_GB2312"/>
          <w:sz w:val="32"/>
          <w:szCs w:val="32"/>
        </w:rPr>
      </w:pPr>
      <w:r>
        <w:rPr>
          <w:rFonts w:hint="eastAsia" w:eastAsia="仿宋_GB2312"/>
          <w:sz w:val="32"/>
          <w:szCs w:val="32"/>
        </w:rPr>
        <w:t>四川圣拉斯包装制品有限公司</w:t>
      </w:r>
      <w:r>
        <w:rPr>
          <w:rFonts w:eastAsia="仿宋_GB2312"/>
          <w:sz w:val="32"/>
          <w:szCs w:val="32"/>
        </w:rPr>
        <w:t>：</w:t>
      </w:r>
    </w:p>
    <w:p>
      <w:pPr>
        <w:keepNext w:val="0"/>
        <w:keepLines w:val="0"/>
        <w:pageBreakBefore w:val="0"/>
        <w:widowControl w:val="0"/>
        <w:kinsoku/>
        <w:wordWrap w:val="0"/>
        <w:overflowPunct w:val="0"/>
        <w:topLinePunct/>
        <w:autoSpaceDE/>
        <w:autoSpaceDN/>
        <w:bidi w:val="0"/>
        <w:snapToGrid w:val="0"/>
        <w:spacing w:line="600" w:lineRule="exact"/>
        <w:ind w:firstLine="640" w:firstLineChars="200"/>
        <w:textAlignment w:val="auto"/>
        <w:rPr>
          <w:rFonts w:eastAsia="仿宋_GB2312"/>
          <w:sz w:val="32"/>
          <w:szCs w:val="32"/>
        </w:rPr>
      </w:pPr>
      <w:r>
        <w:rPr>
          <w:rFonts w:hint="default" w:ascii="Times New Roman" w:hAnsi="Times New Roman" w:eastAsia="仿宋_GB2312" w:cs="Times New Roman"/>
          <w:sz w:val="32"/>
          <w:szCs w:val="32"/>
        </w:rPr>
        <w:t>你公司报送的《四川圣拉斯包装制品有限公司年产2000万</w:t>
      </w:r>
      <w:r>
        <w:rPr>
          <w:rFonts w:hint="eastAsia" w:eastAsia="仿宋_GB2312"/>
          <w:sz w:val="32"/>
          <w:szCs w:val="32"/>
        </w:rPr>
        <w:t>套酒类及家电制品表处理自动化生产线项目</w:t>
      </w:r>
      <w:r>
        <w:rPr>
          <w:rFonts w:eastAsia="仿宋_GB2312"/>
          <w:sz w:val="32"/>
          <w:szCs w:val="32"/>
        </w:rPr>
        <w:t>环境影响报告表》（以下简称《报告表》）收悉。经研究，批复如下：</w:t>
      </w:r>
    </w:p>
    <w:p>
      <w:pPr>
        <w:keepNext w:val="0"/>
        <w:keepLines w:val="0"/>
        <w:pageBreakBefore w:val="0"/>
        <w:widowControl w:val="0"/>
        <w:kinsoku/>
        <w:autoSpaceDE/>
        <w:autoSpaceDN/>
        <w:bidi w:val="0"/>
        <w:adjustRightIn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widowControl w:val="0"/>
        <w:kinsoku/>
        <w:autoSpaceDE/>
        <w:autoSpaceDN/>
        <w:bidi w:val="0"/>
        <w:adjustRightInd w:val="0"/>
        <w:spacing w:line="60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default" w:ascii="Times New Roman" w:hAnsi="Times New Roman" w:eastAsia="仿宋_GB2312" w:cs="Times New Roman"/>
          <w:sz w:val="32"/>
          <w:szCs w:val="32"/>
        </w:rPr>
        <w:t>该项目在四川大英经济开发区采和大道261号附1号新购厂区内，新建全自动UV喷涂线1条、家电制品喷涂线1条以及全自动喷砂、全自动镭雕装置，</w:t>
      </w:r>
      <w:r>
        <w:rPr>
          <w:rFonts w:hint="default" w:ascii="Times New Roman" w:hAnsi="Times New Roman" w:eastAsia="仿宋_GB2312" w:cs="Times New Roman"/>
          <w:color w:val="000000"/>
          <w:sz w:val="32"/>
          <w:szCs w:val="32"/>
        </w:rPr>
        <w:t>配套建设公辅、环保工程，</w:t>
      </w:r>
      <w:r>
        <w:rPr>
          <w:rFonts w:hint="default" w:ascii="Times New Roman" w:hAnsi="Times New Roman" w:eastAsia="仿宋_GB2312" w:cs="Times New Roman"/>
          <w:sz w:val="32"/>
          <w:szCs w:val="32"/>
        </w:rPr>
        <w:t>通过对半成品玻璃酒瓶进行喷涂或喷砂或镭雕加工，对半成品塑料家电制品进行喷涂加工，形成加工喷涂玻璃酒瓶1200万个/年、喷砂玻璃酒瓶100万个/年、镭雕玻璃酒瓶100</w:t>
      </w:r>
      <w:r>
        <w:rPr>
          <w:rFonts w:hint="eastAsia"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件/年、塑料家电制品喷涂件600万件/年的生产能力。项目总投资2000万元，其中</w:t>
      </w:r>
    </w:p>
    <w:p>
      <w:pPr>
        <w:keepNext w:val="0"/>
        <w:keepLines w:val="0"/>
        <w:pageBreakBefore w:val="0"/>
        <w:widowControl w:val="0"/>
        <w:kinsoku/>
        <w:autoSpaceDE/>
        <w:autoSpaceDN/>
        <w:bidi w:val="0"/>
        <w:adjustRightInd w:val="0"/>
        <w:spacing w:line="600" w:lineRule="exact"/>
        <w:ind w:firstLine="640" w:firstLineChars="200"/>
        <w:textAlignment w:val="auto"/>
        <w:rPr>
          <w:rFonts w:hint="default" w:ascii="Times New Roman" w:hAnsi="Times New Roman" w:eastAsia="仿宋_GB2312" w:cs="Times New Roman"/>
          <w:kern w:val="0"/>
          <w:sz w:val="32"/>
          <w:szCs w:val="32"/>
        </w:rPr>
      </w:pPr>
      <w:bookmarkStart w:id="0" w:name="_GoBack"/>
      <w:bookmarkEnd w:id="0"/>
      <w:r>
        <w:rPr>
          <w:rFonts w:hint="default" w:ascii="Times New Roman" w:hAnsi="Times New Roman" w:eastAsia="仿宋_GB2312" w:cs="Times New Roman"/>
          <w:sz w:val="32"/>
          <w:szCs w:val="32"/>
        </w:rPr>
        <w:t>环保投资100万元。</w:t>
      </w:r>
    </w:p>
    <w:p>
      <w:pPr>
        <w:keepNext w:val="0"/>
        <w:keepLines w:val="0"/>
        <w:pageBreakBefore w:val="0"/>
        <w:widowControl w:val="0"/>
        <w:kinsoku/>
        <w:autoSpaceDE/>
        <w:autoSpaceDN/>
        <w:bidi w:val="0"/>
        <w:adjustRightIn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项目经大英县经济信息局备案（川投资备</w:t>
      </w:r>
      <w:r>
        <w:rPr>
          <w:rFonts w:hint="default" w:ascii="Times New Roman" w:hAnsi="Times New Roman" w:eastAsia="仿宋_GB2312" w:cs="Times New Roman"/>
          <w:sz w:val="32"/>
          <w:szCs w:val="32"/>
        </w:rPr>
        <w:t>〔2209-510923-07-02-487614〕JXQB-0070号），属于未列入《产业结构调整指导目录》（2019年本）的允许类项目。项目用地已取得不动产权证〔川（2022）大英县不动产权第0170011号〕〔川（2022）大英县不动产权第0170012号〕，用地性质为工业用地。项目建设选址的四川大英经济开发区，已开展规划环评并取得审查意见（川环建函〔2019〕48号）。《报告表》认为该项目建设符合国家产业政策，选址符合相关规划和规划环评相关要求。</w:t>
      </w:r>
    </w:p>
    <w:p>
      <w:pPr>
        <w:keepNext w:val="0"/>
        <w:keepLines w:val="0"/>
        <w:pageBreakBefore w:val="0"/>
        <w:widowControl w:val="0"/>
        <w:kinsoku/>
        <w:overflow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在严格落实《报告表》提出的环保对策及措施，严格执行环</w:t>
      </w:r>
      <w:r>
        <w:rPr>
          <w:rFonts w:hint="eastAsia" w:ascii="仿宋_GB2312" w:hAnsi="仿宋_GB2312" w:eastAsia="仿宋_GB2312" w:cs="仿宋_GB2312"/>
          <w:kern w:val="0"/>
          <w:sz w:val="32"/>
          <w:szCs w:val="32"/>
        </w:rPr>
        <w:t>境保护“三同时”制度，确保污染物达标排放，认真落实环境风险</w:t>
      </w:r>
      <w:r>
        <w:rPr>
          <w:rFonts w:hint="eastAsia" w:ascii="仿宋_GB2312" w:hAnsi="仿宋_GB2312" w:eastAsia="仿宋_GB2312" w:cs="仿宋_GB2312"/>
          <w:sz w:val="32"/>
          <w:szCs w:val="32"/>
        </w:rPr>
        <w:t>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pPr>
        <w:keepNext w:val="0"/>
        <w:keepLines w:val="0"/>
        <w:pageBreakBefore w:val="0"/>
        <w:widowControl w:val="0"/>
        <w:kinsoku/>
        <w:wordWrap w:val="0"/>
        <w:overflowPunct w:val="0"/>
        <w:autoSpaceDE/>
        <w:autoSpaceDN/>
        <w:bidi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二、项目建设及营运期应重点做好以下工作</w:t>
      </w:r>
    </w:p>
    <w:p>
      <w:pPr>
        <w:pStyle w:val="7"/>
        <w:keepNext w:val="0"/>
        <w:keepLines w:val="0"/>
        <w:pageBreakBefore w:val="0"/>
        <w:widowControl w:val="0"/>
        <w:kinsoku/>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（一）加强施工期环境管理工作，防止水土流失、施工扬尘和噪声污染。</w:t>
      </w:r>
      <w:r>
        <w:rPr>
          <w:rFonts w:hint="eastAsia" w:ascii="仿宋_GB2312" w:hAnsi="仿宋_GB2312" w:eastAsia="仿宋_GB2312" w:cs="仿宋_GB2312"/>
          <w:sz w:val="32"/>
          <w:szCs w:val="32"/>
        </w:rPr>
        <w:t>施工人员的生活污水采用临时预处理池收集处理后进入市政污水管网；施工废水经隔油+沉淀处理后回用于工程，不外排；生活垃圾集中收集，由环卫部门统一清运处理；建筑垃圾及时清运至政府指定地点；严格落实建筑施工“六必须六不准”和“六个百分百”要求，严格控制扬尘污染；施工场界噪声要满足《建筑施工场界环境噪声排放标准》</w:t>
      </w:r>
      <w:r>
        <w:rPr>
          <w:rFonts w:hint="default" w:ascii="Times New Roman" w:hAnsi="Times New Roman" w:eastAsia="仿宋_GB2312" w:cs="Times New Roman"/>
          <w:sz w:val="32"/>
          <w:szCs w:val="32"/>
        </w:rPr>
        <w:t>(GB12523-2011)</w:t>
      </w:r>
      <w:r>
        <w:rPr>
          <w:rFonts w:hint="eastAsia" w:ascii="仿宋_GB2312" w:hAnsi="仿宋_GB2312" w:eastAsia="仿宋_GB2312" w:cs="仿宋_GB2312"/>
          <w:sz w:val="32"/>
          <w:szCs w:val="32"/>
        </w:rPr>
        <w:t>的要求。</w:t>
      </w:r>
    </w:p>
    <w:p>
      <w:pPr>
        <w:pStyle w:val="7"/>
        <w:keepNext w:val="0"/>
        <w:keepLines w:val="0"/>
        <w:pageBreakBefore w:val="0"/>
        <w:widowControl w:val="0"/>
        <w:kinsoku/>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楷体" w:hAnsi="楷体" w:eastAsia="楷体" w:cs="楷体"/>
          <w:sz w:val="32"/>
          <w:szCs w:val="32"/>
        </w:rPr>
        <w:t>（二）落实废气污染治理措施。</w:t>
      </w:r>
      <w:r>
        <w:rPr>
          <w:rFonts w:hint="default" w:ascii="Times New Roman" w:hAnsi="Times New Roman" w:eastAsia="仿宋_GB2312" w:cs="Times New Roman"/>
          <w:bCs/>
          <w:sz w:val="32"/>
          <w:szCs w:val="32"/>
        </w:rPr>
        <w:t>项目UV喷涂生产线、家电喷涂生产线除进出口环节外，其他工序均全密闭作业。喷涂产生的漆雾、有机废气经各喷漆室设置的油漆离心拦截器装置去除漆雾后，与烘道、UV固化室废气一并汇总经过</w:t>
      </w:r>
      <w:r>
        <w:rPr>
          <w:rFonts w:hint="eastAsia" w:ascii="仿宋_GB2312" w:hAnsi="仿宋_GB2312" w:eastAsia="仿宋_GB2312" w:cs="仿宋_GB2312"/>
          <w:bCs/>
          <w:sz w:val="32"/>
          <w:szCs w:val="32"/>
        </w:rPr>
        <w:t>“低温等离子体+光催化+过滤棉+二级活性炭”</w:t>
      </w:r>
      <w:r>
        <w:rPr>
          <w:rFonts w:hint="default" w:ascii="Times New Roman" w:hAnsi="Times New Roman" w:eastAsia="仿宋_GB2312" w:cs="Times New Roman"/>
          <w:bCs/>
          <w:sz w:val="32"/>
          <w:szCs w:val="32"/>
        </w:rPr>
        <w:t>处理达标后，经15米高排气筒（DA001）排放。喷砂、镭雕工序设置在密闭车间内，产生的粉尘经设备自带除尘系统处理后排放。食堂油烟经油烟净化器净化后达标后通过管道引至高空排放。加强无组织废气排放管控措施，减少无组织废气排放。以生产车间为边界划定50m范围的卫生防护距离，你公司应及时告知规划等主管部门，在项目周边卫生防护距离范围内，今后不得规划建设学校、医院、居民区等敏感目标。</w:t>
      </w:r>
    </w:p>
    <w:p>
      <w:pPr>
        <w:pStyle w:val="7"/>
        <w:keepNext w:val="0"/>
        <w:keepLines w:val="0"/>
        <w:pageBreakBefore w:val="0"/>
        <w:widowControl w:val="0"/>
        <w:kinsoku/>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楷体" w:hAnsi="楷体" w:eastAsia="楷体" w:cs="楷体"/>
          <w:sz w:val="32"/>
          <w:szCs w:val="32"/>
        </w:rPr>
        <w:t>（三）落实废水污染治理措施。</w:t>
      </w:r>
      <w:r>
        <w:rPr>
          <w:rFonts w:hint="eastAsia" w:ascii="仿宋_GB2312" w:hAnsi="仿宋_GB2312" w:eastAsia="仿宋_GB2312" w:cs="仿宋_GB2312"/>
          <w:bCs/>
          <w:sz w:val="32"/>
          <w:szCs w:val="32"/>
        </w:rPr>
        <w:t>项目食堂废水经隔油池隔油</w:t>
      </w:r>
      <w:r>
        <w:rPr>
          <w:rFonts w:hint="eastAsia" w:ascii="仿宋_GB2312" w:hAnsi="仿宋_GB2312" w:eastAsia="仿宋_GB2312" w:cs="仿宋_GB2312"/>
          <w:bCs/>
          <w:kern w:val="0"/>
          <w:sz w:val="32"/>
          <w:szCs w:val="32"/>
        </w:rPr>
        <w:t>处理后与生活污水经预处理达标后排入园区工业污水处理厂进</w:t>
      </w:r>
      <w:r>
        <w:rPr>
          <w:rFonts w:hint="eastAsia" w:ascii="仿宋_GB2312" w:hAnsi="仿宋_GB2312" w:eastAsia="仿宋_GB2312" w:cs="仿宋_GB2312"/>
          <w:bCs/>
          <w:sz w:val="32"/>
          <w:szCs w:val="32"/>
        </w:rPr>
        <w:t>行处理。水性漆喷头清洗废水暂存回用于水性漆调和，不外排。</w:t>
      </w:r>
    </w:p>
    <w:p>
      <w:pPr>
        <w:pStyle w:val="7"/>
        <w:keepNext w:val="0"/>
        <w:keepLines w:val="0"/>
        <w:pageBreakBefore w:val="0"/>
        <w:widowControl w:val="0"/>
        <w:kinsoku/>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楷体" w:hAnsi="楷体" w:eastAsia="楷体" w:cs="楷体"/>
          <w:sz w:val="32"/>
          <w:szCs w:val="32"/>
        </w:rPr>
        <w:t>（四）严格落实固体废物处置措施。</w:t>
      </w:r>
      <w:r>
        <w:rPr>
          <w:rFonts w:hint="eastAsia" w:ascii="仿宋_GB2312" w:hAnsi="仿宋_GB2312" w:eastAsia="仿宋_GB2312" w:cs="仿宋_GB2312"/>
          <w:bCs/>
          <w:sz w:val="32"/>
          <w:szCs w:val="32"/>
        </w:rPr>
        <w:t>严格按照《报告表》要求，分类收集各类固体废物并妥善处置。废包装材料、残次品、镭雕机喷砂机收尘、废铝粉定期外售；废水性油漆桶收集暂存于一般固废暂存间定期返回厂家重复使用；水性漆漆渣收集暂存于一般固废暂存间，定期交一般工业固废处理单位规范处理。生活垃圾收集后交市政环卫部门处理。废机油、废油性油漆桶、含油漆渣、废含油抹布、废过滤棉、废</w:t>
      </w:r>
      <w:r>
        <w:rPr>
          <w:rFonts w:hint="default" w:ascii="Times New Roman" w:hAnsi="Times New Roman" w:eastAsia="仿宋_GB2312" w:cs="Times New Roman"/>
          <w:bCs/>
          <w:sz w:val="32"/>
          <w:szCs w:val="32"/>
        </w:rPr>
        <w:t>UV</w:t>
      </w:r>
      <w:r>
        <w:rPr>
          <w:rFonts w:hint="eastAsia" w:ascii="仿宋_GB2312" w:hAnsi="仿宋_GB2312" w:eastAsia="仿宋_GB2312" w:cs="仿宋_GB2312"/>
          <w:bCs/>
          <w:sz w:val="32"/>
          <w:szCs w:val="32"/>
        </w:rPr>
        <w:t>灯管、废光触媒催化板、废活性炭、废稀释剂清洗液属于危险废物，分类暂存于危险废物暂存间，定期交由有资质单位处置，转移过程严格落实《危险废物转移管理办法》要求。</w:t>
      </w:r>
    </w:p>
    <w:p>
      <w:pPr>
        <w:pStyle w:val="7"/>
        <w:keepNext w:val="0"/>
        <w:keepLines w:val="0"/>
        <w:pageBreakBefore w:val="0"/>
        <w:widowControl w:val="0"/>
        <w:kinsoku/>
        <w:autoSpaceDE/>
        <w:autoSpaceDN/>
        <w:bidi w:val="0"/>
        <w:spacing w:line="600" w:lineRule="exact"/>
        <w:ind w:firstLine="640" w:firstLineChars="200"/>
        <w:textAlignment w:val="auto"/>
        <w:rPr>
          <w:rFonts w:hint="default" w:ascii="Times New Roman" w:hAnsi="Times New Roman" w:eastAsia="仿宋_GB2312" w:cs="Times New Roman"/>
          <w:bCs/>
          <w:sz w:val="32"/>
          <w:szCs w:val="32"/>
        </w:rPr>
      </w:pPr>
      <w:r>
        <w:rPr>
          <w:rFonts w:hint="eastAsia" w:ascii="楷体" w:hAnsi="楷体" w:eastAsia="楷体" w:cs="楷体"/>
          <w:sz w:val="32"/>
          <w:szCs w:val="32"/>
        </w:rPr>
        <w:t>（五）落实噪声污染防治措施。</w:t>
      </w:r>
      <w:r>
        <w:rPr>
          <w:rFonts w:hint="eastAsia" w:ascii="仿宋_GB2312" w:hAnsi="仿宋_GB2312" w:eastAsia="仿宋_GB2312" w:cs="仿宋_GB2312"/>
          <w:bCs/>
          <w:sz w:val="32"/>
          <w:szCs w:val="32"/>
        </w:rPr>
        <w:t>生产车间应合理布局，通过</w:t>
      </w:r>
      <w:r>
        <w:rPr>
          <w:rFonts w:hint="default" w:ascii="Times New Roman" w:hAnsi="Times New Roman" w:eastAsia="仿宋_GB2312" w:cs="Times New Roman"/>
          <w:bCs/>
          <w:sz w:val="32"/>
          <w:szCs w:val="32"/>
        </w:rPr>
        <w:t>选用低噪声设备、对高噪声设备定期维护保养、底座安装时进行基础减振、设置独立空压机房等措施，确保满足《工业企业厂界环境噪声排放标准》（GB12348-2008）中的3类声环境功能区排放限值的要求。</w:t>
      </w:r>
    </w:p>
    <w:p>
      <w:pPr>
        <w:pStyle w:val="7"/>
        <w:keepNext w:val="0"/>
        <w:keepLines w:val="0"/>
        <w:pageBreakBefore w:val="0"/>
        <w:widowControl w:val="0"/>
        <w:kinsoku/>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楷体" w:hAnsi="楷体" w:eastAsia="楷体" w:cs="楷体"/>
          <w:sz w:val="32"/>
          <w:szCs w:val="32"/>
        </w:rPr>
        <w:t>（六）落实地下水、土壤污染防治措施。</w:t>
      </w:r>
      <w:r>
        <w:rPr>
          <w:rFonts w:hint="eastAsia" w:ascii="仿宋_GB2312" w:hAnsi="仿宋_GB2312" w:eastAsia="仿宋_GB2312" w:cs="仿宋_GB2312"/>
          <w:bCs/>
          <w:sz w:val="32"/>
          <w:szCs w:val="32"/>
        </w:rPr>
        <w:t>严格按照《报告表》要求，对油漆储存间、喷涂生产线车间、危废暂存间、危险物料存放区进行重点防渗，对原料库房（油漆存储间除外）、一般固废暂存间、产品仓库、预处理池、隔油池等进行一般防渗，防止地下水和土壤环境污染。</w:t>
      </w:r>
    </w:p>
    <w:p>
      <w:pPr>
        <w:pStyle w:val="7"/>
        <w:keepNext w:val="0"/>
        <w:keepLines w:val="0"/>
        <w:pageBreakBefore w:val="0"/>
        <w:widowControl w:val="0"/>
        <w:kinsoku/>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楷体" w:hAnsi="楷体" w:eastAsia="楷体" w:cs="楷体"/>
          <w:sz w:val="32"/>
          <w:szCs w:val="32"/>
        </w:rPr>
        <w:t>（七）落实环境风险防范措施。</w:t>
      </w:r>
      <w:r>
        <w:rPr>
          <w:rFonts w:hint="eastAsia" w:ascii="仿宋_GB2312" w:hAnsi="仿宋_GB2312" w:eastAsia="仿宋_GB2312" w:cs="仿宋_GB2312"/>
          <w:bCs/>
          <w:sz w:val="32"/>
          <w:szCs w:val="32"/>
        </w:rPr>
        <w:t>严格落实《报告表》提出的风险防范措施，制定并不断完善突发环境事件应急预案，规范内部管理，严格操作规范，定期开展自行监测，防止环境污染事故的发生。</w:t>
      </w:r>
    </w:p>
    <w:p>
      <w:pPr>
        <w:pStyle w:val="7"/>
        <w:keepNext w:val="0"/>
        <w:keepLines w:val="0"/>
        <w:pageBreakBefore w:val="0"/>
        <w:widowControl w:val="0"/>
        <w:kinsoku/>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 w:val="0"/>
          <w:sz w:val="32"/>
          <w:szCs w:val="32"/>
        </w:rPr>
        <w:t>三、</w:t>
      </w:r>
      <w:r>
        <w:rPr>
          <w:rFonts w:hint="eastAsia" w:ascii="黑体" w:hAnsi="黑体" w:eastAsia="黑体" w:cs="黑体"/>
          <w:sz w:val="32"/>
          <w:szCs w:val="32"/>
        </w:rPr>
        <w:t>污染物排放总量</w:t>
      </w:r>
    </w:p>
    <w:p>
      <w:pPr>
        <w:pStyle w:val="7"/>
        <w:keepNext w:val="0"/>
        <w:keepLines w:val="0"/>
        <w:pageBreakBefore w:val="0"/>
        <w:widowControl w:val="0"/>
        <w:kinsoku/>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根据《报告表》预测，</w:t>
      </w:r>
      <w:r>
        <w:rPr>
          <w:rFonts w:hint="default" w:ascii="Times New Roman" w:hAnsi="Times New Roman" w:eastAsia="仿宋_GB2312" w:cs="Times New Roman"/>
          <w:sz w:val="32"/>
          <w:szCs w:val="32"/>
        </w:rPr>
        <w:t>该项目主要污染物排放总量为：</w:t>
      </w:r>
      <w:r>
        <w:rPr>
          <w:rFonts w:hint="default" w:ascii="Times New Roman" w:hAnsi="Times New Roman" w:eastAsia="仿宋_GB2312" w:cs="Times New Roman"/>
          <w:color w:val="000000"/>
          <w:sz w:val="32"/>
          <w:szCs w:val="32"/>
        </w:rPr>
        <w:t>大气污染物VOC</w:t>
      </w:r>
      <w:r>
        <w:rPr>
          <w:rFonts w:hint="default" w:ascii="Times New Roman" w:hAnsi="Times New Roman" w:eastAsia="仿宋_GB2312" w:cs="Times New Roman"/>
          <w:color w:val="000000"/>
          <w:sz w:val="32"/>
          <w:szCs w:val="32"/>
          <w:vertAlign w:val="subscript"/>
        </w:rPr>
        <w:t>s</w:t>
      </w:r>
      <w:r>
        <w:rPr>
          <w:rFonts w:hint="default" w:ascii="Times New Roman" w:hAnsi="Times New Roman" w:eastAsia="仿宋_GB2312" w:cs="Times New Roman"/>
          <w:color w:val="000000"/>
          <w:sz w:val="32"/>
          <w:szCs w:val="32"/>
        </w:rPr>
        <w:t>1.2</w:t>
      </w:r>
      <w:r>
        <w:rPr>
          <w:rFonts w:hint="default" w:ascii="Times New Roman" w:hAnsi="Times New Roman" w:eastAsia="仿宋_GB2312" w:cs="Times New Roman"/>
          <w:bCs/>
          <w:sz w:val="32"/>
          <w:szCs w:val="32"/>
        </w:rPr>
        <w:t>t</w:t>
      </w:r>
      <w:r>
        <w:rPr>
          <w:rFonts w:hint="default" w:ascii="Times New Roman" w:hAnsi="Times New Roman" w:eastAsia="仿宋_GB2312" w:cs="Times New Roman"/>
          <w:color w:val="000000"/>
          <w:sz w:val="32"/>
          <w:szCs w:val="32"/>
        </w:rPr>
        <w:t>/a；</w:t>
      </w:r>
      <w:r>
        <w:rPr>
          <w:rFonts w:hint="default" w:ascii="Times New Roman" w:hAnsi="Times New Roman" w:eastAsia="仿宋_GB2312" w:cs="Times New Roman"/>
          <w:bCs/>
          <w:sz w:val="32"/>
          <w:szCs w:val="32"/>
        </w:rPr>
        <w:t>水污染物CODcr0.0672t/a、氨氮</w:t>
      </w:r>
      <w:r>
        <w:rPr>
          <w:rFonts w:hint="default" w:ascii="Times New Roman" w:hAnsi="Times New Roman" w:eastAsia="仿宋_GB2312" w:cs="Times New Roman"/>
          <w:sz w:val="32"/>
          <w:szCs w:val="32"/>
        </w:rPr>
        <w:t>0.00672t/a（工业污水处理厂外排郪江）。</w:t>
      </w:r>
    </w:p>
    <w:p>
      <w:pPr>
        <w:pStyle w:val="7"/>
        <w:keepNext w:val="0"/>
        <w:keepLines w:val="0"/>
        <w:pageBreakBefore w:val="0"/>
        <w:widowControl w:val="0"/>
        <w:kinsoku/>
        <w:autoSpaceDE/>
        <w:autoSpaceDN/>
        <w:bidi w:val="0"/>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四、项目建设应依法完备其他行政许可手续。</w:t>
      </w:r>
    </w:p>
    <w:p>
      <w:pPr>
        <w:keepNext w:val="0"/>
        <w:keepLines w:val="0"/>
        <w:pageBreakBefore w:val="0"/>
        <w:widowControl w:val="0"/>
        <w:kinsoku/>
        <w:overflowPunct w:val="0"/>
        <w:autoSpaceDE/>
        <w:autoSpaceDN/>
        <w:bidi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五、验收与排污许可</w:t>
      </w:r>
    </w:p>
    <w:p>
      <w:pPr>
        <w:keepNext w:val="0"/>
        <w:keepLines w:val="0"/>
        <w:pageBreakBefore w:val="0"/>
        <w:widowControl w:val="0"/>
        <w:kinsoku/>
        <w:overflow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必须严格执行配套建设的环境保护设施与主体工程同时设计、同时施工、同时投产使用的环境保护“三同时”制度。在发生实际排污行为前，必须按照国家排污许可有关管理规定要求，依法申领排污许可证或填报排污登记表。建设项目竣工后，应当按照规定的程序和标准，组织对配套建设的环境保护设施及对策措施进行验收，并依法向社会公开验收报告，验收合格后方可投入生产或使用。</w:t>
      </w:r>
    </w:p>
    <w:p>
      <w:pPr>
        <w:keepNext w:val="0"/>
        <w:keepLines w:val="0"/>
        <w:pageBreakBefore w:val="0"/>
        <w:widowControl w:val="0"/>
        <w:kinsoku/>
        <w:wordWrap w:val="0"/>
        <w:overflowPunct w:val="0"/>
        <w:topLinePunct/>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项目环境影响评价文件经批准后，如工程的性质、规模、地点、采用的生产工艺或者防治污染、防止生态破坏的措施发生重大变动，你公司应当重新报批环境影响评价文件，否则不得实施建设。自环评文件批准之日起，如工程超过5年未开工建设，环境影响评价文件应当报我局重新审核。</w:t>
      </w:r>
    </w:p>
    <w:p>
      <w:pPr>
        <w:pStyle w:val="9"/>
        <w:keepNext w:val="0"/>
        <w:keepLines w:val="0"/>
        <w:pageBreakBefore w:val="0"/>
        <w:widowControl w:val="0"/>
        <w:kinsoku/>
        <w:topLinePunct w:val="0"/>
        <w:autoSpaceDE/>
        <w:autoSpaceDN/>
        <w:bidi w:val="0"/>
        <w:spacing w:line="600" w:lineRule="exact"/>
        <w:ind w:left="0" w:leftChars="0" w:firstLine="0" w:firstLineChars="0"/>
        <w:textAlignment w:val="auto"/>
        <w:rPr>
          <w:rFonts w:hint="eastAsia" w:ascii="仿宋" w:hAnsi="仿宋" w:eastAsia="仿宋" w:cs="仿宋"/>
          <w:sz w:val="32"/>
          <w:szCs w:val="32"/>
          <w:lang w:val="en-US" w:eastAsia="zh-CN"/>
        </w:rPr>
      </w:pPr>
    </w:p>
    <w:p>
      <w:pPr>
        <w:keepNext w:val="0"/>
        <w:keepLines w:val="0"/>
        <w:pageBreakBefore w:val="0"/>
        <w:widowControl w:val="0"/>
        <w:kinsoku/>
        <w:autoSpaceDE/>
        <w:autoSpaceDN/>
        <w:bidi w:val="0"/>
        <w:spacing w:line="600" w:lineRule="exact"/>
        <w:textAlignment w:val="auto"/>
        <w:rPr>
          <w:rFonts w:hint="eastAsia"/>
          <w:sz w:val="32"/>
          <w:szCs w:val="32"/>
          <w:lang w:val="en-US" w:eastAsia="zh-CN"/>
        </w:rPr>
      </w:pPr>
    </w:p>
    <w:p>
      <w:pPr>
        <w:keepNext w:val="0"/>
        <w:keepLines w:val="0"/>
        <w:pageBreakBefore w:val="0"/>
        <w:widowControl w:val="0"/>
        <w:kinsoku/>
        <w:wordWrap w:val="0"/>
        <w:overflowPunct w:val="0"/>
        <w:topLinePunct w:val="0"/>
        <w:autoSpaceDE/>
        <w:autoSpaceDN/>
        <w:bidi w:val="0"/>
        <w:adjustRightInd w:val="0"/>
        <w:snapToGrid w:val="0"/>
        <w:spacing w:line="600" w:lineRule="exact"/>
        <w:ind w:right="945" w:rightChars="450"/>
        <w:jc w:val="right"/>
        <w:textAlignment w:val="auto"/>
        <w:rPr>
          <w:rFonts w:hint="eastAsia" w:ascii="仿宋" w:hAnsi="仿宋" w:eastAsia="仿宋" w:cs="仿宋"/>
          <w:sz w:val="32"/>
          <w:szCs w:val="32"/>
        </w:rPr>
      </w:pPr>
      <w:r>
        <w:rPr>
          <w:rFonts w:hint="eastAsia" w:ascii="仿宋" w:hAnsi="仿宋" w:eastAsia="仿宋" w:cs="仿宋"/>
          <w:sz w:val="32"/>
          <w:szCs w:val="32"/>
        </w:rPr>
        <w:t>遂宁市大英生态环境局</w:t>
      </w:r>
    </w:p>
    <w:p>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right="1260" w:rightChars="600" w:firstLine="0" w:firstLineChars="0"/>
        <w:jc w:val="right"/>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仿宋_GB2312" w:cs="Times New Roman"/>
          <w:kern w:val="2"/>
          <w:sz w:val="32"/>
          <w:szCs w:val="32"/>
          <w:lang w:val="en-US" w:eastAsia="zh-CN" w:bidi="ar-SA"/>
        </w:rPr>
        <w:t>2023</w:t>
      </w:r>
      <w:r>
        <w:rPr>
          <w:rFonts w:hint="eastAsia" w:ascii="仿宋_GB2312" w:hAnsi="仿宋_GB2312" w:eastAsia="仿宋_GB2312" w:cs="仿宋_GB2312"/>
          <w:bCs/>
          <w:sz w:val="32"/>
          <w:szCs w:val="32"/>
        </w:rPr>
        <w:t>年</w:t>
      </w:r>
      <w:r>
        <w:rPr>
          <w:rFonts w:hint="eastAsia"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bCs/>
          <w:sz w:val="32"/>
          <w:szCs w:val="32"/>
        </w:rPr>
        <w:t>月</w:t>
      </w:r>
      <w:r>
        <w:rPr>
          <w:rFonts w:hint="eastAsia" w:ascii="Times New Roman" w:hAnsi="Times New Roman" w:eastAsia="仿宋_GB2312" w:cs="Times New Roman"/>
          <w:bCs/>
          <w:sz w:val="32"/>
          <w:szCs w:val="32"/>
          <w:lang w:val="en-US" w:eastAsia="zh-CN"/>
        </w:rPr>
        <w:t>17</w:t>
      </w:r>
      <w:r>
        <w:rPr>
          <w:rFonts w:hint="eastAsia" w:ascii="仿宋_GB2312" w:hAnsi="仿宋_GB2312" w:eastAsia="仿宋_GB2312" w:cs="仿宋_GB2312"/>
          <w:bCs/>
          <w:sz w:val="32"/>
          <w:szCs w:val="32"/>
        </w:rPr>
        <w:t>日</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rPr>
      </w:pPr>
    </w:p>
    <w:p>
      <w:pPr>
        <w:rPr>
          <w:rFonts w:hint="default"/>
        </w:rPr>
      </w:pPr>
    </w:p>
    <w:tbl>
      <w:tblPr>
        <w:tblStyle w:val="14"/>
        <w:tblW w:w="0" w:type="auto"/>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422"/>
        <w:gridCol w:w="4422"/>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2" w:hRule="atLeast"/>
          <w:jc w:val="center"/>
        </w:trPr>
        <w:tc>
          <w:tcPr>
            <w:tcW w:w="4422" w:type="dxa"/>
            <w:tcBorders>
              <w:tl2br w:val="nil"/>
              <w:tr2bl w:val="nil"/>
            </w:tcBorders>
            <w:vAlign w:val="top"/>
          </w:tcPr>
          <w:p>
            <w:pPr>
              <w:pStyle w:val="2"/>
              <w:keepNext w:val="0"/>
              <w:keepLines w:val="0"/>
              <w:pageBreakBefore w:val="0"/>
              <w:widowControl w:val="0"/>
              <w:kinsoku/>
              <w:wordWrap w:val="0"/>
              <w:overflowPunct/>
              <w:topLinePunct w:val="0"/>
              <w:autoSpaceDE/>
              <w:autoSpaceDN/>
              <w:bidi w:val="0"/>
              <w:adjustRightInd/>
              <w:snapToGrid/>
              <w:spacing w:after="0" w:line="500" w:lineRule="exact"/>
              <w:ind w:left="0" w:firstLine="280" w:firstLineChars="100"/>
              <w:jc w:val="left"/>
              <w:textAlignment w:val="auto"/>
              <w:rPr>
                <w:rFonts w:hint="default" w:ascii="Times New Roman" w:hAnsi="Times New Roman" w:cs="Times New Roman"/>
                <w:vertAlign w:val="baseline"/>
              </w:rPr>
            </w:pPr>
            <w:r>
              <w:rPr>
                <w:rFonts w:hint="eastAsia" w:ascii="仿宋_GB2312" w:eastAsia="仿宋_GB2312"/>
                <w:sz w:val="28"/>
                <w:szCs w:val="28"/>
                <w:lang w:eastAsia="zh-CN"/>
              </w:rPr>
              <w:t>遂宁市</w:t>
            </w:r>
            <w:r>
              <w:rPr>
                <w:rFonts w:hint="eastAsia" w:ascii="仿宋_GB2312" w:eastAsia="仿宋_GB2312"/>
                <w:sz w:val="28"/>
                <w:szCs w:val="28"/>
              </w:rPr>
              <w:t>大英</w:t>
            </w:r>
            <w:r>
              <w:rPr>
                <w:rFonts w:hint="eastAsia" w:ascii="仿宋_GB2312" w:eastAsia="仿宋_GB2312"/>
                <w:sz w:val="28"/>
                <w:szCs w:val="28"/>
                <w:lang w:eastAsia="zh-CN"/>
              </w:rPr>
              <w:t>生态</w:t>
            </w:r>
            <w:r>
              <w:rPr>
                <w:rFonts w:hint="eastAsia" w:ascii="仿宋_GB2312" w:eastAsia="仿宋_GB2312"/>
                <w:sz w:val="28"/>
                <w:szCs w:val="28"/>
              </w:rPr>
              <w:t>环境局办公室</w:t>
            </w:r>
          </w:p>
        </w:tc>
        <w:tc>
          <w:tcPr>
            <w:tcW w:w="4422" w:type="dxa"/>
            <w:tcBorders>
              <w:tl2br w:val="nil"/>
              <w:tr2bl w:val="nil"/>
            </w:tcBorders>
            <w:vAlign w:val="top"/>
          </w:tcPr>
          <w:p>
            <w:pPr>
              <w:pStyle w:val="2"/>
              <w:keepNext w:val="0"/>
              <w:keepLines w:val="0"/>
              <w:pageBreakBefore w:val="0"/>
              <w:widowControl w:val="0"/>
              <w:kinsoku/>
              <w:wordWrap w:val="0"/>
              <w:overflowPunct/>
              <w:topLinePunct w:val="0"/>
              <w:autoSpaceDE/>
              <w:autoSpaceDN/>
              <w:bidi w:val="0"/>
              <w:adjustRightInd/>
              <w:snapToGrid/>
              <w:spacing w:after="0" w:line="500" w:lineRule="exact"/>
              <w:ind w:left="0"/>
              <w:jc w:val="right"/>
              <w:textAlignment w:val="auto"/>
              <w:rPr>
                <w:rFonts w:hint="default" w:ascii="Times New Roman" w:hAnsi="Times New Roman" w:eastAsia="宋体" w:cs="Times New Roman"/>
                <w:vertAlign w:val="baseline"/>
                <w:lang w:val="en-US" w:eastAsia="zh-CN"/>
              </w:rPr>
            </w:pPr>
            <w:r>
              <w:rPr>
                <w:rFonts w:hint="default" w:ascii="Times New Roman" w:hAnsi="Times New Roman" w:eastAsia="仿宋_GB2312" w:cs="Times New Roman"/>
                <w:sz w:val="28"/>
                <w:szCs w:val="28"/>
                <w:lang w:val="en-US" w:eastAsia="zh-CN"/>
              </w:rPr>
              <w:t>2023</w:t>
            </w:r>
            <w:r>
              <w:rPr>
                <w:rFonts w:hint="eastAsia" w:ascii="仿宋_GB2312" w:hAnsi="仿宋_GB2312" w:eastAsia="仿宋_GB2312" w:cs="仿宋_GB2312"/>
                <w:sz w:val="28"/>
                <w:szCs w:val="28"/>
                <w:lang w:val="en-US" w:eastAsia="zh-CN"/>
              </w:rPr>
              <w:t>年</w:t>
            </w:r>
            <w:r>
              <w:rPr>
                <w:rFonts w:hint="eastAsia" w:ascii="Times New Roman" w:hAnsi="Times New Roman" w:eastAsia="仿宋_GB2312" w:cs="Times New Roman"/>
                <w:sz w:val="28"/>
                <w:szCs w:val="28"/>
                <w:lang w:val="en-US" w:eastAsia="zh-CN"/>
              </w:rPr>
              <w:t>5</w:t>
            </w:r>
            <w:r>
              <w:rPr>
                <w:rFonts w:hint="eastAsia" w:ascii="仿宋_GB2312" w:hAnsi="仿宋_GB2312" w:eastAsia="仿宋_GB2312" w:cs="仿宋_GB2312"/>
                <w:sz w:val="28"/>
                <w:szCs w:val="28"/>
                <w:lang w:val="en-US" w:eastAsia="zh-CN"/>
              </w:rPr>
              <w:t>月</w:t>
            </w:r>
            <w:r>
              <w:rPr>
                <w:rFonts w:hint="eastAsia" w:ascii="Times New Roman" w:hAnsi="Times New Roman" w:eastAsia="仿宋_GB2312" w:cs="Times New Roman"/>
                <w:sz w:val="28"/>
                <w:szCs w:val="28"/>
                <w:lang w:val="en-US" w:eastAsia="zh-CN"/>
              </w:rPr>
              <w:t>17</w:t>
            </w:r>
            <w:r>
              <w:rPr>
                <w:rFonts w:hint="eastAsia" w:ascii="仿宋_GB2312" w:hAnsi="仿宋_GB2312" w:eastAsia="仿宋_GB2312" w:cs="仿宋_GB2312"/>
                <w:sz w:val="28"/>
                <w:szCs w:val="28"/>
                <w:lang w:val="en-US" w:eastAsia="zh-CN"/>
              </w:rPr>
              <w:t>日印发</w:t>
            </w:r>
            <w:r>
              <w:rPr>
                <w:rFonts w:hint="eastAsia" w:ascii="仿宋_GB2312" w:eastAsia="仿宋_GB2312"/>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hlNGQwNDgwZDhkYzQzMjZiNmNlMTE1NGJmN2IifQ=="/>
  </w:docVars>
  <w:rsids>
    <w:rsidRoot w:val="00000000"/>
    <w:rsid w:val="00200875"/>
    <w:rsid w:val="00951FEE"/>
    <w:rsid w:val="01844E19"/>
    <w:rsid w:val="01FD40F1"/>
    <w:rsid w:val="02B22144"/>
    <w:rsid w:val="041E0EAD"/>
    <w:rsid w:val="07445783"/>
    <w:rsid w:val="082B7D91"/>
    <w:rsid w:val="088675ED"/>
    <w:rsid w:val="089E130F"/>
    <w:rsid w:val="092A1E12"/>
    <w:rsid w:val="094E2162"/>
    <w:rsid w:val="098F0FA5"/>
    <w:rsid w:val="0AE4604C"/>
    <w:rsid w:val="0C4C2651"/>
    <w:rsid w:val="0F5D7B56"/>
    <w:rsid w:val="0FB35FED"/>
    <w:rsid w:val="108B04C2"/>
    <w:rsid w:val="11553800"/>
    <w:rsid w:val="12011292"/>
    <w:rsid w:val="13A050E7"/>
    <w:rsid w:val="14741B39"/>
    <w:rsid w:val="14AA3E63"/>
    <w:rsid w:val="15AB60E4"/>
    <w:rsid w:val="15C947BC"/>
    <w:rsid w:val="1735378C"/>
    <w:rsid w:val="1ADB2985"/>
    <w:rsid w:val="1B326960"/>
    <w:rsid w:val="1BCC1635"/>
    <w:rsid w:val="1D04432C"/>
    <w:rsid w:val="1D1F6E89"/>
    <w:rsid w:val="1DC1221D"/>
    <w:rsid w:val="1DEC2C84"/>
    <w:rsid w:val="1E29348B"/>
    <w:rsid w:val="1E6609BF"/>
    <w:rsid w:val="1EAC44A7"/>
    <w:rsid w:val="1F8E271B"/>
    <w:rsid w:val="1FC85967"/>
    <w:rsid w:val="204F3B10"/>
    <w:rsid w:val="20E64474"/>
    <w:rsid w:val="21464F13"/>
    <w:rsid w:val="224F429B"/>
    <w:rsid w:val="23E07BD5"/>
    <w:rsid w:val="240171D7"/>
    <w:rsid w:val="251C281B"/>
    <w:rsid w:val="252F4254"/>
    <w:rsid w:val="26672398"/>
    <w:rsid w:val="27E16961"/>
    <w:rsid w:val="2A1F2C38"/>
    <w:rsid w:val="2A784B2D"/>
    <w:rsid w:val="2A785045"/>
    <w:rsid w:val="2F1C72B3"/>
    <w:rsid w:val="31774C75"/>
    <w:rsid w:val="31F50C2D"/>
    <w:rsid w:val="31FD6612"/>
    <w:rsid w:val="32C1089D"/>
    <w:rsid w:val="344E1C6F"/>
    <w:rsid w:val="34A22009"/>
    <w:rsid w:val="37225683"/>
    <w:rsid w:val="372748CB"/>
    <w:rsid w:val="376A1E4F"/>
    <w:rsid w:val="38C236CA"/>
    <w:rsid w:val="3A2A31CC"/>
    <w:rsid w:val="40B97948"/>
    <w:rsid w:val="415844BA"/>
    <w:rsid w:val="42A751E8"/>
    <w:rsid w:val="433E49AD"/>
    <w:rsid w:val="44000AFA"/>
    <w:rsid w:val="44242A3A"/>
    <w:rsid w:val="46564467"/>
    <w:rsid w:val="47173438"/>
    <w:rsid w:val="486C0E54"/>
    <w:rsid w:val="491F4DFE"/>
    <w:rsid w:val="4944487A"/>
    <w:rsid w:val="4C6267F5"/>
    <w:rsid w:val="4E4D24B7"/>
    <w:rsid w:val="504C6A58"/>
    <w:rsid w:val="509E5922"/>
    <w:rsid w:val="518979CC"/>
    <w:rsid w:val="52614E59"/>
    <w:rsid w:val="54454557"/>
    <w:rsid w:val="54C73958"/>
    <w:rsid w:val="558A2919"/>
    <w:rsid w:val="55D1023B"/>
    <w:rsid w:val="55E55DA1"/>
    <w:rsid w:val="566A0472"/>
    <w:rsid w:val="56B365F2"/>
    <w:rsid w:val="571C1C97"/>
    <w:rsid w:val="577473DD"/>
    <w:rsid w:val="57EE76DD"/>
    <w:rsid w:val="585711D8"/>
    <w:rsid w:val="58C4394C"/>
    <w:rsid w:val="58D418CA"/>
    <w:rsid w:val="59030A18"/>
    <w:rsid w:val="59205D38"/>
    <w:rsid w:val="59C94FB5"/>
    <w:rsid w:val="5CBA1D36"/>
    <w:rsid w:val="5D307EFB"/>
    <w:rsid w:val="5D942597"/>
    <w:rsid w:val="5DCB6DD4"/>
    <w:rsid w:val="5EC51967"/>
    <w:rsid w:val="5F13397F"/>
    <w:rsid w:val="5F304531"/>
    <w:rsid w:val="60570CFE"/>
    <w:rsid w:val="60B414A2"/>
    <w:rsid w:val="61CF012A"/>
    <w:rsid w:val="63133F4E"/>
    <w:rsid w:val="64EF4296"/>
    <w:rsid w:val="670815C7"/>
    <w:rsid w:val="69BE7A7D"/>
    <w:rsid w:val="6A832EF5"/>
    <w:rsid w:val="6AAA7F05"/>
    <w:rsid w:val="6AAE27AE"/>
    <w:rsid w:val="6C846928"/>
    <w:rsid w:val="6CC3306C"/>
    <w:rsid w:val="6D3C5791"/>
    <w:rsid w:val="6E02688E"/>
    <w:rsid w:val="6E550418"/>
    <w:rsid w:val="6E560B0F"/>
    <w:rsid w:val="6EF74724"/>
    <w:rsid w:val="6EFF47BA"/>
    <w:rsid w:val="6F394D3C"/>
    <w:rsid w:val="6F6E3FD1"/>
    <w:rsid w:val="6F705600"/>
    <w:rsid w:val="6FF46C64"/>
    <w:rsid w:val="708C17E3"/>
    <w:rsid w:val="70D24CB2"/>
    <w:rsid w:val="724B2FD5"/>
    <w:rsid w:val="72B86D8A"/>
    <w:rsid w:val="72C65FB9"/>
    <w:rsid w:val="75091655"/>
    <w:rsid w:val="751C3136"/>
    <w:rsid w:val="76150602"/>
    <w:rsid w:val="76FC7D28"/>
    <w:rsid w:val="77992DA9"/>
    <w:rsid w:val="78E7601E"/>
    <w:rsid w:val="78F06C72"/>
    <w:rsid w:val="7A195E96"/>
    <w:rsid w:val="7B191EC6"/>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20"/>
    </w:pPr>
    <w:rPr>
      <w:rFonts w:ascii="宋体" w:hAnsi="宋体"/>
      <w:sz w:val="32"/>
      <w:szCs w:val="32"/>
    </w:rPr>
  </w:style>
  <w:style w:type="paragraph" w:styleId="4">
    <w:name w:val="List Number"/>
    <w:basedOn w:val="1"/>
    <w:qFormat/>
    <w:uiPriority w:val="0"/>
    <w:pPr>
      <w:numPr>
        <w:ilvl w:val="0"/>
        <w:numId w:val="1"/>
      </w:numPr>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eastAsia="宋体" w:cs="Times New Roman"/>
    </w:rPr>
  </w:style>
  <w:style w:type="paragraph" w:styleId="7">
    <w:name w:val="Body Text Indent 2"/>
    <w:basedOn w:val="1"/>
    <w:next w:val="8"/>
    <w:qFormat/>
    <w:uiPriority w:val="0"/>
    <w:pPr>
      <w:adjustRightInd w:val="0"/>
      <w:snapToGrid w:val="0"/>
      <w:spacing w:line="440" w:lineRule="atLeast"/>
      <w:ind w:firstLine="573"/>
    </w:pPr>
    <w:rPr>
      <w:rFonts w:ascii="宋体"/>
    </w:rPr>
  </w:style>
  <w:style w:type="paragraph" w:customStyle="1" w:styleId="8">
    <w:name w:val="简单回函地址"/>
    <w:basedOn w:val="1"/>
    <w:next w:val="9"/>
    <w:qFormat/>
    <w:uiPriority w:val="0"/>
    <w:rPr>
      <w:szCs w:val="20"/>
    </w:rPr>
  </w:style>
  <w:style w:type="paragraph" w:customStyle="1" w:styleId="9">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_Style 2"/>
    <w:basedOn w:val="1"/>
    <w:qFormat/>
    <w:uiPriority w:val="34"/>
    <w:pPr>
      <w:ind w:firstLine="420" w:firstLineChars="200"/>
    </w:pPr>
  </w:style>
  <w:style w:type="paragraph" w:customStyle="1" w:styleId="18">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19">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0">
    <w:name w:val="font21"/>
    <w:basedOn w:val="15"/>
    <w:qFormat/>
    <w:uiPriority w:val="0"/>
    <w:rPr>
      <w:rFonts w:hint="eastAsia" w:ascii="宋体" w:hAnsi="宋体" w:eastAsia="宋体" w:cs="宋体"/>
      <w:color w:val="000000"/>
      <w:sz w:val="20"/>
      <w:szCs w:val="20"/>
      <w:u w:val="none"/>
    </w:rPr>
  </w:style>
  <w:style w:type="paragraph" w:customStyle="1" w:styleId="21">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paragraph" w:customStyle="1" w:styleId="22">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character" w:customStyle="1" w:styleId="23">
    <w:name w:val="font71"/>
    <w:basedOn w:val="15"/>
    <w:qFormat/>
    <w:uiPriority w:val="0"/>
    <w:rPr>
      <w:rFonts w:hint="eastAsia" w:ascii="宋体" w:hAnsi="宋体" w:eastAsia="宋体" w:cs="宋体"/>
      <w:color w:val="000000"/>
      <w:sz w:val="22"/>
      <w:szCs w:val="22"/>
      <w:u w:val="none"/>
    </w:rPr>
  </w:style>
  <w:style w:type="paragraph" w:customStyle="1" w:styleId="24">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2343</Words>
  <Characters>2499</Characters>
  <Lines>0</Lines>
  <Paragraphs>0</Paragraphs>
  <TotalTime>5</TotalTime>
  <ScaleCrop>false</ScaleCrop>
  <LinksUpToDate>false</LinksUpToDate>
  <CharactersWithSpaces>2501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隆盛何红江</cp:lastModifiedBy>
  <cp:lastPrinted>2023-04-12T07:02:00Z</cp:lastPrinted>
  <dcterms:modified xsi:type="dcterms:W3CDTF">2023-05-19T02:32:20Z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B4BFCFBB194A4E308CD506F935B3AA53_13</vt:lpwstr>
  </property>
</Properties>
</file>