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line="940" w:lineRule="exact"/>
        <w:ind w:left="0" w:leftChars="0" w:firstLine="0" w:firstLineChars="0"/>
        <w:textAlignment w:val="auto"/>
      </w:pPr>
    </w:p>
    <w:p>
      <w:pPr>
        <w:keepNext w:val="0"/>
        <w:keepLines w:val="0"/>
        <w:pageBreakBefore w:val="0"/>
        <w:widowControl w:val="0"/>
        <w:kinsoku/>
        <w:wordWrap w:val="0"/>
        <w:overflowPunct w:val="0"/>
        <w:topLinePunct w:val="0"/>
        <w:autoSpaceDE/>
        <w:autoSpaceDN/>
        <w:bidi w:val="0"/>
        <w:adjustRightInd w:val="0"/>
        <w:snapToGrid w:val="0"/>
        <w:spacing w:before="280"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遂大环函〔</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lang w:val="en-US" w:eastAsia="zh-CN"/>
        </w:rPr>
        <w:t>28</w:t>
      </w:r>
      <w:r>
        <w:rPr>
          <w:rFonts w:hint="eastAsia" w:ascii="仿宋_GB2312" w:hAnsi="仿宋_GB2312" w:eastAsia="仿宋_GB2312" w:cs="仿宋_GB2312"/>
          <w:sz w:val="32"/>
          <w:szCs w:val="32"/>
        </w:rPr>
        <w:t>号</w:t>
      </w:r>
    </w:p>
    <w:p>
      <w:pPr>
        <w:pStyle w:val="3"/>
        <w:pageBreakBefore w:val="0"/>
        <w:widowControl w:val="0"/>
        <w:kinsoku/>
        <w:wordWrap/>
        <w:overflowPunct/>
        <w:topLinePunct w:val="0"/>
        <w:autoSpaceDE/>
        <w:autoSpaceDN/>
        <w:bidi w:val="0"/>
        <w:adjustRightInd/>
        <w:snapToGrid/>
        <w:spacing w:beforeLines="0" w:afterLines="0" w:line="500" w:lineRule="exact"/>
        <w:textAlignment w:val="auto"/>
      </w:pPr>
    </w:p>
    <w:p>
      <w:pPr>
        <w:pageBreakBefore w:val="0"/>
        <w:widowControl w:val="0"/>
        <w:kinsoku/>
        <w:wordWrap/>
        <w:overflowPunct/>
        <w:topLinePunct w:val="0"/>
        <w:autoSpaceDE/>
        <w:autoSpaceDN/>
        <w:bidi w:val="0"/>
        <w:adjustRightInd/>
        <w:snapToGrid/>
        <w:spacing w:line="500" w:lineRule="exact"/>
        <w:textAlignment w:val="auto"/>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Times New Roman" w:hAnsi="Times New Roman" w:eastAsia="方正小标宋简体" w:cs="Times New Roman"/>
          <w:color w:val="auto"/>
          <w:spacing w:val="0"/>
          <w:sz w:val="44"/>
          <w:szCs w:val="44"/>
          <w:lang w:eastAsia="zh-CN"/>
        </w:rPr>
      </w:pPr>
      <w:r>
        <w:rPr>
          <w:rFonts w:hint="eastAsia" w:eastAsia="方正小标宋简体" w:cs="Times New Roman"/>
          <w:color w:val="auto"/>
          <w:spacing w:val="0"/>
          <w:sz w:val="44"/>
          <w:szCs w:val="44"/>
          <w:lang w:eastAsia="zh-CN"/>
        </w:rPr>
        <w:t>遂宁市大英生态环境局</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eastAsia="方正小标宋简体"/>
          <w:sz w:val="44"/>
          <w:szCs w:val="44"/>
        </w:rPr>
      </w:pPr>
      <w:r>
        <w:rPr>
          <w:rFonts w:hint="eastAsia" w:eastAsia="方正小标宋简体"/>
          <w:kern w:val="0"/>
          <w:sz w:val="44"/>
          <w:szCs w:val="44"/>
        </w:rPr>
        <w:t>关于综合楼及研发中心建设项目</w:t>
      </w:r>
      <w:r>
        <w:rPr>
          <w:rFonts w:eastAsia="方正小标宋简体"/>
          <w:kern w:val="0"/>
          <w:sz w:val="44"/>
          <w:szCs w:val="44"/>
        </w:rPr>
        <w:t>环境影响表的批</w:t>
      </w:r>
      <w:r>
        <w:rPr>
          <w:rFonts w:hint="eastAsia" w:eastAsia="方正小标宋简体"/>
          <w:kern w:val="0"/>
          <w:sz w:val="44"/>
          <w:szCs w:val="44"/>
        </w:rPr>
        <w:t xml:space="preserve">   </w:t>
      </w:r>
      <w:r>
        <w:rPr>
          <w:rFonts w:eastAsia="方正小标宋简体"/>
          <w:kern w:val="0"/>
          <w:sz w:val="44"/>
          <w:szCs w:val="44"/>
        </w:rPr>
        <w:t>复</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color w:val="auto"/>
          <w:spacing w:val="0"/>
          <w:sz w:val="32"/>
          <w:szCs w:val="32"/>
        </w:rPr>
      </w:pPr>
    </w:p>
    <w:p>
      <w:pPr>
        <w:keepNext w:val="0"/>
        <w:keepLines w:val="0"/>
        <w:pageBreakBefore w:val="0"/>
        <w:widowControl w:val="0"/>
        <w:kinsoku/>
        <w:wordWrap w:val="0"/>
        <w:overflowPunct w:val="0"/>
        <w:topLinePunct/>
        <w:autoSpaceDE/>
        <w:autoSpaceDN/>
        <w:bidi w:val="0"/>
        <w:snapToGrid w:val="0"/>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大英星聚耀新材料科技有限公司：</w:t>
      </w:r>
    </w:p>
    <w:p>
      <w:pPr>
        <w:keepNext w:val="0"/>
        <w:keepLines w:val="0"/>
        <w:pageBreakBefore w:val="0"/>
        <w:widowControl w:val="0"/>
        <w:kinsoku/>
        <w:autoSpaceDE/>
        <w:autoSpaceDN/>
        <w:bidi w:val="0"/>
        <w:adjustRightIn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你公司报送的《综合楼及研发中心建设项目环境影响报告表》（以下简称《报告表》）收悉。经研究，批复如下：</w:t>
      </w:r>
    </w:p>
    <w:p>
      <w:pPr>
        <w:keepNext w:val="0"/>
        <w:keepLines w:val="0"/>
        <w:pageBreakBefore w:val="0"/>
        <w:widowControl w:val="0"/>
        <w:kinsoku/>
        <w:autoSpaceDE/>
        <w:autoSpaceDN/>
        <w:bidi w:val="0"/>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一、</w:t>
      </w:r>
      <w:r>
        <w:rPr>
          <w:rFonts w:hint="eastAsia" w:ascii="仿宋" w:hAnsi="仿宋" w:eastAsia="仿宋" w:cs="仿宋"/>
          <w:sz w:val="32"/>
          <w:szCs w:val="32"/>
        </w:rPr>
        <w:t>该项目在四川大英经济开发区聂家坝你公司现有厂区内实施，主要建设内容为：新建</w:t>
      </w:r>
      <w:r>
        <w:rPr>
          <w:rFonts w:hint="default" w:ascii="Times New Roman" w:hAnsi="Times New Roman" w:eastAsia="仿宋" w:cs="Times New Roman"/>
          <w:sz w:val="32"/>
          <w:szCs w:val="32"/>
        </w:rPr>
        <w:t>1</w:t>
      </w:r>
      <w:r>
        <w:rPr>
          <w:rFonts w:hint="eastAsia" w:ascii="仿宋" w:hAnsi="仿宋" w:eastAsia="仿宋" w:cs="仿宋"/>
          <w:sz w:val="32"/>
          <w:szCs w:val="32"/>
        </w:rPr>
        <w:t>栋综合楼及研发中心，配套废水处理辅助用房等公辅工程，主要从事羧甲基纤维素锂的研发试验和生产过程的原料、产品检验，研发试验全部为小试，不涉及中试工艺放大，也不涉及生物安全实验、转基因实验。项目建成后年研发</w:t>
      </w:r>
      <w:r>
        <w:rPr>
          <w:rFonts w:hint="eastAsia" w:ascii="Times New Roman" w:hAnsi="Times New Roman" w:eastAsia="仿宋" w:cs="Times New Roman"/>
          <w:sz w:val="32"/>
          <w:szCs w:val="32"/>
        </w:rPr>
        <w:t>0.3t</w:t>
      </w:r>
      <w:r>
        <w:rPr>
          <w:rFonts w:hint="eastAsia" w:ascii="仿宋" w:hAnsi="仿宋" w:eastAsia="仿宋" w:cs="仿宋"/>
          <w:sz w:val="32"/>
          <w:szCs w:val="32"/>
        </w:rPr>
        <w:t>羧甲基纤维素锂（作为危险废物处置），不新增产品种类及产能。项目总投资</w:t>
      </w:r>
      <w:r>
        <w:rPr>
          <w:rFonts w:hint="default" w:ascii="Times New Roman" w:hAnsi="Times New Roman" w:eastAsia="仿宋" w:cs="Times New Roman"/>
          <w:sz w:val="32"/>
          <w:szCs w:val="32"/>
        </w:rPr>
        <w:t>1000</w:t>
      </w:r>
      <w:r>
        <w:rPr>
          <w:rFonts w:hint="eastAsia" w:ascii="仿宋" w:hAnsi="仿宋" w:eastAsia="仿宋" w:cs="仿宋"/>
          <w:sz w:val="32"/>
          <w:szCs w:val="32"/>
        </w:rPr>
        <w:t>万元，其中环保投资</w:t>
      </w:r>
      <w:r>
        <w:rPr>
          <w:rFonts w:hint="default" w:ascii="Times New Roman" w:hAnsi="Times New Roman" w:eastAsia="仿宋" w:cs="Times New Roman"/>
          <w:sz w:val="32"/>
          <w:szCs w:val="32"/>
        </w:rPr>
        <w:t>62.7</w:t>
      </w:r>
      <w:r>
        <w:rPr>
          <w:rFonts w:hint="eastAsia" w:ascii="仿宋" w:hAnsi="仿宋" w:eastAsia="仿宋" w:cs="仿宋"/>
          <w:sz w:val="32"/>
          <w:szCs w:val="32"/>
        </w:rPr>
        <w:t>万元。</w:t>
      </w:r>
    </w:p>
    <w:p>
      <w:pPr>
        <w:keepNext w:val="0"/>
        <w:keepLines w:val="0"/>
        <w:pageBreakBefore w:val="0"/>
        <w:widowControl w:val="0"/>
        <w:kinsoku/>
        <w:autoSpaceDE/>
        <w:autoSpaceDN/>
        <w:bidi w:val="0"/>
        <w:spacing w:line="600" w:lineRule="exact"/>
        <w:ind w:firstLine="640" w:firstLineChars="200"/>
        <w:textAlignment w:val="auto"/>
        <w:rPr>
          <w:rFonts w:hint="eastAsia" w:ascii="仿宋" w:hAnsi="仿宋" w:eastAsia="仿宋" w:cs="仿宋"/>
          <w:sz w:val="32"/>
          <w:szCs w:val="32"/>
        </w:rPr>
        <w:sectPr>
          <w:footerReference r:id="rId3" w:type="default"/>
          <w:pgSz w:w="11906" w:h="16838"/>
          <w:pgMar w:top="2098" w:right="1474" w:bottom="1440"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hint="eastAsia" w:ascii="仿宋" w:hAnsi="仿宋" w:eastAsia="仿宋" w:cs="仿宋"/>
          <w:sz w:val="32"/>
          <w:szCs w:val="32"/>
        </w:rPr>
        <w:t>项目在大英县发展和改革局备案（川投资备〔</w:t>
      </w:r>
      <w:r>
        <w:rPr>
          <w:rFonts w:hint="default" w:ascii="Times New Roman" w:hAnsi="Times New Roman" w:eastAsia="仿宋" w:cs="Times New Roman"/>
          <w:sz w:val="32"/>
          <w:szCs w:val="32"/>
        </w:rPr>
        <w:t>2207-510923-04-01-703583</w:t>
      </w:r>
      <w:r>
        <w:rPr>
          <w:rFonts w:hint="eastAsia" w:ascii="仿宋" w:hAnsi="仿宋" w:eastAsia="仿宋" w:cs="仿宋"/>
          <w:sz w:val="32"/>
          <w:szCs w:val="32"/>
        </w:rPr>
        <w:t>〕</w:t>
      </w:r>
      <w:r>
        <w:rPr>
          <w:rFonts w:hint="default" w:ascii="Times New Roman" w:hAnsi="Times New Roman" w:eastAsia="仿宋" w:cs="Times New Roman"/>
          <w:sz w:val="32"/>
          <w:szCs w:val="32"/>
        </w:rPr>
        <w:t>FGQB-0053</w:t>
      </w:r>
      <w:r>
        <w:rPr>
          <w:rFonts w:hint="eastAsia" w:ascii="仿宋" w:hAnsi="仿宋" w:eastAsia="仿宋" w:cs="仿宋"/>
          <w:sz w:val="32"/>
          <w:szCs w:val="32"/>
        </w:rPr>
        <w:t>号），属于未列入《产业结构调整指导目录》（</w:t>
      </w:r>
      <w:r>
        <w:rPr>
          <w:rFonts w:hint="default" w:ascii="Times New Roman" w:hAnsi="Times New Roman" w:eastAsia="仿宋" w:cs="Times New Roman"/>
          <w:sz w:val="32"/>
          <w:szCs w:val="32"/>
        </w:rPr>
        <w:t>2019</w:t>
      </w:r>
      <w:r>
        <w:rPr>
          <w:rFonts w:hint="eastAsia" w:ascii="仿宋" w:hAnsi="仿宋" w:eastAsia="仿宋" w:cs="仿宋"/>
          <w:sz w:val="32"/>
          <w:szCs w:val="32"/>
        </w:rPr>
        <w:t>年本）的允许类项目。项目在现有</w:t>
      </w:r>
    </w:p>
    <w:p>
      <w:pPr>
        <w:keepNext w:val="0"/>
        <w:keepLines w:val="0"/>
        <w:pageBreakBefore w:val="0"/>
        <w:widowControl w:val="0"/>
        <w:kinsoku/>
        <w:autoSpaceDE/>
        <w:autoSpaceDN/>
        <w:bidi w:val="0"/>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厂区用地范围内建设，不新增建设用地。项目用地已取得不动产权证书（川〔</w:t>
      </w:r>
      <w:r>
        <w:rPr>
          <w:rFonts w:hint="eastAsia" w:ascii="Times New Roman" w:hAnsi="Times New Roman" w:eastAsia="仿宋" w:cs="Times New Roman"/>
          <w:sz w:val="32"/>
          <w:szCs w:val="32"/>
        </w:rPr>
        <w:t>2022</w:t>
      </w:r>
      <w:r>
        <w:rPr>
          <w:rFonts w:hint="eastAsia" w:ascii="仿宋" w:hAnsi="仿宋" w:eastAsia="仿宋" w:cs="仿宋"/>
          <w:sz w:val="32"/>
          <w:szCs w:val="32"/>
        </w:rPr>
        <w:t>〕大英县不动产权第</w:t>
      </w:r>
      <w:r>
        <w:rPr>
          <w:rFonts w:hint="eastAsia" w:ascii="Times New Roman" w:hAnsi="Times New Roman" w:eastAsia="仿宋" w:cs="Times New Roman"/>
          <w:sz w:val="32"/>
          <w:szCs w:val="32"/>
        </w:rPr>
        <w:t>0090085</w:t>
      </w:r>
      <w:r>
        <w:rPr>
          <w:rFonts w:hint="eastAsia" w:ascii="仿宋" w:hAnsi="仿宋" w:eastAsia="仿宋" w:cs="仿宋"/>
          <w:sz w:val="32"/>
          <w:szCs w:val="32"/>
        </w:rPr>
        <w:t>号），用地性质为工业用地。项目建设选址的四川大英经济开发区，已开展规划环评并取得审查意见（川环建函〔</w:t>
      </w:r>
      <w:r>
        <w:rPr>
          <w:rFonts w:hint="eastAsia" w:ascii="Times New Roman" w:hAnsi="Times New Roman" w:eastAsia="仿宋" w:cs="Times New Roman"/>
          <w:sz w:val="32"/>
          <w:szCs w:val="32"/>
        </w:rPr>
        <w:t>2019</w:t>
      </w:r>
      <w:r>
        <w:rPr>
          <w:rFonts w:hint="eastAsia" w:ascii="仿宋" w:hAnsi="仿宋" w:eastAsia="仿宋" w:cs="仿宋"/>
          <w:sz w:val="32"/>
          <w:szCs w:val="32"/>
        </w:rPr>
        <w:t>〕</w:t>
      </w:r>
      <w:r>
        <w:rPr>
          <w:rFonts w:hint="eastAsia" w:ascii="Times New Roman" w:hAnsi="Times New Roman" w:eastAsia="仿宋" w:cs="Times New Roman"/>
          <w:sz w:val="32"/>
          <w:szCs w:val="32"/>
        </w:rPr>
        <w:t>48</w:t>
      </w:r>
      <w:r>
        <w:rPr>
          <w:rFonts w:hint="eastAsia" w:ascii="仿宋" w:hAnsi="仿宋" w:eastAsia="仿宋" w:cs="仿宋"/>
          <w:sz w:val="32"/>
          <w:szCs w:val="32"/>
        </w:rPr>
        <w:t>号）。《报告表》认为该项目建设符合国家产业政策，选址符合相关规划和规划环评相关要求。</w:t>
      </w:r>
    </w:p>
    <w:p>
      <w:pPr>
        <w:keepNext w:val="0"/>
        <w:keepLines w:val="0"/>
        <w:pageBreakBefore w:val="0"/>
        <w:widowControl w:val="0"/>
        <w:kinsoku/>
        <w:overflow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严格落实《报告表》提出的环保对策及措施，严格执行环境保护“三同时”制度，确保污染物达标排放，认真落实环境风险防范措施及应急预案的前提下，该项目建设从环境保护角度可行，我局原则同意《报告表》的总体结论和拟采取的各项生态环境保护措施。你公司应严格按照《报告表》中所列项目的建设性质、规模、工艺、地点和拟采取的环境保护措施进行建设和运行，以确保对环境的不利影响得到缓解和控制。</w:t>
      </w:r>
    </w:p>
    <w:p>
      <w:pPr>
        <w:keepNext w:val="0"/>
        <w:keepLines w:val="0"/>
        <w:pageBreakBefore w:val="0"/>
        <w:widowControl w:val="0"/>
        <w:kinsoku/>
        <w:wordWrap w:val="0"/>
        <w:overflowPunct w:val="0"/>
        <w:autoSpaceDE/>
        <w:autoSpaceDN/>
        <w:bidi w:val="0"/>
        <w:snapToGrid w:val="0"/>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二、项目建设及营运应重点做好以下工作</w:t>
      </w:r>
    </w:p>
    <w:p>
      <w:pPr>
        <w:pStyle w:val="6"/>
        <w:keepNext w:val="0"/>
        <w:keepLines w:val="0"/>
        <w:pageBreakBefore w:val="0"/>
        <w:widowControl w:val="0"/>
        <w:kinsoku/>
        <w:autoSpaceDE/>
        <w:autoSpaceDN/>
        <w:bidi w:val="0"/>
        <w:spacing w:line="60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(一)加强施工期环境管理工作，防止水土流失、施工扬尘和噪声污染。</w:t>
      </w:r>
      <w:r>
        <w:rPr>
          <w:rFonts w:hint="eastAsia" w:ascii="仿宋" w:hAnsi="仿宋" w:eastAsia="仿宋" w:cs="仿宋"/>
          <w:sz w:val="32"/>
          <w:szCs w:val="32"/>
        </w:rPr>
        <w:t>施工人员的生活污水依托现有污水处理站收集处理后进入市政污水管网；施工废水经隔油+沉淀处理后回用于工程，不外排；生活垃圾集中收集，由环卫部门统一清运处理；建筑垃圾及时清运至政府指定地点；严格落实建筑施工“六必须六不准”和“六个百分百”要求，严格控制扬尘污染；施工场界噪声要满足《建筑施工场界环境噪声排放标准》(</w:t>
      </w:r>
      <w:r>
        <w:rPr>
          <w:rFonts w:hint="eastAsia" w:ascii="Times New Roman" w:hAnsi="Times New Roman" w:eastAsia="仿宋" w:cs="Times New Roman"/>
          <w:kern w:val="2"/>
          <w:sz w:val="32"/>
          <w:szCs w:val="32"/>
          <w:lang w:val="en-US" w:eastAsia="zh-CN" w:bidi="ar-SA"/>
        </w:rPr>
        <w:t>GB12523-2011</w:t>
      </w:r>
      <w:r>
        <w:rPr>
          <w:rFonts w:hint="eastAsia" w:ascii="仿宋" w:hAnsi="仿宋" w:eastAsia="仿宋" w:cs="仿宋"/>
          <w:sz w:val="32"/>
          <w:szCs w:val="32"/>
        </w:rPr>
        <w:t>)的要求。</w:t>
      </w:r>
    </w:p>
    <w:p>
      <w:pPr>
        <w:pStyle w:val="6"/>
        <w:keepNext w:val="0"/>
        <w:keepLines w:val="0"/>
        <w:pageBreakBefore w:val="0"/>
        <w:widowControl w:val="0"/>
        <w:kinsoku/>
        <w:autoSpaceDE/>
        <w:autoSpaceDN/>
        <w:bidi w:val="0"/>
        <w:spacing w:line="600" w:lineRule="exact"/>
        <w:ind w:firstLine="640" w:firstLineChars="200"/>
        <w:textAlignment w:val="auto"/>
        <w:rPr>
          <w:rFonts w:hint="eastAsia" w:ascii="仿宋" w:hAnsi="仿宋" w:eastAsia="仿宋" w:cs="仿宋"/>
          <w:sz w:val="32"/>
          <w:szCs w:val="32"/>
        </w:rPr>
      </w:pPr>
      <w:r>
        <w:rPr>
          <w:rFonts w:hint="eastAsia" w:ascii="楷体" w:hAnsi="楷体" w:eastAsia="楷体" w:cs="楷体"/>
          <w:bCs/>
          <w:sz w:val="32"/>
          <w:szCs w:val="32"/>
        </w:rPr>
        <w:t>（二）落实废水处置措施。</w:t>
      </w:r>
      <w:r>
        <w:rPr>
          <w:rFonts w:hint="eastAsia" w:ascii="仿宋" w:hAnsi="仿宋" w:eastAsia="仿宋" w:cs="仿宋"/>
          <w:bCs/>
          <w:sz w:val="32"/>
          <w:szCs w:val="32"/>
        </w:rPr>
        <w:t>严格按照报告表要求，规范处置各类废水。纯水机产生的浓水、仪器器皿清洗废水（前三次清洗废水除外）、冷却循</w:t>
      </w:r>
      <w:r>
        <w:rPr>
          <w:rFonts w:hint="eastAsia" w:ascii="仿宋" w:hAnsi="仿宋" w:eastAsia="仿宋" w:cs="仿宋"/>
          <w:sz w:val="32"/>
          <w:szCs w:val="32"/>
        </w:rPr>
        <w:t>环水排水、蒸汽冷凝排水与生活污水，经厂区现有污水处理站预处理达到园区污水处理厂协议标准，排入大英县工业污水处理厂处理后达标排放。</w:t>
      </w:r>
    </w:p>
    <w:p>
      <w:pPr>
        <w:pStyle w:val="6"/>
        <w:keepNext w:val="0"/>
        <w:keepLines w:val="0"/>
        <w:pageBreakBefore w:val="0"/>
        <w:widowControl w:val="0"/>
        <w:kinsoku/>
        <w:autoSpaceDE/>
        <w:autoSpaceDN/>
        <w:bidi w:val="0"/>
        <w:spacing w:line="600" w:lineRule="exact"/>
        <w:ind w:firstLine="640" w:firstLineChars="200"/>
        <w:textAlignment w:val="auto"/>
        <w:rPr>
          <w:rFonts w:hint="eastAsia" w:ascii="仿宋" w:hAnsi="仿宋" w:eastAsia="仿宋" w:cs="仿宋"/>
          <w:bCs/>
          <w:sz w:val="32"/>
          <w:szCs w:val="32"/>
        </w:rPr>
      </w:pPr>
      <w:r>
        <w:rPr>
          <w:rFonts w:hint="eastAsia" w:ascii="楷体" w:hAnsi="楷体" w:eastAsia="楷体" w:cs="楷体"/>
          <w:sz w:val="32"/>
          <w:szCs w:val="32"/>
        </w:rPr>
        <w:t>（三）落实废气处置措施。</w:t>
      </w:r>
      <w:r>
        <w:rPr>
          <w:rFonts w:hint="eastAsia" w:ascii="仿宋" w:hAnsi="仿宋" w:eastAsia="仿宋" w:cs="仿宋"/>
          <w:sz w:val="32"/>
          <w:szCs w:val="32"/>
        </w:rPr>
        <w:t>研发试验产生的有</w:t>
      </w:r>
      <w:r>
        <w:rPr>
          <w:rFonts w:hint="eastAsia" w:ascii="仿宋" w:hAnsi="仿宋" w:eastAsia="仿宋" w:cs="仿宋"/>
          <w:bCs/>
          <w:sz w:val="32"/>
          <w:szCs w:val="32"/>
        </w:rPr>
        <w:t>机废气和酸性废气集中收集，依托二车间“低温冷凝+碱洗+水洗+活性炭吸附装置”处理达标后</w:t>
      </w:r>
      <w:r>
        <w:rPr>
          <w:rFonts w:hint="eastAsia" w:ascii="仿宋" w:hAnsi="仿宋" w:eastAsia="仿宋" w:cs="仿宋"/>
          <w:sz w:val="32"/>
          <w:szCs w:val="32"/>
        </w:rPr>
        <w:t>，通过</w:t>
      </w:r>
      <w:r>
        <w:rPr>
          <w:rFonts w:hint="eastAsia" w:ascii="Times New Roman" w:hAnsi="Times New Roman" w:eastAsia="仿宋" w:cs="Times New Roman"/>
          <w:kern w:val="2"/>
          <w:sz w:val="32"/>
          <w:szCs w:val="32"/>
          <w:lang w:val="en-US" w:eastAsia="zh-CN" w:bidi="ar-SA"/>
        </w:rPr>
        <w:t>1</w:t>
      </w:r>
      <w:r>
        <w:rPr>
          <w:rFonts w:hint="eastAsia" w:ascii="仿宋" w:hAnsi="仿宋" w:eastAsia="仿宋" w:cs="仿宋"/>
          <w:sz w:val="32"/>
          <w:szCs w:val="32"/>
        </w:rPr>
        <w:t>根</w:t>
      </w:r>
      <w:r>
        <w:rPr>
          <w:rFonts w:hint="eastAsia" w:ascii="Times New Roman" w:hAnsi="Times New Roman" w:eastAsia="仿宋" w:cs="Times New Roman"/>
          <w:kern w:val="2"/>
          <w:sz w:val="32"/>
          <w:szCs w:val="32"/>
          <w:lang w:val="en-US" w:eastAsia="zh-CN" w:bidi="ar-SA"/>
        </w:rPr>
        <w:t>29</w:t>
      </w:r>
      <w:r>
        <w:rPr>
          <w:rFonts w:hint="eastAsia" w:ascii="仿宋" w:hAnsi="仿宋" w:eastAsia="仿宋" w:cs="仿宋"/>
          <w:sz w:val="32"/>
          <w:szCs w:val="32"/>
        </w:rPr>
        <w:t>米高排气筒排放。干燥、粉碎粉尘集中收集，依托二车间“旋风+布袋除尘器”处理达标后，经</w:t>
      </w:r>
      <w:r>
        <w:rPr>
          <w:rFonts w:hint="eastAsia" w:ascii="Times New Roman" w:hAnsi="Times New Roman" w:eastAsia="仿宋" w:cs="Times New Roman"/>
          <w:kern w:val="2"/>
          <w:sz w:val="32"/>
          <w:szCs w:val="32"/>
          <w:lang w:val="en-US" w:eastAsia="zh-CN" w:bidi="ar-SA"/>
        </w:rPr>
        <w:t>1</w:t>
      </w:r>
      <w:r>
        <w:rPr>
          <w:rFonts w:hint="eastAsia" w:ascii="仿宋" w:hAnsi="仿宋" w:eastAsia="仿宋" w:cs="仿宋"/>
          <w:sz w:val="32"/>
          <w:szCs w:val="32"/>
        </w:rPr>
        <w:t>根</w:t>
      </w:r>
      <w:r>
        <w:rPr>
          <w:rFonts w:hint="eastAsia" w:ascii="Times New Roman" w:hAnsi="Times New Roman" w:eastAsia="仿宋" w:cs="Times New Roman"/>
          <w:kern w:val="2"/>
          <w:sz w:val="32"/>
          <w:szCs w:val="32"/>
          <w:lang w:val="en-US" w:eastAsia="zh-CN" w:bidi="ar-SA"/>
        </w:rPr>
        <w:t>29</w:t>
      </w:r>
      <w:r>
        <w:rPr>
          <w:rFonts w:hint="eastAsia" w:ascii="仿宋" w:hAnsi="仿宋" w:eastAsia="仿宋" w:cs="仿宋"/>
          <w:sz w:val="32"/>
          <w:szCs w:val="32"/>
        </w:rPr>
        <w:t>米高排气筒排放。食堂油烟经油烟净化器处理达标后排放</w:t>
      </w:r>
      <w:r>
        <w:rPr>
          <w:rFonts w:hint="eastAsia" w:ascii="仿宋" w:hAnsi="仿宋" w:eastAsia="仿宋" w:cs="仿宋"/>
          <w:bCs/>
          <w:sz w:val="32"/>
          <w:szCs w:val="32"/>
        </w:rPr>
        <w:t>。</w:t>
      </w:r>
    </w:p>
    <w:p>
      <w:pPr>
        <w:pStyle w:val="6"/>
        <w:keepNext w:val="0"/>
        <w:keepLines w:val="0"/>
        <w:pageBreakBefore w:val="0"/>
        <w:widowControl w:val="0"/>
        <w:kinsoku/>
        <w:autoSpaceDE/>
        <w:autoSpaceDN/>
        <w:bidi w:val="0"/>
        <w:spacing w:line="600" w:lineRule="exact"/>
        <w:ind w:firstLine="640" w:firstLineChars="200"/>
        <w:textAlignment w:val="auto"/>
        <w:rPr>
          <w:rFonts w:hint="eastAsia" w:ascii="仿宋" w:hAnsi="仿宋" w:eastAsia="仿宋" w:cs="仿宋"/>
          <w:bCs/>
          <w:sz w:val="32"/>
          <w:szCs w:val="32"/>
        </w:rPr>
      </w:pPr>
      <w:r>
        <w:rPr>
          <w:rFonts w:hint="eastAsia" w:ascii="楷体" w:hAnsi="楷体" w:eastAsia="楷体" w:cs="楷体"/>
          <w:bCs/>
          <w:sz w:val="32"/>
          <w:szCs w:val="32"/>
        </w:rPr>
        <w:t>（四）落实固体废物处置措施。</w:t>
      </w:r>
      <w:r>
        <w:rPr>
          <w:rFonts w:hint="eastAsia" w:ascii="仿宋" w:hAnsi="仿宋" w:eastAsia="仿宋" w:cs="仿宋"/>
          <w:bCs/>
          <w:sz w:val="32"/>
          <w:szCs w:val="32"/>
        </w:rPr>
        <w:t>严格按照《报告表》要求，分类收集各类固体废物并妥善处置。废反渗透膜由厂家回收，除尘系统收集的粉尘回用，生活垃圾由环卫部门清运，餐厨垃圾及隔油池废油委托专业餐厨垃圾处置单位处置；研发成果、废活性炭、研发试验废液、检验废液、仪器器皿前三次清洗废水分类暂存于危险废物暂存间，定期交由有资质单位处置，转移过程严格落实《危险废物转移管理办法》要求。</w:t>
      </w:r>
    </w:p>
    <w:p>
      <w:pPr>
        <w:pStyle w:val="6"/>
        <w:keepNext w:val="0"/>
        <w:keepLines w:val="0"/>
        <w:pageBreakBefore w:val="0"/>
        <w:widowControl w:val="0"/>
        <w:kinsoku/>
        <w:autoSpaceDE/>
        <w:autoSpaceDN/>
        <w:bidi w:val="0"/>
        <w:spacing w:line="600" w:lineRule="exact"/>
        <w:ind w:firstLine="640" w:firstLineChars="200"/>
        <w:textAlignment w:val="auto"/>
        <w:rPr>
          <w:rFonts w:hint="eastAsia" w:ascii="仿宋" w:hAnsi="仿宋" w:eastAsia="仿宋" w:cs="仿宋"/>
          <w:sz w:val="32"/>
          <w:szCs w:val="32"/>
        </w:rPr>
      </w:pPr>
      <w:r>
        <w:rPr>
          <w:rFonts w:hint="eastAsia" w:ascii="楷体" w:hAnsi="楷体" w:eastAsia="楷体" w:cs="楷体"/>
          <w:bCs/>
          <w:sz w:val="32"/>
          <w:szCs w:val="32"/>
        </w:rPr>
        <w:t>（五）落实噪声污染防治措施。</w:t>
      </w:r>
      <w:r>
        <w:rPr>
          <w:rFonts w:hint="eastAsia" w:ascii="仿宋" w:hAnsi="仿宋" w:eastAsia="仿宋" w:cs="仿宋"/>
          <w:bCs/>
          <w:sz w:val="32"/>
          <w:szCs w:val="32"/>
        </w:rPr>
        <w:t>合理布局研发试验设备，采</w:t>
      </w:r>
      <w:r>
        <w:rPr>
          <w:rFonts w:hint="eastAsia" w:ascii="仿宋" w:hAnsi="仿宋" w:eastAsia="仿宋" w:cs="仿宋"/>
          <w:sz w:val="32"/>
          <w:szCs w:val="32"/>
        </w:rPr>
        <w:t>取选用低噪设备、基础减振、安装消声器等措施，确保厂界噪声满足《工业企业厂界环境噪声排放标准》（</w:t>
      </w:r>
      <w:r>
        <w:rPr>
          <w:rFonts w:hint="eastAsia" w:ascii="Times New Roman" w:hAnsi="Times New Roman" w:eastAsia="仿宋" w:cs="Times New Roman"/>
          <w:kern w:val="2"/>
          <w:sz w:val="32"/>
          <w:szCs w:val="32"/>
          <w:lang w:val="en-US" w:eastAsia="zh-CN" w:bidi="ar-SA"/>
        </w:rPr>
        <w:t>GB12348-2008</w:t>
      </w:r>
      <w:r>
        <w:rPr>
          <w:rFonts w:hint="eastAsia" w:ascii="仿宋" w:hAnsi="仿宋" w:eastAsia="仿宋" w:cs="仿宋"/>
          <w:sz w:val="32"/>
          <w:szCs w:val="32"/>
        </w:rPr>
        <w:t>）中的</w:t>
      </w:r>
      <w:r>
        <w:rPr>
          <w:rFonts w:hint="eastAsia" w:ascii="Times New Roman" w:hAnsi="Times New Roman" w:eastAsia="仿宋" w:cs="Times New Roman"/>
          <w:kern w:val="2"/>
          <w:sz w:val="32"/>
          <w:szCs w:val="32"/>
          <w:lang w:val="en-US" w:eastAsia="zh-CN" w:bidi="ar-SA"/>
        </w:rPr>
        <w:t>3</w:t>
      </w:r>
      <w:r>
        <w:rPr>
          <w:rFonts w:hint="eastAsia" w:ascii="仿宋" w:hAnsi="仿宋" w:eastAsia="仿宋" w:cs="仿宋"/>
          <w:sz w:val="32"/>
          <w:szCs w:val="32"/>
        </w:rPr>
        <w:t>类声环境功能区排放限值的要求。</w:t>
      </w:r>
    </w:p>
    <w:p>
      <w:pPr>
        <w:pStyle w:val="6"/>
        <w:keepNext w:val="0"/>
        <w:keepLines w:val="0"/>
        <w:pageBreakBefore w:val="0"/>
        <w:widowControl w:val="0"/>
        <w:kinsoku/>
        <w:autoSpaceDE/>
        <w:autoSpaceDN/>
        <w:bidi w:val="0"/>
        <w:spacing w:line="600" w:lineRule="exact"/>
        <w:ind w:firstLine="640" w:firstLineChars="200"/>
        <w:textAlignment w:val="auto"/>
        <w:rPr>
          <w:rFonts w:hint="eastAsia" w:ascii="仿宋" w:hAnsi="仿宋" w:eastAsia="仿宋" w:cs="仿宋"/>
          <w:bCs/>
          <w:sz w:val="32"/>
          <w:szCs w:val="32"/>
        </w:rPr>
      </w:pPr>
      <w:r>
        <w:rPr>
          <w:rFonts w:hint="eastAsia" w:ascii="楷体" w:hAnsi="楷体" w:eastAsia="楷体" w:cs="楷体"/>
          <w:bCs/>
          <w:sz w:val="32"/>
          <w:szCs w:val="32"/>
        </w:rPr>
        <w:t>（六）落实地下水、土壤污染防治措施。</w:t>
      </w:r>
      <w:r>
        <w:rPr>
          <w:rFonts w:hint="eastAsia" w:ascii="仿宋" w:hAnsi="仿宋" w:eastAsia="仿宋" w:cs="仿宋"/>
          <w:bCs/>
          <w:sz w:val="32"/>
          <w:szCs w:val="32"/>
        </w:rPr>
        <w:t>严格按照《报告表》要求，对研发楼原料存放间进行重点防渗，对综合楼及研发中心内办公区进行简单防渗，对研发实验大厅及检测大厅进行一般防渗，防止地下水和土壤环境污染。</w:t>
      </w:r>
    </w:p>
    <w:p>
      <w:pPr>
        <w:pStyle w:val="6"/>
        <w:keepNext w:val="0"/>
        <w:keepLines w:val="0"/>
        <w:pageBreakBefore w:val="0"/>
        <w:widowControl w:val="0"/>
        <w:kinsoku/>
        <w:autoSpaceDE/>
        <w:autoSpaceDN/>
        <w:bidi w:val="0"/>
        <w:spacing w:line="600" w:lineRule="exact"/>
        <w:ind w:firstLine="640" w:firstLineChars="200"/>
        <w:textAlignment w:val="auto"/>
        <w:rPr>
          <w:rFonts w:hint="eastAsia" w:ascii="仿宋" w:hAnsi="仿宋" w:eastAsia="仿宋" w:cs="仿宋"/>
          <w:sz w:val="32"/>
          <w:szCs w:val="32"/>
        </w:rPr>
      </w:pPr>
      <w:r>
        <w:rPr>
          <w:rFonts w:hint="eastAsia" w:ascii="楷体" w:hAnsi="楷体" w:eastAsia="楷体" w:cs="楷体"/>
          <w:bCs/>
          <w:sz w:val="32"/>
          <w:szCs w:val="32"/>
        </w:rPr>
        <w:t>（七）</w:t>
      </w:r>
      <w:r>
        <w:rPr>
          <w:rFonts w:hint="eastAsia" w:ascii="楷体" w:hAnsi="楷体" w:eastAsia="楷体" w:cs="楷体"/>
          <w:sz w:val="32"/>
          <w:szCs w:val="32"/>
        </w:rPr>
        <w:t>加强环境风险防范和应急管理。</w:t>
      </w:r>
      <w:r>
        <w:rPr>
          <w:rFonts w:hint="eastAsia" w:ascii="仿宋" w:hAnsi="仿宋" w:eastAsia="仿宋" w:cs="仿宋"/>
          <w:sz w:val="32"/>
          <w:szCs w:val="32"/>
        </w:rPr>
        <w:t>严格落实《报告表》提出的风险防范措施，制定并不断完善突发环境事件应急预案，定期开展应急演练。规范内部管理，严格操作规范，防止污染事故的发生。</w:t>
      </w:r>
    </w:p>
    <w:p>
      <w:pPr>
        <w:pStyle w:val="6"/>
        <w:keepNext w:val="0"/>
        <w:keepLines w:val="0"/>
        <w:pageBreakBefore w:val="0"/>
        <w:widowControl w:val="0"/>
        <w:kinsoku/>
        <w:autoSpaceDE/>
        <w:autoSpaceDN/>
        <w:bidi w:val="0"/>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三、</w:t>
      </w:r>
      <w:r>
        <w:rPr>
          <w:rFonts w:hint="eastAsia" w:ascii="仿宋" w:hAnsi="仿宋" w:eastAsia="仿宋" w:cs="仿宋"/>
          <w:sz w:val="32"/>
          <w:szCs w:val="32"/>
        </w:rPr>
        <w:t>根据项目环评报告预测，项目实施后全厂污染物总量分别为：大气污染物排放总量</w:t>
      </w:r>
      <w:r>
        <w:rPr>
          <w:rFonts w:hint="default" w:ascii="Times New Roman" w:hAnsi="Times New Roman" w:eastAsia="仿宋" w:cs="Times New Roman"/>
          <w:sz w:val="32"/>
          <w:szCs w:val="32"/>
        </w:rPr>
        <w:t>VOC</w:t>
      </w:r>
      <w:r>
        <w:rPr>
          <w:rFonts w:hint="default" w:ascii="Times New Roman" w:hAnsi="Times New Roman" w:eastAsia="仿宋" w:cs="Times New Roman"/>
          <w:sz w:val="32"/>
          <w:szCs w:val="32"/>
          <w:vertAlign w:val="subscript"/>
        </w:rPr>
        <w:t>S</w:t>
      </w:r>
      <w:r>
        <w:rPr>
          <w:rFonts w:hint="default" w:ascii="Times New Roman" w:hAnsi="Times New Roman" w:eastAsia="仿宋" w:cs="Times New Roman"/>
          <w:sz w:val="32"/>
          <w:szCs w:val="32"/>
        </w:rPr>
        <w:t>16.001t/a</w:t>
      </w:r>
      <w:r>
        <w:rPr>
          <w:rFonts w:hint="eastAsia" w:ascii="仿宋" w:hAnsi="仿宋" w:eastAsia="仿宋" w:cs="仿宋"/>
          <w:sz w:val="32"/>
          <w:szCs w:val="32"/>
        </w:rPr>
        <w:t>，水污染物排放总量</w:t>
      </w:r>
      <w:r>
        <w:rPr>
          <w:rFonts w:hint="default" w:ascii="Times New Roman" w:hAnsi="Times New Roman" w:eastAsia="仿宋" w:cs="Times New Roman"/>
          <w:sz w:val="32"/>
          <w:szCs w:val="32"/>
        </w:rPr>
        <w:t>COD</w:t>
      </w:r>
      <w:r>
        <w:rPr>
          <w:rFonts w:hint="default" w:ascii="Times New Roman" w:hAnsi="Times New Roman" w:eastAsia="仿宋" w:cs="Times New Roman"/>
          <w:sz w:val="32"/>
          <w:szCs w:val="32"/>
          <w:vertAlign w:val="subscript"/>
        </w:rPr>
        <w:t>Cr</w:t>
      </w:r>
      <w:r>
        <w:rPr>
          <w:rFonts w:hint="default" w:ascii="Times New Roman" w:hAnsi="Times New Roman" w:eastAsia="仿宋" w:cs="Times New Roman"/>
          <w:sz w:val="32"/>
          <w:szCs w:val="32"/>
        </w:rPr>
        <w:t>3.6641t/a</w:t>
      </w:r>
      <w:r>
        <w:rPr>
          <w:rFonts w:hint="eastAsia" w:ascii="仿宋" w:hAnsi="仿宋" w:eastAsia="仿宋" w:cs="仿宋"/>
          <w:sz w:val="32"/>
          <w:szCs w:val="32"/>
        </w:rPr>
        <w:t>、</w:t>
      </w:r>
      <w:r>
        <w:rPr>
          <w:rFonts w:hint="default" w:ascii="Times New Roman" w:hAnsi="Times New Roman" w:eastAsia="仿宋" w:cs="Times New Roman"/>
          <w:color w:val="auto"/>
          <w:sz w:val="32"/>
          <w:szCs w:val="32"/>
        </w:rPr>
        <w:t>NH</w:t>
      </w:r>
      <w:r>
        <w:rPr>
          <w:rFonts w:hint="default" w:ascii="Times New Roman" w:hAnsi="Times New Roman" w:eastAsia="仿宋" w:cs="Times New Roman"/>
          <w:color w:val="auto"/>
          <w:sz w:val="32"/>
          <w:szCs w:val="32"/>
          <w:vertAlign w:val="subscript"/>
        </w:rPr>
        <w:t>3</w:t>
      </w:r>
      <w:r>
        <w:rPr>
          <w:rFonts w:hint="default" w:ascii="Times New Roman" w:hAnsi="Times New Roman" w:eastAsia="仿宋" w:cs="Times New Roman"/>
          <w:color w:val="auto"/>
          <w:sz w:val="32"/>
          <w:szCs w:val="32"/>
        </w:rPr>
        <w:t>-N0.1831t/a</w:t>
      </w:r>
      <w:r>
        <w:rPr>
          <w:rFonts w:hint="eastAsia" w:ascii="仿宋" w:hAnsi="仿宋" w:eastAsia="仿宋" w:cs="仿宋"/>
          <w:sz w:val="32"/>
          <w:szCs w:val="32"/>
        </w:rPr>
        <w:t>（工业污水处理厂外排郪江）。其中，本次扩建项目新增污染物总量分别为：新增大气污染物排放总量</w:t>
      </w:r>
      <w:r>
        <w:rPr>
          <w:rFonts w:hint="default" w:ascii="Times New Roman" w:hAnsi="Times New Roman" w:eastAsia="仿宋" w:cs="Times New Roman"/>
          <w:sz w:val="32"/>
          <w:szCs w:val="32"/>
        </w:rPr>
        <w:t>VOC</w:t>
      </w:r>
      <w:r>
        <w:rPr>
          <w:rFonts w:hint="default" w:ascii="Times New Roman" w:hAnsi="Times New Roman" w:eastAsia="仿宋" w:cs="Times New Roman"/>
          <w:sz w:val="32"/>
          <w:szCs w:val="32"/>
          <w:vertAlign w:val="subscript"/>
        </w:rPr>
        <w:t>S</w:t>
      </w:r>
      <w:r>
        <w:rPr>
          <w:rFonts w:hint="default" w:ascii="Times New Roman" w:hAnsi="Times New Roman" w:eastAsia="仿宋" w:cs="Times New Roman"/>
          <w:sz w:val="32"/>
          <w:szCs w:val="32"/>
        </w:rPr>
        <w:t>0.018t/a</w:t>
      </w:r>
      <w:r>
        <w:rPr>
          <w:rFonts w:hint="eastAsia" w:ascii="仿宋" w:hAnsi="仿宋" w:eastAsia="仿宋" w:cs="仿宋"/>
          <w:sz w:val="32"/>
          <w:szCs w:val="32"/>
        </w:rPr>
        <w:t>，新增水污染物排放总量</w:t>
      </w:r>
      <w:r>
        <w:rPr>
          <w:rFonts w:hint="default" w:ascii="Times New Roman" w:hAnsi="Times New Roman" w:eastAsia="仿宋" w:cs="Times New Roman"/>
          <w:sz w:val="32"/>
          <w:szCs w:val="32"/>
        </w:rPr>
        <w:t>COD</w:t>
      </w:r>
      <w:r>
        <w:rPr>
          <w:rFonts w:hint="default" w:ascii="Times New Roman" w:hAnsi="Times New Roman" w:eastAsia="仿宋" w:cs="Times New Roman"/>
          <w:sz w:val="32"/>
          <w:szCs w:val="32"/>
          <w:vertAlign w:val="subscript"/>
        </w:rPr>
        <w:t>Cr</w:t>
      </w:r>
      <w:r>
        <w:rPr>
          <w:rFonts w:hint="default" w:ascii="Times New Roman" w:hAnsi="Times New Roman" w:eastAsia="仿宋" w:cs="Times New Roman"/>
          <w:sz w:val="32"/>
          <w:szCs w:val="32"/>
        </w:rPr>
        <w:t>0.002t/a</w:t>
      </w:r>
      <w:r>
        <w:rPr>
          <w:rFonts w:hint="eastAsia" w:ascii="仿宋" w:hAnsi="仿宋" w:eastAsia="仿宋" w:cs="仿宋"/>
          <w:sz w:val="32"/>
          <w:szCs w:val="32"/>
        </w:rPr>
        <w:t>、</w:t>
      </w:r>
      <w:r>
        <w:rPr>
          <w:rFonts w:hint="default" w:ascii="Times New Roman" w:hAnsi="Times New Roman" w:eastAsia="仿宋" w:cs="Times New Roman"/>
          <w:color w:val="auto"/>
          <w:sz w:val="32"/>
          <w:szCs w:val="32"/>
        </w:rPr>
        <w:t>NH</w:t>
      </w:r>
      <w:r>
        <w:rPr>
          <w:rFonts w:hint="default" w:ascii="Times New Roman" w:hAnsi="Times New Roman" w:eastAsia="仿宋" w:cs="Times New Roman"/>
          <w:color w:val="auto"/>
          <w:sz w:val="32"/>
          <w:szCs w:val="32"/>
          <w:vertAlign w:val="subscript"/>
        </w:rPr>
        <w:t>3</w:t>
      </w:r>
      <w:r>
        <w:rPr>
          <w:rFonts w:hint="default" w:ascii="Times New Roman" w:hAnsi="Times New Roman" w:eastAsia="仿宋" w:cs="Times New Roman"/>
          <w:color w:val="auto"/>
          <w:sz w:val="32"/>
          <w:szCs w:val="32"/>
        </w:rPr>
        <w:t>-N0.0001t/a</w:t>
      </w:r>
      <w:r>
        <w:rPr>
          <w:rFonts w:hint="eastAsia" w:ascii="仿宋" w:hAnsi="仿宋" w:eastAsia="仿宋" w:cs="仿宋"/>
          <w:sz w:val="32"/>
          <w:szCs w:val="32"/>
        </w:rPr>
        <w:t>（工业污水处理厂外排郪江）。</w:t>
      </w:r>
    </w:p>
    <w:p>
      <w:pPr>
        <w:pStyle w:val="6"/>
        <w:keepNext w:val="0"/>
        <w:keepLines w:val="0"/>
        <w:pageBreakBefore w:val="0"/>
        <w:widowControl w:val="0"/>
        <w:kinsoku/>
        <w:autoSpaceDE/>
        <w:autoSpaceDN/>
        <w:bidi w:val="0"/>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四、项目建设应依法完备其他行政许可手续。</w:t>
      </w:r>
    </w:p>
    <w:p>
      <w:pPr>
        <w:keepNext w:val="0"/>
        <w:keepLines w:val="0"/>
        <w:pageBreakBefore w:val="0"/>
        <w:widowControl w:val="0"/>
        <w:kinsoku/>
        <w:overflowPunct w:val="0"/>
        <w:autoSpaceDE/>
        <w:autoSpaceDN/>
        <w:bidi w:val="0"/>
        <w:snapToGrid w:val="0"/>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五、</w:t>
      </w:r>
      <w:r>
        <w:rPr>
          <w:rFonts w:hint="eastAsia" w:ascii="仿宋" w:hAnsi="仿宋" w:eastAsia="仿宋" w:cs="仿宋"/>
          <w:sz w:val="32"/>
          <w:szCs w:val="32"/>
        </w:rPr>
        <w:t>项目建设必须严格执行配套建设的环境保护设施与主体工程同时设计、同时施工、同时投产使用的环境保护“三同时”制度。在发生实际排污行为前，必须按照国家排污许可有关管理规定要求，依法申领排污许可证或填报排污登记表。建设项目竣工后，应当按照规定的程序和标准，组织对配套建设的环境保护设施及对策措施进行验收，并依法向社会公开验收报告，验收合格后方可投入生产或使用。</w:t>
      </w:r>
    </w:p>
    <w:p>
      <w:pPr>
        <w:keepNext w:val="0"/>
        <w:keepLines w:val="0"/>
        <w:pageBreakBefore w:val="0"/>
        <w:widowControl w:val="0"/>
        <w:kinsoku/>
        <w:autoSpaceDE/>
        <w:autoSpaceDN/>
        <w:bidi w:val="0"/>
        <w:spacing w:line="600" w:lineRule="exact"/>
        <w:ind w:firstLine="640" w:firstLineChars="200"/>
        <w:textAlignment w:val="auto"/>
        <w:rPr>
          <w:rFonts w:hint="eastAsia" w:ascii="仿宋" w:hAnsi="仿宋" w:eastAsia="仿宋" w:cs="仿宋"/>
          <w:spacing w:val="6"/>
          <w:sz w:val="32"/>
          <w:szCs w:val="32"/>
        </w:rPr>
      </w:pPr>
      <w:r>
        <w:rPr>
          <w:rFonts w:hint="eastAsia" w:ascii="仿宋" w:hAnsi="仿宋" w:eastAsia="仿宋" w:cs="仿宋"/>
          <w:sz w:val="32"/>
          <w:szCs w:val="32"/>
        </w:rPr>
        <w:t>项目环境影响评价文件经批准后，如工程的性质、规模、地点、采用的生产工艺或者防治污染、防止生态破坏的措施发生重大变动，你公司应当重新报批环境影响评价文件，否则不得实施建设。自环评批复文件批准之日起，如工程超过</w:t>
      </w:r>
      <w:r>
        <w:rPr>
          <w:rFonts w:hint="default" w:ascii="Times New Roman" w:hAnsi="Times New Roman" w:eastAsia="仿宋" w:cs="Times New Roman"/>
          <w:sz w:val="32"/>
          <w:szCs w:val="32"/>
        </w:rPr>
        <w:t>5</w:t>
      </w:r>
      <w:r>
        <w:rPr>
          <w:rFonts w:hint="eastAsia" w:ascii="仿宋" w:hAnsi="仿宋" w:eastAsia="仿宋" w:cs="仿宋"/>
          <w:sz w:val="32"/>
          <w:szCs w:val="32"/>
        </w:rPr>
        <w:t>年未开工建设，环境影响评价文件应当报我局重新审核。</w:t>
      </w:r>
    </w:p>
    <w:p>
      <w:pPr>
        <w:pStyle w:val="7"/>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z w:val="32"/>
          <w:szCs w:val="32"/>
          <w:lang w:val="en-US" w:eastAsia="zh-CN"/>
        </w:rPr>
      </w:pPr>
      <w:bookmarkStart w:id="0" w:name="_GoBack"/>
      <w:bookmarkEnd w:id="0"/>
    </w:p>
    <w:p>
      <w:pPr>
        <w:pStyle w:val="8"/>
        <w:keepNext w:val="0"/>
        <w:keepLines w:val="0"/>
        <w:pageBreakBefore w:val="0"/>
        <w:kinsoku/>
        <w:topLinePunct w:val="0"/>
        <w:autoSpaceDE/>
        <w:autoSpaceDN/>
        <w:bidi w:val="0"/>
        <w:spacing w:line="600" w:lineRule="exact"/>
        <w:textAlignment w:val="auto"/>
        <w:rPr>
          <w:rFonts w:hint="eastAsia"/>
          <w:lang w:val="en-US" w:eastAsia="zh-CN"/>
        </w:rPr>
      </w:pPr>
    </w:p>
    <w:p>
      <w:pPr>
        <w:keepNext w:val="0"/>
        <w:keepLines w:val="0"/>
        <w:pageBreakBefore w:val="0"/>
        <w:widowControl w:val="0"/>
        <w:kinsoku/>
        <w:wordWrap w:val="0"/>
        <w:overflowPunct w:val="0"/>
        <w:topLinePunct w:val="0"/>
        <w:autoSpaceDE/>
        <w:autoSpaceDN/>
        <w:bidi w:val="0"/>
        <w:adjustRightInd w:val="0"/>
        <w:snapToGrid w:val="0"/>
        <w:spacing w:line="60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遂宁市大英生态环境局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p>
    <w:p>
      <w:pPr>
        <w:pStyle w:val="6"/>
        <w:keepNext w:val="0"/>
        <w:keepLines w:val="0"/>
        <w:pageBreakBefore w:val="0"/>
        <w:widowControl w:val="0"/>
        <w:kinsoku/>
        <w:wordWrap w:val="0"/>
        <w:topLinePunct w:val="0"/>
        <w:autoSpaceDE/>
        <w:autoSpaceDN/>
        <w:bidi w:val="0"/>
        <w:spacing w:line="600" w:lineRule="exact"/>
        <w:ind w:left="0" w:leftChars="0" w:firstLine="0" w:firstLineChars="0"/>
        <w:jc w:val="right"/>
        <w:textAlignment w:val="auto"/>
        <w:rPr>
          <w:rFonts w:hint="eastAsia" w:ascii="仿宋_GB2312" w:hAnsi="仿宋_GB2312" w:eastAsia="仿宋_GB2312" w:cs="仿宋_GB2312"/>
          <w:bCs/>
          <w:sz w:val="32"/>
          <w:szCs w:val="32"/>
          <w:lang w:val="en-US" w:eastAsia="zh-CN"/>
        </w:rPr>
        <w:sectPr>
          <w:footerReference r:id="rId4" w:type="default"/>
          <w:pgSz w:w="11906" w:h="16838"/>
          <w:pgMar w:top="2098" w:right="1474" w:bottom="1440"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hint="eastAsia" w:ascii="仿宋_GB2312" w:hAnsi="仿宋_GB2312" w:eastAsia="仿宋_GB2312" w:cs="仿宋_GB2312"/>
          <w:sz w:val="32"/>
          <w:szCs w:val="32"/>
        </w:rPr>
        <w:t xml:space="preserve">                        </w:t>
      </w:r>
      <w:r>
        <w:rPr>
          <w:rFonts w:hint="eastAsia" w:ascii="Times New Roman" w:hAnsi="Times New Roman" w:eastAsia="仿宋_GB2312" w:cs="Times New Roman"/>
          <w:kern w:val="2"/>
          <w:sz w:val="32"/>
          <w:szCs w:val="32"/>
          <w:lang w:val="en-US" w:eastAsia="zh-CN" w:bidi="ar-SA"/>
        </w:rPr>
        <w:t>2023</w:t>
      </w:r>
      <w:r>
        <w:rPr>
          <w:rFonts w:hint="eastAsia" w:ascii="仿宋_GB2312" w:hAnsi="仿宋_GB2312" w:eastAsia="仿宋_GB2312" w:cs="仿宋_GB2312"/>
          <w:bCs/>
          <w:sz w:val="32"/>
          <w:szCs w:val="32"/>
        </w:rPr>
        <w:t>年</w:t>
      </w:r>
      <w:r>
        <w:rPr>
          <w:rFonts w:hint="eastAsia" w:ascii="Times New Roman" w:hAnsi="Times New Roman" w:eastAsia="仿宋_GB2312" w:cs="Times New Roman"/>
          <w:kern w:val="2"/>
          <w:sz w:val="32"/>
          <w:szCs w:val="32"/>
          <w:lang w:val="en-US" w:eastAsia="zh-CN" w:bidi="ar-SA"/>
        </w:rPr>
        <w:t>3</w:t>
      </w:r>
      <w:r>
        <w:rPr>
          <w:rFonts w:hint="eastAsia" w:ascii="仿宋_GB2312" w:hAnsi="仿宋_GB2312" w:eastAsia="仿宋_GB2312" w:cs="仿宋_GB2312"/>
          <w:bCs/>
          <w:sz w:val="32"/>
          <w:szCs w:val="32"/>
        </w:rPr>
        <w:t>月</w:t>
      </w:r>
      <w:r>
        <w:rPr>
          <w:rFonts w:hint="default" w:ascii="Times New Roman" w:hAnsi="Times New Roman" w:eastAsia="仿宋_GB2312" w:cs="Times New Roman"/>
          <w:bCs/>
          <w:sz w:val="32"/>
          <w:szCs w:val="32"/>
          <w:lang w:val="en-US" w:eastAsia="zh-CN"/>
        </w:rPr>
        <w:t>20</w:t>
      </w:r>
      <w:r>
        <w:rPr>
          <w:rFonts w:hint="eastAsia" w:ascii="仿宋_GB2312" w:hAnsi="仿宋_GB2312" w:eastAsia="仿宋_GB2312" w:cs="仿宋_GB2312"/>
          <w:bCs/>
          <w:sz w:val="32"/>
          <w:szCs w:val="32"/>
        </w:rPr>
        <w:t>日</w:t>
      </w:r>
      <w:r>
        <w:rPr>
          <w:rFonts w:hint="eastAsia" w:ascii="仿宋_GB2312" w:hAnsi="仿宋_GB2312" w:eastAsia="仿宋_GB2312" w:cs="仿宋_GB2312"/>
          <w:bCs/>
          <w:sz w:val="32"/>
          <w:szCs w:val="32"/>
          <w:lang w:val="en-US" w:eastAsia="zh-CN"/>
        </w:rPr>
        <w:t xml:space="preserve">        </w:t>
      </w:r>
    </w:p>
    <w:p>
      <w:pPr>
        <w:pStyle w:val="3"/>
        <w:pageBreakBefore w:val="0"/>
        <w:widowControl w:val="0"/>
        <w:kinsoku/>
        <w:wordWrap/>
        <w:overflowPunct/>
        <w:topLinePunct w:val="0"/>
        <w:autoSpaceDE/>
        <w:autoSpaceDN/>
        <w:bidi w:val="0"/>
        <w:adjustRightInd/>
        <w:snapToGrid/>
        <w:spacing w:line="440" w:lineRule="exact"/>
        <w:textAlignment w:val="auto"/>
        <w:rPr>
          <w:rFonts w:hint="default"/>
          <w:vanish w:val="0"/>
          <w:lang w:val="en-US" w:eastAsia="zh-CN"/>
        </w:rPr>
      </w:pPr>
    </w:p>
    <w:p>
      <w:pPr>
        <w:rPr>
          <w:rFonts w:hint="default"/>
          <w:vanish w:val="0"/>
          <w:lang w:val="en-US" w:eastAsia="zh-CN"/>
        </w:rPr>
      </w:pPr>
    </w:p>
    <w:p>
      <w:pPr>
        <w:pStyle w:val="2"/>
        <w:rPr>
          <w:rFonts w:hint="default"/>
          <w:vanish w:val="0"/>
          <w:lang w:val="en-US" w:eastAsia="zh-CN"/>
        </w:rPr>
      </w:pPr>
    </w:p>
    <w:p>
      <w:pPr>
        <w:rPr>
          <w:rFonts w:hint="default"/>
          <w:vanish w:val="0"/>
          <w:lang w:val="en-US" w:eastAsia="zh-CN"/>
        </w:rPr>
      </w:pPr>
    </w:p>
    <w:p>
      <w:pPr>
        <w:pStyle w:val="2"/>
        <w:rPr>
          <w:rFonts w:hint="default"/>
          <w:vanish w:val="0"/>
          <w:lang w:val="en-US" w:eastAsia="zh-CN"/>
        </w:rPr>
      </w:pPr>
    </w:p>
    <w:p>
      <w:pPr>
        <w:rPr>
          <w:rFonts w:hint="default"/>
          <w:vanish w:val="0"/>
          <w:lang w:val="en-US" w:eastAsia="zh-CN"/>
        </w:rPr>
      </w:pPr>
    </w:p>
    <w:p>
      <w:pPr>
        <w:pStyle w:val="2"/>
        <w:rPr>
          <w:rFonts w:hint="default"/>
          <w:vanish w:val="0"/>
          <w:lang w:val="en-US" w:eastAsia="zh-CN"/>
        </w:rPr>
      </w:pPr>
    </w:p>
    <w:p>
      <w:pPr>
        <w:rPr>
          <w:rFonts w:hint="default"/>
          <w:vanish w:val="0"/>
          <w:lang w:val="en-US" w:eastAsia="zh-CN"/>
        </w:rPr>
      </w:pPr>
    </w:p>
    <w:p>
      <w:pPr>
        <w:pStyle w:val="2"/>
        <w:rPr>
          <w:rFonts w:hint="default"/>
          <w:vanish w:val="0"/>
          <w:lang w:val="en-US" w:eastAsia="zh-CN"/>
        </w:rPr>
      </w:pPr>
    </w:p>
    <w:p>
      <w:pPr>
        <w:rPr>
          <w:rFonts w:hint="default"/>
          <w:vanish w:val="0"/>
          <w:lang w:val="en-US" w:eastAsia="zh-CN"/>
        </w:rPr>
      </w:pPr>
    </w:p>
    <w:p>
      <w:pPr>
        <w:pStyle w:val="2"/>
        <w:rPr>
          <w:rFonts w:hint="default"/>
          <w:vanish w:val="0"/>
          <w:lang w:val="en-US" w:eastAsia="zh-CN"/>
        </w:rPr>
      </w:pPr>
    </w:p>
    <w:p>
      <w:pPr>
        <w:rPr>
          <w:rFonts w:hint="default"/>
          <w:vanish w:val="0"/>
          <w:lang w:val="en-US" w:eastAsia="zh-CN"/>
        </w:rPr>
      </w:pPr>
    </w:p>
    <w:p>
      <w:pPr>
        <w:pStyle w:val="2"/>
        <w:rPr>
          <w:rFonts w:hint="default"/>
          <w:vanish w:val="0"/>
          <w:lang w:val="en-US" w:eastAsia="zh-CN"/>
        </w:rPr>
      </w:pPr>
    </w:p>
    <w:p>
      <w:pPr>
        <w:rPr>
          <w:rFonts w:hint="default"/>
          <w:vanish w:val="0"/>
          <w:lang w:val="en-US" w:eastAsia="zh-CN"/>
        </w:rPr>
      </w:pPr>
    </w:p>
    <w:p>
      <w:pPr>
        <w:pStyle w:val="2"/>
        <w:rPr>
          <w:rFonts w:hint="default"/>
          <w:vanish w:val="0"/>
          <w:lang w:val="en-US" w:eastAsia="zh-CN"/>
        </w:rPr>
      </w:pPr>
    </w:p>
    <w:p>
      <w:pPr>
        <w:rPr>
          <w:rFonts w:hint="default"/>
          <w:vanish w:val="0"/>
          <w:lang w:val="en-US" w:eastAsia="zh-CN"/>
        </w:rPr>
      </w:pPr>
    </w:p>
    <w:p>
      <w:pPr>
        <w:pStyle w:val="2"/>
        <w:rPr>
          <w:rFonts w:hint="default"/>
          <w:vanish w:val="0"/>
          <w:lang w:val="en-US" w:eastAsia="zh-CN"/>
        </w:rPr>
      </w:pPr>
    </w:p>
    <w:p>
      <w:pPr>
        <w:rPr>
          <w:rFonts w:hint="default"/>
          <w:vanish w:val="0"/>
          <w:lang w:val="en-US" w:eastAsia="zh-CN"/>
        </w:rPr>
      </w:pPr>
    </w:p>
    <w:p>
      <w:pPr>
        <w:pStyle w:val="2"/>
        <w:rPr>
          <w:rFonts w:hint="default"/>
          <w:vanish w:val="0"/>
          <w:lang w:val="en-US" w:eastAsia="zh-CN"/>
        </w:rPr>
      </w:pPr>
    </w:p>
    <w:p>
      <w:pPr>
        <w:rPr>
          <w:rFonts w:hint="default"/>
          <w:vanish w:val="0"/>
          <w:lang w:val="en-US" w:eastAsia="zh-CN"/>
        </w:rPr>
      </w:pPr>
    </w:p>
    <w:p>
      <w:pPr>
        <w:pStyle w:val="2"/>
        <w:rPr>
          <w:rFonts w:hint="default"/>
          <w:vanish w:val="0"/>
          <w:lang w:val="en-US" w:eastAsia="zh-CN"/>
        </w:rPr>
      </w:pPr>
    </w:p>
    <w:p>
      <w:pPr>
        <w:rPr>
          <w:rFonts w:hint="default"/>
          <w:vanish w:val="0"/>
          <w:lang w:val="en-US" w:eastAsia="zh-CN"/>
        </w:rPr>
      </w:pPr>
    </w:p>
    <w:p>
      <w:pPr>
        <w:pStyle w:val="2"/>
        <w:rPr>
          <w:rFonts w:hint="default"/>
          <w:vanish w:val="0"/>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vanish w:val="0"/>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vanish w:val="0"/>
          <w:lang w:val="en-US" w:eastAsia="zh-CN"/>
        </w:rPr>
      </w:pPr>
    </w:p>
    <w:p>
      <w:pPr>
        <w:pStyle w:val="2"/>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vanish w:val="0"/>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lang w:val="en-US" w:eastAsia="zh-CN"/>
        </w:rPr>
      </w:pPr>
    </w:p>
    <w:tbl>
      <w:tblPr>
        <w:tblStyle w:val="12"/>
        <w:tblW w:w="0" w:type="auto"/>
        <w:jc w:val="center"/>
        <w:tblBorders>
          <w:top w:val="single" w:color="auto" w:sz="6" w:space="0"/>
          <w:left w:val="none" w:color="auto" w:sz="0" w:space="0"/>
          <w:bottom w:val="single" w:color="auto" w:sz="6"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4422"/>
        <w:gridCol w:w="4422"/>
      </w:tblGrid>
      <w:tr>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4422" w:type="dxa"/>
            <w:tcBorders>
              <w:tl2br w:val="nil"/>
              <w:tr2bl w:val="nil"/>
            </w:tcBorders>
            <w:vAlign w:val="top"/>
          </w:tcPr>
          <w:p>
            <w:pPr>
              <w:pStyle w:val="2"/>
              <w:keepNext w:val="0"/>
              <w:keepLines w:val="0"/>
              <w:pageBreakBefore w:val="0"/>
              <w:widowControl w:val="0"/>
              <w:kinsoku/>
              <w:wordWrap w:val="0"/>
              <w:overflowPunct/>
              <w:topLinePunct w:val="0"/>
              <w:autoSpaceDE/>
              <w:autoSpaceDN/>
              <w:bidi w:val="0"/>
              <w:adjustRightInd/>
              <w:snapToGrid/>
              <w:spacing w:after="0" w:line="600" w:lineRule="exact"/>
              <w:ind w:firstLine="280" w:firstLineChars="100"/>
              <w:jc w:val="left"/>
              <w:textAlignment w:val="auto"/>
              <w:rPr>
                <w:rFonts w:hint="default" w:ascii="Times New Roman" w:hAnsi="Times New Roman" w:cs="Times New Roman"/>
                <w:vertAlign w:val="baseline"/>
              </w:rPr>
            </w:pPr>
            <w:r>
              <w:rPr>
                <w:rFonts w:hint="eastAsia" w:ascii="仿宋_GB2312" w:eastAsia="仿宋_GB2312"/>
                <w:sz w:val="28"/>
                <w:szCs w:val="28"/>
                <w:lang w:eastAsia="zh-CN"/>
              </w:rPr>
              <w:t>遂宁市</w:t>
            </w:r>
            <w:r>
              <w:rPr>
                <w:rFonts w:hint="eastAsia" w:ascii="仿宋_GB2312" w:eastAsia="仿宋_GB2312"/>
                <w:sz w:val="28"/>
                <w:szCs w:val="28"/>
              </w:rPr>
              <w:t>大英</w:t>
            </w:r>
            <w:r>
              <w:rPr>
                <w:rFonts w:hint="eastAsia" w:ascii="仿宋_GB2312" w:eastAsia="仿宋_GB2312"/>
                <w:sz w:val="28"/>
                <w:szCs w:val="28"/>
                <w:lang w:eastAsia="zh-CN"/>
              </w:rPr>
              <w:t>生态</w:t>
            </w:r>
            <w:r>
              <w:rPr>
                <w:rFonts w:hint="eastAsia" w:ascii="仿宋_GB2312" w:eastAsia="仿宋_GB2312"/>
                <w:sz w:val="28"/>
                <w:szCs w:val="28"/>
              </w:rPr>
              <w:t>环境局办公室</w:t>
            </w:r>
          </w:p>
        </w:tc>
        <w:tc>
          <w:tcPr>
            <w:tcW w:w="4422" w:type="dxa"/>
            <w:tcBorders>
              <w:tl2br w:val="nil"/>
              <w:tr2bl w:val="nil"/>
            </w:tcBorders>
            <w:vAlign w:val="top"/>
          </w:tcPr>
          <w:p>
            <w:pPr>
              <w:pStyle w:val="2"/>
              <w:keepNext w:val="0"/>
              <w:keepLines w:val="0"/>
              <w:pageBreakBefore w:val="0"/>
              <w:widowControl w:val="0"/>
              <w:kinsoku/>
              <w:wordWrap w:val="0"/>
              <w:overflowPunct/>
              <w:topLinePunct w:val="0"/>
              <w:autoSpaceDE/>
              <w:autoSpaceDN/>
              <w:bidi w:val="0"/>
              <w:adjustRightInd/>
              <w:snapToGrid/>
              <w:spacing w:after="0" w:line="600" w:lineRule="exact"/>
              <w:jc w:val="right"/>
              <w:textAlignment w:val="auto"/>
              <w:rPr>
                <w:rFonts w:hint="default" w:ascii="Times New Roman" w:hAnsi="Times New Roman" w:eastAsia="宋体" w:cs="Times New Roman"/>
                <w:vertAlign w:val="baseline"/>
                <w:lang w:val="en-US" w:eastAsia="zh-CN"/>
              </w:rPr>
            </w:pPr>
            <w:r>
              <w:rPr>
                <w:rFonts w:hint="default" w:ascii="Times New Roman" w:hAnsi="Times New Roman" w:eastAsia="仿宋_GB2312" w:cs="Times New Roman"/>
                <w:sz w:val="28"/>
                <w:szCs w:val="28"/>
                <w:lang w:val="en-US" w:eastAsia="zh-CN"/>
              </w:rPr>
              <w:t>2023</w:t>
            </w:r>
            <w:r>
              <w:rPr>
                <w:rFonts w:hint="eastAsia" w:ascii="仿宋_GB2312" w:hAnsi="仿宋_GB2312" w:eastAsia="仿宋_GB2312" w:cs="仿宋_GB2312"/>
                <w:sz w:val="28"/>
                <w:szCs w:val="28"/>
                <w:lang w:val="en-US" w:eastAsia="zh-CN"/>
              </w:rPr>
              <w:t>年</w:t>
            </w:r>
            <w:r>
              <w:rPr>
                <w:rFonts w:hint="eastAsia"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lang w:val="en-US" w:eastAsia="zh-CN"/>
              </w:rPr>
              <w:t>月</w:t>
            </w:r>
            <w:r>
              <w:rPr>
                <w:rFonts w:hint="eastAsia" w:ascii="Times New Roman" w:hAnsi="Times New Roman" w:eastAsia="仿宋_GB2312" w:cs="Times New Roman"/>
                <w:sz w:val="28"/>
                <w:szCs w:val="28"/>
                <w:lang w:val="en-US" w:eastAsia="zh-CN"/>
              </w:rPr>
              <w:t>20</w:t>
            </w:r>
            <w:r>
              <w:rPr>
                <w:rFonts w:hint="eastAsia" w:ascii="仿宋_GB2312" w:hAnsi="仿宋_GB2312" w:eastAsia="仿宋_GB2312" w:cs="仿宋_GB2312"/>
                <w:sz w:val="28"/>
                <w:szCs w:val="28"/>
                <w:lang w:val="en-US" w:eastAsia="zh-CN"/>
              </w:rPr>
              <w:t>日印发</w:t>
            </w:r>
            <w:r>
              <w:rPr>
                <w:rFonts w:hint="eastAsia" w:ascii="仿宋_GB2312" w:eastAsia="仿宋_GB2312"/>
                <w:sz w:val="28"/>
                <w:szCs w:val="28"/>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lang w:val="en-US" w:eastAsia="zh-CN"/>
        </w:rPr>
      </w:pPr>
    </w:p>
    <w:sectPr>
      <w:footerReference r:id="rId5" w:type="default"/>
      <w:pgSz w:w="11906" w:h="16838"/>
      <w:pgMar w:top="2098" w:right="1474" w:bottom="1440"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spacing w:line="240" w:lineRule="atLeast"/>
      <w:textAlignment w:val="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spacing w:line="240" w:lineRule="atLeast"/>
      <w:textAlignment w:val="auto"/>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-9525</wp:posOffset>
              </wp:positionV>
              <wp:extent cx="10414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0414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75pt;height:144pt;width:82pt;mso-position-horizontal:outside;mso-position-horizontal-relative:margin;z-index:251660288;mso-width-relative:page;mso-height-relative:page;" filled="f" stroked="f" coordsize="21600,21600" o:gfxdata="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MNjBztYAAAAHAQAADwAAAAAAAAABACAAAAAiAAAAZHJzL2Rvd25y&#10;ZXYueG1sUEsBAhQAFAAAAAgAh07iQCynMPk5AgAAYwQAAA4AAAAAAAAAAQAgAAAAJQEAAGRycy9l&#10;Mm9Eb2MueG1sUEsFBgAAAAAGAAYAWQEAANAFAAAAAA==&#10;">
              <v:fill on="f" focussize="0,0"/>
              <v:stroke on="f" weight="0.5pt"/>
              <v:imagedata o:title=""/>
              <o:lock v:ext="edit" aspectratio="f"/>
              <v:textbox inset="0mm,0mm,0mm,0mm" style="mso-fit-shape-to-text:t;">
                <w:txbxContent>
                  <w:p>
                    <w:pPr>
                      <w:pStyle w:val="9"/>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spacing w:line="240" w:lineRule="atLeast"/>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-9525</wp:posOffset>
              </wp:positionV>
              <wp:extent cx="1068705" cy="2540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68705" cy="2540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keepNext w:val="0"/>
                            <w:keepLines w:val="0"/>
                            <w:pageBreakBefore w:val="0"/>
                            <w:widowControl w:val="0"/>
                            <w:kinsoku/>
                            <w:wordWrap w:val="0"/>
                            <w:overflowPunct/>
                            <w:topLinePunct w:val="0"/>
                            <w:autoSpaceDE/>
                            <w:autoSpaceDN/>
                            <w:bidi w:val="0"/>
                            <w:adjustRightInd/>
                            <w:snapToGrid w:val="0"/>
                            <w:ind w:firstLine="280" w:firstLineChars="100"/>
                            <w:jc w:val="center"/>
                            <w:textAlignment w:val="auto"/>
                            <w:rPr>
                              <w:rFonts w:hint="default" w:asciiTheme="minorEastAsia" w:hAnsiTheme="minorEastAsia" w:eastAsiaTheme="minorEastAsia" w:cstheme="minorEastAsia"/>
                              <w:sz w:val="28"/>
                              <w:szCs w:val="28"/>
                              <w:lang w:val="en-US" w:eastAsia="zh-CN"/>
                            </w:rPr>
                          </w:pPr>
                          <w:r>
                            <w:rPr>
                              <w:rFonts w:hint="default" w:asciiTheme="minorEastAsia" w:hAnsiTheme="minorEastAsia" w:cstheme="minorEastAsia"/>
                              <w:sz w:val="28"/>
                              <w:szCs w:val="28"/>
                              <w:lang w:val="en-US" w:eastAsia="zh-CN"/>
                            </w:rPr>
                            <w:t xml:space="preserve">— </w:t>
                          </w:r>
                          <w:r>
                            <w:rPr>
                              <w:rFonts w:hint="default" w:asciiTheme="minorEastAsia" w:hAnsiTheme="minorEastAsia" w:cstheme="minorEastAsia"/>
                              <w:sz w:val="28"/>
                              <w:szCs w:val="28"/>
                              <w:lang w:val="en-US" w:eastAsia="zh-CN"/>
                            </w:rPr>
                            <w:fldChar w:fldCharType="begin"/>
                          </w:r>
                          <w:r>
                            <w:rPr>
                              <w:rFonts w:hint="default" w:asciiTheme="minorEastAsia" w:hAnsiTheme="minorEastAsia" w:cstheme="minorEastAsia"/>
                              <w:sz w:val="28"/>
                              <w:szCs w:val="28"/>
                              <w:lang w:val="en-US" w:eastAsia="zh-CN"/>
                            </w:rPr>
                            <w:instrText xml:space="preserve"> PAGE  \* MERGEFORMAT </w:instrText>
                          </w:r>
                          <w:r>
                            <w:rPr>
                              <w:rFonts w:hint="default" w:asciiTheme="minorEastAsia" w:hAnsiTheme="minorEastAsia" w:cstheme="minorEastAsia"/>
                              <w:sz w:val="28"/>
                              <w:szCs w:val="28"/>
                              <w:lang w:val="en-US" w:eastAsia="zh-CN"/>
                            </w:rPr>
                            <w:fldChar w:fldCharType="separate"/>
                          </w:r>
                          <w:r>
                            <w:rPr>
                              <w:rFonts w:hint="default" w:asciiTheme="minorEastAsia" w:hAnsiTheme="minorEastAsia" w:cstheme="minorEastAsia"/>
                              <w:sz w:val="28"/>
                              <w:szCs w:val="28"/>
                              <w:lang w:val="en-US" w:eastAsia="zh-CN"/>
                            </w:rPr>
                            <w:t>6</w:t>
                          </w:r>
                          <w:r>
                            <w:rPr>
                              <w:rFonts w:hint="default" w:asciiTheme="minorEastAsia" w:hAnsiTheme="minorEastAsia" w:cstheme="minorEastAsia"/>
                              <w:sz w:val="28"/>
                              <w:szCs w:val="28"/>
                              <w:lang w:val="en-US" w:eastAsia="zh-CN"/>
                            </w:rPr>
                            <w:fldChar w:fldCharType="end"/>
                          </w:r>
                          <w:r>
                            <w:rPr>
                              <w:rFonts w:hint="default" w:asciiTheme="minorEastAsia" w:hAnsiTheme="minorEastAsia" w:cstheme="minorEastAsia"/>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75pt;height:20pt;width:84.15pt;mso-position-horizontal:outside;mso-position-horizontal-relative:margin;z-index:251659264;mso-width-relative:page;mso-height-relative:page;" filled="f" stroked="f" coordsize="21600,21600" o:gfxdata="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xlhlo1QAAAAYBAAAPAAAAAAAAAAEAIAAAACIAAABkcnMvZG93bnJldi54&#10;bWxQSwECFAAUAAAACACHTuJADhHz4DYCAABiBAAADgAAAAAAAAABACAAAAAkAQAAZHJzL2Uyb0Rv&#10;Yy54bWxQSwUGAAAAAAYABgBZAQAAzAUAAAAA&#10;">
              <v:fill on="f" focussize="0,0"/>
              <v:stroke on="f" weight="0.5pt"/>
              <v:imagedata o:title=""/>
              <o:lock v:ext="edit" aspectratio="f"/>
              <v:textbox inset="0mm,0mm,0mm,0mm">
                <w:txbxContent>
                  <w:p>
                    <w:pPr>
                      <w:pStyle w:val="9"/>
                      <w:keepNext w:val="0"/>
                      <w:keepLines w:val="0"/>
                      <w:pageBreakBefore w:val="0"/>
                      <w:widowControl w:val="0"/>
                      <w:kinsoku/>
                      <w:wordWrap w:val="0"/>
                      <w:overflowPunct/>
                      <w:topLinePunct w:val="0"/>
                      <w:autoSpaceDE/>
                      <w:autoSpaceDN/>
                      <w:bidi w:val="0"/>
                      <w:adjustRightInd/>
                      <w:snapToGrid w:val="0"/>
                      <w:ind w:firstLine="280" w:firstLineChars="100"/>
                      <w:jc w:val="center"/>
                      <w:textAlignment w:val="auto"/>
                      <w:rPr>
                        <w:rFonts w:hint="default" w:asciiTheme="minorEastAsia" w:hAnsiTheme="minorEastAsia" w:eastAsiaTheme="minorEastAsia" w:cstheme="minorEastAsia"/>
                        <w:sz w:val="28"/>
                        <w:szCs w:val="28"/>
                        <w:lang w:val="en-US" w:eastAsia="zh-CN"/>
                      </w:rPr>
                    </w:pPr>
                    <w:r>
                      <w:rPr>
                        <w:rFonts w:hint="default" w:asciiTheme="minorEastAsia" w:hAnsiTheme="minorEastAsia" w:cstheme="minorEastAsia"/>
                        <w:sz w:val="28"/>
                        <w:szCs w:val="28"/>
                        <w:lang w:val="en-US" w:eastAsia="zh-CN"/>
                      </w:rPr>
                      <w:t xml:space="preserve">— </w:t>
                    </w:r>
                    <w:r>
                      <w:rPr>
                        <w:rFonts w:hint="default" w:asciiTheme="minorEastAsia" w:hAnsiTheme="minorEastAsia" w:cstheme="minorEastAsia"/>
                        <w:sz w:val="28"/>
                        <w:szCs w:val="28"/>
                        <w:lang w:val="en-US" w:eastAsia="zh-CN"/>
                      </w:rPr>
                      <w:fldChar w:fldCharType="begin"/>
                    </w:r>
                    <w:r>
                      <w:rPr>
                        <w:rFonts w:hint="default" w:asciiTheme="minorEastAsia" w:hAnsiTheme="minorEastAsia" w:cstheme="minorEastAsia"/>
                        <w:sz w:val="28"/>
                        <w:szCs w:val="28"/>
                        <w:lang w:val="en-US" w:eastAsia="zh-CN"/>
                      </w:rPr>
                      <w:instrText xml:space="preserve"> PAGE  \* MERGEFORMAT </w:instrText>
                    </w:r>
                    <w:r>
                      <w:rPr>
                        <w:rFonts w:hint="default" w:asciiTheme="minorEastAsia" w:hAnsiTheme="minorEastAsia" w:cstheme="minorEastAsia"/>
                        <w:sz w:val="28"/>
                        <w:szCs w:val="28"/>
                        <w:lang w:val="en-US" w:eastAsia="zh-CN"/>
                      </w:rPr>
                      <w:fldChar w:fldCharType="separate"/>
                    </w:r>
                    <w:r>
                      <w:rPr>
                        <w:rFonts w:hint="default" w:asciiTheme="minorEastAsia" w:hAnsiTheme="minorEastAsia" w:cstheme="minorEastAsia"/>
                        <w:sz w:val="28"/>
                        <w:szCs w:val="28"/>
                        <w:lang w:val="en-US" w:eastAsia="zh-CN"/>
                      </w:rPr>
                      <w:t>6</w:t>
                    </w:r>
                    <w:r>
                      <w:rPr>
                        <w:rFonts w:hint="default" w:asciiTheme="minorEastAsia" w:hAnsiTheme="minorEastAsia" w:cstheme="minorEastAsia"/>
                        <w:sz w:val="28"/>
                        <w:szCs w:val="28"/>
                        <w:lang w:val="en-US" w:eastAsia="zh-CN"/>
                      </w:rPr>
                      <w:fldChar w:fldCharType="end"/>
                    </w:r>
                    <w:r>
                      <w:rPr>
                        <w:rFonts w:hint="default" w:asciiTheme="minorEastAsia" w:hAnsiTheme="minorEastAsia" w:cstheme="minorEastAsia"/>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71C749"/>
    <w:multiLevelType w:val="singleLevel"/>
    <w:tmpl w:val="6871C749"/>
    <w:lvl w:ilvl="0" w:tentative="0">
      <w:start w:val="1"/>
      <w:numFmt w:val="decimal"/>
      <w:pStyle w:val="4"/>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zYTcyMTA2YTEzZjlmODNjMTcyZWQ1ZGZhOGJjMzQifQ=="/>
  </w:docVars>
  <w:rsids>
    <w:rsidRoot w:val="00000000"/>
    <w:rsid w:val="00200875"/>
    <w:rsid w:val="00951FEE"/>
    <w:rsid w:val="01844E19"/>
    <w:rsid w:val="01FD40F1"/>
    <w:rsid w:val="02B22144"/>
    <w:rsid w:val="041E0EAD"/>
    <w:rsid w:val="07445783"/>
    <w:rsid w:val="082B7D91"/>
    <w:rsid w:val="088675ED"/>
    <w:rsid w:val="089E130F"/>
    <w:rsid w:val="094E2162"/>
    <w:rsid w:val="0AE4604C"/>
    <w:rsid w:val="0C4C2651"/>
    <w:rsid w:val="0F5D7B56"/>
    <w:rsid w:val="0FB35FED"/>
    <w:rsid w:val="13A050E7"/>
    <w:rsid w:val="14AA3E63"/>
    <w:rsid w:val="1735378C"/>
    <w:rsid w:val="1ADB2985"/>
    <w:rsid w:val="1B326960"/>
    <w:rsid w:val="1D04432C"/>
    <w:rsid w:val="1D1F6E89"/>
    <w:rsid w:val="1E29348B"/>
    <w:rsid w:val="1EAC44A7"/>
    <w:rsid w:val="1F8E271B"/>
    <w:rsid w:val="1FC85967"/>
    <w:rsid w:val="204F3B10"/>
    <w:rsid w:val="20E64474"/>
    <w:rsid w:val="21464F13"/>
    <w:rsid w:val="224F429B"/>
    <w:rsid w:val="23E07BD5"/>
    <w:rsid w:val="251C281B"/>
    <w:rsid w:val="26672398"/>
    <w:rsid w:val="27E16961"/>
    <w:rsid w:val="2A1F2C38"/>
    <w:rsid w:val="2A784B2D"/>
    <w:rsid w:val="2F1C72B3"/>
    <w:rsid w:val="31774C75"/>
    <w:rsid w:val="31F50C2D"/>
    <w:rsid w:val="31FD6612"/>
    <w:rsid w:val="34A22009"/>
    <w:rsid w:val="37225683"/>
    <w:rsid w:val="372748CB"/>
    <w:rsid w:val="376A1E4F"/>
    <w:rsid w:val="38C236CA"/>
    <w:rsid w:val="3A2A31CC"/>
    <w:rsid w:val="415844BA"/>
    <w:rsid w:val="42A751E8"/>
    <w:rsid w:val="44000AFA"/>
    <w:rsid w:val="44242A3A"/>
    <w:rsid w:val="47173438"/>
    <w:rsid w:val="491F4DFE"/>
    <w:rsid w:val="504C6A58"/>
    <w:rsid w:val="509E5922"/>
    <w:rsid w:val="518979CC"/>
    <w:rsid w:val="52614E59"/>
    <w:rsid w:val="54454557"/>
    <w:rsid w:val="54C73958"/>
    <w:rsid w:val="558A2919"/>
    <w:rsid w:val="55E55DA1"/>
    <w:rsid w:val="566A0472"/>
    <w:rsid w:val="56B365F2"/>
    <w:rsid w:val="577473DD"/>
    <w:rsid w:val="57EE76DD"/>
    <w:rsid w:val="58C4394C"/>
    <w:rsid w:val="58D418CA"/>
    <w:rsid w:val="59205D38"/>
    <w:rsid w:val="5CBA1D36"/>
    <w:rsid w:val="5D942597"/>
    <w:rsid w:val="5EC51967"/>
    <w:rsid w:val="5F13397F"/>
    <w:rsid w:val="60570CFE"/>
    <w:rsid w:val="60B414A2"/>
    <w:rsid w:val="61CF012A"/>
    <w:rsid w:val="63133F4E"/>
    <w:rsid w:val="64EF4296"/>
    <w:rsid w:val="6A832EF5"/>
    <w:rsid w:val="6AAE27AE"/>
    <w:rsid w:val="6C846928"/>
    <w:rsid w:val="6D3C5791"/>
    <w:rsid w:val="6E02688E"/>
    <w:rsid w:val="6E550418"/>
    <w:rsid w:val="6EF74724"/>
    <w:rsid w:val="6EFF47BA"/>
    <w:rsid w:val="6F394D3C"/>
    <w:rsid w:val="6F6E3FD1"/>
    <w:rsid w:val="6F705600"/>
    <w:rsid w:val="6FF46C64"/>
    <w:rsid w:val="70D24CB2"/>
    <w:rsid w:val="75091655"/>
    <w:rsid w:val="751C3136"/>
    <w:rsid w:val="76150602"/>
    <w:rsid w:val="77992DA9"/>
    <w:rsid w:val="78E7601E"/>
    <w:rsid w:val="78F06C72"/>
    <w:rsid w:val="7A195E96"/>
    <w:rsid w:val="7B191EC6"/>
    <w:rsid w:val="7EBC6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widowControl w:val="0"/>
      <w:spacing w:beforeLines="0" w:beforeAutospacing="0" w:afterLines="0" w:afterAutospacing="0" w:line="600" w:lineRule="exact"/>
      <w:ind w:firstLine="880" w:firstLineChars="200"/>
      <w:jc w:val="both"/>
      <w:outlineLvl w:val="1"/>
    </w:pPr>
    <w:rPr>
      <w:rFonts w:ascii="Arial" w:hAnsi="Arial" w:eastAsia="方正仿宋简体" w:cs="Times New Roman"/>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ind w:left="120"/>
    </w:pPr>
    <w:rPr>
      <w:rFonts w:ascii="宋体" w:hAnsi="宋体"/>
      <w:sz w:val="32"/>
      <w:szCs w:val="32"/>
    </w:rPr>
  </w:style>
  <w:style w:type="paragraph" w:styleId="4">
    <w:name w:val="List Number"/>
    <w:basedOn w:val="1"/>
    <w:qFormat/>
    <w:uiPriority w:val="0"/>
    <w:pPr>
      <w:numPr>
        <w:ilvl w:val="0"/>
        <w:numId w:val="1"/>
      </w:numPr>
    </w:pPr>
  </w:style>
  <w:style w:type="paragraph" w:styleId="5">
    <w:name w:val="Plain Text"/>
    <w:basedOn w:val="1"/>
    <w:qFormat/>
    <w:uiPriority w:val="0"/>
    <w:rPr>
      <w:rFonts w:ascii="宋体" w:hAnsi="Courier New" w:eastAsia="宋体" w:cs="Times New Roman"/>
    </w:rPr>
  </w:style>
  <w:style w:type="paragraph" w:styleId="6">
    <w:name w:val="Body Text Indent 2"/>
    <w:basedOn w:val="1"/>
    <w:next w:val="7"/>
    <w:qFormat/>
    <w:uiPriority w:val="0"/>
    <w:pPr>
      <w:adjustRightInd w:val="0"/>
      <w:snapToGrid w:val="0"/>
      <w:spacing w:line="440" w:lineRule="atLeast"/>
      <w:ind w:firstLine="573"/>
    </w:pPr>
    <w:rPr>
      <w:rFonts w:ascii="宋体"/>
    </w:rPr>
  </w:style>
  <w:style w:type="paragraph" w:customStyle="1" w:styleId="7">
    <w:name w:val="简单回函地址"/>
    <w:basedOn w:val="1"/>
    <w:next w:val="8"/>
    <w:qFormat/>
    <w:uiPriority w:val="0"/>
    <w:rPr>
      <w:szCs w:val="20"/>
    </w:rPr>
  </w:style>
  <w:style w:type="paragraph" w:customStyle="1" w:styleId="8">
    <w:name w:val="正文2"/>
    <w:next w:val="1"/>
    <w:qFormat/>
    <w:uiPriority w:val="0"/>
    <w:pPr>
      <w:widowControl w:val="0"/>
      <w:suppressAutoHyphens/>
      <w:spacing w:line="520" w:lineRule="atLeast"/>
      <w:ind w:firstLine="680"/>
      <w:jc w:val="both"/>
    </w:pPr>
    <w:rPr>
      <w:rFonts w:ascii="Times New Roman" w:hAnsi="Times New Roman" w:eastAsia="宋体" w:cs="Times New Roman"/>
      <w:spacing w:val="18"/>
      <w:sz w:val="32"/>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
    <w:name w:val="_Style 2"/>
    <w:basedOn w:val="1"/>
    <w:qFormat/>
    <w:uiPriority w:val="34"/>
    <w:pPr>
      <w:ind w:firstLine="420" w:firstLineChars="200"/>
    </w:pPr>
  </w:style>
  <w:style w:type="paragraph" w:customStyle="1" w:styleId="16">
    <w:name w:val="footer1"/>
    <w:basedOn w:val="1"/>
    <w:qFormat/>
    <w:uiPriority w:val="99"/>
    <w:pPr>
      <w:widowControl/>
      <w:tabs>
        <w:tab w:val="center" w:pos="4153"/>
        <w:tab w:val="right" w:pos="8306"/>
      </w:tabs>
      <w:snapToGrid w:val="0"/>
      <w:spacing w:line="560" w:lineRule="exact"/>
    </w:pPr>
    <w:rPr>
      <w:rFonts w:ascii="Times New Roman" w:hAnsi="Times New Roman"/>
      <w:sz w:val="18"/>
    </w:rPr>
  </w:style>
  <w:style w:type="paragraph" w:customStyle="1" w:styleId="17">
    <w:name w:val="Normal_37"/>
    <w:qFormat/>
    <w:uiPriority w:val="0"/>
    <w:pPr>
      <w:spacing w:before="120" w:after="240"/>
      <w:jc w:val="both"/>
    </w:pPr>
    <w:rPr>
      <w:rFonts w:ascii="Calibri" w:hAnsi="Calibri" w:eastAsia="Calibri" w:cs="Times New Roman"/>
      <w:sz w:val="22"/>
      <w:szCs w:val="22"/>
      <w:lang w:val="ru-RU" w:eastAsia="en-US" w:bidi="ar-SA"/>
    </w:rPr>
  </w:style>
  <w:style w:type="character" w:customStyle="1" w:styleId="18">
    <w:name w:val="font21"/>
    <w:basedOn w:val="13"/>
    <w:qFormat/>
    <w:uiPriority w:val="0"/>
    <w:rPr>
      <w:rFonts w:hint="eastAsia" w:ascii="宋体" w:hAnsi="宋体" w:eastAsia="宋体" w:cs="宋体"/>
      <w:color w:val="000000"/>
      <w:sz w:val="20"/>
      <w:szCs w:val="20"/>
      <w:u w:val="none"/>
    </w:rPr>
  </w:style>
  <w:style w:type="paragraph" w:customStyle="1" w:styleId="19">
    <w:name w:val=" Char Char Char Char Char Char"/>
    <w:qFormat/>
    <w:uiPriority w:val="0"/>
    <w:pPr>
      <w:widowControl w:val="0"/>
      <w:spacing w:line="240" w:lineRule="atLeast"/>
      <w:ind w:left="420" w:firstLine="420"/>
      <w:jc w:val="both"/>
    </w:pPr>
    <w:rPr>
      <w:rFonts w:ascii="Calibri" w:hAnsi="Calibri" w:eastAsia="宋体" w:cs="Times New Roman"/>
      <w:kern w:val="2"/>
      <w:sz w:val="21"/>
      <w:szCs w:val="24"/>
      <w:lang w:val="en-US" w:eastAsia="zh-CN" w:bidi="ar-SA"/>
    </w:rPr>
  </w:style>
  <w:style w:type="paragraph" w:customStyle="1" w:styleId="20">
    <w:name w:val="常用样式（方正仿宋简）"/>
    <w:basedOn w:val="1"/>
    <w:next w:val="1"/>
    <w:qFormat/>
    <w:uiPriority w:val="0"/>
    <w:pPr>
      <w:spacing w:line="560" w:lineRule="exact"/>
      <w:ind w:firstLine="640" w:firstLineChars="200"/>
    </w:pPr>
    <w:rPr>
      <w:rFonts w:ascii="Times New Roman" w:hAnsi="Times New Roman" w:eastAsia="方正仿宋简体"/>
      <w:sz w:val="32"/>
    </w:rPr>
  </w:style>
  <w:style w:type="character" w:customStyle="1" w:styleId="21">
    <w:name w:val="font71"/>
    <w:basedOn w:val="13"/>
    <w:qFormat/>
    <w:uiPriority w:val="0"/>
    <w:rPr>
      <w:rFonts w:hint="eastAsia" w:ascii="宋体" w:hAnsi="宋体" w:eastAsia="宋体" w:cs="宋体"/>
      <w:color w:val="000000"/>
      <w:sz w:val="22"/>
      <w:szCs w:val="22"/>
      <w:u w:val="none"/>
    </w:rPr>
  </w:style>
  <w:style w:type="paragraph" w:customStyle="1" w:styleId="22">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2107</Words>
  <Characters>2275</Characters>
  <Lines>0</Lines>
  <Paragraphs>0</Paragraphs>
  <TotalTime>4</TotalTime>
  <ScaleCrop>false</ScaleCrop>
  <LinksUpToDate>false</LinksUpToDate>
  <CharactersWithSpaces>2319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2023-01-06T07:22:00Z</dcterms:created>
  <dc:creator>pc</dc:creator>
  <cp:lastModifiedBy>洛丽塔塔塔</cp:lastModifiedBy>
  <cp:lastPrinted>2023-03-21T01:44:06Z</cp:lastPrinted>
  <dcterms:modified xsi:type="dcterms:W3CDTF">2023-03-21T01:45:13Z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84AF9974EFDA41BBB430CA9C288762B8</vt:lpwstr>
  </property>
</Properties>
</file>