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简体" w:cs="Times New Roman"/>
          <w:sz w:val="32"/>
          <w:szCs w:val="32"/>
        </w:rPr>
      </w:pPr>
    </w:p>
    <w:p>
      <w:pPr>
        <w:spacing w:line="560" w:lineRule="exact"/>
        <w:rPr>
          <w:rFonts w:ascii="Times New Roman" w:hAnsi="Times New Roman" w:eastAsia="方正小标宋简体" w:cs="Times New Roman"/>
          <w:sz w:val="32"/>
          <w:szCs w:val="32"/>
        </w:rPr>
      </w:pPr>
    </w:p>
    <w:p>
      <w:pPr>
        <w:pStyle w:val="6"/>
        <w:spacing w:after="0"/>
        <w:rPr>
          <w:rFonts w:ascii="Times New Roman" w:hAnsi="Times New Roman" w:cs="Times New Roman"/>
        </w:rPr>
      </w:pPr>
    </w:p>
    <w:p>
      <w:pPr>
        <w:spacing w:line="560" w:lineRule="exact"/>
        <w:rPr>
          <w:rFonts w:ascii="Times New Roman" w:hAnsi="Times New Roman" w:eastAsia="方正小标宋简体" w:cs="Times New Roman"/>
          <w:sz w:val="32"/>
          <w:szCs w:val="32"/>
        </w:rPr>
      </w:pPr>
    </w:p>
    <w:p>
      <w:pPr>
        <w:spacing w:line="560" w:lineRule="exact"/>
        <w:rPr>
          <w:rFonts w:ascii="Times New Roman" w:hAnsi="Times New Roman" w:eastAsia="方正小标宋简体" w:cs="Times New Roman"/>
          <w:sz w:val="32"/>
          <w:szCs w:val="32"/>
        </w:rPr>
      </w:pPr>
    </w:p>
    <w:p>
      <w:pPr>
        <w:spacing w:line="300" w:lineRule="exact"/>
        <w:rPr>
          <w:rFonts w:ascii="Times New Roman" w:hAnsi="Times New Roman" w:eastAsia="方正小标宋简体" w:cs="Times New Roman"/>
          <w:sz w:val="32"/>
          <w:szCs w:val="32"/>
        </w:rPr>
      </w:pPr>
    </w:p>
    <w:p>
      <w:pPr>
        <w:pStyle w:val="2"/>
        <w:spacing w:line="240" w:lineRule="exact"/>
        <w:rPr>
          <w:rFonts w:ascii="Times New Roman" w:hAnsi="Times New Roman" w:cs="Times New Roman"/>
        </w:rPr>
      </w:pPr>
    </w:p>
    <w:p>
      <w:pPr>
        <w:spacing w:line="680" w:lineRule="exact"/>
        <w:rPr>
          <w:rFonts w:ascii="Times New Roman" w:hAnsi="Times New Roman" w:eastAsia="方正小标宋简体" w:cs="Times New Roman"/>
          <w:sz w:val="32"/>
          <w:szCs w:val="32"/>
        </w:rPr>
      </w:pPr>
    </w:p>
    <w:p>
      <w:pPr>
        <w:spacing w:line="700" w:lineRule="exact"/>
        <w:jc w:val="center"/>
        <w:rPr>
          <w:rFonts w:ascii="Times New Roman" w:hAnsi="Times New Roman" w:eastAsia="仿宋_GB2312" w:cs="Times New Roman"/>
          <w:sz w:val="44"/>
          <w:szCs w:val="44"/>
        </w:rPr>
      </w:pPr>
      <w:r>
        <w:rPr>
          <w:rFonts w:ascii="Times New Roman" w:hAnsi="Times New Roman" w:eastAsia="仿宋_GB2312" w:cs="Times New Roman"/>
          <w:sz w:val="32"/>
          <w:szCs w:val="32"/>
        </w:rPr>
        <w:t>遂大环〔2022〕</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号                  签发人：</w:t>
      </w:r>
      <w:r>
        <w:rPr>
          <w:rFonts w:ascii="Times New Roman" w:hAnsi="Times New Roman" w:eastAsia="楷体_GB2312" w:cs="Times New Roman"/>
          <w:sz w:val="32"/>
          <w:szCs w:val="32"/>
        </w:rPr>
        <w:t>李小龙</w:t>
      </w:r>
    </w:p>
    <w:p>
      <w:pPr>
        <w:spacing w:line="520" w:lineRule="exact"/>
        <w:rPr>
          <w:rFonts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spacing w:line="600" w:lineRule="exact"/>
        <w:ind w:left="220" w:hanging="220" w:hangingChars="5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遂宁市大英生态环境局</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2021年度</w:t>
      </w:r>
      <w:r>
        <w:rPr>
          <w:rFonts w:hint="eastAsia" w:ascii="Times New Roman" w:hAnsi="Times New Roman" w:eastAsia="方正小标宋简体" w:cs="Times New Roman"/>
          <w:sz w:val="44"/>
          <w:szCs w:val="44"/>
        </w:rPr>
        <w:t>法治政府建设</w:t>
      </w:r>
      <w:r>
        <w:rPr>
          <w:rFonts w:hint="eastAsia" w:ascii="Times New Roman" w:hAnsi="Times New Roman" w:eastAsia="方正小标宋简体" w:cs="Times New Roman"/>
          <w:sz w:val="44"/>
          <w:szCs w:val="44"/>
          <w:lang w:eastAsia="zh-CN"/>
        </w:rPr>
        <w:t>工作</w:t>
      </w:r>
      <w:r>
        <w:rPr>
          <w:rFonts w:hint="eastAsia" w:ascii="Times New Roman" w:hAnsi="Times New Roman" w:eastAsia="方正小标宋简体" w:cs="Times New Roman"/>
          <w:sz w:val="44"/>
          <w:szCs w:val="44"/>
        </w:rPr>
        <w:t>的报告</w:t>
      </w:r>
    </w:p>
    <w:p>
      <w:pPr>
        <w:keepNext w:val="0"/>
        <w:keepLines w:val="0"/>
        <w:pageBreakBefore w:val="0"/>
        <w:widowControl w:val="0"/>
        <w:kinsoku/>
        <w:overflowPunct/>
        <w:topLinePunct w:val="0"/>
        <w:autoSpaceDE/>
        <w:autoSpaceDN/>
        <w:bidi w:val="0"/>
        <w:spacing w:line="60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推进法治政府建设工作，我局针对干部群众最关心的生态环境问题，抓紧落实工作最关键的环节，突出重点，整体推进，主动作为，多措并举，扎实推进法治政府建设各项工作，现将2021年度法治政府建设工作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一、工作开展情况及取得实效</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（一）深化“放管服”，切实优化营商环境</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kern w:val="2"/>
          <w:sz w:val="32"/>
          <w:szCs w:val="32"/>
          <w:lang w:val="en-US" w:eastAsia="zh-CN" w:bidi="ar-SA"/>
        </w:rPr>
        <w:t>一是优化环评审批。建立健全“首问责任制”工作规程，认真落实环评审批和监督执法“两个正面清单”，将</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7大类</w:t>
      </w:r>
      <w:r>
        <w:rPr>
          <w:rFonts w:hint="eastAsia" w:ascii="仿宋_GB2312" w:hAnsi="仿宋_GB2312" w:eastAsia="仿宋_GB2312" w:cs="仿宋_GB2312"/>
          <w:kern w:val="2"/>
          <w:sz w:val="32"/>
          <w:szCs w:val="32"/>
          <w:lang w:val="en-US" w:eastAsia="zh-CN" w:bidi="ar-SA"/>
        </w:rPr>
        <w:t>44小类行业</w:t>
      </w:r>
      <w:r>
        <w:rPr>
          <w:rFonts w:hint="default" w:ascii="仿宋_GB2312" w:hAnsi="仿宋_GB2312" w:eastAsia="仿宋_GB2312" w:cs="仿宋_GB2312"/>
          <w:kern w:val="2"/>
          <w:sz w:val="32"/>
          <w:szCs w:val="32"/>
          <w:lang w:val="en-US" w:eastAsia="zh-CN" w:bidi="ar-SA"/>
        </w:rPr>
        <w:t>纳入清单；</w:t>
      </w:r>
      <w:r>
        <w:rPr>
          <w:rFonts w:hint="eastAsia" w:ascii="仿宋_GB2312" w:hAnsi="仿宋_GB2312" w:eastAsia="仿宋_GB2312" w:cs="仿宋_GB2312"/>
          <w:kern w:val="2"/>
          <w:sz w:val="32"/>
          <w:szCs w:val="32"/>
          <w:lang w:val="en-US" w:eastAsia="zh-CN" w:bidi="ar-SA"/>
        </w:rPr>
        <w:t>二是深入推进“互联网+政务服务”，加快推进“最多跑一次”改革，切实提高政务服务质量与实效，着力强化政务服务的便民性。三是今年共办理建设项目环境影响报告表审批44个（含承诺制审批项目5个）、登记表备案243件、固定污染源排污许可核发与登记163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做好行政执法，严格规范公正文明执法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积极</w:t>
      </w:r>
      <w:r>
        <w:rPr>
          <w:rFonts w:hint="default" w:ascii="仿宋_GB2312" w:hAnsi="仿宋_GB2312" w:eastAsia="仿宋_GB2312" w:cs="仿宋_GB2312"/>
          <w:kern w:val="2"/>
          <w:sz w:val="32"/>
          <w:szCs w:val="32"/>
          <w:lang w:val="en-US" w:eastAsia="zh-CN" w:bidi="ar-SA"/>
        </w:rPr>
        <w:t>响应县委、县政府统筹推进深化市场监管、生态环境保护、文化市场、交通运输、农业等5个领域综合行政执法改革要求，配合做好改革进程中清单清理等各项进程。</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是全面落实行政执法“三项制度”，全面推行行政执法公示制度、执法全过程记录制度、重大执法决定法制审核制度。在</w:t>
      </w:r>
      <w:r>
        <w:rPr>
          <w:rFonts w:hint="eastAsia" w:ascii="仿宋_GB2312" w:hAnsi="仿宋_GB2312" w:eastAsia="仿宋_GB2312" w:cs="仿宋_GB2312"/>
          <w:kern w:val="2"/>
          <w:sz w:val="32"/>
          <w:szCs w:val="32"/>
          <w:lang w:val="en-US" w:eastAsia="zh-CN" w:bidi="ar-SA"/>
        </w:rPr>
        <w:t>市生态环境局、</w:t>
      </w:r>
      <w:r>
        <w:rPr>
          <w:rFonts w:hint="default" w:ascii="仿宋_GB2312" w:hAnsi="仿宋_GB2312" w:eastAsia="仿宋_GB2312" w:cs="仿宋_GB2312"/>
          <w:kern w:val="2"/>
          <w:sz w:val="32"/>
          <w:szCs w:val="32"/>
          <w:lang w:val="en-US" w:eastAsia="zh-CN" w:bidi="ar-SA"/>
        </w:rPr>
        <w:t>县政府门户网站全面公示行政执法信息。在行政案件的办理过程中，实现执法过程在“四川省环境监察移动执法系统”中全程“留痕”管理，</w:t>
      </w:r>
      <w:r>
        <w:rPr>
          <w:rFonts w:hint="eastAsia" w:ascii="仿宋_GB2312" w:hAnsi="仿宋_GB2312" w:eastAsia="仿宋_GB2312" w:cs="仿宋_GB2312"/>
          <w:kern w:val="2"/>
          <w:sz w:val="32"/>
          <w:szCs w:val="32"/>
          <w:lang w:val="en-US" w:eastAsia="zh-CN" w:bidi="ar-SA"/>
        </w:rPr>
        <w:t>全力推行</w:t>
      </w:r>
      <w:r>
        <w:rPr>
          <w:rFonts w:hint="default" w:ascii="仿宋_GB2312" w:hAnsi="仿宋_GB2312" w:eastAsia="仿宋_GB2312" w:cs="仿宋_GB2312"/>
          <w:kern w:val="2"/>
          <w:sz w:val="32"/>
          <w:szCs w:val="32"/>
          <w:lang w:val="en-US" w:eastAsia="zh-CN" w:bidi="ar-SA"/>
        </w:rPr>
        <w:t>执法文书“电子化”，决定</w:t>
      </w:r>
      <w:r>
        <w:rPr>
          <w:rFonts w:hint="eastAsia" w:ascii="仿宋_GB2312" w:hAnsi="仿宋_GB2312" w:eastAsia="仿宋_GB2312" w:cs="仿宋_GB2312"/>
          <w:kern w:val="2"/>
          <w:sz w:val="32"/>
          <w:szCs w:val="32"/>
          <w:lang w:val="en-US" w:eastAsia="zh-CN" w:bidi="ar-SA"/>
        </w:rPr>
        <w:t>、送达、执行与档案整理环节</w:t>
      </w:r>
      <w:r>
        <w:rPr>
          <w:rFonts w:hint="default" w:ascii="仿宋_GB2312" w:hAnsi="仿宋_GB2312" w:eastAsia="仿宋_GB2312" w:cs="仿宋_GB2312"/>
          <w:kern w:val="2"/>
          <w:sz w:val="32"/>
          <w:szCs w:val="32"/>
          <w:lang w:val="en-US" w:eastAsia="zh-CN" w:bidi="ar-SA"/>
        </w:rPr>
        <w:t>严格审查记录。</w:t>
      </w:r>
      <w:r>
        <w:rPr>
          <w:rFonts w:hint="eastAsia" w:ascii="仿宋_GB2312" w:hAnsi="仿宋_GB2312" w:eastAsia="仿宋_GB2312" w:cs="仿宋_GB2312"/>
          <w:kern w:val="2"/>
          <w:sz w:val="32"/>
          <w:szCs w:val="32"/>
          <w:lang w:val="en-US" w:eastAsia="zh-CN" w:bidi="ar-SA"/>
        </w:rPr>
        <w:t>三是实时调整局</w:t>
      </w:r>
      <w:r>
        <w:rPr>
          <w:rFonts w:hint="default" w:ascii="仿宋_GB2312" w:hAnsi="仿宋_GB2312" w:eastAsia="仿宋_GB2312" w:cs="仿宋_GB2312"/>
          <w:kern w:val="2"/>
          <w:sz w:val="32"/>
          <w:szCs w:val="32"/>
          <w:lang w:val="en-US" w:eastAsia="zh-CN" w:bidi="ar-SA"/>
        </w:rPr>
        <w:t>案件审查委员会，由局主要领导任组长，分管领导与其他副职领导任副组长，相关股室负责人为成员，负责审议我局主管的环境行政案件</w:t>
      </w:r>
      <w:r>
        <w:rPr>
          <w:rFonts w:hint="eastAsia" w:ascii="仿宋_GB2312" w:hAnsi="仿宋_GB2312" w:eastAsia="仿宋_GB2312" w:cs="仿宋_GB2312"/>
          <w:kern w:val="2"/>
          <w:sz w:val="32"/>
          <w:szCs w:val="32"/>
          <w:lang w:val="en-US" w:eastAsia="zh-CN" w:bidi="ar-SA"/>
        </w:rPr>
        <w:t>。严格按照《四川省生态环境行政处罚裁量标准（2019年版）》（川环办〔2019〕58号）实施自由裁量。2021年共作出行政处罚18件，罚款142.36万元，适用配套办法3件，其中查封扣押2件，移送公安机关1件，提起生态损害赔偿案件2件，其中，随机抽取的蜀鑫食品超标排污案和天成水泥堆放固废案分别被省生态环境厅和市司法局评为优秀案卷，优秀率100%。</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（三）推进法制宣传，促进全民尊法守法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狠抓普法学法，增强依法行政观念。深入开展普法学法活动，领导干部带头学法、守法、用法，牢固树立法治观念，模范遵守宪法和法律法规，自觉坚持在宪法和法律范围内活动，坚持依法办事，提高依法行政能力。组织执法人员参加省、市生态环境部门组织的各类法律知识学习培训，组织全体干部职工参加各类法律知识学习教育，同时组织加强对《宪法》、《民法典》的学习，把法律法规作为行政决策、行政管理、行政监督重要标尺，股室和局机关所有人员均通过市司法局组织的行政执法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宣传，提升公民法律意识。我局深入学习宣传习近平总书记全面依法治国新理念新思想新战略，持续深化“法律七进”，着力实施“谁执法谁普法”。一是组织集中宣传活动，组织18个单位于六五“世界环境日”在县政府广场统一设立站点，通过展板、横幅、发放宣传单、现场答疑等形式，大力宣传《环境保护法》《水污染防治法》等法律法规，开展秸秆禁烧、节能减排、危险废物等生态环境常识解读。二是加强干部培训教育，邀请市生态环境局相关业务骨干对各镇（街道、园区）、县级部门分管负责同志和网格员进行生态环保督察暨网格化监管业务培训，全力提升环境管理人员素质。三是借助新闻媒体广泛宣传。通过电视新闻、微信公众号、电视滚动字幕、播放公益广告等方式，制作播出相关公益广告5条，制作电视滚动标语2条，新媒体推送世界环境日相关主题宣传3条，进一步扩大宣传范围。四是开展环保知识进校园。联合教育部门组织中小学利用召开主题班会、集体讲座、制作黑板报、手抄报等方式，大力提升青少年的生态文明意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jc w:val="both"/>
        <w:textAlignment w:val="auto"/>
        <w:outlineLvl w:val="9"/>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eastAsia="zh-CN"/>
        </w:rPr>
        <w:t>（四</w:t>
      </w:r>
      <w:r>
        <w:rPr>
          <w:rFonts w:hint="eastAsia" w:ascii="楷体" w:hAnsi="楷体" w:eastAsia="楷体" w:cs="楷体"/>
          <w:sz w:val="32"/>
          <w:szCs w:val="32"/>
          <w:lang w:eastAsia="zh-CN"/>
        </w:rPr>
        <w:t>）</w:t>
      </w:r>
      <w:r>
        <w:rPr>
          <w:rFonts w:hint="eastAsia" w:ascii="楷体" w:hAnsi="楷体" w:eastAsia="楷体" w:cs="楷体"/>
          <w:b w:val="0"/>
          <w:bCs w:val="0"/>
          <w:sz w:val="32"/>
          <w:szCs w:val="32"/>
          <w:lang w:val="en-US" w:eastAsia="zh-CN"/>
        </w:rPr>
        <w:t>强化行政行为监督，认真履职尽责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自觉接受人大监督、民主监督、司法监督。按照《大英县人民政府办公室关于做好2021年人大代表建议和政协提案办理工作的通知》（大府办函〔2021〕58号）要求，将任务分解至各股室，明确责任人，完成时限。涉及我局的政协提案1件已全部办结，按时办复率达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全面推进政务公开。依法保障人民群众知情权、参与权、监督权，2021年主动公开政府信息611条。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二、存在的不足及改进措施</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局推进依法治县工作虽然取得了一定的成效，监测能力建设逐步提高，环境执法监管进一步强化，环保宣传氛围不断扩大，环境安全得到有效巩固。但仍然存在一些问题和不足。一是执法人员、审批人员等一线人员法律专业知识和业务能力有待进一步提高，环境执法、审批、监测能力有待进一步加强；二是企业的环境保护意识还有待加强；三是人民群众的环保要求日益增长，环境信访投诉日益增多，环境保护压力较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单位主要负责人履行推进法治建设第一责任人职责及加强法治政府建设情况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2021年我局主要负责人认真履行推进法治建设第一责任人职责。一是统筹协调，切实履行对法治工作的领导责任。将法治建设内容纳入2021年度工作要点,摆在全局工作的重要位置，对重大工作亲自部署、重大问题亲自过问、重点环节亲自督办，定期听取法治建设工作情况汇报,及时研究解决有关重大问题,真正把推进法治建设第一责任人所列职责履行好、落实好,充分发挥好在法治建设中引领示范作用；二是带头学法、守法、用法，牢固树立法治观念。模范遵守宪法和法律法规，自觉坚持在宪法和法律范围内活动，坚持依法办事，提高依法行政能力；三是完善行政机关工作人员学法用法制度。坚持党组会议会前学法，推动落实“谁执法谁普法”责任。四是严格执行重大行政决策法定程序，严格遵守“三重一大”决策制度和党组议事决策制度，健全行政机关内部重大决策合法性审查制度，建立了行政处罚案件集体审议制度、法治审查制度、政府性合同法治审查制度、规范性文件法治审查制度。聘用专业的法律顾问1名，提升法律顾问服务决策的作用。五是强化行政行为监督，严格管理执法队伍，规范公正文明执法，督促班子成员依法行政，纠正行政不作为、乱作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四、2022年法治政府建设的主要安排</w:t>
      </w:r>
    </w:p>
    <w:p>
      <w:pPr>
        <w:keepNext w:val="0"/>
        <w:keepLines w:val="0"/>
        <w:pageBreakBefore w:val="0"/>
        <w:widowControl w:val="0"/>
        <w:numPr>
          <w:ilvl w:val="0"/>
          <w:numId w:val="4"/>
        </w:numPr>
        <w:kinsoku/>
        <w:wordWrap/>
        <w:overflowPunct/>
        <w:topLinePunct w:val="0"/>
        <w:autoSpaceDE/>
        <w:autoSpaceDN/>
        <w:bidi w:val="0"/>
        <w:adjustRightInd/>
        <w:spacing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进一步加强制度建设。</w:t>
      </w:r>
      <w:r>
        <w:rPr>
          <w:rFonts w:hint="eastAsia" w:ascii="仿宋_GB2312" w:hAnsi="仿宋_GB2312" w:eastAsia="仿宋_GB2312" w:cs="仿宋_GB2312"/>
          <w:sz w:val="32"/>
          <w:szCs w:val="32"/>
          <w:lang w:val="en-US" w:eastAsia="zh-CN"/>
        </w:rPr>
        <w:t>坚持领导带头学法培训，落实学法培训制度，加强对全体干部职工的专业培训和业务培训，不断提升干部职工的法律素养和专业水平，并实施组织对环保行政执法人员、行政管理人员掌握环境法律法规知识情况进行考核，不断提高行政执法人员法律素养、文明素养。</w:t>
      </w:r>
    </w:p>
    <w:p>
      <w:pPr>
        <w:keepNext w:val="0"/>
        <w:keepLines w:val="0"/>
        <w:pageBreakBefore w:val="0"/>
        <w:widowControl w:val="0"/>
        <w:numPr>
          <w:ilvl w:val="0"/>
          <w:numId w:val="4"/>
        </w:numPr>
        <w:kinsoku/>
        <w:wordWrap/>
        <w:overflowPunct/>
        <w:topLinePunct w:val="0"/>
        <w:autoSpaceDE/>
        <w:autoSpaceDN/>
        <w:bidi w:val="0"/>
        <w:adjustRightInd/>
        <w:spacing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进一步规范行政决策。</w:t>
      </w:r>
      <w:r>
        <w:rPr>
          <w:rFonts w:hint="eastAsia" w:ascii="仿宋_GB2312" w:hAnsi="仿宋_GB2312" w:eastAsia="仿宋_GB2312" w:cs="仿宋_GB2312"/>
          <w:sz w:val="32"/>
          <w:szCs w:val="32"/>
          <w:lang w:val="en-US" w:eastAsia="zh-CN"/>
        </w:rPr>
        <w:t>严格重大行政决策审查程序，做好重大行政决策遵守公众参与、专家论证、风险评估、合法性审查和集体讨论决定程序，聘请法律顾问，决定方案必须在提交研究决定前交法制机构进行合法性审查。</w:t>
      </w:r>
    </w:p>
    <w:p>
      <w:pPr>
        <w:keepNext w:val="0"/>
        <w:keepLines w:val="0"/>
        <w:pageBreakBefore w:val="0"/>
        <w:widowControl w:val="0"/>
        <w:numPr>
          <w:ilvl w:val="0"/>
          <w:numId w:val="4"/>
        </w:numPr>
        <w:kinsoku/>
        <w:wordWrap/>
        <w:overflowPunct/>
        <w:topLinePunct w:val="0"/>
        <w:autoSpaceDE/>
        <w:autoSpaceDN/>
        <w:bidi w:val="0"/>
        <w:adjustRightInd/>
        <w:spacing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进一步规范执法行为。</w:t>
      </w:r>
      <w:r>
        <w:rPr>
          <w:rFonts w:hint="eastAsia" w:ascii="仿宋_GB2312" w:hAnsi="仿宋_GB2312" w:eastAsia="仿宋_GB2312" w:cs="仿宋_GB2312"/>
          <w:sz w:val="32"/>
          <w:szCs w:val="32"/>
          <w:lang w:val="en-US" w:eastAsia="zh-CN"/>
        </w:rPr>
        <w:t>严格执行环保法律、法规和规章，强化行政执法程序建设，依法行使权力、履行职责。切实加大行政问责力度，确保严格执法、公正执法、规范执法、文明执法。加大对辖区内企业的环境知识和法律知识的普及工作，让企业从思想上重视环境保护工作，同时以处罚案件为典型，对企业进行宣贯，让企业认识到违法的后果</w:t>
      </w:r>
    </w:p>
    <w:p>
      <w:pPr>
        <w:keepNext w:val="0"/>
        <w:keepLines w:val="0"/>
        <w:pageBreakBefore w:val="0"/>
        <w:widowControl w:val="0"/>
        <w:numPr>
          <w:ilvl w:val="0"/>
          <w:numId w:val="5"/>
        </w:numPr>
        <w:kinsoku/>
        <w:wordWrap/>
        <w:overflowPunct/>
        <w:topLinePunct w:val="0"/>
        <w:autoSpaceDE/>
        <w:autoSpaceDN/>
        <w:bidi w:val="0"/>
        <w:adjustRightInd/>
        <w:spacing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进一步规范行政审批。</w:t>
      </w:r>
      <w:r>
        <w:rPr>
          <w:rFonts w:hint="eastAsia" w:ascii="仿宋_GB2312" w:hAnsi="仿宋_GB2312" w:eastAsia="仿宋_GB2312" w:cs="仿宋_GB2312"/>
          <w:sz w:val="32"/>
          <w:szCs w:val="32"/>
          <w:lang w:val="en-US" w:eastAsia="zh-CN"/>
        </w:rPr>
        <w:t>严格行政审批程序，落实高效便民，做到项目规范、流程优化、时限明确，按时办结率100%。推行权力清单和责任清单制度并实行动态管理，行政权力网上公开透明。</w:t>
      </w:r>
    </w:p>
    <w:p>
      <w:pPr>
        <w:keepNext w:val="0"/>
        <w:keepLines w:val="0"/>
        <w:pageBreakBefore w:val="0"/>
        <w:widowControl w:val="0"/>
        <w:numPr>
          <w:ilvl w:val="0"/>
          <w:numId w:val="5"/>
        </w:numPr>
        <w:kinsoku/>
        <w:wordWrap/>
        <w:overflowPunct/>
        <w:topLinePunct w:val="0"/>
        <w:autoSpaceDE/>
        <w:autoSpaceDN/>
        <w:bidi w:val="0"/>
        <w:adjustRightInd/>
        <w:spacing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sz w:val="32"/>
          <w:szCs w:val="32"/>
          <w:lang w:val="en-US" w:eastAsia="zh-CN"/>
        </w:rPr>
        <w:t>进一步依法公开政务。</w:t>
      </w:r>
      <w:r>
        <w:rPr>
          <w:rFonts w:hint="eastAsia" w:ascii="仿宋_GB2312" w:hAnsi="仿宋_GB2312" w:eastAsia="仿宋_GB2312" w:cs="仿宋_GB2312"/>
          <w:sz w:val="32"/>
          <w:szCs w:val="32"/>
          <w:lang w:val="en-US" w:eastAsia="zh-CN"/>
        </w:rPr>
        <w:t>除法定事由外，我局的各项政务信息及时、准确、具体向社会公开，方便公众查询和获取。在做好依法公开的同时，进一步做好依申请公开的政务信息。主动接受人大监督、政协的民主监督、司法监督、社会舆论和群众监督，坚持环保监督制度。及时、准确地向社会公开环境保护信息，确保公民的知情权、参与权、表达权、监督权。</w:t>
      </w:r>
    </w:p>
    <w:p>
      <w:pPr>
        <w:keepNext w:val="0"/>
        <w:keepLines w:val="0"/>
        <w:pageBreakBefore w:val="0"/>
        <w:widowControl w:val="0"/>
        <w:numPr>
          <w:ilvl w:val="0"/>
          <w:numId w:val="5"/>
        </w:numPr>
        <w:kinsoku/>
        <w:wordWrap/>
        <w:overflowPunct/>
        <w:topLinePunct w:val="0"/>
        <w:autoSpaceDE/>
        <w:autoSpaceDN/>
        <w:bidi w:val="0"/>
        <w:adjustRightInd/>
        <w:spacing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进一步多元化解矛盾纠纷。</w:t>
      </w:r>
      <w:r>
        <w:rPr>
          <w:rFonts w:hint="eastAsia" w:ascii="仿宋_GB2312" w:hAnsi="仿宋_GB2312" w:eastAsia="仿宋_GB2312" w:cs="仿宋_GB2312"/>
          <w:kern w:val="2"/>
          <w:sz w:val="32"/>
          <w:szCs w:val="32"/>
          <w:lang w:val="en-US" w:eastAsia="zh-CN" w:bidi="ar-SA"/>
        </w:rPr>
        <w:t>进一步健全行政复议应诉机制，认真做好行政应诉工作，对重大行政诉讼案件，行政机关负责人主动出庭应诉。自觉履行人民法院的生效判决和裁定，认真对待人民法院的司法建议。继续推进多元化纠纷解决机制，完善调解、仲裁、行政裁决、行政复议、诉讼等有机衔接和相互协调，同时加强与部门和镇乡的联动机制，确保人民群众的诉求得到解决。</w:t>
      </w:r>
    </w:p>
    <w:p>
      <w:pPr>
        <w:pStyle w:val="21"/>
        <w:keepNext w:val="0"/>
        <w:keepLines w:val="0"/>
        <w:pageBreakBefore w:val="0"/>
        <w:widowControl w:val="0"/>
        <w:kinsoku/>
        <w:overflowPunct/>
        <w:topLinePunct w:val="0"/>
        <w:autoSpaceDE/>
        <w:autoSpaceDN/>
        <w:bidi w:val="0"/>
        <w:spacing w:line="600" w:lineRule="exact"/>
        <w:ind w:firstLine="640"/>
        <w:textAlignment w:val="auto"/>
        <w:rPr>
          <w:rFonts w:ascii="Times New Roman" w:hAnsi="Times New Roman" w:eastAsia="仿宋_GB2312" w:cs="Times New Roman"/>
          <w:color w:val="000000"/>
          <w:sz w:val="32"/>
          <w:szCs w:val="32"/>
        </w:rPr>
      </w:pPr>
    </w:p>
    <w:p>
      <w:pPr>
        <w:pStyle w:val="21"/>
        <w:keepNext w:val="0"/>
        <w:keepLines w:val="0"/>
        <w:pageBreakBefore w:val="0"/>
        <w:widowControl w:val="0"/>
        <w:kinsoku/>
        <w:overflowPunct/>
        <w:topLinePunct w:val="0"/>
        <w:autoSpaceDE/>
        <w:autoSpaceDN/>
        <w:bidi w:val="0"/>
        <w:spacing w:line="600" w:lineRule="exact"/>
        <w:ind w:firstLine="640"/>
        <w:textAlignment w:val="auto"/>
        <w:rPr>
          <w:rFonts w:ascii="Times New Roman" w:hAnsi="Times New Roman" w:eastAsia="仿宋_GB2312" w:cs="Times New Roman"/>
          <w:color w:val="000000"/>
          <w:sz w:val="32"/>
          <w:szCs w:val="32"/>
        </w:rPr>
      </w:pPr>
    </w:p>
    <w:p>
      <w:pPr>
        <w:pStyle w:val="21"/>
        <w:keepNext w:val="0"/>
        <w:keepLines w:val="0"/>
        <w:pageBreakBefore w:val="0"/>
        <w:widowControl w:val="0"/>
        <w:kinsoku/>
        <w:overflowPunct/>
        <w:topLinePunct w:val="0"/>
        <w:autoSpaceDE/>
        <w:autoSpaceDN/>
        <w:bidi w:val="0"/>
        <w:spacing w:line="600" w:lineRule="exact"/>
        <w:ind w:firstLine="64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遂宁市大英生态环境局</w:t>
      </w:r>
    </w:p>
    <w:p>
      <w:pPr>
        <w:pStyle w:val="21"/>
        <w:keepNext w:val="0"/>
        <w:keepLines w:val="0"/>
        <w:pageBreakBefore w:val="0"/>
        <w:widowControl w:val="0"/>
        <w:kinsoku/>
        <w:wordWrap w:val="0"/>
        <w:overflowPunct/>
        <w:topLinePunct w:val="0"/>
        <w:autoSpaceDE/>
        <w:autoSpaceDN/>
        <w:bidi w:val="0"/>
        <w:spacing w:line="600" w:lineRule="exact"/>
        <w:ind w:firstLine="0" w:firstLineChars="0"/>
        <w:jc w:val="right"/>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2022年1月</w:t>
      </w:r>
      <w:r>
        <w:rPr>
          <w:rFonts w:hint="eastAsia" w:ascii="Times New Roman" w:hAnsi="Times New Roman" w:eastAsia="仿宋_GB2312" w:cs="Times New Roman"/>
          <w:color w:val="000000"/>
          <w:sz w:val="32"/>
          <w:szCs w:val="32"/>
          <w:lang w:val="en-US" w:eastAsia="zh-CN"/>
        </w:rPr>
        <w:t>30</w:t>
      </w:r>
      <w:r>
        <w:rPr>
          <w:rFonts w:ascii="Times New Roman" w:hAnsi="Times New Roman" w:eastAsia="仿宋_GB2312" w:cs="Times New Roman"/>
          <w:color w:val="000000"/>
          <w:sz w:val="32"/>
          <w:szCs w:val="32"/>
        </w:rPr>
        <w:t xml:space="preserve">日        </w:t>
      </w:r>
    </w:p>
    <w:p>
      <w:pPr>
        <w:pStyle w:val="21"/>
        <w:keepNext w:val="0"/>
        <w:keepLines w:val="0"/>
        <w:pageBreakBefore w:val="0"/>
        <w:widowControl w:val="0"/>
        <w:kinsoku/>
        <w:wordWrap w:val="0"/>
        <w:overflowPunct/>
        <w:topLinePunct w:val="0"/>
        <w:autoSpaceDE/>
        <w:autoSpaceDN/>
        <w:bidi w:val="0"/>
        <w:spacing w:line="600" w:lineRule="exact"/>
        <w:ind w:firstLine="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bookmarkStart w:id="0" w:name="_GoBack"/>
      <w:bookmarkEnd w:id="0"/>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keepNext w:val="0"/>
        <w:keepLines w:val="0"/>
        <w:pageBreakBefore w:val="0"/>
        <w:widowControl w:val="0"/>
        <w:kinsoku/>
        <w:wordWrap w:val="0"/>
        <w:overflowPunct/>
        <w:topLinePunct w:val="0"/>
        <w:autoSpaceDE/>
        <w:autoSpaceDN/>
        <w:bidi w:val="0"/>
        <w:adjustRightInd/>
        <w:snapToGrid/>
        <w:spacing w:line="600" w:lineRule="exact"/>
        <w:ind w:right="0" w:firstLine="640"/>
        <w:jc w:val="right"/>
        <w:textAlignment w:val="auto"/>
        <w:rPr>
          <w:rFonts w:hint="default" w:ascii="Times New Roman" w:hAnsi="Times New Roman" w:eastAsia="仿宋" w:cs="Times New Roman"/>
          <w:sz w:val="28"/>
          <w:szCs w:val="28"/>
        </w:rPr>
      </w:pPr>
    </w:p>
    <w:p>
      <w:pPr>
        <w:pStyle w:val="21"/>
        <w:keepNext w:val="0"/>
        <w:keepLines w:val="0"/>
        <w:pageBreakBefore w:val="0"/>
        <w:widowControl w:val="0"/>
        <w:kinsoku/>
        <w:wordWrap w:val="0"/>
        <w:overflowPunct/>
        <w:topLinePunct w:val="0"/>
        <w:autoSpaceDE/>
        <w:autoSpaceDN/>
        <w:bidi w:val="0"/>
        <w:adjustRightInd/>
        <w:snapToGrid/>
        <w:spacing w:line="600" w:lineRule="exact"/>
        <w:ind w:right="0" w:firstLine="64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 w:cs="Times New Roman"/>
          <w:sz w:val="28"/>
          <w:szCs w:val="28"/>
        </w:rPr>
        <w:t xml:space="preserve"> </w:t>
      </w:r>
    </w:p>
    <w:p>
      <w:pPr>
        <w:spacing w:line="560" w:lineRule="exact"/>
        <w:ind w:left="320" w:right="600" w:hanging="320" w:hangingChars="100"/>
        <w:jc w:val="both"/>
        <w:rPr>
          <w:rFonts w:hint="default" w:ascii="Times New Roman" w:hAnsi="Times New Roman" w:eastAsia="仿宋" w:cs="Times New Roman"/>
          <w:sz w:val="28"/>
          <w:szCs w:val="28"/>
        </w:rPr>
      </w:pPr>
      <w:r>
        <w:rPr>
          <w:rFonts w:hint="default" w:ascii="Times New Roman" w:hAnsi="Times New Roman" w:cs="Times New Roman"/>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405765</wp:posOffset>
                </wp:positionV>
                <wp:extent cx="5476875"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4768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31.95pt;height:0pt;width:431.25pt;z-index:251665408;mso-width-relative:page;mso-height-relative:page;" filled="f" stroked="t" coordsize="21600,21600" o:gfxdata="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5FBNvTAAAABgEAAA8AAAAAAAAAAQAgAAAAIgAAAGRycy9kb3ducmV2Lnht&#10;bFBLAQIUABQAAAAIAIdO4kDm8sOQ/gEAAO0DAAAOAAAAAAAAAAEAIAAAACIBAABkcnMvZTJvRG9j&#10;LnhtbFBLBQYAAAAABgAGAFkBAACSBQAAAAA=&#10;">
                <v:fill on="f" focussize="0,0"/>
                <v:stroke weight="1pt" color="#000000" joinstyle="round"/>
                <v:imagedata o:title=""/>
                <o:lock v:ext="edit" aspectratio="f"/>
              </v:shape>
            </w:pict>
          </mc:Fallback>
        </mc:AlternateContent>
      </w:r>
      <w:r>
        <w:rPr>
          <w:rFonts w:hint="default" w:ascii="Times New Roman" w:hAnsi="Times New Roman" w:eastAsia="仿宋" w:cs="Times New Roman"/>
          <w:sz w:val="28"/>
          <w:szCs w:val="28"/>
        </w:rPr>
        <w:t xml:space="preserve">                                            </w:t>
      </w:r>
    </w:p>
    <w:p>
      <w:pPr>
        <w:spacing w:line="560" w:lineRule="exact"/>
        <w:ind w:left="320" w:right="600" w:hanging="280" w:hangingChars="1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 w:cs="Times New Roman"/>
          <w:sz w:val="28"/>
          <w:szCs w:val="28"/>
        </w:rPr>
        <w:t xml:space="preserve">   </w:t>
      </w:r>
      <w:r>
        <w:rPr>
          <w:rFonts w:hint="default" w:ascii="Times New Roman" w:hAnsi="Times New Roman" w:eastAsia="仿宋_GB2312" w:cs="Times New Roman"/>
          <w:sz w:val="28"/>
          <w:szCs w:val="28"/>
        </w:rPr>
        <w:t>抄送</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县委依法治县办</w:t>
      </w:r>
      <w:r>
        <w:rPr>
          <w:rFonts w:hint="default" w:ascii="Times New Roman" w:hAnsi="Times New Roman" w:eastAsia="仿宋_GB2312" w:cs="Times New Roman"/>
          <w:sz w:val="28"/>
          <w:szCs w:val="28"/>
        </w:rPr>
        <w:t>。</w:t>
      </w:r>
    </w:p>
    <w:p>
      <w:pPr>
        <w:spacing w:line="600" w:lineRule="exact"/>
        <w:ind w:right="-28" w:firstLine="420" w:firstLineChars="200"/>
        <w:rPr>
          <w:rFonts w:hint="default" w:ascii="Times New Roman" w:hAnsi="Times New Roman" w:eastAsia="仿宋_GB2312" w:cs="Times New Roman"/>
          <w:sz w:val="20"/>
        </w:rPr>
      </w:pPr>
      <w:r>
        <w:rPr>
          <w:rFonts w:hint="default" w:ascii="Times New Roman" w:hAnsi="Times New Roman" w:eastAsia="仿宋_GB2312" w:cs="Times New Roman"/>
        </w:rPr>
        <mc:AlternateContent>
          <mc:Choice Requires="wps">
            <w:drawing>
              <wp:anchor distT="0" distB="0" distL="114300" distR="114300" simplePos="0" relativeHeight="251664384" behindDoc="0" locked="0" layoutInCell="1" allowOverlap="1">
                <wp:simplePos x="0" y="0"/>
                <wp:positionH relativeFrom="column">
                  <wp:posOffset>24130</wp:posOffset>
                </wp:positionH>
                <wp:positionV relativeFrom="paragraph">
                  <wp:posOffset>40640</wp:posOffset>
                </wp:positionV>
                <wp:extent cx="5476875"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54768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pt;margin-top:3.2pt;height:0pt;width:431.25pt;z-index:251664384;mso-width-relative:page;mso-height-relative:page;" filled="f" stroked="t" coordsize="21600,21600" o:gfxdata="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8Aksa0QAAAAUBAAAPAAAAAAAAAAEAIAAAACIAAABkcnMvZG93bnJldi54bWxQ&#10;SwECFAAUAAAACACHTuJAdt/dg/4BAADtAwAADgAAAAAAAAABACAAAAAgAQAAZHJzL2Uyb0RvYy54&#10;bWxQSwUGAAAAAAYABgBZAQAAkAUAAAAA&#10;">
                <v:fill on="f" focussize="0,0"/>
                <v:stroke weight="1pt" color="#000000" joinstyle="round"/>
                <v:imagedata o:title=""/>
                <o:lock v:ext="edit" aspectratio="f"/>
              </v:shape>
            </w:pict>
          </mc:Fallback>
        </mc:AlternateContent>
      </w:r>
      <w:r>
        <w:rPr>
          <w:rFonts w:hint="default" w:ascii="Times New Roman" w:hAnsi="Times New Roman" w:eastAsia="仿宋_GB2312" w:cs="Times New Roman"/>
          <w:sz w:val="28"/>
          <w:szCs w:val="28"/>
          <w:lang w:eastAsia="zh-CN"/>
        </w:rPr>
        <w:t>遂宁市</w:t>
      </w:r>
      <w:r>
        <w:rPr>
          <w:rFonts w:hint="default" w:ascii="Times New Roman" w:hAnsi="Times New Roman" w:eastAsia="仿宋_GB2312" w:cs="Times New Roman"/>
          <w:sz w:val="28"/>
          <w:szCs w:val="28"/>
        </w:rPr>
        <w:t>大英</w:t>
      </w:r>
      <w:r>
        <w:rPr>
          <w:rFonts w:hint="default" w:ascii="Times New Roman" w:hAnsi="Times New Roman" w:eastAsia="仿宋_GB2312" w:cs="Times New Roman"/>
          <w:sz w:val="28"/>
          <w:szCs w:val="28"/>
          <w:lang w:eastAsia="zh-CN"/>
        </w:rPr>
        <w:t>生态</w:t>
      </w:r>
      <w:r>
        <w:rPr>
          <w:rFonts w:hint="default" w:ascii="Times New Roman" w:hAnsi="Times New Roman" w:eastAsia="仿宋_GB2312" w:cs="Times New Roman"/>
          <w:sz w:val="28"/>
          <w:szCs w:val="28"/>
        </w:rPr>
        <w:t xml:space="preserve">环境局办公室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日印发</w:t>
      </w:r>
    </w:p>
    <w:p>
      <w:pPr>
        <w:spacing w:line="14" w:lineRule="exact"/>
        <w:rPr>
          <w:rFonts w:ascii="Times New Roman" w:hAnsi="Times New Roman" w:eastAsia="仿宋_GB2312" w:cs="Times New Roman"/>
          <w:sz w:val="32"/>
          <w:szCs w:val="32"/>
        </w:rPr>
      </w:pPr>
    </w:p>
    <w:p>
      <w:pPr>
        <w:spacing w:line="14" w:lineRule="exact"/>
        <w:rPr>
          <w:rFonts w:ascii="Times New Roman" w:hAnsi="Times New Roman" w:eastAsia="仿宋_GB2312" w:cs="Times New Roman"/>
          <w:sz w:val="32"/>
          <w:szCs w:val="32"/>
        </w:rPr>
      </w:pPr>
      <w:r>
        <w:rPr>
          <w:rFonts w:hint="default" w:ascii="Times New Roman" w:hAnsi="Times New Roman" w:eastAsia="仿宋_GB2312" w:cs="Times New Roman"/>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50165</wp:posOffset>
                </wp:positionV>
                <wp:extent cx="547687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4768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pt;margin-top:3.95pt;height:0pt;width:431.25pt;z-index:251661312;mso-width-relative:page;mso-height-relative:page;" filled="f" stroked="t" coordsize="21600,21600" o:gfxdata="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YNlDQAAAABQEAAA8AAAAAAAAAAQAgAAAAIgAAAGRycy9kb3ducmV2LnhtbFBL&#10;AQIUABQAAAAIAIdO4kD/7aJi/gEAAO0DAAAOAAAAAAAAAAEAIAAAAB8BAABkcnMvZTJvRG9jLnht&#10;bFBLBQYAAAAABgAGAFkBAACPBQAAAAA=&#10;">
                <v:fill on="f" focussize="0,0"/>
                <v:stroke weight="1pt" color="#000000" joinstyle="round"/>
                <v:imagedata o:title=""/>
                <o:lock v:ext="edit" aspectratio="f"/>
              </v:shape>
            </w:pict>
          </mc:Fallback>
        </mc:AlternateContent>
      </w:r>
    </w:p>
    <w:sectPr>
      <w:headerReference r:id="rId3" w:type="default"/>
      <w:footerReference r:id="rId4" w:type="default"/>
      <w:pgSz w:w="11906" w:h="16838"/>
      <w:pgMar w:top="2098" w:right="1474" w:bottom="1361" w:left="1587" w:header="851" w:footer="992" w:gutter="0"/>
      <w:pgNumType w:fmt="decimal"/>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0"/>
                      <w:rPr>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ABDE4EE"/>
    <w:multiLevelType w:val="singleLevel"/>
    <w:tmpl w:val="0ABDE4EE"/>
    <w:lvl w:ilvl="0" w:tentative="0">
      <w:start w:val="1"/>
      <w:numFmt w:val="decimal"/>
      <w:pStyle w:val="5"/>
      <w:lvlText w:val="%1."/>
      <w:lvlJc w:val="left"/>
      <w:pPr>
        <w:tabs>
          <w:tab w:val="left" w:pos="360"/>
        </w:tabs>
        <w:ind w:left="360" w:hanging="360"/>
      </w:pPr>
    </w:lvl>
  </w:abstractNum>
  <w:abstractNum w:abstractNumId="2">
    <w:nsid w:val="57DD70D9"/>
    <w:multiLevelType w:val="singleLevel"/>
    <w:tmpl w:val="57DD70D9"/>
    <w:lvl w:ilvl="0" w:tentative="0">
      <w:start w:val="1"/>
      <w:numFmt w:val="chineseCounting"/>
      <w:suff w:val="nothing"/>
      <w:lvlText w:val="（%1）"/>
      <w:lvlJc w:val="left"/>
    </w:lvl>
  </w:abstractNum>
  <w:abstractNum w:abstractNumId="3">
    <w:nsid w:val="57FE2F13"/>
    <w:multiLevelType w:val="singleLevel"/>
    <w:tmpl w:val="57FE2F13"/>
    <w:lvl w:ilvl="0" w:tentative="0">
      <w:start w:val="4"/>
      <w:numFmt w:val="chineseCounting"/>
      <w:suff w:val="nothing"/>
      <w:lvlText w:val="（%1）"/>
      <w:lvlJc w:val="left"/>
    </w:lvl>
  </w:abstractNum>
  <w:abstractNum w:abstractNumId="4">
    <w:nsid w:val="5B7DB196"/>
    <w:multiLevelType w:val="singleLevel"/>
    <w:tmpl w:val="5B7DB196"/>
    <w:lvl w:ilvl="0" w:tentative="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22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C090B"/>
    <w:rsid w:val="000B5529"/>
    <w:rsid w:val="000B6FE8"/>
    <w:rsid w:val="00290152"/>
    <w:rsid w:val="00451F96"/>
    <w:rsid w:val="004B070C"/>
    <w:rsid w:val="005336CA"/>
    <w:rsid w:val="007F3DD0"/>
    <w:rsid w:val="0084285C"/>
    <w:rsid w:val="00A1119F"/>
    <w:rsid w:val="00B43CD1"/>
    <w:rsid w:val="00C116CE"/>
    <w:rsid w:val="00CE500C"/>
    <w:rsid w:val="00DF5E54"/>
    <w:rsid w:val="00E36623"/>
    <w:rsid w:val="01216C6A"/>
    <w:rsid w:val="013C0DF2"/>
    <w:rsid w:val="02880CA3"/>
    <w:rsid w:val="03041667"/>
    <w:rsid w:val="03776085"/>
    <w:rsid w:val="04742816"/>
    <w:rsid w:val="04C3071A"/>
    <w:rsid w:val="056C090B"/>
    <w:rsid w:val="076D5E8C"/>
    <w:rsid w:val="07E4424B"/>
    <w:rsid w:val="09D1683B"/>
    <w:rsid w:val="0B322585"/>
    <w:rsid w:val="0B705838"/>
    <w:rsid w:val="0D522D1B"/>
    <w:rsid w:val="0E7206CA"/>
    <w:rsid w:val="0EFA7F43"/>
    <w:rsid w:val="0F901E41"/>
    <w:rsid w:val="112113D4"/>
    <w:rsid w:val="1209131E"/>
    <w:rsid w:val="12C812F9"/>
    <w:rsid w:val="130562D7"/>
    <w:rsid w:val="15091457"/>
    <w:rsid w:val="15192B63"/>
    <w:rsid w:val="15424B50"/>
    <w:rsid w:val="164739E2"/>
    <w:rsid w:val="195B4B03"/>
    <w:rsid w:val="1ACC6E14"/>
    <w:rsid w:val="1C6630FB"/>
    <w:rsid w:val="1CE72E2F"/>
    <w:rsid w:val="1D174519"/>
    <w:rsid w:val="1EC42CD6"/>
    <w:rsid w:val="1F2E0EB6"/>
    <w:rsid w:val="1F4642E7"/>
    <w:rsid w:val="1FC45DF4"/>
    <w:rsid w:val="1FD871BD"/>
    <w:rsid w:val="20B428CD"/>
    <w:rsid w:val="212641D8"/>
    <w:rsid w:val="219F7CBE"/>
    <w:rsid w:val="23225660"/>
    <w:rsid w:val="239E62D3"/>
    <w:rsid w:val="24A32F36"/>
    <w:rsid w:val="24C8672F"/>
    <w:rsid w:val="24FD62C5"/>
    <w:rsid w:val="25605D22"/>
    <w:rsid w:val="25FF74D9"/>
    <w:rsid w:val="267F7D36"/>
    <w:rsid w:val="28367F10"/>
    <w:rsid w:val="2875740B"/>
    <w:rsid w:val="29B86227"/>
    <w:rsid w:val="2ACE6E6B"/>
    <w:rsid w:val="2D501F9D"/>
    <w:rsid w:val="2E4E3B29"/>
    <w:rsid w:val="2E7D47A8"/>
    <w:rsid w:val="2E9A45AD"/>
    <w:rsid w:val="2EC91F5B"/>
    <w:rsid w:val="2EFD4329"/>
    <w:rsid w:val="30306625"/>
    <w:rsid w:val="306F742B"/>
    <w:rsid w:val="312979D8"/>
    <w:rsid w:val="31651A05"/>
    <w:rsid w:val="325269CD"/>
    <w:rsid w:val="33D53552"/>
    <w:rsid w:val="33E304ED"/>
    <w:rsid w:val="35F044C7"/>
    <w:rsid w:val="36376345"/>
    <w:rsid w:val="38D032F8"/>
    <w:rsid w:val="3AEF7217"/>
    <w:rsid w:val="3CBE73C0"/>
    <w:rsid w:val="3D096889"/>
    <w:rsid w:val="3F107FF7"/>
    <w:rsid w:val="3F3162C5"/>
    <w:rsid w:val="410F66E5"/>
    <w:rsid w:val="41FE3302"/>
    <w:rsid w:val="428145C8"/>
    <w:rsid w:val="435A724D"/>
    <w:rsid w:val="452D43B8"/>
    <w:rsid w:val="45F2261F"/>
    <w:rsid w:val="46037884"/>
    <w:rsid w:val="46674EEC"/>
    <w:rsid w:val="475B5ECA"/>
    <w:rsid w:val="47F21722"/>
    <w:rsid w:val="482D0E30"/>
    <w:rsid w:val="49DE08D9"/>
    <w:rsid w:val="4B435570"/>
    <w:rsid w:val="4B5322B5"/>
    <w:rsid w:val="4C0A7EB6"/>
    <w:rsid w:val="4C1D2565"/>
    <w:rsid w:val="4F6F258D"/>
    <w:rsid w:val="515C2E55"/>
    <w:rsid w:val="51E44E4E"/>
    <w:rsid w:val="52507671"/>
    <w:rsid w:val="54624EB9"/>
    <w:rsid w:val="56313EB8"/>
    <w:rsid w:val="58421418"/>
    <w:rsid w:val="5854397C"/>
    <w:rsid w:val="59967B71"/>
    <w:rsid w:val="5A764C5E"/>
    <w:rsid w:val="5A864C88"/>
    <w:rsid w:val="5C246216"/>
    <w:rsid w:val="5CE8206D"/>
    <w:rsid w:val="5D771B11"/>
    <w:rsid w:val="5FD91020"/>
    <w:rsid w:val="5FE62F4E"/>
    <w:rsid w:val="61A45799"/>
    <w:rsid w:val="62086476"/>
    <w:rsid w:val="626F565E"/>
    <w:rsid w:val="62914051"/>
    <w:rsid w:val="62BD1EF7"/>
    <w:rsid w:val="62D460CE"/>
    <w:rsid w:val="62E55095"/>
    <w:rsid w:val="6393161C"/>
    <w:rsid w:val="65F5778B"/>
    <w:rsid w:val="66587B23"/>
    <w:rsid w:val="6682274E"/>
    <w:rsid w:val="67AA7AC8"/>
    <w:rsid w:val="69093DA6"/>
    <w:rsid w:val="691D202E"/>
    <w:rsid w:val="6C935A57"/>
    <w:rsid w:val="6CD84156"/>
    <w:rsid w:val="6D535020"/>
    <w:rsid w:val="70867EDD"/>
    <w:rsid w:val="72E54569"/>
    <w:rsid w:val="72EE5726"/>
    <w:rsid w:val="73B75525"/>
    <w:rsid w:val="75D36EF7"/>
    <w:rsid w:val="75EB065F"/>
    <w:rsid w:val="768C3396"/>
    <w:rsid w:val="776E270A"/>
    <w:rsid w:val="7A265FEC"/>
    <w:rsid w:val="7AC145BB"/>
    <w:rsid w:val="7B2D7822"/>
    <w:rsid w:val="7E2F3868"/>
    <w:rsid w:val="7EEE6756"/>
    <w:rsid w:val="7FD46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outlineLvl w:val="0"/>
    </w:pPr>
    <w:rPr>
      <w:rFonts w:ascii="宋体" w:hAnsi="Times New Roman" w:eastAsia="宋体" w:cs="宋体"/>
      <w:b/>
      <w:bCs/>
      <w:color w:val="333333"/>
      <w:kern w:val="36"/>
      <w:sz w:val="48"/>
      <w:szCs w:val="48"/>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rFonts w:eastAsia="方正仿宋简体"/>
      <w:sz w:val="32"/>
    </w:rPr>
  </w:style>
  <w:style w:type="paragraph" w:styleId="5">
    <w:name w:val="List Number"/>
    <w:basedOn w:val="1"/>
    <w:qFormat/>
    <w:uiPriority w:val="0"/>
    <w:pPr>
      <w:numPr>
        <w:ilvl w:val="0"/>
        <w:numId w:val="1"/>
      </w:numPr>
    </w:pPr>
  </w:style>
  <w:style w:type="paragraph" w:styleId="6">
    <w:name w:val="Body Text"/>
    <w:basedOn w:val="1"/>
    <w:unhideWhenUsed/>
    <w:qFormat/>
    <w:uiPriority w:val="99"/>
    <w:pPr>
      <w:spacing w:after="120"/>
    </w:pPr>
  </w:style>
  <w:style w:type="paragraph" w:styleId="7">
    <w:name w:val="Body Text Indent"/>
    <w:basedOn w:val="1"/>
    <w:unhideWhenUsed/>
    <w:qFormat/>
    <w:uiPriority w:val="99"/>
    <w:pPr>
      <w:spacing w:after="120"/>
      <w:ind w:left="420" w:leftChars="200"/>
    </w:pPr>
  </w:style>
  <w:style w:type="paragraph" w:styleId="8">
    <w:name w:val="Plain Text"/>
    <w:basedOn w:val="1"/>
    <w:unhideWhenUsed/>
    <w:qFormat/>
    <w:uiPriority w:val="99"/>
    <w:rPr>
      <w:rFonts w:ascii="宋体" w:hAnsi="Courier New" w:cs="Courier New"/>
      <w:szCs w:val="21"/>
    </w:r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able of figures"/>
    <w:basedOn w:val="1"/>
    <w:next w:val="1"/>
    <w:qFormat/>
    <w:uiPriority w:val="99"/>
    <w:pPr>
      <w:ind w:left="200" w:leftChars="200" w:hanging="200" w:hanging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7"/>
    <w:next w:val="1"/>
    <w:unhideWhenUsed/>
    <w:qFormat/>
    <w:uiPriority w:val="99"/>
    <w:pPr>
      <w:ind w:firstLine="420" w:firstLineChars="200"/>
    </w:pPr>
    <w:rPr>
      <w:rFonts w:ascii="等线" w:hAnsi="等线" w:eastAsia="等线" w:cs="Times New Roman"/>
    </w:rPr>
  </w:style>
  <w:style w:type="character" w:styleId="17">
    <w:name w:val="Strong"/>
    <w:basedOn w:val="16"/>
    <w:qFormat/>
    <w:uiPriority w:val="0"/>
    <w:rPr>
      <w:b/>
    </w:rPr>
  </w:style>
  <w:style w:type="character" w:styleId="18">
    <w:name w:val="page number"/>
    <w:basedOn w:val="16"/>
    <w:qFormat/>
    <w:uiPriority w:val="0"/>
  </w:style>
  <w:style w:type="character" w:styleId="19">
    <w:name w:val="Emphasis"/>
    <w:basedOn w:val="16"/>
    <w:qFormat/>
    <w:uiPriority w:val="20"/>
    <w:rPr>
      <w:color w:val="F73131"/>
    </w:rPr>
  </w:style>
  <w:style w:type="character" w:styleId="20">
    <w:name w:val="Hyperlink"/>
    <w:basedOn w:val="16"/>
    <w:qFormat/>
    <w:uiPriority w:val="0"/>
    <w:rPr>
      <w:color w:val="0000FF"/>
      <w:u w:val="single"/>
    </w:rPr>
  </w:style>
  <w:style w:type="paragraph" w:customStyle="1" w:styleId="21">
    <w:name w:val="_Style 2"/>
    <w:basedOn w:val="1"/>
    <w:qFormat/>
    <w:uiPriority w:val="34"/>
    <w:pPr>
      <w:ind w:firstLine="420" w:firstLineChars="200"/>
    </w:pPr>
  </w:style>
  <w:style w:type="paragraph" w:customStyle="1" w:styleId="22">
    <w:name w:val="样式1"/>
    <w:basedOn w:val="1"/>
    <w:qFormat/>
    <w:uiPriority w:val="0"/>
    <w:pPr>
      <w:spacing w:line="600" w:lineRule="exact"/>
      <w:ind w:firstLine="200" w:firstLineChars="200"/>
    </w:pPr>
    <w:rPr>
      <w:rFonts w:eastAsia="仿宋_GB2312"/>
      <w:sz w:val="32"/>
    </w:rPr>
  </w:style>
  <w:style w:type="paragraph" w:customStyle="1" w:styleId="23">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2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5">
    <w:name w:val="批注框文本 Char"/>
    <w:basedOn w:val="16"/>
    <w:link w:val="9"/>
    <w:qFormat/>
    <w:uiPriority w:val="0"/>
    <w:rPr>
      <w:rFonts w:asciiTheme="minorHAnsi" w:hAnsiTheme="minorHAnsi" w:eastAsiaTheme="minorEastAsia" w:cstheme="minorBidi"/>
      <w:kern w:val="2"/>
      <w:sz w:val="18"/>
      <w:szCs w:val="18"/>
    </w:rPr>
  </w:style>
  <w:style w:type="paragraph" w:customStyle="1" w:styleId="26">
    <w:name w:val="Heading #2|1"/>
    <w:basedOn w:val="1"/>
    <w:qFormat/>
    <w:uiPriority w:val="0"/>
    <w:pPr>
      <w:spacing w:after="580" w:line="602" w:lineRule="exact"/>
      <w:jc w:val="center"/>
      <w:outlineLvl w:val="1"/>
    </w:pPr>
    <w:rPr>
      <w:rFonts w:ascii="宋体" w:hAnsi="宋体" w:eastAsia="宋体" w:cs="宋体"/>
      <w:sz w:val="42"/>
      <w:szCs w:val="42"/>
      <w:lang w:val="zh-TW" w:eastAsia="zh-TW" w:bidi="zh-TW"/>
    </w:rPr>
  </w:style>
  <w:style w:type="paragraph" w:customStyle="1" w:styleId="27">
    <w:name w:val="Body text|1"/>
    <w:basedOn w:val="1"/>
    <w:qFormat/>
    <w:uiPriority w:val="0"/>
    <w:pPr>
      <w:spacing w:line="422" w:lineRule="auto"/>
      <w:ind w:firstLine="180"/>
    </w:pPr>
    <w:rPr>
      <w:rFonts w:ascii="宋体" w:hAnsi="宋体" w:eastAsia="宋体" w:cs="宋体"/>
      <w:sz w:val="30"/>
      <w:szCs w:val="30"/>
      <w:lang w:val="zh-TW" w:eastAsia="zh-TW" w:bidi="zh-TW"/>
    </w:rPr>
  </w:style>
  <w:style w:type="paragraph" w:customStyle="1" w:styleId="28">
    <w:name w:val="footer1"/>
    <w:basedOn w:val="1"/>
    <w:qFormat/>
    <w:uiPriority w:val="0"/>
    <w:pPr>
      <w:tabs>
        <w:tab w:val="center" w:pos="4153"/>
        <w:tab w:val="right" w:pos="8306"/>
      </w:tabs>
      <w:snapToGrid w:val="0"/>
      <w:jc w:val="left"/>
    </w:pPr>
    <w:rPr>
      <w:sz w:val="18"/>
    </w:rPr>
  </w:style>
  <w:style w:type="character" w:customStyle="1" w:styleId="29">
    <w:name w:val="15"/>
    <w:basedOn w:val="1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20</Pages>
  <Words>1447</Words>
  <Characters>8249</Characters>
  <Lines>68</Lines>
  <Paragraphs>19</Paragraphs>
  <TotalTime>0</TotalTime>
  <ScaleCrop>false</ScaleCrop>
  <LinksUpToDate>false</LinksUpToDate>
  <CharactersWithSpaces>9677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2018-05-28T03:23:00Z</dcterms:created>
  <dc:creator>Administrator</dc:creator>
  <cp:lastModifiedBy>Xyang</cp:lastModifiedBy>
  <cp:lastPrinted>2022-02-09T08:09:00Z</cp:lastPrinted>
  <dcterms:modified xsi:type="dcterms:W3CDTF">2022-02-10T02:30:02Z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50A8B7F3D22D4E5ABC56871A873B55E1</vt:lpwstr>
  </property>
</Properties>
</file>