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p>
    <w:p>
      <w:pPr>
        <w:keepNext w:val="0"/>
        <w:keepLines w:val="0"/>
        <w:pageBreakBefore w:val="0"/>
        <w:widowControl w:val="0"/>
        <w:kinsoku/>
        <w:wordWrap w:val="0"/>
        <w:overflowPunct w:val="0"/>
        <w:topLinePunct w:val="0"/>
        <w:autoSpaceDE/>
        <w:autoSpaceDN/>
        <w:bidi w:val="0"/>
        <w:adjustRightInd w:val="0"/>
        <w:snapToGrid w:val="0"/>
        <w:spacing w:before="28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遂大环函〔</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39</w:t>
      </w:r>
      <w:r>
        <w:rPr>
          <w:rFonts w:hint="eastAsia" w:ascii="仿宋_GB2312" w:hAnsi="仿宋_GB2312" w:eastAsia="仿宋_GB2312" w:cs="仿宋_GB2312"/>
          <w:sz w:val="32"/>
          <w:szCs w:val="32"/>
        </w:rPr>
        <w:t>号</w:t>
      </w:r>
    </w:p>
    <w:p>
      <w:pPr>
        <w:pStyle w:val="2"/>
        <w:pageBreakBefore w:val="0"/>
        <w:widowControl w:val="0"/>
        <w:kinsoku/>
        <w:wordWrap/>
        <w:overflowPunct/>
        <w:topLinePunct w:val="0"/>
        <w:autoSpaceDE/>
        <w:autoSpaceDN/>
        <w:bidi w:val="0"/>
        <w:adjustRightInd/>
        <w:snapToGrid/>
        <w:spacing w:beforeLines="0" w:afterLines="0" w:line="500" w:lineRule="exact"/>
        <w:textAlignment w:val="auto"/>
      </w:pPr>
    </w:p>
    <w:p>
      <w:pPr>
        <w:pageBreakBefore w:val="0"/>
        <w:widowControl w:val="0"/>
        <w:kinsoku/>
        <w:wordWrap/>
        <w:overflowPunct/>
        <w:topLinePunct w:val="0"/>
        <w:autoSpaceDE/>
        <w:autoSpaceDN/>
        <w:bidi w:val="0"/>
        <w:adjustRightInd/>
        <w:snapToGrid/>
        <w:spacing w:line="500" w:lineRule="exact"/>
        <w:textAlignment w:val="auto"/>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Times New Roman" w:hAnsi="Times New Roman" w:eastAsia="方正小标宋简体" w:cs="Times New Roman"/>
          <w:color w:val="auto"/>
          <w:spacing w:val="0"/>
          <w:sz w:val="44"/>
          <w:szCs w:val="44"/>
          <w:lang w:eastAsia="zh-CN"/>
        </w:rPr>
      </w:pPr>
      <w:r>
        <w:rPr>
          <w:rFonts w:hint="eastAsia" w:eastAsia="方正小标宋简体" w:cs="Times New Roman"/>
          <w:color w:val="auto"/>
          <w:spacing w:val="0"/>
          <w:sz w:val="44"/>
          <w:szCs w:val="44"/>
          <w:lang w:eastAsia="zh-CN"/>
        </w:rPr>
        <w:t>遂宁市大英生态环境局</w:t>
      </w:r>
    </w:p>
    <w:p>
      <w:pPr>
        <w:wordWrap w:val="0"/>
        <w:overflowPunct w:val="0"/>
        <w:adjustRightInd w:val="0"/>
        <w:snapToGrid w:val="0"/>
        <w:spacing w:line="560" w:lineRule="exact"/>
        <w:jc w:val="center"/>
        <w:rPr>
          <w:rFonts w:eastAsia="方正小标宋简体"/>
          <w:kern w:val="0"/>
          <w:sz w:val="44"/>
          <w:szCs w:val="44"/>
        </w:rPr>
      </w:pPr>
      <w:r>
        <w:rPr>
          <w:rFonts w:hint="eastAsia" w:eastAsia="方正小标宋简体"/>
          <w:kern w:val="0"/>
          <w:sz w:val="44"/>
          <w:szCs w:val="44"/>
        </w:rPr>
        <w:t>关于四川丰正新能源有限公司数控机床配件、锻件生产项目</w:t>
      </w:r>
      <w:r>
        <w:rPr>
          <w:rFonts w:eastAsia="方正小标宋简体"/>
          <w:kern w:val="0"/>
          <w:sz w:val="44"/>
          <w:szCs w:val="44"/>
        </w:rPr>
        <w:t>环境影响报告表的批复</w:t>
      </w:r>
    </w:p>
    <w:p>
      <w:pPr>
        <w:keepNext w:val="0"/>
        <w:keepLines w:val="0"/>
        <w:pageBreakBefore w:val="0"/>
        <w:widowControl w:val="0"/>
        <w:kinsoku/>
        <w:wordWrap w:val="0"/>
        <w:overflowPunct w:val="0"/>
        <w:topLinePunct/>
        <w:autoSpaceDE/>
        <w:autoSpaceDN/>
        <w:bidi w:val="0"/>
        <w:snapToGrid w:val="0"/>
        <w:spacing w:line="560" w:lineRule="exact"/>
        <w:textAlignment w:val="auto"/>
        <w:rPr>
          <w:rFonts w:hint="eastAsia" w:ascii="仿宋" w:hAnsi="仿宋" w:eastAsia="仿宋" w:cs="仿宋"/>
          <w:sz w:val="32"/>
          <w:szCs w:val="32"/>
        </w:rPr>
      </w:pPr>
    </w:p>
    <w:p>
      <w:pPr>
        <w:keepNext w:val="0"/>
        <w:keepLines w:val="0"/>
        <w:pageBreakBefore w:val="0"/>
        <w:widowControl w:val="0"/>
        <w:kinsoku/>
        <w:wordWrap w:val="0"/>
        <w:overflowPunct w:val="0"/>
        <w:topLinePunct/>
        <w:autoSpaceDE/>
        <w:autoSpaceDN/>
        <w:bidi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四川丰正新能源有限公司：</w:t>
      </w:r>
    </w:p>
    <w:p>
      <w:pPr>
        <w:keepNext w:val="0"/>
        <w:keepLines w:val="0"/>
        <w:pageBreakBefore w:val="0"/>
        <w:widowControl w:val="0"/>
        <w:kinsoku/>
        <w:wordWrap w:val="0"/>
        <w:overflowPunct w:val="0"/>
        <w:topLinePunct/>
        <w:autoSpaceDE/>
        <w:autoSpaceDN/>
        <w:bidi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你公司报送的《四川丰正新能源有限公司数控机床配件、锻件生产项目环境影响报告表》（以下简称《报告表》）收悉。经研究，批复如下：</w:t>
      </w:r>
    </w:p>
    <w:p>
      <w:pPr>
        <w:keepNext w:val="0"/>
        <w:keepLines w:val="0"/>
        <w:pageBreakBefore w:val="0"/>
        <w:widowControl w:val="0"/>
        <w:numPr>
          <w:ilvl w:val="0"/>
          <w:numId w:val="0"/>
        </w:numPr>
        <w:kinsoku/>
        <w:autoSpaceDE/>
        <w:autoSpaceDN/>
        <w:bidi w:val="0"/>
        <w:adjustRightInd w:val="0"/>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一、</w:t>
      </w:r>
      <w:r>
        <w:rPr>
          <w:rFonts w:hint="eastAsia" w:ascii="仿宋" w:hAnsi="仿宋" w:eastAsia="仿宋" w:cs="仿宋"/>
          <w:sz w:val="32"/>
          <w:szCs w:val="32"/>
        </w:rPr>
        <w:t>该项目在四川大英经济开发区蓬盐大道雷得云母二台土工业用地上，通过引进全套锻件生产技术及设备，建设全自动化生产线，并配套建设相关公辅设施，建成后年产各型数控机床锻件、机件共</w:t>
      </w:r>
      <w:r>
        <w:rPr>
          <w:rFonts w:hint="default" w:ascii="Times New Roman" w:hAnsi="Times New Roman" w:eastAsia="仿宋" w:cs="Times New Roman"/>
          <w:sz w:val="32"/>
          <w:szCs w:val="32"/>
        </w:rPr>
        <w:t>5000</w:t>
      </w:r>
      <w:r>
        <w:rPr>
          <w:rFonts w:hint="eastAsia" w:ascii="仿宋" w:hAnsi="仿宋" w:eastAsia="仿宋" w:cs="仿宋"/>
          <w:sz w:val="32"/>
          <w:szCs w:val="32"/>
        </w:rPr>
        <w:t>万件。项目总投资</w:t>
      </w:r>
      <w:r>
        <w:rPr>
          <w:rFonts w:hint="eastAsia" w:ascii="Times New Roman" w:hAnsi="Times New Roman" w:eastAsia="仿宋" w:cs="Times New Roman"/>
          <w:sz w:val="32"/>
          <w:szCs w:val="32"/>
        </w:rPr>
        <w:t>3000</w:t>
      </w:r>
      <w:r>
        <w:rPr>
          <w:rFonts w:hint="eastAsia" w:ascii="仿宋" w:hAnsi="仿宋" w:eastAsia="仿宋" w:cs="仿宋"/>
          <w:sz w:val="32"/>
          <w:szCs w:val="32"/>
        </w:rPr>
        <w:t>万元，其中环保投资</w:t>
      </w:r>
      <w:r>
        <w:rPr>
          <w:rFonts w:hint="eastAsia" w:ascii="Times New Roman" w:hAnsi="Times New Roman" w:eastAsia="仿宋" w:cs="Times New Roman"/>
          <w:sz w:val="32"/>
          <w:szCs w:val="32"/>
        </w:rPr>
        <w:t>20</w:t>
      </w:r>
      <w:r>
        <w:rPr>
          <w:rFonts w:hint="eastAsia" w:ascii="仿宋" w:hAnsi="仿宋" w:eastAsia="仿宋" w:cs="仿宋"/>
          <w:sz w:val="32"/>
          <w:szCs w:val="32"/>
        </w:rPr>
        <w:t>万元。</w:t>
      </w:r>
    </w:p>
    <w:p>
      <w:pPr>
        <w:keepNext w:val="0"/>
        <w:keepLines w:val="0"/>
        <w:pageBreakBefore w:val="0"/>
        <w:widowControl w:val="0"/>
        <w:kinsoku/>
        <w:autoSpaceDE/>
        <w:autoSpaceDN/>
        <w:bidi w:val="0"/>
        <w:adjustRightInd w:val="0"/>
        <w:spacing w:line="560" w:lineRule="exact"/>
        <w:ind w:firstLine="640" w:firstLineChars="200"/>
        <w:textAlignment w:val="auto"/>
        <w:rPr>
          <w:rFonts w:hint="eastAsia" w:ascii="仿宋" w:hAnsi="仿宋" w:eastAsia="仿宋" w:cs="仿宋"/>
          <w:sz w:val="32"/>
          <w:szCs w:val="32"/>
        </w:rPr>
        <w:sectPr>
          <w:footerReference r:id="rId3" w:type="default"/>
          <w:pgSz w:w="11906" w:h="16838"/>
          <w:pgMar w:top="2098" w:right="1474"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仿宋" w:hAnsi="仿宋" w:eastAsia="仿宋" w:cs="仿宋"/>
          <w:sz w:val="32"/>
          <w:szCs w:val="32"/>
        </w:rPr>
        <w:t>项目经大英县发展和改革局备案（川投资备〔</w:t>
      </w:r>
      <w:r>
        <w:rPr>
          <w:rFonts w:hint="eastAsia" w:ascii="Times New Roman" w:hAnsi="Times New Roman" w:eastAsia="仿宋" w:cs="Times New Roman"/>
          <w:sz w:val="32"/>
          <w:szCs w:val="32"/>
        </w:rPr>
        <w:t>2211-510923-04-01-637914</w:t>
      </w:r>
      <w:r>
        <w:rPr>
          <w:rFonts w:hint="eastAsia" w:ascii="仿宋" w:hAnsi="仿宋" w:eastAsia="仿宋" w:cs="仿宋"/>
          <w:sz w:val="32"/>
          <w:szCs w:val="32"/>
        </w:rPr>
        <w:t>〕</w:t>
      </w:r>
      <w:r>
        <w:rPr>
          <w:rFonts w:hint="eastAsia" w:ascii="Times New Roman" w:hAnsi="Times New Roman" w:eastAsia="仿宋" w:cs="Times New Roman"/>
          <w:sz w:val="32"/>
          <w:szCs w:val="32"/>
        </w:rPr>
        <w:t>FGQB-0096</w:t>
      </w:r>
      <w:r>
        <w:rPr>
          <w:rFonts w:hint="eastAsia" w:ascii="仿宋" w:hAnsi="仿宋" w:eastAsia="仿宋" w:cs="仿宋"/>
          <w:sz w:val="32"/>
          <w:szCs w:val="32"/>
        </w:rPr>
        <w:t>号），属于未列入《产业结构调整指导目录》（</w:t>
      </w:r>
      <w:r>
        <w:rPr>
          <w:rFonts w:hint="eastAsia" w:ascii="Times New Roman" w:hAnsi="Times New Roman" w:eastAsia="仿宋" w:cs="Times New Roman"/>
          <w:sz w:val="32"/>
          <w:szCs w:val="32"/>
        </w:rPr>
        <w:t>2019</w:t>
      </w:r>
      <w:r>
        <w:rPr>
          <w:rFonts w:hint="eastAsia" w:ascii="仿宋" w:hAnsi="仿宋" w:eastAsia="仿宋" w:cs="仿宋"/>
          <w:sz w:val="32"/>
          <w:szCs w:val="32"/>
        </w:rPr>
        <w:t>年本）的允许类项目。项目用地已取得国有建设用地使用权出让合同</w:t>
      </w:r>
      <w:r>
        <w:rPr>
          <w:rFonts w:hint="eastAsia" w:ascii="仿宋" w:hAnsi="仿宋" w:eastAsia="仿宋" w:cs="仿宋"/>
          <w:color w:val="auto"/>
          <w:sz w:val="32"/>
          <w:szCs w:val="32"/>
        </w:rPr>
        <w:t>[</w:t>
      </w:r>
      <w:r>
        <w:rPr>
          <w:rFonts w:hint="eastAsia" w:ascii="仿宋" w:hAnsi="仿宋" w:eastAsia="仿宋" w:cs="仿宋"/>
          <w:sz w:val="32"/>
          <w:szCs w:val="32"/>
        </w:rPr>
        <w:t>合同编号：</w:t>
      </w:r>
      <w:r>
        <w:rPr>
          <w:rFonts w:hint="eastAsia" w:ascii="Times New Roman" w:hAnsi="Times New Roman" w:eastAsia="仿宋" w:cs="Times New Roman"/>
          <w:sz w:val="32"/>
          <w:szCs w:val="32"/>
        </w:rPr>
        <w:t>510803-2021-01</w:t>
      </w:r>
      <w:r>
        <w:rPr>
          <w:rFonts w:hint="eastAsia" w:ascii="仿宋" w:hAnsi="仿宋" w:eastAsia="仿宋" w:cs="仿宋"/>
          <w:sz w:val="32"/>
          <w:szCs w:val="32"/>
        </w:rPr>
        <w:t>（弹）]，用地性质为工业用地。项目建设选址的四川大英经济</w:t>
      </w:r>
    </w:p>
    <w:p>
      <w:pPr>
        <w:keepNext w:val="0"/>
        <w:keepLines w:val="0"/>
        <w:pageBreakBefore w:val="0"/>
        <w:widowControl w:val="0"/>
        <w:kinsoku/>
        <w:autoSpaceDE/>
        <w:autoSpaceDN/>
        <w:bidi w:val="0"/>
        <w:adjustRightIn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开发区，已开展规划环评并取得审查意见（川环建函〔</w:t>
      </w:r>
      <w:r>
        <w:rPr>
          <w:rFonts w:hint="eastAsia" w:ascii="Times New Roman" w:hAnsi="Times New Roman" w:eastAsia="仿宋" w:cs="Times New Roman"/>
          <w:sz w:val="32"/>
          <w:szCs w:val="32"/>
        </w:rPr>
        <w:t>2019</w:t>
      </w:r>
      <w:r>
        <w:rPr>
          <w:rFonts w:hint="eastAsia" w:ascii="仿宋" w:hAnsi="仿宋" w:eastAsia="仿宋" w:cs="仿宋"/>
          <w:sz w:val="32"/>
          <w:szCs w:val="32"/>
        </w:rPr>
        <w:t>〕</w:t>
      </w:r>
      <w:r>
        <w:rPr>
          <w:rFonts w:hint="eastAsia" w:ascii="Times New Roman" w:hAnsi="Times New Roman" w:eastAsia="仿宋" w:cs="Times New Roman"/>
          <w:sz w:val="32"/>
          <w:szCs w:val="32"/>
        </w:rPr>
        <w:t>48</w:t>
      </w:r>
      <w:r>
        <w:rPr>
          <w:rFonts w:hint="eastAsia" w:ascii="仿宋" w:hAnsi="仿宋" w:eastAsia="仿宋" w:cs="仿宋"/>
          <w:sz w:val="32"/>
          <w:szCs w:val="32"/>
        </w:rPr>
        <w:t>号）。《报告表》认为该项目建设符合国家产业政策，选址符合相关规划和规划环评相关要求。</w:t>
      </w:r>
    </w:p>
    <w:p>
      <w:pPr>
        <w:keepNext w:val="0"/>
        <w:keepLines w:val="0"/>
        <w:pageBreakBefore w:val="0"/>
        <w:widowControl w:val="0"/>
        <w:kinsoku/>
        <w:overflow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严格落实《报告表》提出的环保对策及措施，严格执行环境保护“三同时”制度，确保污染物达标排放，认真落实环境风险防范措施及应急预案的前提下，该项目建设从环境保护角度可行，我局原则同意《报告表》的环境影响评价总体结论和拟采取的各项生态环境保护措施。你公司应严格按照《报告表》中所列项目的建设性质、规模、工艺、地点和拟采取的环境保护措施进行建设和运行，以确保对环境的不利影响得到缓解和控制。</w:t>
      </w:r>
    </w:p>
    <w:p>
      <w:pPr>
        <w:keepNext w:val="0"/>
        <w:keepLines w:val="0"/>
        <w:pageBreakBefore w:val="0"/>
        <w:widowControl w:val="0"/>
        <w:kinsoku/>
        <w:wordWrap w:val="0"/>
        <w:overflowPunct w:val="0"/>
        <w:autoSpaceDE/>
        <w:autoSpaceDN/>
        <w:bidi w:val="0"/>
        <w:snapToGrid w:val="0"/>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二、项目建设及营运期应重点做好以下工作</w:t>
      </w:r>
    </w:p>
    <w:p>
      <w:pPr>
        <w:pStyle w:val="6"/>
        <w:keepNext w:val="0"/>
        <w:keepLines w:val="0"/>
        <w:pageBreakBefore w:val="0"/>
        <w:widowControl w:val="0"/>
        <w:kinsoku/>
        <w:autoSpaceDE/>
        <w:autoSpaceDN/>
        <w:bidi w:val="0"/>
        <w:spacing w:line="560" w:lineRule="exact"/>
        <w:ind w:firstLine="640" w:firstLineChars="200"/>
        <w:textAlignment w:val="auto"/>
        <w:rPr>
          <w:rFonts w:hint="eastAsia" w:ascii="仿宋" w:hAnsi="仿宋" w:eastAsia="仿宋" w:cs="仿宋"/>
          <w:bCs/>
          <w:sz w:val="32"/>
          <w:szCs w:val="32"/>
        </w:rPr>
      </w:pPr>
      <w:r>
        <w:rPr>
          <w:rFonts w:hint="eastAsia" w:ascii="楷体" w:hAnsi="楷体" w:eastAsia="楷体" w:cs="楷体"/>
          <w:bCs/>
          <w:sz w:val="32"/>
          <w:szCs w:val="32"/>
        </w:rPr>
        <w:t>(一)加强施工期环境管理工作，防止水土流失、施工扬尘和噪声污染。</w:t>
      </w:r>
      <w:r>
        <w:rPr>
          <w:rFonts w:hint="eastAsia" w:ascii="仿宋" w:hAnsi="仿宋" w:eastAsia="仿宋" w:cs="仿宋"/>
          <w:bCs/>
          <w:sz w:val="32"/>
          <w:szCs w:val="32"/>
        </w:rPr>
        <w:t>施工人员的生活污水依托周边企业已建设施收集处理后进入市政污水管网；施工废水经隔油沉淀处理后回用于工程，不外排；生活垃圾统一收集交由环卫部门清运处理；施工过程中产生建筑垃圾及时清运至政府指定地点；严格落实建筑施工“六必须六不准”和“六个百分百”要求，控制扬尘污染；施工场界噪声要满足《建筑施工场界环境噪声排放标准》(</w:t>
      </w:r>
      <w:r>
        <w:rPr>
          <w:rFonts w:hint="eastAsia" w:ascii="Times New Roman" w:hAnsi="Times New Roman" w:eastAsia="仿宋" w:cs="Times New Roman"/>
          <w:kern w:val="2"/>
          <w:sz w:val="32"/>
          <w:szCs w:val="32"/>
          <w:lang w:val="en-US" w:eastAsia="zh-CN" w:bidi="ar-SA"/>
        </w:rPr>
        <w:t>GB12523-2011</w:t>
      </w:r>
      <w:r>
        <w:rPr>
          <w:rFonts w:hint="eastAsia" w:ascii="仿宋" w:hAnsi="仿宋" w:eastAsia="仿宋" w:cs="仿宋"/>
          <w:bCs/>
          <w:sz w:val="32"/>
          <w:szCs w:val="32"/>
        </w:rPr>
        <w:t>)的要求。</w:t>
      </w:r>
    </w:p>
    <w:p>
      <w:pPr>
        <w:pStyle w:val="6"/>
        <w:keepNext w:val="0"/>
        <w:keepLines w:val="0"/>
        <w:pageBreakBefore w:val="0"/>
        <w:widowControl w:val="0"/>
        <w:kinsoku/>
        <w:autoSpaceDE/>
        <w:autoSpaceDN/>
        <w:bidi w:val="0"/>
        <w:spacing w:line="560" w:lineRule="exact"/>
        <w:ind w:firstLine="640" w:firstLineChars="200"/>
        <w:textAlignment w:val="auto"/>
        <w:rPr>
          <w:rFonts w:hint="eastAsia" w:ascii="仿宋" w:hAnsi="仿宋" w:eastAsia="仿宋" w:cs="仿宋"/>
          <w:bCs/>
          <w:sz w:val="32"/>
          <w:szCs w:val="32"/>
        </w:rPr>
      </w:pPr>
      <w:r>
        <w:rPr>
          <w:rFonts w:hint="eastAsia" w:ascii="楷体" w:hAnsi="楷体" w:eastAsia="楷体" w:cs="楷体"/>
          <w:bCs/>
          <w:sz w:val="32"/>
          <w:szCs w:val="32"/>
        </w:rPr>
        <w:t>（二）落实废水污染防治措施。</w:t>
      </w:r>
      <w:r>
        <w:rPr>
          <w:rFonts w:hint="eastAsia" w:ascii="仿宋" w:hAnsi="仿宋" w:eastAsia="仿宋" w:cs="仿宋"/>
          <w:bCs/>
          <w:sz w:val="32"/>
          <w:szCs w:val="32"/>
        </w:rPr>
        <w:t>中频炉冷水塔冷却用水循环使用不外排；机床设置工作液回用系统，工作液经回水槽、管道、过滤系统收集处理后进入机床底部的水箱中回用不外排；生活废水经预处理达《污水综合排放标准》（</w:t>
      </w:r>
      <w:r>
        <w:rPr>
          <w:rFonts w:hint="eastAsia" w:ascii="Times New Roman" w:hAnsi="Times New Roman" w:eastAsia="仿宋" w:cs="Times New Roman"/>
          <w:kern w:val="2"/>
          <w:sz w:val="32"/>
          <w:szCs w:val="32"/>
          <w:lang w:val="en-US" w:eastAsia="zh-CN" w:bidi="ar-SA"/>
        </w:rPr>
        <w:t>GB8978-1996</w:t>
      </w:r>
      <w:r>
        <w:rPr>
          <w:rFonts w:hint="eastAsia" w:ascii="仿宋" w:hAnsi="仿宋" w:eastAsia="仿宋" w:cs="仿宋"/>
          <w:bCs/>
          <w:sz w:val="32"/>
          <w:szCs w:val="32"/>
        </w:rPr>
        <w:t>）三级标准后排入大英县工业污水处理厂处理。</w:t>
      </w:r>
    </w:p>
    <w:p>
      <w:pPr>
        <w:pStyle w:val="6"/>
        <w:keepNext w:val="0"/>
        <w:keepLines w:val="0"/>
        <w:pageBreakBefore w:val="0"/>
        <w:widowControl w:val="0"/>
        <w:kinsoku/>
        <w:autoSpaceDE/>
        <w:autoSpaceDN/>
        <w:bidi w:val="0"/>
        <w:spacing w:line="560" w:lineRule="exact"/>
        <w:ind w:firstLine="640" w:firstLineChars="200"/>
        <w:textAlignment w:val="auto"/>
        <w:rPr>
          <w:rFonts w:hint="eastAsia" w:ascii="仿宋" w:hAnsi="仿宋" w:eastAsia="仿宋" w:cs="仿宋"/>
          <w:bCs/>
          <w:sz w:val="32"/>
          <w:szCs w:val="32"/>
        </w:rPr>
      </w:pPr>
      <w:r>
        <w:rPr>
          <w:rFonts w:hint="eastAsia" w:ascii="楷体" w:hAnsi="楷体" w:eastAsia="楷体" w:cs="楷体"/>
          <w:bCs/>
          <w:sz w:val="32"/>
          <w:szCs w:val="32"/>
        </w:rPr>
        <w:t>（三）落实废气污染防治措施。</w:t>
      </w:r>
      <w:r>
        <w:rPr>
          <w:rFonts w:hint="eastAsia" w:ascii="仿宋" w:hAnsi="仿宋" w:eastAsia="仿宋" w:cs="仿宋"/>
          <w:bCs/>
          <w:sz w:val="32"/>
          <w:szCs w:val="32"/>
        </w:rPr>
        <w:t>生产设备在封闭厂房内布置，机床机加工采取喷淋工作液进行润滑及降温、抑尘，</w:t>
      </w:r>
      <w:r>
        <w:rPr>
          <w:rFonts w:hint="eastAsia" w:ascii="仿宋" w:hAnsi="仿宋" w:eastAsia="仿宋" w:cs="仿宋"/>
          <w:bCs/>
          <w:sz w:val="32"/>
          <w:szCs w:val="32"/>
          <w:lang w:eastAsia="zh-CN"/>
        </w:rPr>
        <w:t>加强</w:t>
      </w:r>
      <w:r>
        <w:rPr>
          <w:rFonts w:hint="eastAsia" w:ascii="仿宋" w:hAnsi="仿宋" w:eastAsia="仿宋" w:cs="仿宋"/>
          <w:bCs/>
          <w:sz w:val="32"/>
          <w:szCs w:val="32"/>
        </w:rPr>
        <w:t>下料、深孔钻镗机加工环节产生的粉尘</w:t>
      </w:r>
      <w:r>
        <w:rPr>
          <w:rFonts w:hint="eastAsia" w:ascii="仿宋" w:hAnsi="仿宋" w:eastAsia="仿宋" w:cs="仿宋"/>
          <w:bCs/>
          <w:sz w:val="32"/>
          <w:szCs w:val="32"/>
          <w:lang w:eastAsia="zh-CN"/>
        </w:rPr>
        <w:t>管控，确保</w:t>
      </w:r>
      <w:r>
        <w:rPr>
          <w:rFonts w:hint="eastAsia" w:ascii="仿宋" w:hAnsi="仿宋" w:eastAsia="仿宋" w:cs="仿宋"/>
          <w:bCs/>
          <w:sz w:val="32"/>
          <w:szCs w:val="32"/>
        </w:rPr>
        <w:t>满足</w:t>
      </w:r>
      <w:r>
        <w:rPr>
          <w:rFonts w:hint="eastAsia" w:ascii="仿宋" w:hAnsi="仿宋" w:eastAsia="仿宋" w:cs="仿宋"/>
          <w:sz w:val="32"/>
          <w:szCs w:val="32"/>
        </w:rPr>
        <w:t>《大气污染物综合排放标准》（</w:t>
      </w:r>
      <w:r>
        <w:rPr>
          <w:rFonts w:hint="eastAsia" w:ascii="Times New Roman" w:hAnsi="Times New Roman" w:eastAsia="仿宋" w:cs="Times New Roman"/>
          <w:kern w:val="2"/>
          <w:sz w:val="32"/>
          <w:szCs w:val="32"/>
          <w:lang w:val="en-US" w:eastAsia="zh-CN" w:bidi="ar-SA"/>
        </w:rPr>
        <w:t>GB16297-1996</w:t>
      </w:r>
      <w:r>
        <w:rPr>
          <w:rFonts w:hint="eastAsia" w:ascii="仿宋" w:hAnsi="仿宋" w:eastAsia="仿宋" w:cs="仿宋"/>
          <w:sz w:val="32"/>
          <w:szCs w:val="32"/>
        </w:rPr>
        <w:t>）中无组织排放</w:t>
      </w:r>
      <w:r>
        <w:rPr>
          <w:rFonts w:hint="eastAsia" w:ascii="仿宋" w:hAnsi="仿宋" w:eastAsia="仿宋" w:cs="仿宋"/>
          <w:sz w:val="32"/>
          <w:szCs w:val="32"/>
          <w:lang w:eastAsia="zh-CN"/>
        </w:rPr>
        <w:t>监控</w:t>
      </w:r>
      <w:r>
        <w:rPr>
          <w:rFonts w:hint="eastAsia" w:ascii="仿宋" w:hAnsi="仿宋" w:eastAsia="仿宋" w:cs="仿宋"/>
          <w:sz w:val="32"/>
          <w:szCs w:val="32"/>
          <w:lang w:val="en-US" w:eastAsia="zh-CN"/>
        </w:rPr>
        <w:t>浓度</w:t>
      </w:r>
      <w:r>
        <w:rPr>
          <w:rFonts w:hint="eastAsia" w:ascii="仿宋" w:hAnsi="仿宋" w:eastAsia="仿宋" w:cs="仿宋"/>
          <w:sz w:val="32"/>
          <w:szCs w:val="32"/>
        </w:rPr>
        <w:t>限值</w:t>
      </w:r>
      <w:r>
        <w:rPr>
          <w:rFonts w:hint="eastAsia" w:ascii="仿宋" w:hAnsi="仿宋" w:eastAsia="仿宋" w:cs="仿宋"/>
          <w:bCs/>
          <w:sz w:val="32"/>
          <w:szCs w:val="32"/>
        </w:rPr>
        <w:t>。项目以机加工厂房边界为起点划定</w:t>
      </w:r>
      <w:r>
        <w:rPr>
          <w:rFonts w:hint="eastAsia" w:ascii="Times New Roman" w:hAnsi="Times New Roman" w:eastAsia="仿宋" w:cs="Times New Roman"/>
          <w:kern w:val="2"/>
          <w:sz w:val="32"/>
          <w:szCs w:val="32"/>
          <w:lang w:val="en-US" w:eastAsia="zh-CN" w:bidi="ar-SA"/>
        </w:rPr>
        <w:t>50</w:t>
      </w:r>
      <w:r>
        <w:rPr>
          <w:rFonts w:hint="eastAsia" w:ascii="仿宋" w:hAnsi="仿宋" w:eastAsia="仿宋" w:cs="仿宋"/>
          <w:bCs/>
          <w:sz w:val="32"/>
          <w:szCs w:val="32"/>
        </w:rPr>
        <w:t>米卫生防护距离，你公司应及时告知规划等主管部门，在项目周边卫生防护距离范围内，今后不得规划建设学校、医院、居民区等敏感目标。</w:t>
      </w:r>
    </w:p>
    <w:p>
      <w:pPr>
        <w:pStyle w:val="6"/>
        <w:keepNext w:val="0"/>
        <w:keepLines w:val="0"/>
        <w:pageBreakBefore w:val="0"/>
        <w:widowControl w:val="0"/>
        <w:kinsoku/>
        <w:autoSpaceDE/>
        <w:autoSpaceDN/>
        <w:bidi w:val="0"/>
        <w:spacing w:line="560" w:lineRule="exact"/>
        <w:ind w:firstLine="640" w:firstLineChars="200"/>
        <w:textAlignment w:val="auto"/>
        <w:rPr>
          <w:rFonts w:hint="eastAsia" w:ascii="仿宋" w:hAnsi="仿宋" w:eastAsia="仿宋" w:cs="仿宋"/>
          <w:bCs/>
          <w:sz w:val="32"/>
          <w:szCs w:val="32"/>
        </w:rPr>
      </w:pPr>
      <w:r>
        <w:rPr>
          <w:rFonts w:hint="eastAsia" w:ascii="楷体" w:hAnsi="楷体" w:eastAsia="楷体" w:cs="楷体"/>
          <w:bCs/>
          <w:sz w:val="32"/>
          <w:szCs w:val="32"/>
        </w:rPr>
        <w:t>（四）落实固体废物处置措施。</w:t>
      </w:r>
      <w:r>
        <w:rPr>
          <w:rFonts w:hint="eastAsia" w:ascii="仿宋" w:hAnsi="仿宋" w:eastAsia="仿宋" w:cs="仿宋"/>
          <w:bCs/>
          <w:sz w:val="32"/>
          <w:szCs w:val="32"/>
        </w:rPr>
        <w:t>严格按照《报告表》要求，建立一般工业固体废物和危险废物台账，分类收集各类固体废物并妥善处置。边角废料、金属降尘、机床滤渣分类统一收集，暂存于一般固废暂存间，定期外售；生活垃圾统一收集交由环卫部门清运处理；废切削液、废润滑油、废液压油及废润滑油桶、废液压油桶、废切削液桶属于危险废物，分类暂存于危废暂存间内，定期交由有资质单位处置，转移过程严格落实《危险废物转移管理办法》要求。</w:t>
      </w:r>
    </w:p>
    <w:p>
      <w:pPr>
        <w:pStyle w:val="6"/>
        <w:keepNext w:val="0"/>
        <w:keepLines w:val="0"/>
        <w:pageBreakBefore w:val="0"/>
        <w:widowControl w:val="0"/>
        <w:kinsoku/>
        <w:autoSpaceDE/>
        <w:autoSpaceDN/>
        <w:bidi w:val="0"/>
        <w:spacing w:line="560" w:lineRule="exact"/>
        <w:ind w:firstLine="640" w:firstLineChars="200"/>
        <w:textAlignment w:val="auto"/>
        <w:rPr>
          <w:rFonts w:hint="eastAsia" w:ascii="仿宋" w:hAnsi="仿宋" w:eastAsia="仿宋" w:cs="仿宋"/>
          <w:bCs/>
          <w:sz w:val="32"/>
          <w:szCs w:val="32"/>
        </w:rPr>
      </w:pPr>
      <w:r>
        <w:rPr>
          <w:rFonts w:hint="eastAsia" w:ascii="楷体" w:hAnsi="楷体" w:eastAsia="楷体" w:cs="楷体"/>
          <w:bCs/>
          <w:sz w:val="32"/>
          <w:szCs w:val="32"/>
        </w:rPr>
        <w:t>（五）落实噪声污染防治措施。</w:t>
      </w:r>
      <w:r>
        <w:rPr>
          <w:rFonts w:hint="eastAsia" w:ascii="仿宋" w:hAnsi="仿宋" w:eastAsia="仿宋" w:cs="仿宋"/>
          <w:bCs/>
          <w:sz w:val="32"/>
          <w:szCs w:val="32"/>
        </w:rPr>
        <w:t>生产设备合理布局，采取选用低噪设备、台基减振、安装隔（消）声器、橡胶减震接头及减震垫等措施，确保厂界噪声满足《工业企业厂界环境噪声排放标准》（</w:t>
      </w:r>
      <w:r>
        <w:rPr>
          <w:rFonts w:hint="eastAsia" w:ascii="Times New Roman" w:hAnsi="Times New Roman" w:eastAsia="仿宋" w:cs="Times New Roman"/>
          <w:kern w:val="2"/>
          <w:sz w:val="32"/>
          <w:szCs w:val="32"/>
          <w:lang w:val="en-US" w:eastAsia="zh-CN" w:bidi="ar-SA"/>
        </w:rPr>
        <w:t>GB12348-2008</w:t>
      </w:r>
      <w:r>
        <w:rPr>
          <w:rFonts w:hint="eastAsia" w:ascii="仿宋" w:hAnsi="仿宋" w:eastAsia="仿宋" w:cs="仿宋"/>
          <w:bCs/>
          <w:sz w:val="32"/>
          <w:szCs w:val="32"/>
        </w:rPr>
        <w:t>）中的</w:t>
      </w:r>
      <w:r>
        <w:rPr>
          <w:rFonts w:hint="eastAsia" w:ascii="Times New Roman" w:hAnsi="Times New Roman" w:eastAsia="仿宋" w:cs="Times New Roman"/>
          <w:kern w:val="2"/>
          <w:sz w:val="32"/>
          <w:szCs w:val="32"/>
          <w:lang w:val="en-US" w:eastAsia="zh-CN" w:bidi="ar-SA"/>
        </w:rPr>
        <w:t>3</w:t>
      </w:r>
      <w:r>
        <w:rPr>
          <w:rFonts w:hint="eastAsia" w:ascii="仿宋" w:hAnsi="仿宋" w:eastAsia="仿宋" w:cs="仿宋"/>
          <w:bCs/>
          <w:sz w:val="32"/>
          <w:szCs w:val="32"/>
        </w:rPr>
        <w:t>类声环境功能区排放限值的要求。</w:t>
      </w:r>
    </w:p>
    <w:p>
      <w:pPr>
        <w:pStyle w:val="6"/>
        <w:keepNext w:val="0"/>
        <w:keepLines w:val="0"/>
        <w:pageBreakBefore w:val="0"/>
        <w:widowControl w:val="0"/>
        <w:kinsoku/>
        <w:autoSpaceDE/>
        <w:autoSpaceDN/>
        <w:bidi w:val="0"/>
        <w:spacing w:line="560" w:lineRule="exact"/>
        <w:ind w:firstLine="640" w:firstLineChars="200"/>
        <w:textAlignment w:val="auto"/>
        <w:rPr>
          <w:rFonts w:hint="eastAsia" w:ascii="仿宋" w:hAnsi="仿宋" w:eastAsia="仿宋" w:cs="仿宋"/>
          <w:bCs/>
          <w:sz w:val="32"/>
          <w:szCs w:val="32"/>
        </w:rPr>
      </w:pPr>
      <w:r>
        <w:rPr>
          <w:rFonts w:hint="eastAsia" w:ascii="楷体" w:hAnsi="楷体" w:eastAsia="楷体" w:cs="楷体"/>
          <w:bCs/>
          <w:sz w:val="32"/>
          <w:szCs w:val="32"/>
        </w:rPr>
        <w:t>（六）落实地下水、土壤污染防治措施。</w:t>
      </w:r>
      <w:r>
        <w:rPr>
          <w:rFonts w:hint="eastAsia" w:ascii="仿宋" w:hAnsi="仿宋" w:eastAsia="仿宋" w:cs="仿宋"/>
          <w:bCs/>
          <w:sz w:val="32"/>
          <w:szCs w:val="32"/>
        </w:rPr>
        <w:t>严格按照《报告表》要求，对化学品库房、危险废物暂存间进行重点防渗，对除重点防渗区外的厂房内生产区域一般防渗，对重点防渗区、一般防渗区外进行简单防渗，防止地下水和土壤环境污染。</w:t>
      </w:r>
    </w:p>
    <w:p>
      <w:pPr>
        <w:pStyle w:val="6"/>
        <w:keepNext w:val="0"/>
        <w:keepLines w:val="0"/>
        <w:pageBreakBefore w:val="0"/>
        <w:widowControl w:val="0"/>
        <w:kinsoku/>
        <w:autoSpaceDE/>
        <w:autoSpaceDN/>
        <w:bidi w:val="0"/>
        <w:spacing w:line="560" w:lineRule="exact"/>
        <w:ind w:firstLine="640" w:firstLineChars="200"/>
        <w:textAlignment w:val="auto"/>
        <w:rPr>
          <w:rFonts w:hint="eastAsia" w:ascii="仿宋" w:hAnsi="仿宋" w:eastAsia="仿宋" w:cs="仿宋"/>
          <w:bCs/>
          <w:sz w:val="32"/>
          <w:szCs w:val="32"/>
        </w:rPr>
      </w:pPr>
      <w:r>
        <w:rPr>
          <w:rFonts w:hint="eastAsia" w:ascii="楷体" w:hAnsi="楷体" w:eastAsia="楷体" w:cs="楷体"/>
          <w:bCs/>
          <w:sz w:val="32"/>
          <w:szCs w:val="32"/>
        </w:rPr>
        <w:t>（七）加强环境风险防范和应急管理。</w:t>
      </w:r>
      <w:r>
        <w:rPr>
          <w:rFonts w:hint="eastAsia" w:ascii="仿宋" w:hAnsi="仿宋" w:eastAsia="仿宋" w:cs="仿宋"/>
          <w:bCs/>
          <w:sz w:val="32"/>
          <w:szCs w:val="32"/>
        </w:rPr>
        <w:t>严格落实《报告表》提出的风险防范措施，制定并不断完善突发环境事件应急预案，定期开展应急演练。规范内部管理，严格操作规范，防止污染事故的发生。</w:t>
      </w:r>
    </w:p>
    <w:p>
      <w:pPr>
        <w:pStyle w:val="6"/>
        <w:keepNext w:val="0"/>
        <w:keepLines w:val="0"/>
        <w:pageBreakBefore w:val="0"/>
        <w:widowControl w:val="0"/>
        <w:kinsoku/>
        <w:autoSpaceDE/>
        <w:autoSpaceDN/>
        <w:bidi w:val="0"/>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三、项目建设应依法完备其他行政许可手续。</w:t>
      </w:r>
    </w:p>
    <w:p>
      <w:pPr>
        <w:keepNext w:val="0"/>
        <w:keepLines w:val="0"/>
        <w:pageBreakBefore w:val="0"/>
        <w:widowControl w:val="0"/>
        <w:kinsoku/>
        <w:overflowPunct w:val="0"/>
        <w:autoSpaceDE/>
        <w:autoSpaceDN/>
        <w:bidi w:val="0"/>
        <w:snapToGrid w:val="0"/>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四、</w:t>
      </w:r>
      <w:r>
        <w:rPr>
          <w:rFonts w:hint="eastAsia" w:ascii="仿宋" w:hAnsi="仿宋" w:eastAsia="仿宋" w:cs="仿宋"/>
          <w:sz w:val="32"/>
          <w:szCs w:val="32"/>
        </w:rPr>
        <w:t>项目建设必须严格执行配套建设的环境保护设施与主体工程同时设计、同时施工、同时投产使用的环境保护“三同时”制度。在发生实际排污行为前，必须按照国家排污许可有关管理规定要求，依法申领排污许可证或填报排污登记表。建设项目竣工后，应当按照规定的程序和标准，组织对配套建设的环境保护设施及对策措施进行验收，并依法向社会公开验收报告，验收合格后方可投入生产或使用。</w:t>
      </w:r>
    </w:p>
    <w:p>
      <w:pPr>
        <w:keepNext w:val="0"/>
        <w:keepLines w:val="0"/>
        <w:pageBreakBefore w:val="0"/>
        <w:widowControl w:val="0"/>
        <w:kinsoku/>
        <w:autoSpaceDE/>
        <w:autoSpaceDN/>
        <w:bidi w:val="0"/>
        <w:spacing w:line="560" w:lineRule="exact"/>
        <w:ind w:firstLine="640" w:firstLineChars="200"/>
        <w:textAlignment w:val="auto"/>
        <w:rPr>
          <w:rFonts w:hint="eastAsia" w:ascii="仿宋" w:hAnsi="仿宋" w:eastAsia="仿宋" w:cs="仿宋"/>
          <w:spacing w:val="6"/>
          <w:sz w:val="32"/>
          <w:szCs w:val="32"/>
        </w:rPr>
      </w:pPr>
      <w:r>
        <w:rPr>
          <w:rFonts w:hint="eastAsia" w:ascii="仿宋" w:hAnsi="仿宋" w:eastAsia="仿宋" w:cs="仿宋"/>
          <w:sz w:val="32"/>
          <w:szCs w:val="32"/>
        </w:rPr>
        <w:t>项目环境影响评价文件经批准后，如工程的性质、规模、地点、采用的生产工艺或者防治污染、防止生态破坏的措施发生重大变动，你公司应当重新报批环境影响评价文件，否则不得实施建设。自环评批复文件批准之日起，如工程超过</w:t>
      </w:r>
      <w:r>
        <w:rPr>
          <w:rFonts w:hint="eastAsia" w:ascii="Times New Roman" w:hAnsi="Times New Roman" w:eastAsia="仿宋" w:cs="Times New Roman"/>
          <w:kern w:val="2"/>
          <w:sz w:val="32"/>
          <w:szCs w:val="32"/>
          <w:lang w:val="en-US" w:eastAsia="zh-CN" w:bidi="ar-SA"/>
        </w:rPr>
        <w:t>5</w:t>
      </w:r>
      <w:r>
        <w:rPr>
          <w:rFonts w:hint="eastAsia" w:ascii="仿宋" w:hAnsi="仿宋" w:eastAsia="仿宋" w:cs="仿宋"/>
          <w:sz w:val="32"/>
          <w:szCs w:val="32"/>
        </w:rPr>
        <w:t>年未开工建设，环境影响评价文件应当报我局重新审核。</w:t>
      </w:r>
    </w:p>
    <w:p>
      <w:pPr>
        <w:pStyle w:val="8"/>
        <w:keepNext w:val="0"/>
        <w:keepLines w:val="0"/>
        <w:pageBreakBefore w:val="0"/>
        <w:widowControl w:val="0"/>
        <w:kinsoku/>
        <w:topLinePunct w:val="0"/>
        <w:autoSpaceDE/>
        <w:autoSpaceDN/>
        <w:bidi w:val="0"/>
        <w:spacing w:line="560" w:lineRule="exact"/>
        <w:ind w:left="0" w:leftChars="0" w:firstLine="0" w:firstLineChars="0"/>
        <w:textAlignment w:val="auto"/>
        <w:rPr>
          <w:rFonts w:hint="eastAsia" w:ascii="仿宋" w:hAnsi="仿宋" w:eastAsia="仿宋" w:cs="仿宋"/>
          <w:sz w:val="32"/>
          <w:szCs w:val="32"/>
          <w:lang w:val="en-US" w:eastAsia="zh-CN"/>
        </w:rPr>
      </w:pPr>
    </w:p>
    <w:p>
      <w:pPr>
        <w:rPr>
          <w:rFonts w:hint="eastAsia"/>
          <w:lang w:val="en-US" w:eastAsia="zh-CN"/>
        </w:rPr>
      </w:pPr>
    </w:p>
    <w:p>
      <w:pPr>
        <w:keepNext w:val="0"/>
        <w:keepLines w:val="0"/>
        <w:pageBreakBefore w:val="0"/>
        <w:widowControl w:val="0"/>
        <w:kinsoku/>
        <w:wordWrap w:val="0"/>
        <w:overflowPunct w:val="0"/>
        <w:topLinePunct w:val="0"/>
        <w:autoSpaceDE/>
        <w:autoSpaceDN/>
        <w:bidi w:val="0"/>
        <w:adjustRightInd w:val="0"/>
        <w:snapToGrid w:val="0"/>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 xml:space="preserve"> 遂宁市大英生态环境局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p>
    <w:p>
      <w:pPr>
        <w:pStyle w:val="6"/>
        <w:keepNext w:val="0"/>
        <w:keepLines w:val="0"/>
        <w:pageBreakBefore w:val="0"/>
        <w:widowControl w:val="0"/>
        <w:kinsoku/>
        <w:wordWrap w:val="0"/>
        <w:topLinePunct w:val="0"/>
        <w:autoSpaceDE/>
        <w:autoSpaceDN/>
        <w:bidi w:val="0"/>
        <w:spacing w:line="560" w:lineRule="exact"/>
        <w:ind w:left="0" w:leftChars="0" w:firstLine="0" w:firstLineChars="0"/>
        <w:jc w:val="righ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rPr>
        <w:t xml:space="preserve">                        </w:t>
      </w:r>
      <w:r>
        <w:rPr>
          <w:rFonts w:hint="eastAsia" w:ascii="Times New Roman" w:hAnsi="Times New Roman" w:eastAsia="仿宋_GB2312" w:cs="Times New Roman"/>
          <w:kern w:val="2"/>
          <w:sz w:val="32"/>
          <w:szCs w:val="32"/>
          <w:lang w:val="en-US" w:eastAsia="zh-CN" w:bidi="ar-SA"/>
        </w:rPr>
        <w:t>2023</w:t>
      </w:r>
      <w:r>
        <w:rPr>
          <w:rFonts w:hint="eastAsia" w:ascii="仿宋_GB2312" w:hAnsi="仿宋_GB2312" w:eastAsia="仿宋_GB2312" w:cs="仿宋_GB2312"/>
          <w:bCs/>
          <w:sz w:val="32"/>
          <w:szCs w:val="32"/>
        </w:rPr>
        <w:t>年</w:t>
      </w:r>
      <w:r>
        <w:rPr>
          <w:rFonts w:hint="eastAsia" w:ascii="Times New Roman" w:hAnsi="Times New Roman" w:eastAsia="仿宋_GB2312" w:cs="Times New Roman"/>
          <w:kern w:val="2"/>
          <w:sz w:val="32"/>
          <w:szCs w:val="32"/>
          <w:lang w:val="en-US" w:eastAsia="zh-CN" w:bidi="ar-SA"/>
        </w:rPr>
        <w:t>4</w:t>
      </w:r>
      <w:r>
        <w:rPr>
          <w:rFonts w:hint="eastAsia" w:ascii="仿宋_GB2312" w:hAnsi="仿宋_GB2312" w:eastAsia="仿宋_GB2312" w:cs="仿宋_GB2312"/>
          <w:bCs/>
          <w:sz w:val="32"/>
          <w:szCs w:val="32"/>
        </w:rPr>
        <w:t>月</w:t>
      </w:r>
      <w:r>
        <w:rPr>
          <w:rFonts w:hint="eastAsia" w:ascii="Times New Roman" w:hAnsi="Times New Roman" w:eastAsia="仿宋_GB2312" w:cs="Times New Roman"/>
          <w:bCs/>
          <w:sz w:val="32"/>
          <w:szCs w:val="32"/>
          <w:lang w:val="en-US" w:eastAsia="zh-CN"/>
        </w:rPr>
        <w:t>7</w:t>
      </w:r>
      <w:r>
        <w:rPr>
          <w:rFonts w:hint="eastAsia" w:ascii="仿宋_GB2312" w:hAnsi="仿宋_GB2312" w:eastAsia="仿宋_GB2312" w:cs="仿宋_GB2312"/>
          <w:bCs/>
          <w:sz w:val="32"/>
          <w:szCs w:val="32"/>
        </w:rPr>
        <w:t>日</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vanish w:val="0"/>
          <w:lang w:val="en-US" w:eastAsia="zh-CN"/>
        </w:rPr>
      </w:pPr>
      <w:bookmarkStart w:id="0" w:name="_GoBack"/>
      <w:bookmarkEnd w:id="0"/>
    </w:p>
    <w:tbl>
      <w:tblPr>
        <w:tblStyle w:val="12"/>
        <w:tblW w:w="0" w:type="auto"/>
        <w:jc w:val="center"/>
        <w:tblBorders>
          <w:top w:val="single" w:color="auto" w:sz="6" w:space="0"/>
          <w:left w:val="none" w:color="auto" w:sz="0" w:space="0"/>
          <w:bottom w:val="single" w:color="auto" w:sz="6"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422"/>
        <w:gridCol w:w="4422"/>
      </w:tblGrid>
      <w:tr>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22" w:hRule="atLeast"/>
          <w:jc w:val="center"/>
        </w:trPr>
        <w:tc>
          <w:tcPr>
            <w:tcW w:w="4422" w:type="dxa"/>
            <w:tcBorders>
              <w:tl2br w:val="nil"/>
              <w:tr2bl w:val="nil"/>
            </w:tcBorders>
            <w:vAlign w:val="top"/>
          </w:tcPr>
          <w:p>
            <w:pPr>
              <w:pStyle w:val="4"/>
              <w:keepNext w:val="0"/>
              <w:keepLines w:val="0"/>
              <w:pageBreakBefore w:val="0"/>
              <w:widowControl w:val="0"/>
              <w:kinsoku/>
              <w:wordWrap w:val="0"/>
              <w:overflowPunct/>
              <w:topLinePunct w:val="0"/>
              <w:autoSpaceDE/>
              <w:autoSpaceDN/>
              <w:bidi w:val="0"/>
              <w:adjustRightInd/>
              <w:snapToGrid/>
              <w:spacing w:after="0" w:line="500" w:lineRule="exact"/>
              <w:ind w:left="0" w:firstLine="280" w:firstLineChars="100"/>
              <w:jc w:val="left"/>
              <w:textAlignment w:val="auto"/>
              <w:rPr>
                <w:rFonts w:hint="default" w:ascii="Times New Roman" w:hAnsi="Times New Roman" w:cs="Times New Roman"/>
                <w:vertAlign w:val="baseline"/>
              </w:rPr>
            </w:pPr>
            <w:r>
              <w:rPr>
                <w:rFonts w:hint="eastAsia" w:ascii="仿宋_GB2312" w:eastAsia="仿宋_GB2312"/>
                <w:sz w:val="28"/>
                <w:szCs w:val="28"/>
                <w:lang w:eastAsia="zh-CN"/>
              </w:rPr>
              <w:t>遂宁市</w:t>
            </w:r>
            <w:r>
              <w:rPr>
                <w:rFonts w:hint="eastAsia" w:ascii="仿宋_GB2312" w:eastAsia="仿宋_GB2312"/>
                <w:sz w:val="28"/>
                <w:szCs w:val="28"/>
              </w:rPr>
              <w:t>大英</w:t>
            </w:r>
            <w:r>
              <w:rPr>
                <w:rFonts w:hint="eastAsia" w:ascii="仿宋_GB2312" w:eastAsia="仿宋_GB2312"/>
                <w:sz w:val="28"/>
                <w:szCs w:val="28"/>
                <w:lang w:eastAsia="zh-CN"/>
              </w:rPr>
              <w:t>生态</w:t>
            </w:r>
            <w:r>
              <w:rPr>
                <w:rFonts w:hint="eastAsia" w:ascii="仿宋_GB2312" w:eastAsia="仿宋_GB2312"/>
                <w:sz w:val="28"/>
                <w:szCs w:val="28"/>
              </w:rPr>
              <w:t>环境局办公室</w:t>
            </w:r>
          </w:p>
        </w:tc>
        <w:tc>
          <w:tcPr>
            <w:tcW w:w="4422" w:type="dxa"/>
            <w:tcBorders>
              <w:tl2br w:val="nil"/>
              <w:tr2bl w:val="nil"/>
            </w:tcBorders>
            <w:vAlign w:val="top"/>
          </w:tcPr>
          <w:p>
            <w:pPr>
              <w:pStyle w:val="4"/>
              <w:keepNext w:val="0"/>
              <w:keepLines w:val="0"/>
              <w:pageBreakBefore w:val="0"/>
              <w:widowControl w:val="0"/>
              <w:kinsoku/>
              <w:wordWrap w:val="0"/>
              <w:overflowPunct/>
              <w:topLinePunct w:val="0"/>
              <w:autoSpaceDE/>
              <w:autoSpaceDN/>
              <w:bidi w:val="0"/>
              <w:adjustRightInd/>
              <w:snapToGrid/>
              <w:spacing w:after="0" w:line="500" w:lineRule="exact"/>
              <w:ind w:left="0"/>
              <w:jc w:val="right"/>
              <w:textAlignment w:val="auto"/>
              <w:rPr>
                <w:rFonts w:hint="default" w:ascii="Times New Roman" w:hAnsi="Times New Roman" w:eastAsia="宋体" w:cs="Times New Roman"/>
                <w:vertAlign w:val="baseline"/>
                <w:lang w:val="en-US" w:eastAsia="zh-CN"/>
              </w:rPr>
            </w:pPr>
            <w:r>
              <w:rPr>
                <w:rFonts w:hint="default" w:ascii="Times New Roman" w:hAnsi="Times New Roman" w:eastAsia="仿宋_GB2312" w:cs="Times New Roman"/>
                <w:sz w:val="28"/>
                <w:szCs w:val="28"/>
                <w:lang w:val="en-US" w:eastAsia="zh-CN"/>
              </w:rPr>
              <w:t>2023</w:t>
            </w:r>
            <w:r>
              <w:rPr>
                <w:rFonts w:hint="eastAsia" w:ascii="仿宋_GB2312" w:hAnsi="仿宋_GB2312" w:eastAsia="仿宋_GB2312" w:cs="仿宋_GB2312"/>
                <w:sz w:val="28"/>
                <w:szCs w:val="28"/>
                <w:lang w:val="en-US" w:eastAsia="zh-CN"/>
              </w:rPr>
              <w:t>年</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lang w:val="en-US" w:eastAsia="zh-CN"/>
              </w:rPr>
              <w:t>月</w:t>
            </w:r>
            <w:r>
              <w:rPr>
                <w:rFonts w:hint="eastAsia" w:ascii="Times New Roman" w:hAnsi="Times New Roman" w:eastAsia="仿宋_GB2312" w:cs="Times New Roman"/>
                <w:sz w:val="28"/>
                <w:szCs w:val="28"/>
                <w:lang w:val="en-US" w:eastAsia="zh-CN"/>
              </w:rPr>
              <w:t>7</w:t>
            </w:r>
            <w:r>
              <w:rPr>
                <w:rFonts w:hint="eastAsia" w:ascii="仿宋_GB2312" w:hAnsi="仿宋_GB2312" w:eastAsia="仿宋_GB2312" w:cs="仿宋_GB2312"/>
                <w:sz w:val="28"/>
                <w:szCs w:val="28"/>
                <w:lang w:val="en-US" w:eastAsia="zh-CN"/>
              </w:rPr>
              <w:t>日印发</w:t>
            </w:r>
            <w:r>
              <w:rPr>
                <w:rFonts w:hint="eastAsia" w:ascii="仿宋_GB2312" w:eastAsia="仿宋_GB2312"/>
                <w:sz w:val="28"/>
                <w:szCs w:val="28"/>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lang w:val="en-US" w:eastAsia="zh-CN"/>
        </w:rPr>
      </w:pPr>
    </w:p>
    <w:sectPr>
      <w:footerReference r:id="rId4" w:type="default"/>
      <w:pgSz w:w="11906" w:h="16838"/>
      <w:pgMar w:top="2098" w:right="1474"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spacing w:line="240" w:lineRule="atLeast"/>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spacing w:line="240" w:lineRule="atLeast"/>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wp:posOffset>
              </wp:positionV>
              <wp:extent cx="1068705" cy="2540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68705" cy="254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keepNext w:val="0"/>
                            <w:keepLines w:val="0"/>
                            <w:pageBreakBefore w:val="0"/>
                            <w:widowControl w:val="0"/>
                            <w:kinsoku/>
                            <w:wordWrap w:val="0"/>
                            <w:overflowPunct/>
                            <w:topLinePunct w:val="0"/>
                            <w:autoSpaceDE/>
                            <w:autoSpaceDN/>
                            <w:bidi w:val="0"/>
                            <w:adjustRightInd/>
                            <w:snapToGrid w:val="0"/>
                            <w:ind w:firstLine="280" w:firstLineChars="100"/>
                            <w:jc w:val="center"/>
                            <w:textAlignment w:val="auto"/>
                            <w:rPr>
                              <w:rFonts w:hint="default" w:asciiTheme="minorEastAsia" w:hAnsiTheme="minorEastAsia" w:eastAsiaTheme="minorEastAsia" w:cstheme="minorEastAsia"/>
                              <w:sz w:val="28"/>
                              <w:szCs w:val="28"/>
                              <w:lang w:val="en-US" w:eastAsia="zh-CN"/>
                            </w:rPr>
                          </w:pPr>
                          <w:r>
                            <w:rPr>
                              <w:rFonts w:hint="default" w:asciiTheme="minorEastAsia" w:hAnsiTheme="minorEastAsia" w:cstheme="minorEastAsia"/>
                              <w:sz w:val="28"/>
                              <w:szCs w:val="28"/>
                              <w:lang w:val="en-US" w:eastAsia="zh-CN"/>
                            </w:rPr>
                            <w:t xml:space="preserve">— </w:t>
                          </w:r>
                          <w:r>
                            <w:rPr>
                              <w:rFonts w:hint="default" w:asciiTheme="minorEastAsia" w:hAnsiTheme="minorEastAsia" w:cstheme="minorEastAsia"/>
                              <w:sz w:val="28"/>
                              <w:szCs w:val="28"/>
                              <w:lang w:val="en-US" w:eastAsia="zh-CN"/>
                            </w:rPr>
                            <w:fldChar w:fldCharType="begin"/>
                          </w:r>
                          <w:r>
                            <w:rPr>
                              <w:rFonts w:hint="default" w:asciiTheme="minorEastAsia" w:hAnsiTheme="minorEastAsia" w:cstheme="minorEastAsia"/>
                              <w:sz w:val="28"/>
                              <w:szCs w:val="28"/>
                              <w:lang w:val="en-US" w:eastAsia="zh-CN"/>
                            </w:rPr>
                            <w:instrText xml:space="preserve"> PAGE  \* MERGEFORMAT </w:instrText>
                          </w:r>
                          <w:r>
                            <w:rPr>
                              <w:rFonts w:hint="default" w:asciiTheme="minorEastAsia" w:hAnsiTheme="minorEastAsia" w:cstheme="minorEastAsia"/>
                              <w:sz w:val="28"/>
                              <w:szCs w:val="28"/>
                              <w:lang w:val="en-US" w:eastAsia="zh-CN"/>
                            </w:rPr>
                            <w:fldChar w:fldCharType="separate"/>
                          </w:r>
                          <w:r>
                            <w:rPr>
                              <w:rFonts w:hint="default" w:asciiTheme="minorEastAsia" w:hAnsiTheme="minorEastAsia" w:cstheme="minorEastAsia"/>
                              <w:sz w:val="28"/>
                              <w:szCs w:val="28"/>
                              <w:lang w:val="en-US" w:eastAsia="zh-CN"/>
                            </w:rPr>
                            <w:t>6</w:t>
                          </w:r>
                          <w:r>
                            <w:rPr>
                              <w:rFonts w:hint="default" w:asciiTheme="minorEastAsia" w:hAnsiTheme="minorEastAsia" w:cstheme="minorEastAsia"/>
                              <w:sz w:val="28"/>
                              <w:szCs w:val="28"/>
                              <w:lang w:val="en-US" w:eastAsia="zh-CN"/>
                            </w:rPr>
                            <w:fldChar w:fldCharType="end"/>
                          </w:r>
                          <w:r>
                            <w:rPr>
                              <w:rFonts w:hint="default" w:asciiTheme="minorEastAsia" w:hAnsi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75pt;height:20pt;width:84.15pt;mso-position-horizontal:outside;mso-position-horizontal-relative:margin;z-index:251659264;mso-width-relative:page;mso-height-relative:page;" filled="f" stroked="f" coordsize="21600,21600" o:gfxdata="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MZYZaNUAAAAGAQAADwAAAAAAAAABACAAAAAiAAAAZHJzL2Rvd25yZXYu&#10;eG1sUEsBAhQAFAAAAAgAh07iQAjy3wY3AgAAYgQAAA4AAAAAAAAAAQAgAAAAJAEAAGRycy9lMm9E&#10;b2MueG1sUEsFBgAAAAAGAAYAWQEAAM0FAAAAAA==&#10;">
              <v:fill on="f" focussize="0,0"/>
              <v:stroke on="f" weight="0.5pt"/>
              <v:imagedata o:title=""/>
              <o:lock v:ext="edit" aspectratio="f"/>
              <v:textbox inset="0mm,0mm,0mm,0mm">
                <w:txbxContent>
                  <w:p>
                    <w:pPr>
                      <w:pStyle w:val="9"/>
                      <w:keepNext w:val="0"/>
                      <w:keepLines w:val="0"/>
                      <w:pageBreakBefore w:val="0"/>
                      <w:widowControl w:val="0"/>
                      <w:kinsoku/>
                      <w:wordWrap w:val="0"/>
                      <w:overflowPunct/>
                      <w:topLinePunct w:val="0"/>
                      <w:autoSpaceDE/>
                      <w:autoSpaceDN/>
                      <w:bidi w:val="0"/>
                      <w:adjustRightInd/>
                      <w:snapToGrid w:val="0"/>
                      <w:ind w:firstLine="280" w:firstLineChars="100"/>
                      <w:jc w:val="center"/>
                      <w:textAlignment w:val="auto"/>
                      <w:rPr>
                        <w:rFonts w:hint="default" w:asciiTheme="minorEastAsia" w:hAnsiTheme="minorEastAsia" w:eastAsiaTheme="minorEastAsia" w:cstheme="minorEastAsia"/>
                        <w:sz w:val="28"/>
                        <w:szCs w:val="28"/>
                        <w:lang w:val="en-US" w:eastAsia="zh-CN"/>
                      </w:rPr>
                    </w:pPr>
                    <w:r>
                      <w:rPr>
                        <w:rFonts w:hint="default" w:asciiTheme="minorEastAsia" w:hAnsiTheme="minorEastAsia" w:cstheme="minorEastAsia"/>
                        <w:sz w:val="28"/>
                        <w:szCs w:val="28"/>
                        <w:lang w:val="en-US" w:eastAsia="zh-CN"/>
                      </w:rPr>
                      <w:t xml:space="preserve">— </w:t>
                    </w:r>
                    <w:r>
                      <w:rPr>
                        <w:rFonts w:hint="default" w:asciiTheme="minorEastAsia" w:hAnsiTheme="minorEastAsia" w:cstheme="minorEastAsia"/>
                        <w:sz w:val="28"/>
                        <w:szCs w:val="28"/>
                        <w:lang w:val="en-US" w:eastAsia="zh-CN"/>
                      </w:rPr>
                      <w:fldChar w:fldCharType="begin"/>
                    </w:r>
                    <w:r>
                      <w:rPr>
                        <w:rFonts w:hint="default" w:asciiTheme="minorEastAsia" w:hAnsiTheme="minorEastAsia" w:cstheme="minorEastAsia"/>
                        <w:sz w:val="28"/>
                        <w:szCs w:val="28"/>
                        <w:lang w:val="en-US" w:eastAsia="zh-CN"/>
                      </w:rPr>
                      <w:instrText xml:space="preserve"> PAGE  \* MERGEFORMAT </w:instrText>
                    </w:r>
                    <w:r>
                      <w:rPr>
                        <w:rFonts w:hint="default" w:asciiTheme="minorEastAsia" w:hAnsiTheme="minorEastAsia" w:cstheme="minorEastAsia"/>
                        <w:sz w:val="28"/>
                        <w:szCs w:val="28"/>
                        <w:lang w:val="en-US" w:eastAsia="zh-CN"/>
                      </w:rPr>
                      <w:fldChar w:fldCharType="separate"/>
                    </w:r>
                    <w:r>
                      <w:rPr>
                        <w:rFonts w:hint="default" w:asciiTheme="minorEastAsia" w:hAnsiTheme="minorEastAsia" w:cstheme="minorEastAsia"/>
                        <w:sz w:val="28"/>
                        <w:szCs w:val="28"/>
                        <w:lang w:val="en-US" w:eastAsia="zh-CN"/>
                      </w:rPr>
                      <w:t>6</w:t>
                    </w:r>
                    <w:r>
                      <w:rPr>
                        <w:rFonts w:hint="default" w:asciiTheme="minorEastAsia" w:hAnsiTheme="minorEastAsia" w:cstheme="minorEastAsia"/>
                        <w:sz w:val="28"/>
                        <w:szCs w:val="28"/>
                        <w:lang w:val="en-US" w:eastAsia="zh-CN"/>
                      </w:rPr>
                      <w:fldChar w:fldCharType="end"/>
                    </w:r>
                    <w:r>
                      <w:rPr>
                        <w:rFonts w:hint="default" w:asciiTheme="minorEastAsia" w:hAnsiTheme="minorEastAsia" w:cstheme="minorEastAsia"/>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3"/>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YTcyMTA2YTEzZjlmODNjMTcyZWQ1ZGZhOGJjMzQifQ=="/>
  </w:docVars>
  <w:rsids>
    <w:rsidRoot w:val="00000000"/>
    <w:rsid w:val="00200875"/>
    <w:rsid w:val="00951FEE"/>
    <w:rsid w:val="01844E19"/>
    <w:rsid w:val="01FD40F1"/>
    <w:rsid w:val="02B22144"/>
    <w:rsid w:val="041E0EAD"/>
    <w:rsid w:val="07445783"/>
    <w:rsid w:val="082B7D91"/>
    <w:rsid w:val="088675ED"/>
    <w:rsid w:val="089E130F"/>
    <w:rsid w:val="094E2162"/>
    <w:rsid w:val="098F0FA5"/>
    <w:rsid w:val="0AE4604C"/>
    <w:rsid w:val="0C4C2651"/>
    <w:rsid w:val="0F5D7B56"/>
    <w:rsid w:val="0FB35FED"/>
    <w:rsid w:val="11553800"/>
    <w:rsid w:val="12011292"/>
    <w:rsid w:val="13A050E7"/>
    <w:rsid w:val="14741B39"/>
    <w:rsid w:val="14AA3E63"/>
    <w:rsid w:val="15AB60E4"/>
    <w:rsid w:val="15C947BC"/>
    <w:rsid w:val="1735378C"/>
    <w:rsid w:val="1ADB2985"/>
    <w:rsid w:val="1B326960"/>
    <w:rsid w:val="1BCC1635"/>
    <w:rsid w:val="1D04432C"/>
    <w:rsid w:val="1D1F6E89"/>
    <w:rsid w:val="1DC1221D"/>
    <w:rsid w:val="1DEC2C84"/>
    <w:rsid w:val="1E29348B"/>
    <w:rsid w:val="1EAC44A7"/>
    <w:rsid w:val="1F8E271B"/>
    <w:rsid w:val="1FC85967"/>
    <w:rsid w:val="204F3B10"/>
    <w:rsid w:val="20E64474"/>
    <w:rsid w:val="21464F13"/>
    <w:rsid w:val="224F429B"/>
    <w:rsid w:val="23E07BD5"/>
    <w:rsid w:val="251C281B"/>
    <w:rsid w:val="26672398"/>
    <w:rsid w:val="27E16961"/>
    <w:rsid w:val="2A1F2C38"/>
    <w:rsid w:val="2A784B2D"/>
    <w:rsid w:val="2A785045"/>
    <w:rsid w:val="2F1C72B3"/>
    <w:rsid w:val="31774C75"/>
    <w:rsid w:val="31F50C2D"/>
    <w:rsid w:val="31FD6612"/>
    <w:rsid w:val="32C1089D"/>
    <w:rsid w:val="344E1C6F"/>
    <w:rsid w:val="34A22009"/>
    <w:rsid w:val="37225683"/>
    <w:rsid w:val="372748CB"/>
    <w:rsid w:val="376A1E4F"/>
    <w:rsid w:val="38C236CA"/>
    <w:rsid w:val="3A2A31CC"/>
    <w:rsid w:val="40B97948"/>
    <w:rsid w:val="415844BA"/>
    <w:rsid w:val="42A751E8"/>
    <w:rsid w:val="44000AFA"/>
    <w:rsid w:val="44242A3A"/>
    <w:rsid w:val="46564467"/>
    <w:rsid w:val="47173438"/>
    <w:rsid w:val="486C0E54"/>
    <w:rsid w:val="491F4DFE"/>
    <w:rsid w:val="4944487A"/>
    <w:rsid w:val="4C6267F5"/>
    <w:rsid w:val="4E4D24B7"/>
    <w:rsid w:val="504C6A58"/>
    <w:rsid w:val="509E5922"/>
    <w:rsid w:val="518979CC"/>
    <w:rsid w:val="52614E59"/>
    <w:rsid w:val="54454557"/>
    <w:rsid w:val="54C73958"/>
    <w:rsid w:val="558A2919"/>
    <w:rsid w:val="55D1023B"/>
    <w:rsid w:val="55E55DA1"/>
    <w:rsid w:val="566A0472"/>
    <w:rsid w:val="56B365F2"/>
    <w:rsid w:val="571C1C97"/>
    <w:rsid w:val="577473DD"/>
    <w:rsid w:val="57EE76DD"/>
    <w:rsid w:val="585711D8"/>
    <w:rsid w:val="58C4394C"/>
    <w:rsid w:val="58D418CA"/>
    <w:rsid w:val="59030A18"/>
    <w:rsid w:val="59205D38"/>
    <w:rsid w:val="5CBA1D36"/>
    <w:rsid w:val="5D307EFB"/>
    <w:rsid w:val="5D942597"/>
    <w:rsid w:val="5DCB6DD4"/>
    <w:rsid w:val="5EC51967"/>
    <w:rsid w:val="5F13397F"/>
    <w:rsid w:val="5F304531"/>
    <w:rsid w:val="60570CFE"/>
    <w:rsid w:val="60B414A2"/>
    <w:rsid w:val="61CF012A"/>
    <w:rsid w:val="63133F4E"/>
    <w:rsid w:val="64EF4296"/>
    <w:rsid w:val="69BE7A7D"/>
    <w:rsid w:val="6A832EF5"/>
    <w:rsid w:val="6AAA7F05"/>
    <w:rsid w:val="6AAE27AE"/>
    <w:rsid w:val="6C846928"/>
    <w:rsid w:val="6D3C5791"/>
    <w:rsid w:val="6E02688E"/>
    <w:rsid w:val="6E550418"/>
    <w:rsid w:val="6E560B0F"/>
    <w:rsid w:val="6EF74724"/>
    <w:rsid w:val="6EFF47BA"/>
    <w:rsid w:val="6F394D3C"/>
    <w:rsid w:val="6F6E3FD1"/>
    <w:rsid w:val="6F705600"/>
    <w:rsid w:val="6FF46C64"/>
    <w:rsid w:val="708C17E3"/>
    <w:rsid w:val="70D24CB2"/>
    <w:rsid w:val="724B2FD5"/>
    <w:rsid w:val="72B86D8A"/>
    <w:rsid w:val="72C65FB9"/>
    <w:rsid w:val="75091655"/>
    <w:rsid w:val="751C3136"/>
    <w:rsid w:val="76150602"/>
    <w:rsid w:val="76FC7D28"/>
    <w:rsid w:val="77992DA9"/>
    <w:rsid w:val="78E7601E"/>
    <w:rsid w:val="78F06C72"/>
    <w:rsid w:val="7A195E96"/>
    <w:rsid w:val="7B191EC6"/>
    <w:rsid w:val="7E17693C"/>
    <w:rsid w:val="7EBC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List Number"/>
    <w:basedOn w:val="1"/>
    <w:qFormat/>
    <w:uiPriority w:val="0"/>
    <w:pPr>
      <w:numPr>
        <w:ilvl w:val="0"/>
        <w:numId w:val="1"/>
      </w:numPr>
    </w:pPr>
  </w:style>
  <w:style w:type="paragraph" w:styleId="4">
    <w:name w:val="Body Text"/>
    <w:basedOn w:val="1"/>
    <w:next w:val="1"/>
    <w:qFormat/>
    <w:uiPriority w:val="0"/>
    <w:pPr>
      <w:ind w:left="120"/>
    </w:pPr>
    <w:rPr>
      <w:rFonts w:ascii="宋体" w:hAnsi="宋体"/>
      <w:sz w:val="32"/>
      <w:szCs w:val="32"/>
    </w:rPr>
  </w:style>
  <w:style w:type="paragraph" w:styleId="5">
    <w:name w:val="Plain Text"/>
    <w:basedOn w:val="1"/>
    <w:qFormat/>
    <w:uiPriority w:val="0"/>
    <w:rPr>
      <w:rFonts w:ascii="宋体" w:hAnsi="Courier New" w:eastAsia="宋体" w:cs="Times New Roman"/>
    </w:rPr>
  </w:style>
  <w:style w:type="paragraph" w:styleId="6">
    <w:name w:val="Body Text Indent 2"/>
    <w:basedOn w:val="1"/>
    <w:next w:val="7"/>
    <w:qFormat/>
    <w:uiPriority w:val="0"/>
    <w:pPr>
      <w:adjustRightInd w:val="0"/>
      <w:snapToGrid w:val="0"/>
      <w:spacing w:line="440" w:lineRule="atLeast"/>
      <w:ind w:firstLine="573"/>
    </w:pPr>
    <w:rPr>
      <w:rFonts w:ascii="宋体"/>
    </w:rPr>
  </w:style>
  <w:style w:type="paragraph" w:customStyle="1" w:styleId="7">
    <w:name w:val="简单回函地址"/>
    <w:basedOn w:val="1"/>
    <w:next w:val="8"/>
    <w:qFormat/>
    <w:uiPriority w:val="0"/>
    <w:rPr>
      <w:szCs w:val="20"/>
    </w:rPr>
  </w:style>
  <w:style w:type="paragraph" w:customStyle="1" w:styleId="8">
    <w:name w:val="正文2"/>
    <w:next w:val="1"/>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_Style 2"/>
    <w:basedOn w:val="1"/>
    <w:qFormat/>
    <w:uiPriority w:val="34"/>
    <w:pPr>
      <w:ind w:firstLine="420" w:firstLineChars="200"/>
    </w:pPr>
  </w:style>
  <w:style w:type="paragraph" w:customStyle="1" w:styleId="16">
    <w:name w:val="footer1"/>
    <w:basedOn w:val="1"/>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17">
    <w:name w:val="Normal_37"/>
    <w:qFormat/>
    <w:uiPriority w:val="0"/>
    <w:pPr>
      <w:spacing w:before="120" w:after="240"/>
      <w:jc w:val="both"/>
    </w:pPr>
    <w:rPr>
      <w:rFonts w:ascii="Calibri" w:hAnsi="Calibri" w:eastAsia="Calibri" w:cs="Times New Roman"/>
      <w:sz w:val="22"/>
      <w:szCs w:val="22"/>
      <w:lang w:val="ru-RU" w:eastAsia="en-US" w:bidi="ar-SA"/>
    </w:rPr>
  </w:style>
  <w:style w:type="character" w:customStyle="1" w:styleId="18">
    <w:name w:val="font21"/>
    <w:basedOn w:val="13"/>
    <w:qFormat/>
    <w:uiPriority w:val="0"/>
    <w:rPr>
      <w:rFonts w:hint="eastAsia" w:ascii="宋体" w:hAnsi="宋体" w:eastAsia="宋体" w:cs="宋体"/>
      <w:color w:val="000000"/>
      <w:sz w:val="20"/>
      <w:szCs w:val="20"/>
      <w:u w:val="none"/>
    </w:rPr>
  </w:style>
  <w:style w:type="paragraph" w:customStyle="1" w:styleId="19">
    <w:name w:val=" Char Char Char Char Char Char"/>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paragraph" w:customStyle="1" w:styleId="20">
    <w:name w:val="常用样式（方正仿宋简）"/>
    <w:basedOn w:val="1"/>
    <w:next w:val="1"/>
    <w:qFormat/>
    <w:uiPriority w:val="0"/>
    <w:pPr>
      <w:spacing w:line="560" w:lineRule="exact"/>
      <w:ind w:firstLine="640" w:firstLineChars="200"/>
    </w:pPr>
    <w:rPr>
      <w:rFonts w:ascii="Times New Roman" w:hAnsi="Times New Roman" w:eastAsia="方正仿宋简体"/>
      <w:sz w:val="32"/>
    </w:rPr>
  </w:style>
  <w:style w:type="character" w:customStyle="1" w:styleId="21">
    <w:name w:val="font71"/>
    <w:basedOn w:val="13"/>
    <w:qFormat/>
    <w:uiPriority w:val="0"/>
    <w:rPr>
      <w:rFonts w:hint="eastAsia" w:ascii="宋体" w:hAnsi="宋体" w:eastAsia="宋体" w:cs="宋体"/>
      <w:color w:val="000000"/>
      <w:sz w:val="22"/>
      <w:szCs w:val="22"/>
      <w:u w:val="none"/>
    </w:rPr>
  </w:style>
  <w:style w:type="paragraph" w:customStyle="1" w:styleId="22">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2192</Words>
  <Characters>2311</Characters>
  <Lines>0</Lines>
  <Paragraphs>0</Paragraphs>
  <TotalTime>0</TotalTime>
  <ScaleCrop>false</ScaleCrop>
  <LinksUpToDate>false</LinksUpToDate>
  <CharactersWithSpaces>2352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洛丽塔塔塔</cp:lastModifiedBy>
  <cp:lastPrinted>2023-04-07T02:49:12Z</cp:lastPrinted>
  <dcterms:modified xsi:type="dcterms:W3CDTF">2023-04-07T02:53:41Z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84AF9974EFDA41BBB430CA9C288762B8</vt:lpwstr>
  </property>
</Properties>
</file>