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/>
        </w:rPr>
      </w:pPr>
      <w:bookmarkStart w:id="1" w:name="_GoBack"/>
      <w:bookmarkEnd w:id="1"/>
      <w:bookmarkStart w:id="0" w:name="_Hlk77258215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ind w:firstLine="3960" w:firstLineChars="9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畜禽产品检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</w:rPr>
        <w:t>测项目、检测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方法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291"/>
        <w:gridCol w:w="1275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推荐检测方法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5种磺胺类药物（磺胺间甲氧嘧啶（SMM）、磺胺二甲基嘧啶（SM2）、磺胺甲噁唑（SMZ）、磺胺二甲氧嘧啶（SDM）、磺胺喹噁啉（SQ））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猪肉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农业部1025号公告-7-2008 动物性食品中磺胺类药物残留检测酶联免疫吸附法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磺胺类药物在动物可食性组织中残留的高效液相色谱检测方法（参见农业部农质发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2014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5号文件附录）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氟苯尼考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猪肉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酶联免疫法ELISA（按所采购试剂盒的说明进行）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动物性食品中氟苯尼考及代谢物多残留的测定 液相色谱-串联质谱法农医发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1号文附录4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食品安全国家标准 动物性食品中氟苯尼考及氟苯尼考胺残留量的测定 液相色谱－串联质谱法 （GB 31658.5-2021）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9种β-受体激动剂类药物（盐酸克伦特罗、莱克多巴胺、沙丁胺醇、特布他林、西马特罗、非诺特罗、氯丙那林、妥布特罗、喷布特罗）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猪肉、牛肉、羊肉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酶联免疫法ELISA（按所采购试剂盒的说明进行）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动物源性食品中β—受体激动剂残留检测—液相色谱—串联质谱法（农业部1025公告-18-2008）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4种氟喹诺酮类药物（环丙沙星、恩诺沙星、沙拉沙星、达氟沙星）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禽蛋、禽肉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鸡蛋中氟喹诺酮类药物残留量的测定高效液相色谱法（农业部781公告-6-2006）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动物性食品中氟喹诺酮类药物残留检测—高效液相色谱法（农业部1025公告-14-2008）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农业部236号文件“动物性食品中恩诺沙星和环丙沙星残留检测方法”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禽肉和禽蛋中氟喹诺酮类残留检测方法 液相色谱-串联质谱法（中国农业科学院农业质量标准与检测技术研究所自建方法）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4种硝基呋喃类药物（AOZ、AMOZ、AHD、SEM）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禽肉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酶联免疫法ELISA（按所采购试剂盒的说明进行）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GB/T 21311动物源性食品中硝基呋喃类药物代谢物残留量检测方法 高效液相色谱/串联质谱法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5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文鼎CS仿宋体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77F60BE3"/>
    <w:rsid w:val="164D4D6F"/>
    <w:rsid w:val="225D65E7"/>
    <w:rsid w:val="250E05AA"/>
    <w:rsid w:val="2B52341B"/>
    <w:rsid w:val="3F990277"/>
    <w:rsid w:val="5BB335DF"/>
    <w:rsid w:val="77F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小标宋_GBK" w:hAnsi="仿宋" w:eastAsia="方正小标宋_GBK" w:cs="仿宋"/>
      <w:bCs/>
      <w:kern w:val="32"/>
      <w:sz w:val="36"/>
      <w:szCs w:val="36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80"/>
    </w:pPr>
    <w:rPr>
      <w:rFonts w:ascii="Times New Roman" w:hAnsi="Times New Roman" w:eastAsia="文鼎CS仿宋体" w:cs="Times New Roman"/>
      <w:sz w:val="32"/>
      <w:szCs w:val="32"/>
    </w:r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2675</Words>
  <Characters>2952</Characters>
  <Lines>0</Lines>
  <Paragraphs>0</Paragraphs>
  <TotalTime>7</TotalTime>
  <ScaleCrop>false</ScaleCrop>
  <LinksUpToDate>false</LinksUpToDate>
  <CharactersWithSpaces>3070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2023-07-11T07:32:00Z</dcterms:created>
  <dc:creator>Lenovo</dc:creator>
  <cp:lastModifiedBy>农业农村局</cp:lastModifiedBy>
  <cp:lastPrinted>2023-07-13T09:43:00Z</cp:lastPrinted>
  <dcterms:modified xsi:type="dcterms:W3CDTF">2023-07-19T01:47:32Z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981CFACC9999443CA91A247F99EC72F5_11</vt:lpwstr>
  </property>
</Properties>
</file>