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overflowPunct w:val="0"/>
        <w:adjustRightInd w:val="0"/>
        <w:snapToGrid w:val="0"/>
        <w:spacing w:line="560" w:lineRule="exact"/>
        <w:rPr>
          <w:rFonts w:ascii="Times New Roman" w:hAnsi="Times New Roman" w:eastAsia="宋体" w:cs="Times New Roman"/>
          <w:sz w:val="18"/>
          <w:szCs w:val="18"/>
        </w:rPr>
      </w:pPr>
    </w:p>
    <w:p>
      <w:pPr>
        <w:wordWrap w:val="0"/>
        <w:overflowPunct w:val="0"/>
        <w:adjustRightInd w:val="0"/>
        <w:snapToGrid w:val="0"/>
        <w:spacing w:line="560" w:lineRule="exact"/>
        <w:jc w:val="right"/>
        <w:rPr>
          <w:rFonts w:ascii="Times New Roman" w:hAnsi="Times New Roman" w:cs="Times New Roman"/>
        </w:rPr>
      </w:pPr>
    </w:p>
    <w:p>
      <w:pPr>
        <w:wordWrap w:val="0"/>
        <w:overflowPunct w:val="0"/>
        <w:adjustRightInd w:val="0"/>
        <w:snapToGrid w:val="0"/>
        <w:spacing w:line="560" w:lineRule="exact"/>
        <w:rPr>
          <w:rFonts w:ascii="Times New Roman" w:hAnsi="Times New Roman" w:cs="Times New Roman"/>
        </w:rPr>
      </w:pPr>
    </w:p>
    <w:p>
      <w:pPr>
        <w:wordWrap w:val="0"/>
        <w:overflowPunct w:val="0"/>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遂大环函〔202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号</w:t>
      </w:r>
    </w:p>
    <w:p>
      <w:pPr>
        <w:wordWrap w:val="0"/>
        <w:overflowPunct w:val="0"/>
        <w:adjustRightInd w:val="0"/>
        <w:snapToGrid w:val="0"/>
        <w:spacing w:line="580" w:lineRule="exact"/>
        <w:jc w:val="center"/>
        <w:rPr>
          <w:rFonts w:ascii="Times New Roman" w:hAnsi="Times New Roman" w:eastAsia="方正小标宋简体" w:cs="Times New Roman"/>
          <w:kern w:val="0"/>
          <w:sz w:val="44"/>
          <w:szCs w:val="44"/>
        </w:rPr>
      </w:pPr>
    </w:p>
    <w:p>
      <w:pPr>
        <w:wordWrap w:val="0"/>
        <w:overflowPunct w:val="0"/>
        <w:adjustRightInd w:val="0"/>
        <w:snapToGrid w:val="0"/>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遂宁市大英生态环境局</w:t>
      </w:r>
    </w:p>
    <w:p>
      <w:pPr>
        <w:wordWrap w:val="0"/>
        <w:overflowPunct w:val="0"/>
        <w:adjustRightInd w:val="0"/>
        <w:snapToGrid w:val="0"/>
        <w:spacing w:line="600" w:lineRule="exact"/>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关于年产160万平米玻镁生态板材项目</w:t>
      </w:r>
      <w:r>
        <w:rPr>
          <w:rFonts w:ascii="Times New Roman" w:hAnsi="Times New Roman" w:eastAsia="方正小标宋简体" w:cs="Times New Roman"/>
          <w:kern w:val="0"/>
          <w:sz w:val="44"/>
          <w:szCs w:val="44"/>
        </w:rPr>
        <w:t>环境</w:t>
      </w:r>
    </w:p>
    <w:p>
      <w:pPr>
        <w:wordWrap w:val="0"/>
        <w:overflowPunct w:val="0"/>
        <w:adjustRightInd w:val="0"/>
        <w:snapToGrid w:val="0"/>
        <w:spacing w:line="60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影响报告表的批复</w:t>
      </w:r>
    </w:p>
    <w:p>
      <w:pPr>
        <w:wordWrap w:val="0"/>
        <w:overflowPunct w:val="0"/>
        <w:adjustRightInd w:val="0"/>
        <w:snapToGrid w:val="0"/>
        <w:spacing w:line="560" w:lineRule="exact"/>
        <w:jc w:val="center"/>
        <w:rPr>
          <w:rFonts w:ascii="Times New Roman" w:hAnsi="Times New Roman" w:eastAsia="方正小标宋简体" w:cs="Times New Roman"/>
          <w:kern w:val="0"/>
          <w:sz w:val="44"/>
          <w:szCs w:val="44"/>
        </w:rPr>
      </w:pPr>
    </w:p>
    <w:p>
      <w:pPr>
        <w:numPr>
          <w:ilvl w:val="255"/>
          <w:numId w:val="0"/>
        </w:numPr>
        <w:wordWrap w:val="0"/>
        <w:overflowPunct w:val="0"/>
        <w:topLinePunct/>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四川宜居节能科技有限公司：</w:t>
      </w:r>
    </w:p>
    <w:p>
      <w:pPr>
        <w:numPr>
          <w:ilvl w:val="255"/>
          <w:numId w:val="0"/>
        </w:numPr>
        <w:wordWrap w:val="0"/>
        <w:overflowPunct w:val="0"/>
        <w:topLinePunct/>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你公司报送的《年产160万平米玻镁生态板材项目环境影响报告表》（以下简称《报告表》）收悉。经研究，批复如下：</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一、该项目拟租用四川大英经济开发区内四川省广之超科技有限公司已建的空置厂房</w:t>
      </w:r>
      <w:r>
        <w:rPr>
          <w:rFonts w:hint="eastAsia" w:ascii="Times New Roman" w:hAnsi="Times New Roman" w:eastAsia="仿宋_GB2312" w:cs="Times New Roman"/>
          <w:sz w:val="32"/>
          <w:szCs w:val="32"/>
        </w:rPr>
        <w:t>6696</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hint="eastAsia" w:ascii="仿宋_GB2312" w:hAnsi="仿宋_GB2312" w:eastAsia="仿宋_GB2312" w:cs="仿宋_GB2312"/>
          <w:sz w:val="32"/>
          <w:szCs w:val="32"/>
        </w:rPr>
        <w:t>及相关配套设施，购置搅拌机、全自动制版机、全自动湿版裁切机、自动脱模线、全自动切边机、破碎机等主要生产设备建设玻镁生态板材生产线，配套建设公辅设施，建成后达到年产160万平米玻镁生态板材的生产能力。项目总投资</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500</w:t>
      </w:r>
      <w:r>
        <w:rPr>
          <w:rFonts w:hint="eastAsia" w:ascii="仿宋_GB2312" w:hAnsi="仿宋_GB2312" w:eastAsia="仿宋_GB2312" w:cs="仿宋_GB2312"/>
          <w:sz w:val="32"/>
          <w:szCs w:val="32"/>
        </w:rPr>
        <w:t>万元，其中环保投资</w:t>
      </w:r>
      <w:r>
        <w:rPr>
          <w:rFonts w:hint="eastAsia" w:ascii="Times New Roman" w:hAnsi="Times New Roman" w:eastAsia="仿宋_GB2312" w:cs="Times New Roman"/>
          <w:sz w:val="32"/>
          <w:szCs w:val="32"/>
        </w:rPr>
        <w:t>49.5</w:t>
      </w:r>
      <w:r>
        <w:rPr>
          <w:rFonts w:hint="eastAsia" w:ascii="仿宋_GB2312" w:hAnsi="仿宋_GB2312" w:eastAsia="仿宋_GB2312" w:cs="仿宋_GB2312"/>
          <w:sz w:val="32"/>
          <w:szCs w:val="32"/>
        </w:rPr>
        <w:t>万元。</w:t>
      </w:r>
    </w:p>
    <w:p>
      <w:pPr>
        <w:adjustRightIn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项目在大英县发展和改革局局备案（川投资备</w:t>
      </w:r>
      <w:r>
        <w:rPr>
          <w:rFonts w:ascii="Times New Roman" w:hAnsi="Times New Roman" w:eastAsia="仿宋_GB2312" w:cs="Times New Roman"/>
          <w:sz w:val="32"/>
          <w:szCs w:val="32"/>
        </w:rPr>
        <w:t>〔2109-510923-04-01-203397〕FGQB-0083</w:t>
      </w:r>
      <w:r>
        <w:rPr>
          <w:rFonts w:hint="eastAsia" w:ascii="仿宋_GB2312" w:hAnsi="仿宋_GB2312" w:eastAsia="仿宋_GB2312" w:cs="仿宋_GB2312"/>
          <w:sz w:val="32"/>
          <w:szCs w:val="32"/>
        </w:rPr>
        <w:t>号），属于未列入《产</w:t>
      </w:r>
    </w:p>
    <w:p>
      <w:pPr>
        <w:tabs>
          <w:tab w:val="left" w:pos="8149"/>
        </w:tabs>
        <w:adjustRightInd w:val="0"/>
        <w:spacing w:line="540" w:lineRule="exact"/>
        <w:rPr>
          <w:rFonts w:hint="eastAsia" w:ascii="仿宋_GB2312" w:hAnsi="仿宋_GB2312" w:eastAsia="仿宋_GB2312" w:cs="仿宋_GB2312"/>
          <w:sz w:val="32"/>
          <w:szCs w:val="32"/>
        </w:rPr>
        <w:sectPr>
          <w:footerReference r:id="rId3" w:type="default"/>
          <w:pgSz w:w="11906" w:h="16838"/>
          <w:pgMar w:top="1440" w:right="1474" w:bottom="1440" w:left="1587" w:header="851" w:footer="992" w:gutter="0"/>
          <w:pgNumType w:fmt="numberInDash" w:start="2"/>
          <w:cols w:space="425" w:num="1"/>
          <w:docGrid w:type="lines" w:linePitch="312" w:charSpace="0"/>
        </w:sectPr>
      </w:pPr>
      <w:r>
        <w:rPr>
          <w:rFonts w:hint="eastAsia" w:ascii="仿宋_GB2312" w:hAnsi="仿宋_GB2312" w:eastAsia="仿宋_GB2312" w:cs="仿宋_GB2312"/>
          <w:sz w:val="32"/>
          <w:szCs w:val="32"/>
        </w:rPr>
        <w:t>业结构调整指导目录》（</w:t>
      </w:r>
      <w:r>
        <w:rPr>
          <w:rFonts w:ascii="Times New Roman" w:hAnsi="Times New Roman" w:eastAsia="仿宋_GB2312" w:cs="Times New Roman"/>
          <w:sz w:val="32"/>
          <w:szCs w:val="32"/>
        </w:rPr>
        <w:t>2019</w:t>
      </w:r>
      <w:r>
        <w:rPr>
          <w:rFonts w:hint="eastAsia" w:ascii="仿宋_GB2312" w:hAnsi="仿宋_GB2312" w:eastAsia="仿宋_GB2312" w:cs="仿宋_GB2312"/>
          <w:sz w:val="32"/>
          <w:szCs w:val="32"/>
        </w:rPr>
        <w:t>年本）的允许类项目。项目租用四川省广之超科技有限公司已建的空置厂房建设，不新增用地，四川省广之超科技有限公司用地已取得原大英县国土资源局颁发的《不动产权证》（川</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〕大英县不动产权第0003485号</w:t>
      </w:r>
      <w:r>
        <w:rPr>
          <w:rFonts w:hint="eastAsia" w:ascii="仿宋_GB2312" w:hAnsi="仿宋_GB2312" w:eastAsia="仿宋_GB2312" w:cs="仿宋_GB2312"/>
          <w:sz w:val="32"/>
          <w:szCs w:val="32"/>
        </w:rPr>
        <w:t>），</w:t>
      </w:r>
    </w:p>
    <w:p>
      <w:pPr>
        <w:tabs>
          <w:tab w:val="left" w:pos="8149"/>
        </w:tabs>
        <w:adjustRightIn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性质为工业用地。项目建设选址的园区为四川大英经济开发区，已开展规划环评并取得审查意见（川环建函</w:t>
      </w:r>
      <w:r>
        <w:rPr>
          <w:rFonts w:ascii="Times New Roman" w:hAnsi="Times New Roman" w:eastAsia="仿宋_GB2312" w:cs="Times New Roman"/>
          <w:sz w:val="32"/>
          <w:szCs w:val="32"/>
        </w:rPr>
        <w:t>〔2019〕48</w:t>
      </w:r>
      <w:r>
        <w:rPr>
          <w:rFonts w:hint="eastAsia" w:ascii="仿宋_GB2312" w:hAnsi="仿宋_GB2312" w:eastAsia="仿宋_GB2312" w:cs="仿宋_GB2312"/>
          <w:sz w:val="32"/>
          <w:szCs w:val="32"/>
        </w:rPr>
        <w:t>号）。《报告表》认为该项目建设符合国家产业政策，选址符合相关规划和规划环评相关要求。</w:t>
      </w:r>
    </w:p>
    <w:p>
      <w:pPr>
        <w:overflowPunct w:val="0"/>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报告表》经专家函审并出具《四川宜居节能科技有限公司年产160万平米玻镁生态板材项目环境影响报告表技术函审意见》，专家意见认为《报告表》编制目的明确，依据较充分，项目概况及项目区域环境现状介绍基本清楚，工程分析体现了项目一定的特点，提出的环境保护措施有一定的针对性。</w:t>
      </w:r>
    </w:p>
    <w:p>
      <w:pPr>
        <w:wordWrap w:val="0"/>
        <w:overflowPunct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你公司应严格按照《报告表》中所列建设项目的地点、规模、性质及拟采取的环境保护措施建设和运行，确保对环境的不利影响能够得到缓解和控制。根据专家评审意见，我局原则同意该《报告表》结论。</w:t>
      </w:r>
    </w:p>
    <w:p>
      <w:pPr>
        <w:wordWrap w:val="0"/>
        <w:overflowPunct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三、你公司应全面落实《报告表》中提出的各项环境保护对策措施和本批复要求，同时重点做好以下工作：</w:t>
      </w:r>
    </w:p>
    <w:p>
      <w:pPr>
        <w:wordWrap w:val="0"/>
        <w:overflowPunct w:val="0"/>
        <w:snapToGrid w:val="0"/>
        <w:spacing w:line="540" w:lineRule="exact"/>
        <w:ind w:right="113"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落实施工期的各项环保措施。项目租用已建空置厂房进行适应性改造和设备安装，不进行土石方工程。施工期严格按照《报告表》要求，落实扬尘、施工废水、噪声、建筑垃圾等污染防治措施，减少对周围环境的影响。</w:t>
      </w:r>
    </w:p>
    <w:p>
      <w:pPr>
        <w:wordWrap w:val="0"/>
        <w:overflowPunct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落实废气污染物排放及治理措施。项目严格按照《报告表》要求，落实废气污染防治措施，使营运期产生的各类大气污染物排放满足相应排放限值要求。项目在投料口和搅拌机上方设置集气罩，分别收集投料工序和搅拌工序产生的粉尘，一并汇入1#脉冲布袋除尘器处理达标后，通过</w:t>
      </w:r>
      <w:r>
        <w:rPr>
          <w:rFonts w:ascii="Times New Roman" w:hAnsi="Times New Roman" w:eastAsia="仿宋_GB2312" w:cs="Times New Roman"/>
          <w:sz w:val="32"/>
          <w:szCs w:val="32"/>
        </w:rPr>
        <w:t>15m</w:t>
      </w:r>
      <w:r>
        <w:rPr>
          <w:rFonts w:hint="eastAsia" w:ascii="仿宋_GB2312" w:hAnsi="仿宋_GB2312" w:eastAsia="仿宋_GB2312" w:cs="仿宋_GB2312"/>
          <w:sz w:val="32"/>
          <w:szCs w:val="32"/>
        </w:rPr>
        <w:t>高排气筒（1#）排放；破碎工序产生的粉尘设置集气罩收集与移动集气软管收集的切边工序产生的粉尘，一并汇入2#脉冲布袋除尘器处理达标后，通过</w:t>
      </w:r>
      <w:r>
        <w:rPr>
          <w:rFonts w:ascii="Times New Roman" w:hAnsi="Times New Roman" w:eastAsia="仿宋_GB2312" w:cs="Times New Roman"/>
          <w:sz w:val="32"/>
          <w:szCs w:val="32"/>
        </w:rPr>
        <w:t>15m</w:t>
      </w:r>
      <w:r>
        <w:rPr>
          <w:rFonts w:hint="eastAsia" w:ascii="仿宋_GB2312" w:hAnsi="仿宋_GB2312" w:eastAsia="仿宋_GB2312" w:cs="仿宋_GB2312"/>
          <w:sz w:val="32"/>
          <w:szCs w:val="32"/>
        </w:rPr>
        <w:t>高排气筒（2#）排放；项目生产时</w:t>
      </w:r>
      <w:r>
        <w:rPr>
          <w:rFonts w:hint="eastAsia" w:ascii="仿宋_GB2312" w:hAnsi="仿宋_GB2312" w:eastAsia="仿宋_GB2312" w:cs="仿宋_GB2312"/>
          <w:sz w:val="32"/>
          <w:szCs w:val="32"/>
          <w:lang w:eastAsia="zh-CN"/>
        </w:rPr>
        <w:t>应加强无组织废气排放</w:t>
      </w:r>
      <w:r>
        <w:rPr>
          <w:rFonts w:hint="eastAsia" w:ascii="仿宋_GB2312" w:hAnsi="仿宋_GB2312" w:eastAsia="仿宋_GB2312" w:cs="仿宋_GB2312"/>
          <w:sz w:val="32"/>
          <w:szCs w:val="32"/>
        </w:rPr>
        <w:t>管控措施，减少无组织废气排放。</w:t>
      </w:r>
    </w:p>
    <w:p>
      <w:pPr>
        <w:wordWrap w:val="0"/>
        <w:overflowPunct w:val="0"/>
        <w:snapToGrid w:val="0"/>
        <w:spacing w:line="540" w:lineRule="exact"/>
        <w:ind w:right="113"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（三）落实废水污染物排放及治理措施。</w:t>
      </w:r>
      <w:r>
        <w:rPr>
          <w:rFonts w:hint="eastAsia" w:ascii="仿宋_GB2312" w:hAnsi="仿宋_GB2312" w:eastAsia="仿宋_GB2312" w:cs="仿宋_GB2312"/>
          <w:bCs/>
          <w:sz w:val="32"/>
          <w:szCs w:val="32"/>
        </w:rPr>
        <w:t>项目在厂房东侧外建设沉淀池1个，容积10m</w:t>
      </w:r>
      <w:r>
        <w:rPr>
          <w:rFonts w:hint="eastAsia" w:ascii="仿宋_GB2312" w:hAnsi="仿宋_GB2312" w:eastAsia="仿宋_GB2312" w:cs="仿宋_GB2312"/>
          <w:bCs/>
          <w:sz w:val="32"/>
          <w:szCs w:val="32"/>
          <w:vertAlign w:val="superscript"/>
        </w:rPr>
        <w:t>3</w:t>
      </w:r>
      <w:r>
        <w:rPr>
          <w:rFonts w:hint="eastAsia" w:ascii="仿宋_GB2312" w:hAnsi="仿宋_GB2312" w:eastAsia="仿宋_GB2312" w:cs="仿宋_GB2312"/>
          <w:bCs/>
          <w:sz w:val="32"/>
          <w:szCs w:val="32"/>
        </w:rPr>
        <w:t>，设备清洗废水经沉淀池沉淀处理后回用；生活废水经已建预处理池预处理达《污水综合排放标准》（</w:t>
      </w:r>
      <w:r>
        <w:rPr>
          <w:rFonts w:ascii="Times New Roman" w:hAnsi="Times New Roman" w:eastAsia="仿宋_GB2312" w:cs="Times New Roman"/>
          <w:bCs/>
          <w:sz w:val="32"/>
          <w:szCs w:val="32"/>
        </w:rPr>
        <w:t>GB8978-1996</w:t>
      </w:r>
      <w:r>
        <w:rPr>
          <w:rFonts w:hint="eastAsia" w:ascii="仿宋_GB2312" w:hAnsi="仿宋_GB2312" w:eastAsia="仿宋_GB2312" w:cs="仿宋_GB2312"/>
          <w:bCs/>
          <w:sz w:val="32"/>
          <w:szCs w:val="32"/>
        </w:rPr>
        <w:t>）中三级排放标准排入园区污水管网进入大英工业污水处理厂处理达标后排放。</w:t>
      </w:r>
    </w:p>
    <w:p>
      <w:pPr>
        <w:wordWrap w:val="0"/>
        <w:overflowPunct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（四）落实固体废物排放及处置措施。项目严格按照《报告表》要求，分类收集各类固体废物并妥善处置</w:t>
      </w:r>
      <w:r>
        <w:rPr>
          <w:rFonts w:hint="eastAsia" w:ascii="仿宋_GB2312" w:hAnsi="仿宋_GB2312" w:eastAsia="仿宋_GB2312" w:cs="仿宋_GB2312"/>
          <w:color w:val="000000" w:themeColor="text1"/>
          <w:sz w:val="32"/>
          <w:szCs w:val="32"/>
          <w14:textFill>
            <w14:solidFill>
              <w14:schemeClr w14:val="tx1"/>
            </w14:solidFill>
          </w14:textFill>
        </w:rPr>
        <w:t>。废包装材料</w:t>
      </w:r>
      <w:r>
        <w:rPr>
          <w:rFonts w:hint="eastAsia" w:ascii="仿宋_GB2312" w:hAnsi="仿宋_GB2312" w:eastAsia="仿宋_GB2312" w:cs="仿宋_GB2312"/>
          <w:sz w:val="32"/>
          <w:szCs w:val="32"/>
        </w:rPr>
        <w:t>定期外售；沉淀池污泥定期清掏与破碎后的废边角料、除尘器收集的粉尘回用于生产；预处理池污泥定期清掏规范化处置；</w:t>
      </w:r>
      <w:r>
        <w:rPr>
          <w:rFonts w:hint="eastAsia" w:ascii="仿宋_GB2312" w:hAnsi="仿宋_GB2312" w:eastAsia="仿宋_GB2312" w:cs="仿宋_GB2312"/>
          <w:color w:val="000000" w:themeColor="text1"/>
          <w:sz w:val="32"/>
          <w:szCs w:val="32"/>
          <w14:textFill>
            <w14:solidFill>
              <w14:schemeClr w14:val="tx1"/>
            </w14:solidFill>
          </w14:textFill>
        </w:rPr>
        <w:t>建设危险废物暂存间，面积</w:t>
      </w:r>
      <w:r>
        <w:rPr>
          <w:rFonts w:hint="eastAsia" w:ascii="Times New Roman" w:hAnsi="Times New Roman" w:eastAsia="仿宋_GB2312" w:cs="Times New Roman"/>
          <w:color w:val="000000" w:themeColor="text1"/>
          <w:sz w:val="32"/>
          <w:szCs w:val="32"/>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m</w:t>
      </w:r>
      <w:r>
        <w:rPr>
          <w:rFonts w:ascii="Times New Roman" w:hAnsi="Times New Roman" w:eastAsia="仿宋_GB2312" w:cs="Times New Roman"/>
          <w:color w:val="000000" w:themeColor="text1"/>
          <w:sz w:val="32"/>
          <w:szCs w:val="32"/>
          <w:vertAlign w:val="superscript"/>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废机油、废润滑油、废液压油、废油桶等危险废物分类暂存于危险废物暂存间，定期交由有资质单位处置，转移过程严格落实《危险废物转移联单管理办法》要求；生活垃圾定期交由环卫部门处置。</w:t>
      </w:r>
    </w:p>
    <w:p>
      <w:pPr>
        <w:wordWrap w:val="0"/>
        <w:overflowPunct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（五）落实噪声排放及防治措施。项目生产设备应合理布局，采取选用低噪声设备、设备减振、设置隔声罩等措施，确保满足《工业企业厂界环境噪声排放标准》（</w:t>
      </w:r>
      <w:r>
        <w:rPr>
          <w:rFonts w:ascii="Times New Roman" w:hAnsi="Times New Roman" w:eastAsia="仿宋_GB2312" w:cs="Times New Roman"/>
          <w:sz w:val="32"/>
          <w:szCs w:val="32"/>
        </w:rPr>
        <w:t>GB12348-2008</w:t>
      </w:r>
      <w:r>
        <w:rPr>
          <w:rFonts w:hint="eastAsia" w:ascii="仿宋_GB2312" w:hAnsi="仿宋_GB2312" w:eastAsia="仿宋_GB2312" w:cs="仿宋_GB2312"/>
          <w:sz w:val="32"/>
          <w:szCs w:val="32"/>
        </w:rPr>
        <w:t>）中的</w:t>
      </w: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类声环境功能区排放限值的要求。</w:t>
      </w:r>
    </w:p>
    <w:p>
      <w:pPr>
        <w:wordWrap w:val="0"/>
        <w:overflowPunct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（六）落实地下水、土壤污染防治措施。严格按照《报告表》要求，对危废暂存间进行重点防渗，对厂房内地面、沉淀池底部及四周进行一般防渗。</w:t>
      </w:r>
    </w:p>
    <w:p>
      <w:pPr>
        <w:wordWrap w:val="0"/>
        <w:overflowPunct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（七）落实环境风险防范措施。严格《报告表》提出的风险防范措施，制定并不断完善突发环境事件应急预案，加强安全管理，防止污染事故的发生。</w:t>
      </w:r>
    </w:p>
    <w:p>
      <w:pPr>
        <w:pStyle w:val="5"/>
        <w:spacing w:line="540" w:lineRule="exact"/>
        <w:ind w:firstLine="640" w:firstLineChars="200"/>
        <w:rPr>
          <w:rFonts w:ascii="仿宋_GB2312" w:hAnsi="仿宋_GB2312" w:cs="仿宋_GB2312"/>
          <w:bCs/>
        </w:rPr>
      </w:pPr>
      <w:r>
        <w:rPr>
          <w:rFonts w:hint="eastAsia" w:ascii="仿宋_GB2312" w:hAnsi="仿宋_GB2312" w:cs="仿宋_GB2312"/>
          <w:bCs/>
        </w:rPr>
        <w:t>四、根据项目环评报告预测，</w:t>
      </w:r>
      <w:r>
        <w:rPr>
          <w:rFonts w:hint="eastAsia" w:ascii="仿宋_GB2312" w:hAnsi="仿宋_GB2312" w:cs="仿宋_GB2312"/>
        </w:rPr>
        <w:t>该项目主要污染物排放总量为：</w:t>
      </w:r>
      <w:r>
        <w:rPr>
          <w:rFonts w:hint="eastAsia" w:ascii="仿宋_GB2312" w:hAnsi="仿宋_GB2312" w:cs="仿宋_GB2312"/>
          <w:bCs/>
        </w:rPr>
        <w:t>水污染物</w:t>
      </w:r>
      <w:r>
        <w:rPr>
          <w:rFonts w:ascii="Times New Roman"/>
          <w:bCs/>
        </w:rPr>
        <w:t>COD0.0</w:t>
      </w:r>
      <w:r>
        <w:rPr>
          <w:rFonts w:hint="eastAsia" w:ascii="Times New Roman"/>
          <w:bCs/>
        </w:rPr>
        <w:t>0</w:t>
      </w:r>
      <w:r>
        <w:rPr>
          <w:rFonts w:hint="eastAsia" w:ascii="Times New Roman"/>
          <w:bCs/>
          <w:lang w:val="en-US" w:eastAsia="zh-CN"/>
        </w:rPr>
        <w:t>54</w:t>
      </w:r>
      <w:r>
        <w:rPr>
          <w:rFonts w:ascii="Times New Roman"/>
          <w:bCs/>
        </w:rPr>
        <w:t>t/a</w:t>
      </w:r>
      <w:r>
        <w:rPr>
          <w:rFonts w:hint="eastAsia" w:ascii="仿宋_GB2312" w:hAnsi="仿宋_GB2312" w:cs="仿宋_GB2312"/>
          <w:bCs/>
        </w:rPr>
        <w:t>、氨氮</w:t>
      </w:r>
      <w:r>
        <w:rPr>
          <w:rFonts w:ascii="Times New Roman"/>
        </w:rPr>
        <w:t>0.000</w:t>
      </w:r>
      <w:r>
        <w:rPr>
          <w:rFonts w:hint="eastAsia" w:ascii="Times New Roman"/>
          <w:lang w:val="en-US" w:eastAsia="zh-CN"/>
        </w:rPr>
        <w:t>2</w:t>
      </w:r>
      <w:r>
        <w:rPr>
          <w:rFonts w:ascii="Times New Roman"/>
        </w:rPr>
        <w:t>7t/a</w:t>
      </w:r>
      <w:r>
        <w:rPr>
          <w:rFonts w:hint="eastAsia" w:ascii="仿宋_GB2312" w:hAnsi="仿宋_GB2312" w:cs="仿宋_GB2312"/>
        </w:rPr>
        <w:t>。</w:t>
      </w:r>
      <w:r>
        <w:rPr>
          <w:rFonts w:ascii="Times New Roman"/>
          <w:bCs/>
        </w:rPr>
        <w:t>COD</w:t>
      </w:r>
      <w:r>
        <w:rPr>
          <w:rFonts w:hint="eastAsia" w:ascii="仿宋_GB2312" w:hAnsi="仿宋_GB2312" w:cs="仿宋_GB2312"/>
          <w:bCs/>
        </w:rPr>
        <w:t>与氨氮总量指标来源于</w:t>
      </w:r>
      <w:r>
        <w:rPr>
          <w:rFonts w:ascii="Times New Roman"/>
          <w:bCs/>
        </w:rPr>
        <w:t>2019</w:t>
      </w:r>
      <w:r>
        <w:rPr>
          <w:rFonts w:hint="eastAsia" w:ascii="仿宋_GB2312" w:hAnsi="仿宋_GB2312" w:cs="仿宋_GB2312"/>
          <w:bCs/>
        </w:rPr>
        <w:t>年大英县河边镇污水处理厂新增削减量。</w:t>
      </w:r>
    </w:p>
    <w:p>
      <w:pPr>
        <w:pStyle w:val="5"/>
        <w:spacing w:line="540" w:lineRule="exact"/>
        <w:ind w:firstLine="640" w:firstLineChars="200"/>
        <w:rPr>
          <w:rFonts w:ascii="仿宋_GB2312" w:hAnsi="仿宋_GB2312" w:cs="仿宋_GB2312"/>
          <w:kern w:val="0"/>
        </w:rPr>
      </w:pPr>
      <w:r>
        <w:rPr>
          <w:rFonts w:hint="eastAsia" w:ascii="仿宋_GB2312" w:hAnsi="仿宋_GB2312" w:cs="仿宋_GB2312"/>
          <w:kern w:val="0"/>
        </w:rPr>
        <w:t>五、项目建设应依法完备其他行政许可手续。</w:t>
      </w:r>
    </w:p>
    <w:p>
      <w:pPr>
        <w:overflowPunct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项目建设必须严格执行配套建设的环境保护设施与主体工程同时设计、同时施工、同时投产使用的环境保护“三同时”制度。在发生实际排污行为前，必须按照国家排污许可有关管理规定要求，依法申领排污许可证或填报排污登记表。建设项目竣工后，应当按照规定的程序和标准，组织对配套建设的环境保护设施及对策措施进行验收，并依法向社会公开验收报告，验收合格后方可投入生产或使用。</w:t>
      </w:r>
    </w:p>
    <w:p>
      <w:pPr>
        <w:wordWrap w:val="0"/>
        <w:overflowPunct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环境影响评价文件经批准后，如工程的性质、规模、地点、采用的生产工艺或者防治污染、防止生态破坏的措施发生重大变动，你公司应当重新报批环境影响评价文件，否则不得实施建设。自环评批复文件批准之日起，如工程超过</w:t>
      </w: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年未开工建设，环境影响评价文件应当报我局重新审核。</w:t>
      </w:r>
    </w:p>
    <w:p>
      <w:pPr>
        <w:wordWrap w:val="0"/>
        <w:overflowPunct w:val="0"/>
        <w:adjustRightInd w:val="0"/>
        <w:snapToGrid w:val="0"/>
        <w:spacing w:line="560" w:lineRule="exact"/>
        <w:jc w:val="left"/>
        <w:rPr>
          <w:rFonts w:ascii="Times New Roman" w:hAnsi="Times New Roman" w:eastAsia="仿宋_GB2312" w:cs="Times New Roman"/>
          <w:sz w:val="32"/>
          <w:szCs w:val="32"/>
        </w:rPr>
      </w:pPr>
    </w:p>
    <w:p>
      <w:pPr>
        <w:wordWrap w:val="0"/>
        <w:overflowPunct w:val="0"/>
        <w:adjustRightInd w:val="0"/>
        <w:snapToGrid w:val="0"/>
        <w:spacing w:line="560" w:lineRule="exact"/>
        <w:jc w:val="left"/>
        <w:rPr>
          <w:rFonts w:ascii="Times New Roman" w:hAnsi="Times New Roman" w:eastAsia="仿宋_GB2312" w:cs="Times New Roman"/>
          <w:sz w:val="32"/>
          <w:szCs w:val="32"/>
        </w:rPr>
      </w:pPr>
    </w:p>
    <w:p>
      <w:pPr>
        <w:wordWrap w:val="0"/>
        <w:overflowPunct w:val="0"/>
        <w:adjustRightInd w:val="0"/>
        <w:snapToGrid w:val="0"/>
        <w:spacing w:line="44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遂宁市大英生态环境局      </w:t>
      </w:r>
    </w:p>
    <w:p>
      <w:pPr>
        <w:overflowPunct w:val="0"/>
        <w:adjustRightInd w:val="0"/>
        <w:snapToGrid w:val="0"/>
        <w:spacing w:line="560" w:lineRule="exact"/>
        <w:jc w:val="center"/>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11</w:t>
      </w:r>
      <w:r>
        <w:rPr>
          <w:rFonts w:ascii="Times New Roman" w:hAnsi="Times New Roman" w:eastAsia="仿宋_GB2312" w:cs="Times New Roman"/>
          <w:bCs/>
          <w:sz w:val="32"/>
          <w:szCs w:val="32"/>
        </w:rPr>
        <w:t>日</w:t>
      </w:r>
      <w:r>
        <w:rPr>
          <w:rFonts w:hint="eastAsia" w:ascii="Times New Roman" w:hAnsi="Times New Roman" w:eastAsia="仿宋_GB2312" w:cs="Times New Roman"/>
          <w:bCs/>
          <w:sz w:val="32"/>
          <w:szCs w:val="32"/>
        </w:rPr>
        <w:t xml:space="preserve">    </w:t>
      </w:r>
    </w:p>
    <w:p>
      <w:pPr>
        <w:overflowPunct w:val="0"/>
        <w:adjustRightInd w:val="0"/>
        <w:snapToGrid w:val="0"/>
        <w:spacing w:line="560" w:lineRule="exact"/>
        <w:jc w:val="center"/>
        <w:rPr>
          <w:rFonts w:ascii="Times New Roman" w:hAnsi="Times New Roman" w:eastAsia="仿宋_GB2312" w:cs="Times New Roman"/>
          <w:bCs/>
          <w:sz w:val="32"/>
          <w:szCs w:val="32"/>
        </w:rPr>
      </w:pPr>
      <w:bookmarkStart w:id="0" w:name="_GoBack"/>
      <w:bookmarkEnd w:id="0"/>
    </w:p>
    <w:p>
      <w:pPr>
        <w:pStyle w:val="10"/>
        <w:snapToGrid w:val="0"/>
        <w:spacing w:after="0" w:line="540" w:lineRule="exact"/>
        <w:ind w:left="0" w:leftChars="0" w:firstLine="280" w:firstLineChars="100"/>
        <w:rPr>
          <w:rFonts w:ascii="Times New Roman" w:hAnsi="Times New Roman" w:eastAsia="仿宋_GB2312" w:cs="Times New Roman"/>
          <w:sz w:val="28"/>
          <w:szCs w:val="28"/>
        </w:rPr>
      </w:pPr>
      <w:r>
        <w:rPr>
          <w:rFonts w:ascii="Times New Roman" w:hAnsi="Times New Roman" w:eastAsia="仿宋_GB2312" w:cs="Times New Roman"/>
          <w:kern w:val="2"/>
          <w:sz w:val="28"/>
          <w:szCs w:val="28"/>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22225</wp:posOffset>
                </wp:positionV>
                <wp:extent cx="561594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5476875" cy="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5pt;margin-top:1.75pt;height:0pt;width:442.2pt;z-index:251661312;mso-width-relative:page;mso-height-relative:page;" filled="f" stroked="t" coordsize="21600,21600" o:gfxdata="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LThXNAAAAAFAQAADwAAAAAAAAABACAAAAAiAAAAZHJzL2Rvd25yZXYu&#10;eG1sUEsBAhQAFAAAAAgAh07iQAeRaOkDAgAA+wMAAA4AAAAAAAAAAQAgAAAAHwEAAGRycy9lMm9E&#10;b2MueG1sUEsFBgAAAAAGAAYAWQEAAJQFAAAAAA==&#10;">
                <v:fill on="f" focussize="0,0"/>
                <v:stroke weight="1pt" color="#000000" joinstyle="round"/>
                <v:imagedata o:title=""/>
                <o:lock v:ext="edit" aspectratio="f"/>
              </v:shape>
            </w:pict>
          </mc:Fallback>
        </mc:AlternateContent>
      </w:r>
      <w:r>
        <w:rPr>
          <w:rFonts w:ascii="Times New Roman" w:hAnsi="Times New Roman" w:eastAsia="仿宋_GB2312" w:cs="Times New Roman"/>
          <w:kern w:val="2"/>
          <w:sz w:val="28"/>
          <w:szCs w:val="28"/>
        </w:rPr>
        <w:t>抄送：遂宁市大英生态环境保护综合行政执法大队。</w:t>
      </w:r>
    </w:p>
    <w:p>
      <w:pPr>
        <w:snapToGrid w:val="0"/>
        <w:spacing w:beforeLines="30"/>
        <w:ind w:firstLine="280" w:firstLineChars="100"/>
        <w:rPr>
          <w:rFonts w:ascii="Times New Roman" w:hAnsi="Times New Roman" w:cs="Times New Roman"/>
        </w:rPr>
      </w:pPr>
      <w:r>
        <w:rPr>
          <w:rFonts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13335</wp:posOffset>
                </wp:positionV>
                <wp:extent cx="561594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05pt;margin-top:1.05pt;height:0pt;width:442.2pt;z-index:251660288;mso-width-relative:page;mso-height-relative:page;" filled="f" stroked="t" coordsize="21600,21600" o:gfxdata="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LxugtIAAAAFAQAADwAAAAAAAAABACAAAAAiAAAAZHJzL2Rv&#10;d25yZXYueG1sUEsBAhQAFAAAAAgAh07iQGbgB0sHAgAABAQAAA4AAAAAAAAAAQAgAAAAIQEAAGRy&#10;cy9lMm9Eb2MueG1sUEsFBgAAAAAGAAYAWQEAAJoFAAAAAA==&#10;">
                <v:fill on="f" focussize="0,0"/>
                <v:stroke color="#000000" joinstyle="round"/>
                <v:imagedata o:title=""/>
                <o:lock v:ext="edit" aspectratio="f"/>
              </v:shape>
            </w:pict>
          </mc:Fallback>
        </mc:AlternateContent>
      </w:r>
      <w:r>
        <w:rPr>
          <w:rFonts w:ascii="Times New Roman" w:hAnsi="Times New Roman" w:eastAsia="仿宋_GB2312" w:cs="Times New Roman"/>
          <w:sz w:val="28"/>
          <w:szCs w:val="28"/>
        </w:rPr>
        <w:t xml:space="preserve">遂宁市大英生态环境局办公室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ascii="Times New Roman" w:hAnsi="Times New Roman" w:cs="Times New Roman"/>
          <w:sz w:val="28"/>
          <w:szCs w:val="28"/>
        </w:rPr>
        <w:t xml:space="preserve">   </w:t>
      </w:r>
      <w:r>
        <w:rPr>
          <w:rFonts w:ascii="Times New Roman" w:hAnsi="Times New Roman" w:eastAsia="仿宋_GB2312" w:cs="Times New Roman"/>
          <w:sz w:val="28"/>
          <w:szCs w:val="28"/>
        </w:rPr>
        <w:t xml:space="preserve"> </w:t>
      </w:r>
      <w:r>
        <w:rPr>
          <w:rFonts w:ascii="Times New Roman" w:hAnsi="Times New Roman" w:eastAsia="仿宋_GB2312" w:cs="Times New Roman"/>
          <w:bCs/>
          <w:sz w:val="28"/>
          <w:szCs w:val="28"/>
        </w:rPr>
        <w:t>2021年</w:t>
      </w:r>
      <w:r>
        <w:rPr>
          <w:rFonts w:hint="eastAsia" w:ascii="Times New Roman" w:hAnsi="Times New Roman" w:cs="Times New Roman"/>
          <w:bCs/>
          <w:sz w:val="28"/>
          <w:szCs w:val="28"/>
        </w:rPr>
        <w:t>1</w:t>
      </w:r>
      <w:r>
        <w:rPr>
          <w:rFonts w:ascii="Times New Roman" w:hAnsi="Times New Roman" w:eastAsia="仿宋_GB2312" w:cs="Times New Roman"/>
          <w:bCs/>
          <w:sz w:val="28"/>
          <w:szCs w:val="28"/>
        </w:rPr>
        <w:t>月</w:t>
      </w:r>
      <w:r>
        <w:rPr>
          <w:rFonts w:hint="eastAsia" w:ascii="Times New Roman" w:hAnsi="Times New Roman" w:eastAsia="仿宋_GB2312" w:cs="Times New Roman"/>
          <w:bCs/>
          <w:sz w:val="28"/>
          <w:szCs w:val="28"/>
          <w:lang w:val="en-US" w:eastAsia="zh-CN"/>
        </w:rPr>
        <w:t>11</w:t>
      </w:r>
      <w:r>
        <w:rPr>
          <w:rFonts w:ascii="Times New Roman" w:hAnsi="Times New Roman" w:eastAsia="仿宋_GB2312" w:cs="Times New Roman"/>
          <w:bCs/>
          <w:sz w:val="28"/>
          <w:szCs w:val="28"/>
        </w:rPr>
        <w:t>日印发</w:t>
      </w:r>
    </w:p>
    <w:p>
      <w:pPr>
        <w:overflowPunct w:val="0"/>
        <w:adjustRightInd w:val="0"/>
        <w:snapToGrid w:val="0"/>
        <w:spacing w:line="580" w:lineRule="exact"/>
        <w:ind w:firstLine="560" w:firstLineChars="200"/>
        <w:rPr>
          <w:rFonts w:ascii="Times New Roman" w:hAnsi="Times New Roman" w:cs="Times New Roman"/>
        </w:rPr>
      </w:pPr>
      <w:r>
        <w:rPr>
          <w:rFonts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17780</wp:posOffset>
                </wp:positionV>
                <wp:extent cx="561594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15940" cy="0"/>
                        </a:xfrm>
                        <a:prstGeom prst="straightConnector1">
                          <a:avLst/>
                        </a:prstGeom>
                        <a:ln w="12700"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05pt;margin-top:1.4pt;height:0pt;width:442.2pt;z-index:251659264;mso-width-relative:page;mso-height-relative:page;" filled="f" stroked="t" coordsize="21600,21600" o:gfxdata="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cunBbQAAAABQEAAA8AAAAAAAAAAQAgAAAAIgAAAGRycy9kb3du&#10;cmV2LnhtbFBLAQIUABQAAAAIAIdO4kDm88jWBwIAAAUEAAAOAAAAAAAAAAEAIAAAAB8BAABkcnMv&#10;ZTJvRG9jLnhtbFBLBQYAAAAABgAGAFkBAACYBQAAAAA=&#10;">
                <v:fill on="f" focussize="0,0"/>
                <v:stroke weight="1pt" color="#000000" joinstyle="round"/>
                <v:imagedata o:title=""/>
                <o:lock v:ext="edit" aspectratio="f"/>
              </v:shape>
            </w:pict>
          </mc:Fallback>
        </mc:AlternateContent>
      </w:r>
    </w:p>
    <w:sectPr>
      <w:footerReference r:id="rId4" w:type="default"/>
      <w:pgSz w:w="11906" w:h="16838"/>
      <w:pgMar w:top="1440" w:right="1474" w:bottom="1440"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ECB791F-4A77-4A71-B197-5BF4BEFA11A4}"/>
  </w:font>
  <w:font w:name="仿宋_GB2312">
    <w:panose1 w:val="02010609030101010101"/>
    <w:charset w:val="86"/>
    <w:family w:val="modern"/>
    <w:pitch w:val="default"/>
    <w:sig w:usb0="00000001" w:usb1="080E0000" w:usb2="00000000" w:usb3="00000000" w:csb0="00040000" w:csb1="00000000"/>
    <w:embedRegular r:id="rId2" w:fontKey="{74DBC434-60AF-466B-AE6A-7F77A633D200}"/>
  </w:font>
  <w:font w:name="MHei-Medium">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script"/>
    <w:pitch w:val="default"/>
    <w:sig w:usb0="00000001" w:usb1="08000000" w:usb2="00000000" w:usb3="00000000" w:csb0="00040000" w:csb1="00000000"/>
    <w:embedRegular r:id="rId3" w:fontKey="{B9BAAE99-4B31-4266-BFA5-2D2A7E00B1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- 4 -</w:t>
                          </w:r>
                          <w:r>
                            <w:rPr>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- 4 -</w:t>
                    </w:r>
                    <w:r>
                      <w:rPr>
                        <w:rFonts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E7CCE"/>
    <w:multiLevelType w:val="singleLevel"/>
    <w:tmpl w:val="304E7CCE"/>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62AFD"/>
    <w:rsid w:val="00170492"/>
    <w:rsid w:val="001D41BF"/>
    <w:rsid w:val="002378BB"/>
    <w:rsid w:val="0051733F"/>
    <w:rsid w:val="005D530F"/>
    <w:rsid w:val="00942C86"/>
    <w:rsid w:val="009806E0"/>
    <w:rsid w:val="009A6097"/>
    <w:rsid w:val="00AD43B1"/>
    <w:rsid w:val="00CE763F"/>
    <w:rsid w:val="00E558DE"/>
    <w:rsid w:val="011A2A44"/>
    <w:rsid w:val="02663C42"/>
    <w:rsid w:val="05A33D41"/>
    <w:rsid w:val="05BC1DCB"/>
    <w:rsid w:val="0665057C"/>
    <w:rsid w:val="06847E56"/>
    <w:rsid w:val="0A445B3D"/>
    <w:rsid w:val="126621C9"/>
    <w:rsid w:val="145D199B"/>
    <w:rsid w:val="17095DE7"/>
    <w:rsid w:val="18031833"/>
    <w:rsid w:val="197645E2"/>
    <w:rsid w:val="1DC20919"/>
    <w:rsid w:val="1ED25579"/>
    <w:rsid w:val="27DB3EDB"/>
    <w:rsid w:val="290811E3"/>
    <w:rsid w:val="2A8D0DE1"/>
    <w:rsid w:val="32F10A57"/>
    <w:rsid w:val="35244C49"/>
    <w:rsid w:val="36771546"/>
    <w:rsid w:val="3936665A"/>
    <w:rsid w:val="3A9317A3"/>
    <w:rsid w:val="3E094E54"/>
    <w:rsid w:val="3F4010DA"/>
    <w:rsid w:val="44AE340A"/>
    <w:rsid w:val="46E83E69"/>
    <w:rsid w:val="48C14F02"/>
    <w:rsid w:val="510E0385"/>
    <w:rsid w:val="543C006C"/>
    <w:rsid w:val="55162AFD"/>
    <w:rsid w:val="57EF3EDE"/>
    <w:rsid w:val="5BEB23FB"/>
    <w:rsid w:val="5D4C447F"/>
    <w:rsid w:val="5EC605D9"/>
    <w:rsid w:val="60485BB9"/>
    <w:rsid w:val="615275D4"/>
    <w:rsid w:val="67183D1B"/>
    <w:rsid w:val="6A764301"/>
    <w:rsid w:val="6CFA6CAE"/>
    <w:rsid w:val="6E4B4445"/>
    <w:rsid w:val="6E5E7314"/>
    <w:rsid w:val="70E909E4"/>
    <w:rsid w:val="71F203AA"/>
    <w:rsid w:val="730803BD"/>
    <w:rsid w:val="7C61520D"/>
    <w:rsid w:val="7CAE726A"/>
    <w:rsid w:val="7D921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Body Text Indent"/>
    <w:basedOn w:val="1"/>
    <w:qFormat/>
    <w:uiPriority w:val="0"/>
    <w:pPr>
      <w:spacing w:after="120"/>
      <w:ind w:left="420" w:leftChars="200"/>
    </w:pPr>
    <w:rPr>
      <w:kern w:val="0"/>
      <w:sz w:val="24"/>
      <w:szCs w:val="20"/>
    </w:rPr>
  </w:style>
  <w:style w:type="paragraph" w:styleId="4">
    <w:name w:val="Plain Text"/>
    <w:basedOn w:val="1"/>
    <w:unhideWhenUsed/>
    <w:qFormat/>
    <w:uiPriority w:val="99"/>
    <w:rPr>
      <w:rFonts w:hint="eastAsia" w:ascii="宋体" w:hAnsi="Courier New" w:cs="Courier New"/>
      <w:szCs w:val="21"/>
    </w:rPr>
  </w:style>
  <w:style w:type="paragraph" w:styleId="5">
    <w:name w:val="Body Text Indent 2"/>
    <w:basedOn w:val="1"/>
    <w:next w:val="1"/>
    <w:qFormat/>
    <w:uiPriority w:val="0"/>
    <w:pPr>
      <w:adjustRightInd w:val="0"/>
      <w:snapToGrid w:val="0"/>
      <w:spacing w:line="440" w:lineRule="atLeast"/>
      <w:ind w:firstLine="573"/>
    </w:pPr>
    <w:rPr>
      <w:rFonts w:ascii="宋体" w:hAnsi="Times New Roman" w:eastAsia="仿宋_GB2312" w:cs="Times New Roman"/>
      <w:sz w:val="32"/>
      <w:szCs w:val="32"/>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semiHidden/>
    <w:qFormat/>
    <w:uiPriority w:val="99"/>
    <w:pPr>
      <w:spacing w:beforeLines="50" w:afterLines="50" w:line="500" w:lineRule="exact"/>
      <w:jc w:val="center"/>
    </w:pPr>
    <w:rPr>
      <w:rFonts w:cs="仿宋_GB2312"/>
      <w:sz w:val="28"/>
      <w:szCs w:val="28"/>
    </w:rPr>
  </w:style>
  <w:style w:type="paragraph" w:styleId="10">
    <w:name w:val="Body Text First Indent 2"/>
    <w:basedOn w:val="3"/>
    <w:qFormat/>
    <w:uiPriority w:val="0"/>
    <w:pPr>
      <w:ind w:firstLine="200" w:firstLineChars="200"/>
    </w:pPr>
    <w:rPr>
      <w:sz w:val="20"/>
    </w:rPr>
  </w:style>
  <w:style w:type="paragraph" w:customStyle="1" w:styleId="13">
    <w:name w:val="Default"/>
    <w:basedOn w:val="14"/>
    <w:qFormat/>
    <w:uiPriority w:val="0"/>
    <w:pPr>
      <w:widowControl w:val="0"/>
      <w:autoSpaceDE w:val="0"/>
      <w:autoSpaceDN w:val="0"/>
      <w:adjustRightInd w:val="0"/>
    </w:pPr>
    <w:rPr>
      <w:rFonts w:ascii="MHei-Medium" w:eastAsia="MHei-Medium"/>
    </w:rPr>
  </w:style>
  <w:style w:type="paragraph" w:customStyle="1" w:styleId="14">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15">
    <w:name w:val="章标题"/>
    <w:basedOn w:val="1"/>
    <w:next w:val="16"/>
    <w:qFormat/>
    <w:uiPriority w:val="0"/>
    <w:pPr>
      <w:widowControl/>
      <w:spacing w:line="323" w:lineRule="atLeast"/>
      <w:ind w:right="-120"/>
      <w:jc w:val="center"/>
      <w:textAlignment w:val="baseline"/>
    </w:pPr>
    <w:rPr>
      <w:color w:val="FF0000"/>
      <w:kern w:val="0"/>
      <w:sz w:val="18"/>
      <w:szCs w:val="18"/>
    </w:rPr>
  </w:style>
  <w:style w:type="paragraph" w:customStyle="1" w:styleId="16">
    <w:name w:val="节标题"/>
    <w:basedOn w:val="1"/>
    <w:next w:val="1"/>
    <w:qFormat/>
    <w:uiPriority w:val="0"/>
    <w:pPr>
      <w:widowControl/>
      <w:spacing w:line="289" w:lineRule="atLeast"/>
      <w:jc w:val="center"/>
      <w:textAlignment w:val="baseline"/>
    </w:pPr>
    <w:rPr>
      <w:color w:val="000000"/>
      <w:kern w:val="0"/>
      <w:sz w:val="28"/>
    </w:rPr>
  </w:style>
  <w:style w:type="character" w:customStyle="1" w:styleId="17">
    <w:name w:val="批注框文本 Char"/>
    <w:basedOn w:val="12"/>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356</Words>
  <Characters>2035</Characters>
  <Lines>16</Lines>
  <Paragraphs>4</Paragraphs>
  <TotalTime>2</TotalTime>
  <ScaleCrop>false</ScaleCrop>
  <LinksUpToDate>false</LinksUpToDate>
  <CharactersWithSpaces>2387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2021-11-10T01:22:00Z</dcterms:created>
  <dc:creator>de</dc:creator>
  <cp:lastModifiedBy>爱梁者莫</cp:lastModifiedBy>
  <cp:lastPrinted>2021-12-31T01:54:00Z</cp:lastPrinted>
  <dcterms:modified xsi:type="dcterms:W3CDTF">2022-01-17T08:18:47Z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B76D74E4CF5C468698A415D20D71828C</vt:lpwstr>
  </property>
</Properties>
</file>