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8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43</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00" w:lineRule="exact"/>
        <w:textAlignment w:val="auto"/>
        <w:rPr>
          <w:sz w:val="32"/>
          <w:szCs w:val="32"/>
        </w:rPr>
      </w:pPr>
    </w:p>
    <w:p>
      <w:pPr>
        <w:pageBreakBefore w:val="0"/>
        <w:widowControl w:val="0"/>
        <w:kinsoku/>
        <w:wordWrap/>
        <w:overflowPunct/>
        <w:topLinePunct w:val="0"/>
        <w:autoSpaceDE/>
        <w:autoSpaceDN/>
        <w:bidi w:val="0"/>
        <w:adjustRightInd/>
        <w:snapToGrid/>
        <w:spacing w:line="50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pacing w:val="0"/>
          <w:sz w:val="44"/>
          <w:szCs w:val="44"/>
          <w:lang w:eastAsia="zh-CN"/>
        </w:rPr>
      </w:pPr>
      <w:r>
        <w:rPr>
          <w:rFonts w:hint="eastAsia" w:eastAsia="方正小标宋简体" w:cs="Times New Roman"/>
          <w:color w:val="auto"/>
          <w:spacing w:val="0"/>
          <w:sz w:val="44"/>
          <w:szCs w:val="44"/>
          <w:lang w:eastAsia="zh-CN"/>
        </w:rPr>
        <w:t>遂宁市大英生态环境局</w:t>
      </w:r>
    </w:p>
    <w:p>
      <w:pPr>
        <w:spacing w:line="560" w:lineRule="exact"/>
        <w:jc w:val="center"/>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rPr>
        <w:t>关于大英县生活垃圾分类处理项目环境影响</w:t>
      </w:r>
    </w:p>
    <w:p>
      <w:pPr>
        <w:wordWrap w:val="0"/>
        <w:overflowPunct w:val="0"/>
        <w:adjustRightInd w:val="0"/>
        <w:snapToGrid w:val="0"/>
        <w:spacing w:line="560" w:lineRule="exact"/>
        <w:jc w:val="center"/>
        <w:rPr>
          <w:rFonts w:eastAsia="方正小标宋简体"/>
          <w:kern w:val="0"/>
          <w:sz w:val="44"/>
          <w:szCs w:val="44"/>
        </w:rPr>
      </w:pPr>
      <w:r>
        <w:rPr>
          <w:rFonts w:hint="eastAsia" w:ascii="方正小标宋简体" w:hAnsi="方正小标宋简体" w:eastAsia="方正小标宋简体" w:cs="方正小标宋简体"/>
          <w:spacing w:val="0"/>
          <w:kern w:val="0"/>
          <w:sz w:val="44"/>
          <w:szCs w:val="44"/>
        </w:rPr>
        <w:t>报告表的</w:t>
      </w:r>
      <w:r>
        <w:rPr>
          <w:rFonts w:hint="eastAsia" w:ascii="方正小标宋简体" w:hAnsi="方正小标宋简体" w:eastAsia="方正小标宋简体" w:cs="方正小标宋简体"/>
          <w:kern w:val="0"/>
          <w:sz w:val="44"/>
          <w:szCs w:val="44"/>
        </w:rPr>
        <w:t>批复</w:t>
      </w:r>
    </w:p>
    <w:p>
      <w:pPr>
        <w:keepNext w:val="0"/>
        <w:keepLines w:val="0"/>
        <w:pageBreakBefore w:val="0"/>
        <w:widowControl w:val="0"/>
        <w:kinsoku/>
        <w:wordWrap w:val="0"/>
        <w:overflowPunct w:val="0"/>
        <w:topLinePunct/>
        <w:autoSpaceDE/>
        <w:autoSpaceDN/>
        <w:bidi w:val="0"/>
        <w:snapToGrid w:val="0"/>
        <w:spacing w:line="560" w:lineRule="exact"/>
        <w:textAlignment w:val="auto"/>
        <w:rPr>
          <w:rFonts w:hint="eastAsia" w:ascii="仿宋" w:hAnsi="仿宋" w:eastAsia="仿宋" w:cs="仿宋"/>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大英县综合行政执法局：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你单位报送的《大英县生活垃圾分类处理项目环境影响报告表》（以下简称《报告表》）收悉。经研究，批复如下：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一、</w:t>
      </w:r>
      <w:r>
        <w:rPr>
          <w:rFonts w:hint="eastAsia" w:ascii="仿宋_GB2312" w:hAnsi="仿宋_GB2312" w:eastAsia="仿宋_GB2312" w:cs="仿宋_GB2312"/>
          <w:color w:val="000000"/>
          <w:sz w:val="32"/>
          <w:szCs w:val="32"/>
        </w:rPr>
        <w:t>项目在大英县城区及各镇实施建设，主要建设内容为：新建餐厨垃圾处理站（油水渣分离）</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座、配置餐厨垃圾压榨脱水设备；新改建生活垃圾分类处理站（压缩中转站）</w:t>
      </w:r>
      <w:r>
        <w:rPr>
          <w:rFonts w:hint="default"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座，配置</w:t>
      </w:r>
      <w:r>
        <w:rPr>
          <w:rFonts w:hint="eastAsia" w:ascii="仿宋_GB2312" w:hAnsi="仿宋_GB2312" w:eastAsia="仿宋_GB2312" w:cs="仿宋_GB2312"/>
          <w:sz w:val="32"/>
          <w:szCs w:val="32"/>
        </w:rPr>
        <w:t>水平式垃圾压缩机</w:t>
      </w:r>
      <w:r>
        <w:rPr>
          <w:rFonts w:hint="default" w:ascii="Times New Roman" w:hAnsi="Times New Roman" w:eastAsia="仿宋_GB2312" w:cs="Times New Roman"/>
          <w:sz w:val="32"/>
          <w:szCs w:val="32"/>
        </w:rPr>
        <w:t>26</w:t>
      </w:r>
      <w:r>
        <w:rPr>
          <w:rFonts w:hint="eastAsia" w:ascii="仿宋_GB2312" w:hAnsi="仿宋_GB2312" w:eastAsia="仿宋_GB2312" w:cs="仿宋_GB2312"/>
          <w:sz w:val="32"/>
          <w:szCs w:val="32"/>
        </w:rPr>
        <w:t>台、电动收集车</w:t>
      </w:r>
      <w:r>
        <w:rPr>
          <w:rFonts w:hint="default" w:ascii="Times New Roman" w:hAnsi="Times New Roman" w:eastAsia="仿宋_GB2312" w:cs="Times New Roman"/>
          <w:sz w:val="32"/>
          <w:szCs w:val="32"/>
        </w:rPr>
        <w:t>56</w:t>
      </w:r>
      <w:r>
        <w:rPr>
          <w:rFonts w:hint="eastAsia" w:ascii="仿宋_GB2312" w:hAnsi="仿宋_GB2312" w:eastAsia="仿宋_GB2312" w:cs="仿宋_GB2312"/>
          <w:sz w:val="32"/>
          <w:szCs w:val="32"/>
        </w:rPr>
        <w:t>辆、垃圾中转车</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sz w:val="32"/>
          <w:szCs w:val="32"/>
        </w:rPr>
        <w:t>配套建设环保、公用等工程。项目建成后达到日处理餐厨垃圾</w:t>
      </w:r>
      <w:r>
        <w:rPr>
          <w:rFonts w:hint="default" w:ascii="Times New Roman" w:hAnsi="Times New Roman" w:eastAsia="仿宋_GB2312" w:cs="Times New Roman"/>
          <w:color w:val="000000"/>
          <w:sz w:val="32"/>
          <w:szCs w:val="32"/>
        </w:rPr>
        <w:t>25</w:t>
      </w:r>
      <w:r>
        <w:rPr>
          <w:rFonts w:hint="eastAsia" w:ascii="仿宋_GB2312" w:hAnsi="仿宋_GB2312" w:eastAsia="仿宋_GB2312" w:cs="仿宋_GB2312"/>
          <w:color w:val="000000"/>
          <w:sz w:val="32"/>
          <w:szCs w:val="32"/>
        </w:rPr>
        <w:t>吨、压缩转运生活垃圾</w:t>
      </w:r>
      <w:r>
        <w:rPr>
          <w:rFonts w:hint="default" w:ascii="Times New Roman" w:hAnsi="Times New Roman" w:eastAsia="仿宋_GB2312" w:cs="Times New Roman"/>
          <w:color w:val="000000"/>
          <w:sz w:val="32"/>
          <w:szCs w:val="32"/>
        </w:rPr>
        <w:t>650</w:t>
      </w:r>
      <w:r>
        <w:rPr>
          <w:rFonts w:hint="eastAsia" w:ascii="仿宋_GB2312" w:hAnsi="仿宋_GB2312" w:eastAsia="仿宋_GB2312" w:cs="仿宋_GB2312"/>
          <w:color w:val="000000"/>
          <w:sz w:val="32"/>
          <w:szCs w:val="32"/>
        </w:rPr>
        <w:t>吨的规模。项目</w:t>
      </w:r>
      <w:r>
        <w:rPr>
          <w:rFonts w:hint="eastAsia" w:ascii="仿宋_GB2312" w:hAnsi="仿宋_GB2312" w:eastAsia="仿宋_GB2312" w:cs="仿宋_GB2312"/>
          <w:bCs/>
          <w:color w:val="000000"/>
          <w:sz w:val="32"/>
          <w:szCs w:val="32"/>
        </w:rPr>
        <w:t>总投资</w:t>
      </w:r>
      <w:r>
        <w:rPr>
          <w:rFonts w:hint="default" w:ascii="Times New Roman" w:hAnsi="Times New Roman" w:eastAsia="仿宋_GB2312" w:cs="Times New Roman"/>
          <w:bCs/>
          <w:color w:val="000000"/>
          <w:sz w:val="32"/>
          <w:szCs w:val="32"/>
        </w:rPr>
        <w:t>7000</w:t>
      </w:r>
      <w:r>
        <w:rPr>
          <w:rFonts w:hint="eastAsia" w:ascii="仿宋_GB2312" w:hAnsi="仿宋_GB2312" w:eastAsia="仿宋_GB2312" w:cs="仿宋_GB2312"/>
          <w:bCs/>
          <w:color w:val="000000"/>
          <w:sz w:val="32"/>
          <w:szCs w:val="32"/>
        </w:rPr>
        <w:t>万元，其中环保投资</w:t>
      </w:r>
      <w:r>
        <w:rPr>
          <w:rFonts w:hint="default" w:ascii="Times New Roman" w:hAnsi="Times New Roman" w:eastAsia="仿宋_GB2312" w:cs="Times New Roman"/>
          <w:bCs/>
          <w:color w:val="000000"/>
          <w:sz w:val="32"/>
          <w:szCs w:val="32"/>
        </w:rPr>
        <w:t>655</w:t>
      </w:r>
      <w:r>
        <w:rPr>
          <w:rFonts w:hint="eastAsia" w:ascii="仿宋_GB2312" w:hAnsi="仿宋_GB2312" w:eastAsia="仿宋_GB2312" w:cs="仿宋_GB2312"/>
          <w:bCs/>
          <w:color w:val="000000"/>
          <w:sz w:val="32"/>
          <w:szCs w:val="32"/>
        </w:rPr>
        <w:t>万元。</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新建餐厨垃圾处理站</w:t>
      </w:r>
      <w:r>
        <w:rPr>
          <w:rFonts w:hint="default" w:ascii="Times New Roman" w:hAnsi="Times New Roman" w:eastAsia="楷体_GB2312" w:cs="Times New Roman"/>
          <w:color w:val="000000"/>
          <w:sz w:val="32"/>
          <w:szCs w:val="32"/>
        </w:rPr>
        <w:t>1</w:t>
      </w:r>
      <w:r>
        <w:rPr>
          <w:rFonts w:hint="eastAsia" w:ascii="楷体_GB2312" w:hAnsi="楷体_GB2312" w:eastAsia="楷体_GB2312" w:cs="楷体_GB2312"/>
          <w:color w:val="000000"/>
          <w:sz w:val="32"/>
          <w:szCs w:val="32"/>
        </w:rPr>
        <w:t>座。</w:t>
      </w:r>
      <w:r>
        <w:rPr>
          <w:rFonts w:hint="eastAsia" w:ascii="仿宋_GB2312" w:hAnsi="仿宋_GB2312" w:eastAsia="仿宋_GB2312" w:cs="仿宋_GB2312"/>
          <w:color w:val="000000"/>
          <w:sz w:val="32"/>
          <w:szCs w:val="32"/>
        </w:rPr>
        <w:t>位于蓬莱镇余粮村</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社，对餐厨垃圾进行油水渣分离，日处理能力</w:t>
      </w:r>
      <w:r>
        <w:rPr>
          <w:rFonts w:hint="default" w:ascii="Times New Roman" w:hAnsi="Times New Roman" w:eastAsia="仿宋_GB2312" w:cs="Times New Roman"/>
          <w:color w:val="000000"/>
          <w:sz w:val="32"/>
          <w:szCs w:val="32"/>
        </w:rPr>
        <w:t>25</w:t>
      </w:r>
      <w:r>
        <w:rPr>
          <w:rFonts w:hint="eastAsia" w:ascii="仿宋_GB2312" w:hAnsi="仿宋_GB2312" w:eastAsia="仿宋_GB2312" w:cs="仿宋_GB2312"/>
          <w:color w:val="000000"/>
          <w:sz w:val="32"/>
          <w:szCs w:val="32"/>
        </w:rPr>
        <w:t>吨。</w:t>
      </w:r>
    </w:p>
    <w:p>
      <w:pPr>
        <w:spacing w:line="560" w:lineRule="exact"/>
        <w:ind w:firstLine="640" w:firstLineChars="200"/>
        <w:rPr>
          <w:rFonts w:hint="eastAsia" w:ascii="仿宋_GB2312" w:hAnsi="仿宋_GB2312" w:eastAsia="仿宋_GB2312" w:cs="仿宋_GB2312"/>
          <w:color w:val="000000"/>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新建生活垃圾分类处理站（压缩中转站）</w:t>
      </w:r>
      <w:r>
        <w:rPr>
          <w:rFonts w:hint="default" w:ascii="Times New Roman" w:hAnsi="Times New Roman" w:eastAsia="楷体_GB2312" w:cs="Times New Roman"/>
          <w:color w:val="000000"/>
          <w:sz w:val="32"/>
          <w:szCs w:val="32"/>
        </w:rPr>
        <w:t>6</w:t>
      </w:r>
      <w:r>
        <w:rPr>
          <w:rFonts w:hint="eastAsia" w:ascii="楷体_GB2312" w:hAnsi="楷体_GB2312" w:eastAsia="楷体_GB2312" w:cs="楷体_GB2312"/>
          <w:color w:val="000000"/>
          <w:sz w:val="32"/>
          <w:szCs w:val="32"/>
        </w:rPr>
        <w:t>座，总规模</w:t>
      </w:r>
      <w:r>
        <w:rPr>
          <w:rFonts w:hint="default" w:ascii="Times New Roman" w:hAnsi="Times New Roman" w:eastAsia="楷体_GB2312" w:cs="Times New Roman"/>
          <w:color w:val="000000"/>
          <w:sz w:val="32"/>
          <w:szCs w:val="32"/>
        </w:rPr>
        <w:t>450</w:t>
      </w:r>
      <w:r>
        <w:rPr>
          <w:rFonts w:hint="eastAsia" w:ascii="楷体_GB2312" w:hAnsi="楷体_GB2312" w:eastAsia="楷体_GB2312" w:cs="楷体_GB2312"/>
          <w:color w:val="000000"/>
          <w:sz w:val="32"/>
          <w:szCs w:val="32"/>
        </w:rPr>
        <w:t>吨/日。</w:t>
      </w:r>
      <w:r>
        <w:rPr>
          <w:rFonts w:hint="eastAsia" w:ascii="仿宋_GB2312" w:hAnsi="仿宋_GB2312" w:eastAsia="仿宋_GB2312" w:cs="仿宋_GB2312"/>
          <w:color w:val="000000"/>
          <w:sz w:val="32"/>
          <w:szCs w:val="32"/>
        </w:rPr>
        <w:t>分别是：余粮村生活垃圾分类处理站，位于蓬莱</w:t>
      </w:r>
    </w:p>
    <w:p>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镇余粮村</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社，日处理能力</w:t>
      </w:r>
      <w:r>
        <w:rPr>
          <w:rFonts w:hint="default" w:ascii="Times New Roman" w:hAnsi="Times New Roman" w:eastAsia="仿宋_GB2312" w:cs="Times New Roman"/>
          <w:color w:val="000000"/>
          <w:sz w:val="32"/>
          <w:szCs w:val="32"/>
        </w:rPr>
        <w:t>200</w:t>
      </w:r>
      <w:r>
        <w:rPr>
          <w:rFonts w:hint="eastAsia" w:ascii="仿宋_GB2312" w:hAnsi="仿宋_GB2312" w:eastAsia="仿宋_GB2312" w:cs="仿宋_GB2312"/>
          <w:color w:val="000000"/>
          <w:sz w:val="32"/>
          <w:szCs w:val="32"/>
        </w:rPr>
        <w:t>吨；天保镇生活垃圾分类处理站</w:t>
      </w:r>
      <w:r>
        <w:rPr>
          <w:rFonts w:hint="eastAsia" w:ascii="仿宋_GB2312" w:hAnsi="仿宋_GB2312" w:eastAsia="仿宋_GB2312" w:cs="仿宋_GB2312"/>
          <w:bCs/>
          <w:color w:val="000000"/>
          <w:sz w:val="32"/>
          <w:szCs w:val="32"/>
        </w:rPr>
        <w:t>，位于天保镇蓬云路，日处理能力</w:t>
      </w:r>
      <w:r>
        <w:rPr>
          <w:rFonts w:hint="default" w:ascii="Times New Roman" w:hAnsi="Times New Roman" w:eastAsia="仿宋_GB2312" w:cs="Times New Roman"/>
          <w:bCs/>
          <w:color w:val="000000"/>
          <w:sz w:val="32"/>
          <w:szCs w:val="32"/>
        </w:rPr>
        <w:t>50</w:t>
      </w:r>
      <w:r>
        <w:rPr>
          <w:rFonts w:hint="eastAsia" w:ascii="仿宋_GB2312" w:hAnsi="仿宋_GB2312" w:eastAsia="仿宋_GB2312" w:cs="仿宋_GB2312"/>
          <w:bCs/>
          <w:color w:val="000000"/>
          <w:sz w:val="32"/>
          <w:szCs w:val="32"/>
        </w:rPr>
        <w:t>吨；河边</w:t>
      </w:r>
      <w:r>
        <w:rPr>
          <w:rFonts w:hint="eastAsia" w:ascii="仿宋_GB2312" w:hAnsi="仿宋_GB2312" w:eastAsia="仿宋_GB2312" w:cs="仿宋_GB2312"/>
          <w:color w:val="000000"/>
          <w:sz w:val="32"/>
          <w:szCs w:val="32"/>
        </w:rPr>
        <w:t>镇生活垃圾分类处理站，位于河边镇前进村，日处理能力</w:t>
      </w:r>
      <w:r>
        <w:rPr>
          <w:rFonts w:hint="default"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吨；金元镇生活垃圾分类处理站，位于金元镇红金路，日处理能力</w:t>
      </w:r>
      <w:r>
        <w:rPr>
          <w:rFonts w:hint="default"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吨；火象路生活垃圾分类处理站，位于蓬莱镇采青湾，日处理能力</w:t>
      </w:r>
      <w:r>
        <w:rPr>
          <w:rFonts w:hint="default"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吨；福荣村生活垃圾分类处理站，位于蓬莱镇福荣村，日处理能力</w:t>
      </w:r>
      <w:r>
        <w:rPr>
          <w:rFonts w:hint="default"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改建生活垃圾分类处理站（压缩中转站）</w:t>
      </w:r>
      <w:r>
        <w:rPr>
          <w:rFonts w:hint="default" w:ascii="Times New Roman" w:hAnsi="Times New Roman" w:eastAsia="楷体_GB2312" w:cs="Times New Roman"/>
          <w:color w:val="000000"/>
          <w:sz w:val="32"/>
          <w:szCs w:val="32"/>
        </w:rPr>
        <w:t>4</w:t>
      </w:r>
      <w:r>
        <w:rPr>
          <w:rFonts w:hint="eastAsia" w:ascii="楷体_GB2312" w:hAnsi="楷体_GB2312" w:eastAsia="楷体_GB2312" w:cs="楷体_GB2312"/>
          <w:color w:val="000000"/>
          <w:sz w:val="32"/>
          <w:szCs w:val="32"/>
        </w:rPr>
        <w:t>座，总规模</w:t>
      </w:r>
      <w:r>
        <w:rPr>
          <w:rFonts w:hint="default" w:ascii="Times New Roman" w:hAnsi="Times New Roman" w:eastAsia="楷体_GB2312" w:cs="Times New Roman"/>
          <w:color w:val="000000"/>
          <w:sz w:val="32"/>
          <w:szCs w:val="32"/>
        </w:rPr>
        <w:t>200</w:t>
      </w:r>
      <w:r>
        <w:rPr>
          <w:rFonts w:hint="eastAsia" w:ascii="楷体_GB2312" w:hAnsi="楷体_GB2312" w:eastAsia="楷体_GB2312" w:cs="楷体_GB2312"/>
          <w:color w:val="000000"/>
          <w:sz w:val="32"/>
          <w:szCs w:val="32"/>
        </w:rPr>
        <w:t>吨/日。</w:t>
      </w:r>
      <w:r>
        <w:rPr>
          <w:rFonts w:hint="eastAsia" w:ascii="仿宋_GB2312" w:hAnsi="仿宋_GB2312" w:eastAsia="仿宋_GB2312" w:cs="仿宋_GB2312"/>
          <w:color w:val="000000"/>
          <w:sz w:val="32"/>
          <w:szCs w:val="32"/>
        </w:rPr>
        <w:t>分别是：隆盛镇生活垃圾分类处理站，位于隆盛镇柳隆路，日处理能力</w:t>
      </w:r>
      <w:r>
        <w:rPr>
          <w:rFonts w:hint="default"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吨；回马镇生活垃圾分类处理站，位于回马镇金山村，日处理能力</w:t>
      </w:r>
      <w:r>
        <w:rPr>
          <w:rFonts w:hint="default"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吨；象山镇生活垃圾分类处理站，位于象山镇象山村，日处理能力</w:t>
      </w:r>
      <w:r>
        <w:rPr>
          <w:rFonts w:hint="default"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吨；玉峰镇生活垃圾分类处理站，位于玉峰镇浅垭子村，日处理能力</w:t>
      </w:r>
      <w:r>
        <w:rPr>
          <w:rFonts w:hint="default" w:ascii="Times New Roman" w:hAnsi="Times New Roman" w:eastAsia="仿宋_GB2312" w:cs="Times New Roman"/>
          <w:color w:val="000000"/>
          <w:sz w:val="32"/>
          <w:szCs w:val="32"/>
        </w:rPr>
        <w:t>50</w:t>
      </w:r>
      <w:r>
        <w:rPr>
          <w:rFonts w:hint="eastAsia" w:ascii="仿宋_GB2312" w:hAnsi="仿宋_GB2312" w:eastAsia="仿宋_GB2312" w:cs="仿宋_GB2312"/>
          <w:color w:val="000000"/>
          <w:sz w:val="32"/>
          <w:szCs w:val="32"/>
        </w:rPr>
        <w:t>吨。</w:t>
      </w:r>
    </w:p>
    <w:p>
      <w:pPr>
        <w:spacing w:line="560" w:lineRule="exact"/>
        <w:ind w:firstLine="640" w:firstLineChars="20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color w:val="000000"/>
          <w:sz w:val="32"/>
          <w:szCs w:val="32"/>
        </w:rPr>
        <w:t>原规划建设的卓筒井镇生活垃圾分类处理站因选址问题，退出本项目，卓筒井镇的生活垃圾收集转运至河边镇生活垃圾分类处理站进行压缩处理。你单位已出具相关说明。</w:t>
      </w:r>
    </w:p>
    <w:p>
      <w:pPr>
        <w:spacing w:line="560" w:lineRule="exact"/>
        <w:ind w:firstLine="64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z w:val="32"/>
          <w:szCs w:val="32"/>
        </w:rPr>
        <w:t>项目由大英县发展改革局出具《关于大英县生活垃圾分类处理项目可行性研究报告（代项目建议书）的批复》（大发改许可〔</w:t>
      </w:r>
      <w:r>
        <w:rPr>
          <w:rFonts w:hint="default" w:ascii="Times New Roman" w:hAnsi="Times New Roman" w:eastAsia="仿宋_GB2312" w:cs="Times New Roman"/>
          <w:sz w:val="32"/>
          <w:szCs w:val="32"/>
        </w:rPr>
        <w:t>2020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122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5"/>
          <w:sz w:val="32"/>
          <w:szCs w:val="32"/>
        </w:rPr>
        <w:t>已取得大英县自然资源和规划局出具的《建设项目用地预审与选址意见书》（用自第</w:t>
      </w:r>
      <w:r>
        <w:rPr>
          <w:rFonts w:hint="default" w:ascii="Times New Roman" w:hAnsi="Times New Roman" w:eastAsia="仿宋_GB2312" w:cs="Times New Roman"/>
          <w:spacing w:val="-5"/>
          <w:sz w:val="32"/>
          <w:szCs w:val="32"/>
        </w:rPr>
        <w:t>510923202000016</w:t>
      </w:r>
      <w:r>
        <w:rPr>
          <w:rFonts w:hint="eastAsia" w:ascii="仿宋_GB2312" w:hAnsi="仿宋_GB2312" w:eastAsia="仿宋_GB2312" w:cs="仿宋_GB2312"/>
          <w:spacing w:val="-5"/>
          <w:sz w:val="32"/>
          <w:szCs w:val="32"/>
        </w:rPr>
        <w:t>号），项目用地为建设用地。《</w:t>
      </w:r>
      <w:r>
        <w:rPr>
          <w:rFonts w:hint="eastAsia" w:ascii="仿宋_GB2312" w:hAnsi="仿宋_GB2312" w:eastAsia="仿宋_GB2312" w:cs="仿宋_GB2312"/>
          <w:color w:val="000000"/>
          <w:sz w:val="32"/>
          <w:szCs w:val="32"/>
        </w:rPr>
        <w:t>报告表》认为该项目建设符合国家产业政策，选址符合相关要求</w:t>
      </w:r>
      <w:r>
        <w:rPr>
          <w:rFonts w:hint="eastAsia" w:ascii="仿宋_GB2312" w:hAnsi="仿宋_GB2312" w:eastAsia="仿宋_GB2312" w:cs="仿宋_GB2312"/>
          <w:sz w:val="32"/>
          <w:szCs w:val="32"/>
        </w:rPr>
        <w:t>。</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境保护对策及措施，严格执行环境保护“三同时”制度，确保污染物达标排放，认真落实环境风险防范措施及应急预案的前提下，该项目建设从环境保护角度可行，我局原则同意《报告表》的总体结论和拟采取的各项生态环境保护措施。你单位应严格按照《报告表》中所列项目的性质、规模、工艺、地点和拟采取的环境保护措施进行建设和运行，以确保对环境的不利影响得到缓解和控制。</w:t>
      </w:r>
    </w:p>
    <w:p>
      <w:pPr>
        <w:wordWrap/>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二、项目建设及营运期应重点做好以下工作</w:t>
      </w:r>
    </w:p>
    <w:p>
      <w:pPr>
        <w:pStyle w:val="12"/>
        <w:spacing w:after="0" w:line="560" w:lineRule="exact"/>
        <w:ind w:left="0" w:leftChars="0"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（一）加强施工期环境管理工作，防止水土流失、施工扬尘、废水和噪声污染。</w:t>
      </w:r>
      <w:r>
        <w:rPr>
          <w:rFonts w:hint="eastAsia" w:ascii="仿宋_GB2312" w:hAnsi="仿宋_GB2312" w:eastAsia="仿宋_GB2312" w:cs="仿宋_GB2312"/>
          <w:sz w:val="32"/>
          <w:szCs w:val="32"/>
        </w:rPr>
        <w:t>施工人员的生活污水依托周边已建设施处理；施工过程中产生的施工废水，经沉淀池处理后用于工程建设，不外排；生活垃圾集中收集交由当地环卫部门统一清运处理；施工过程中产生的建筑垃圾及时清运至政府指定地点；严格落实建筑施工“六必须六不准”和“六个百分百”要求，严格控制扬尘污染；施工场界噪声要满足《建筑施工场界环境噪声排放标准》</w:t>
      </w:r>
      <w:r>
        <w:rPr>
          <w:rFonts w:hint="default" w:ascii="Times New Roman" w:hAnsi="Times New Roman" w:eastAsia="仿宋_GB2312" w:cs="Times New Roman"/>
          <w:sz w:val="32"/>
          <w:szCs w:val="32"/>
        </w:rPr>
        <w:t>(GB12523-2011)</w:t>
      </w:r>
      <w:r>
        <w:rPr>
          <w:rFonts w:hint="eastAsia" w:ascii="仿宋_GB2312" w:hAnsi="仿宋_GB2312" w:eastAsia="仿宋_GB2312" w:cs="仿宋_GB2312"/>
          <w:sz w:val="32"/>
          <w:szCs w:val="32"/>
        </w:rPr>
        <w:t>的要求。</w:t>
      </w:r>
    </w:p>
    <w:p>
      <w:pPr>
        <w:pStyle w:val="12"/>
        <w:spacing w:after="0" w:line="560" w:lineRule="exact"/>
        <w:ind w:left="0" w:leftChars="0"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（二）落实废水处置措施。</w:t>
      </w:r>
      <w:r>
        <w:rPr>
          <w:rFonts w:hint="eastAsia" w:ascii="仿宋_GB2312" w:hAnsi="仿宋_GB2312" w:eastAsia="仿宋_GB2312" w:cs="仿宋_GB2312"/>
          <w:sz w:val="32"/>
          <w:szCs w:val="32"/>
        </w:rPr>
        <w:t>严格按照《报告表》要求，确保各类废水规范化处置。余粮村生活垃圾处理站及餐厨垃圾处理站的生产废水与预处理后的生活污水通过污水管道排入大英县生活垃圾填埋场（已封场）渗滤液处理站处理达到《生活垃圾填埋场污染物控制标准》（</w:t>
      </w:r>
      <w:r>
        <w:rPr>
          <w:rFonts w:hint="default" w:ascii="Times New Roman" w:hAnsi="Times New Roman" w:eastAsia="仿宋_GB2312" w:cs="Times New Roman"/>
          <w:sz w:val="32"/>
          <w:szCs w:val="32"/>
        </w:rPr>
        <w:t>GB16889-2008</w:t>
      </w:r>
      <w:r>
        <w:rPr>
          <w:rFonts w:hint="eastAsia" w:ascii="仿宋_GB2312" w:hAnsi="仿宋_GB2312" w:eastAsia="仿宋_GB2312" w:cs="仿宋_GB2312"/>
          <w:sz w:val="32"/>
          <w:szCs w:val="32"/>
        </w:rPr>
        <w:t>）表</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相关排放限值后排入郪江；其他乡镇生活垃圾处理站产生的车间清洗废水、车辆清洗废水、压缩过程中产生的渗滤液、初期雨水与预处理后的生活污水设置排污管道排入站点渗滤液收集池，经吸污车转运至大英县生活垃圾填埋场（已封场）渗滤液处理站处理，达到《生活垃圾填埋场污染物控制标准》（</w:t>
      </w:r>
      <w:r>
        <w:rPr>
          <w:rFonts w:hint="default" w:ascii="Times New Roman" w:hAnsi="Times New Roman" w:eastAsia="仿宋_GB2312" w:cs="Times New Roman"/>
          <w:sz w:val="32"/>
          <w:szCs w:val="32"/>
        </w:rPr>
        <w:t>GB16889-2008</w:t>
      </w:r>
      <w:r>
        <w:rPr>
          <w:rFonts w:hint="eastAsia" w:ascii="仿宋_GB2312" w:hAnsi="仿宋_GB2312" w:eastAsia="仿宋_GB2312" w:cs="仿宋_GB2312"/>
          <w:sz w:val="32"/>
          <w:szCs w:val="32"/>
        </w:rPr>
        <w:t>）表</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相关排放限值后排入郪江。</w:t>
      </w:r>
    </w:p>
    <w:p>
      <w:pPr>
        <w:pStyle w:val="12"/>
        <w:spacing w:after="0" w:line="560" w:lineRule="exact"/>
        <w:ind w:left="0" w:leftChars="0"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（三）落实废气处置措施。</w:t>
      </w:r>
      <w:r>
        <w:rPr>
          <w:rFonts w:hint="eastAsia" w:ascii="仿宋_GB2312" w:hAnsi="仿宋_GB2312" w:eastAsia="仿宋_GB2312" w:cs="仿宋_GB2312"/>
          <w:sz w:val="32"/>
          <w:szCs w:val="32"/>
        </w:rPr>
        <w:t>余粮村生活垃圾分类处理站产生的废气采取“高压喷雾除臭+负压抽风收集+生物滤池除臭”处理达标后，通过</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根</w:t>
      </w:r>
      <w:r>
        <w:rPr>
          <w:rFonts w:hint="default" w:ascii="Times New Roman" w:hAnsi="Times New Roman" w:eastAsia="仿宋_GB2312" w:cs="Times New Roman"/>
          <w:sz w:val="32"/>
          <w:szCs w:val="32"/>
        </w:rPr>
        <w:t>15m</w:t>
      </w:r>
      <w:r>
        <w:rPr>
          <w:rFonts w:hint="eastAsia" w:ascii="仿宋_GB2312" w:hAnsi="仿宋_GB2312" w:eastAsia="仿宋_GB2312" w:cs="仿宋_GB2312"/>
          <w:sz w:val="32"/>
          <w:szCs w:val="32"/>
        </w:rPr>
        <w:t>高排气筒排放；餐厨垃圾处理站及其他乡镇生活垃圾分类处理站废气采取高压喷雾除臭装置处理达标后排放。</w:t>
      </w:r>
    </w:p>
    <w:p>
      <w:pPr>
        <w:pStyle w:val="12"/>
        <w:spacing w:after="0" w:line="560" w:lineRule="exact"/>
        <w:ind w:left="0" w:leftChars="0"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（四）落实固体废物处置措施。</w:t>
      </w:r>
      <w:r>
        <w:rPr>
          <w:rFonts w:hint="eastAsia" w:ascii="仿宋_GB2312" w:hAnsi="仿宋_GB2312" w:eastAsia="仿宋_GB2312" w:cs="仿宋_GB2312"/>
          <w:sz w:val="32"/>
          <w:szCs w:val="32"/>
        </w:rPr>
        <w:t xml:space="preserve">严格按照《报告表》要求，分类收集各类固体废物并妥善处置。渗滤液收集池内混凝沉淀物和污泥定期清掏与生活垃圾压缩后运往射洪市生活垃圾环保发电厂进行处理。  </w:t>
      </w:r>
    </w:p>
    <w:p>
      <w:pPr>
        <w:pStyle w:val="12"/>
        <w:spacing w:after="0" w:line="560" w:lineRule="exact"/>
        <w:ind w:left="0" w:leftChars="0"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（五）落实噪声污染防治措施。</w:t>
      </w:r>
      <w:r>
        <w:rPr>
          <w:rFonts w:hint="eastAsia" w:ascii="仿宋_GB2312" w:hAnsi="仿宋_GB2312" w:eastAsia="仿宋_GB2312" w:cs="仿宋_GB2312"/>
          <w:sz w:val="32"/>
          <w:szCs w:val="32"/>
        </w:rPr>
        <w:t>项目生产设备应合理布局，采取选用低噪设备、基础减振、墙体隔声等措施，确保厂界噪声满足《工业企业厂界环境噪声排放标准》</w:t>
      </w:r>
      <w:r>
        <w:rPr>
          <w:rFonts w:hint="default" w:ascii="Times New Roman" w:hAnsi="Times New Roman" w:eastAsia="仿宋_GB2312" w:cs="Times New Roman"/>
          <w:sz w:val="32"/>
          <w:szCs w:val="32"/>
        </w:rPr>
        <w:t>（GB12348-2008）</w:t>
      </w:r>
      <w:r>
        <w:rPr>
          <w:rFonts w:hint="eastAsia" w:ascii="仿宋_GB2312" w:hAnsi="仿宋_GB2312" w:eastAsia="仿宋_GB2312" w:cs="仿宋_GB2312"/>
          <w:sz w:val="32"/>
          <w:szCs w:val="32"/>
        </w:rPr>
        <w:t>中的</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类声环境功能区排放限值的要求。垃圾转运采取减速慢行、合理安排运输路线及运输时间等措施，减少车辆噪声对沿线居民的影响。</w:t>
      </w:r>
    </w:p>
    <w:p>
      <w:pPr>
        <w:pStyle w:val="12"/>
        <w:spacing w:after="0" w:line="560" w:lineRule="exact"/>
        <w:ind w:left="0" w:leftChars="0"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（六）落实地下水、土壤污染防治措施。</w:t>
      </w:r>
      <w:r>
        <w:rPr>
          <w:rFonts w:hint="eastAsia" w:ascii="仿宋_GB2312" w:hAnsi="仿宋_GB2312" w:eastAsia="仿宋_GB2312" w:cs="仿宋_GB2312"/>
          <w:sz w:val="32"/>
          <w:szCs w:val="32"/>
        </w:rPr>
        <w:t>严格按照《报告表》要求，对洗车区、压装车间、滤液收集池进行重点防渗，对消防水池、卫生间、场区道路和值班室进行简单防渗，防止地下水和土壤环境污染。</w:t>
      </w:r>
    </w:p>
    <w:p>
      <w:pPr>
        <w:spacing w:line="560" w:lineRule="exact"/>
        <w:ind w:firstLine="640" w:firstLineChars="200"/>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rPr>
        <w:t>（七）</w:t>
      </w:r>
      <w:r>
        <w:rPr>
          <w:rFonts w:hint="eastAsia" w:ascii="楷体_GB2312" w:hAnsi="楷体_GB2312" w:eastAsia="楷体_GB2312" w:cs="楷体_GB2312"/>
          <w:bCs/>
          <w:sz w:val="32"/>
          <w:szCs w:val="32"/>
        </w:rPr>
        <w:t>落实环境风险防控措施。</w:t>
      </w:r>
      <w:r>
        <w:rPr>
          <w:rFonts w:hint="eastAsia" w:ascii="仿宋_GB2312" w:hAnsi="仿宋_GB2312" w:eastAsia="仿宋_GB2312" w:cs="仿宋_GB2312"/>
          <w:bCs/>
          <w:sz w:val="32"/>
          <w:szCs w:val="32"/>
        </w:rPr>
        <w:t>严格按照《报告表》要求，</w:t>
      </w:r>
      <w:bookmarkStart w:id="0" w:name="_GoBack"/>
      <w:bookmarkEnd w:id="0"/>
      <w:r>
        <w:rPr>
          <w:rFonts w:hint="eastAsia" w:ascii="仿宋_GB2312" w:hAnsi="仿宋_GB2312" w:eastAsia="仿宋_GB2312" w:cs="仿宋_GB2312"/>
          <w:bCs/>
          <w:sz w:val="32"/>
          <w:szCs w:val="32"/>
        </w:rPr>
        <w:t>制定环境风险应急预案，落实环境风险防控措施，保证应急预案的实施，降低事故排污环境影响。</w:t>
      </w:r>
    </w:p>
    <w:p>
      <w:pPr>
        <w:pStyle w:val="7"/>
        <w:spacing w:line="560" w:lineRule="exact"/>
        <w:ind w:firstLine="640" w:firstLineChars="200"/>
        <w:rPr>
          <w:rFonts w:hint="eastAsia" w:ascii="仿宋_GB2312" w:hAnsi="仿宋_GB2312" w:eastAsia="仿宋_GB2312" w:cs="仿宋_GB2312"/>
          <w:color w:val="000000"/>
          <w:spacing w:val="4"/>
          <w:kern w:val="18"/>
          <w:sz w:val="32"/>
          <w:szCs w:val="32"/>
        </w:rPr>
      </w:pPr>
      <w:r>
        <w:rPr>
          <w:rFonts w:hint="eastAsia" w:ascii="黑体" w:hAnsi="黑体" w:eastAsia="黑体" w:cs="黑体"/>
          <w:bCs/>
          <w:sz w:val="32"/>
          <w:szCs w:val="32"/>
        </w:rPr>
        <w:t>三、</w:t>
      </w:r>
      <w:r>
        <w:rPr>
          <w:rFonts w:hint="eastAsia" w:ascii="仿宋_GB2312" w:hAnsi="仿宋_GB2312" w:eastAsia="仿宋_GB2312" w:cs="仿宋_GB2312"/>
          <w:bCs/>
          <w:sz w:val="32"/>
          <w:szCs w:val="32"/>
        </w:rPr>
        <w:t>项目开工建设前，应依法完备其他行政许可手续。</w:t>
      </w:r>
    </w:p>
    <w:p>
      <w:pPr>
        <w:overflowPunct w:val="0"/>
        <w:snapToGrid w:val="0"/>
        <w:spacing w:line="560" w:lineRule="exact"/>
        <w:ind w:firstLine="656" w:firstLineChars="200"/>
        <w:rPr>
          <w:rFonts w:hint="eastAsia" w:ascii="仿宋_GB2312" w:hAnsi="仿宋_GB2312" w:eastAsia="仿宋_GB2312" w:cs="仿宋_GB2312"/>
          <w:sz w:val="32"/>
          <w:szCs w:val="32"/>
        </w:rPr>
      </w:pPr>
      <w:r>
        <w:rPr>
          <w:rFonts w:hint="eastAsia" w:ascii="黑体" w:hAnsi="黑体" w:eastAsia="黑体" w:cs="黑体"/>
          <w:color w:val="000000"/>
          <w:spacing w:val="4"/>
          <w:kern w:val="18"/>
          <w:sz w:val="32"/>
          <w:szCs w:val="32"/>
        </w:rPr>
        <w:t>四、</w:t>
      </w: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在发生实际排污行为前，必须按照国家排污许可有关管理规定要求，依法申领排污许可证或填报排污登记表。建设项目竣工后，你单位应当按照规定的程序和标准，组织对配套建设的环</w:t>
      </w:r>
    </w:p>
    <w:p>
      <w:pPr>
        <w:overflowPunct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境保护设施及对策措施进行验收，并依法向社会公开验收报告，验收合格后方可投入生产或使用。</w:t>
      </w:r>
    </w:p>
    <w:p>
      <w:pPr>
        <w:keepNext w:val="0"/>
        <w:keepLines w:val="0"/>
        <w:pageBreakBefore w:val="0"/>
        <w:widowControl w:val="0"/>
        <w:kinsoku/>
        <w:wordWrap w:val="0"/>
        <w:overflowPunct w:val="0"/>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项目环境影响评价文件经批准后，如项目的性质、规模、地点、工艺或者防治污染、防止生态破坏的措施发生重大变动，你单位应当重新报批环境影响评价文件，否则不得实施建设。自环境影响评价文件批准之日起，如项目超过</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年未开工建设，环境影响评价文件应当报我局重新审核。</w:t>
      </w:r>
    </w:p>
    <w:p>
      <w:pPr>
        <w:pStyle w:val="9"/>
        <w:keepNext w:val="0"/>
        <w:keepLines w:val="0"/>
        <w:pageBreakBefore w:val="0"/>
        <w:widowControl w:val="0"/>
        <w:kinsoku/>
        <w:topLinePunct w:val="0"/>
        <w:autoSpaceDE/>
        <w:autoSpaceDN/>
        <w:bidi w:val="0"/>
        <w:spacing w:line="560" w:lineRule="exact"/>
        <w:ind w:left="0" w:leftChars="0" w:firstLine="0" w:firstLineChars="0"/>
        <w:textAlignment w:val="auto"/>
        <w:rPr>
          <w:rFonts w:hint="eastAsia" w:ascii="仿宋" w:hAnsi="仿宋" w:eastAsia="仿宋" w:cs="仿宋"/>
          <w:sz w:val="32"/>
          <w:szCs w:val="32"/>
          <w:lang w:val="en-US" w:eastAsia="zh-CN"/>
        </w:rPr>
      </w:pPr>
    </w:p>
    <w:p>
      <w:pPr>
        <w:rPr>
          <w:rFonts w:hint="eastAsia"/>
          <w:sz w:val="32"/>
          <w:szCs w:val="32"/>
          <w:lang w:val="en-US" w:eastAsia="zh-CN"/>
        </w:rPr>
      </w:pPr>
    </w:p>
    <w:p>
      <w:pPr>
        <w:keepNext w:val="0"/>
        <w:keepLines w:val="0"/>
        <w:pageBreakBefore w:val="0"/>
        <w:widowControl w:val="0"/>
        <w:kinsoku/>
        <w:wordWrap w:val="0"/>
        <w:overflowPunct w:val="0"/>
        <w:topLinePunct w:val="0"/>
        <w:autoSpaceDE/>
        <w:autoSpaceDN/>
        <w:bidi w:val="0"/>
        <w:adjustRightInd w:val="0"/>
        <w:snapToGrid w:val="0"/>
        <w:spacing w:line="560" w:lineRule="exact"/>
        <w:ind w:right="945" w:rightChars="450"/>
        <w:jc w:val="right"/>
        <w:textAlignment w:val="auto"/>
        <w:rPr>
          <w:rFonts w:hint="eastAsia" w:ascii="仿宋" w:hAnsi="仿宋" w:eastAsia="仿宋" w:cs="仿宋"/>
          <w:sz w:val="32"/>
          <w:szCs w:val="32"/>
        </w:rPr>
      </w:pPr>
      <w:r>
        <w:rPr>
          <w:rFonts w:hint="eastAsia" w:ascii="仿宋" w:hAnsi="仿宋" w:eastAsia="仿宋" w:cs="仿宋"/>
          <w:sz w:val="32"/>
          <w:szCs w:val="32"/>
        </w:rPr>
        <w:t>遂宁市大英生态环境局</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1260" w:rightChars="600" w:firstLine="0" w:firstLineChars="0"/>
        <w:jc w:val="right"/>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bCs/>
          <w:sz w:val="32"/>
          <w:szCs w:val="32"/>
        </w:rPr>
        <w:t>年</w:t>
      </w: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bCs/>
          <w:sz w:val="32"/>
          <w:szCs w:val="32"/>
        </w:rPr>
        <w:t>月</w:t>
      </w:r>
      <w:r>
        <w:rPr>
          <w:rFonts w:hint="default" w:ascii="Times New Roman" w:hAnsi="Times New Roman" w:eastAsia="仿宋_GB2312" w:cs="Times New Roman"/>
          <w:bCs/>
          <w:sz w:val="32"/>
          <w:szCs w:val="32"/>
          <w:lang w:val="en-US" w:eastAsia="zh-CN"/>
        </w:rPr>
        <w:t>23</w:t>
      </w:r>
      <w:r>
        <w:rPr>
          <w:rFonts w:hint="eastAsia" w:ascii="仿宋_GB2312" w:hAnsi="仿宋_GB2312" w:eastAsia="仿宋_GB2312" w:cs="仿宋_GB2312"/>
          <w:bCs/>
          <w:sz w:val="32"/>
          <w:szCs w:val="32"/>
        </w:rPr>
        <w:t>日</w:t>
      </w:r>
    </w:p>
    <w:p>
      <w:pPr>
        <w:pStyle w:val="7"/>
        <w:keepNext w:val="0"/>
        <w:keepLines w:val="0"/>
        <w:pageBreakBefore w:val="0"/>
        <w:widowControl w:val="0"/>
        <w:kinsoku/>
        <w:wordWrap w:val="0"/>
        <w:topLinePunct w:val="0"/>
        <w:autoSpaceDE/>
        <w:autoSpaceDN/>
        <w:bidi w:val="0"/>
        <w:spacing w:line="560" w:lineRule="exact"/>
        <w:ind w:left="0" w:leftChars="0" w:firstLine="0" w:firstLineChars="0"/>
        <w:jc w:val="right"/>
        <w:textAlignment w:val="auto"/>
        <w:rPr>
          <w:rFonts w:hint="eastAsia" w:ascii="仿宋_GB2312" w:hAnsi="仿宋_GB2312" w:eastAsia="仿宋_GB2312" w:cs="仿宋_GB2312"/>
          <w:bCs/>
          <w:sz w:val="32"/>
          <w:szCs w:val="32"/>
          <w:lang w:val="en-US" w:eastAsia="zh-CN"/>
        </w:rPr>
      </w:pPr>
    </w:p>
    <w:p>
      <w:pPr>
        <w:pStyle w:val="8"/>
        <w:wordWrap/>
        <w:rPr>
          <w:rFonts w:hint="eastAsia" w:ascii="仿宋_GB2312" w:hAnsi="仿宋_GB2312" w:eastAsia="仿宋_GB2312" w:cs="仿宋_GB2312"/>
          <w:bCs/>
          <w:sz w:val="32"/>
          <w:szCs w:val="32"/>
          <w:lang w:val="en-US" w:eastAsia="zh-CN"/>
        </w:rPr>
      </w:pPr>
    </w:p>
    <w:p>
      <w:pPr>
        <w:pStyle w:val="9"/>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40" w:lineRule="exact"/>
        <w:textAlignment w:val="auto"/>
        <w:rPr>
          <w:rFonts w:hint="eastAsia" w:ascii="仿宋_GB2312" w:hAnsi="仿宋_GB2312" w:eastAsia="仿宋_GB2312" w:cs="仿宋_GB2312"/>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eastAsia" w:ascii="仿宋_GB2312" w:hAnsi="仿宋_GB2312" w:eastAsia="仿宋_GB2312" w:cs="仿宋_GB2312"/>
          <w:bCs/>
          <w:sz w:val="32"/>
          <w:szCs w:val="32"/>
          <w:lang w:val="en-US" w:eastAsia="zh-CN"/>
        </w:rPr>
      </w:pPr>
    </w:p>
    <w:p>
      <w:pPr>
        <w:rPr>
          <w:rFonts w:hint="eastAsia"/>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lang w:val="en-US" w:eastAsia="zh-CN"/>
        </w:rPr>
      </w:pPr>
    </w:p>
    <w:p>
      <w:pPr>
        <w:pStyle w:val="9"/>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lang w:val="en-US" w:eastAsia="zh-CN"/>
        </w:rPr>
      </w:pPr>
    </w:p>
    <w:p>
      <w:pPr>
        <w:rPr>
          <w:rFonts w:hint="eastAsia"/>
          <w:lang w:val="en-US" w:eastAsia="zh-CN"/>
        </w:rPr>
      </w:pPr>
    </w:p>
    <w:tbl>
      <w:tblPr>
        <w:tblStyle w:val="14"/>
        <w:tblW w:w="0" w:type="auto"/>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2" w:hRule="atLeast"/>
          <w:jc w:val="center"/>
        </w:trPr>
        <w:tc>
          <w:tcPr>
            <w:tcW w:w="4422" w:type="dxa"/>
            <w:tcBorders>
              <w:tl2br w:val="nil"/>
              <w:tr2bl w:val="nil"/>
            </w:tcBorders>
            <w:vAlign w:val="top"/>
          </w:tcPr>
          <w:p>
            <w:pPr>
              <w:pStyle w:val="2"/>
              <w:keepNext w:val="0"/>
              <w:keepLines w:val="0"/>
              <w:pageBreakBefore w:val="0"/>
              <w:widowControl w:val="0"/>
              <w:kinsoku/>
              <w:wordWrap w:val="0"/>
              <w:overflowPunct/>
              <w:topLinePunct w:val="0"/>
              <w:autoSpaceDE/>
              <w:autoSpaceDN/>
              <w:bidi w:val="0"/>
              <w:adjustRightInd/>
              <w:snapToGrid/>
              <w:spacing w:after="0" w:line="500" w:lineRule="exact"/>
              <w:ind w:left="0" w:firstLine="280" w:firstLineChars="100"/>
              <w:jc w:val="left"/>
              <w:textAlignment w:val="auto"/>
              <w:rPr>
                <w:rFonts w:hint="default" w:ascii="Times New Roman" w:hAnsi="Times New Roman" w:cs="Times New Roman"/>
                <w:vertAlign w:val="baseline"/>
              </w:rPr>
            </w:pPr>
            <w:r>
              <w:rPr>
                <w:rFonts w:hint="eastAsia" w:ascii="仿宋_GB2312" w:eastAsia="仿宋_GB2312"/>
                <w:sz w:val="28"/>
                <w:szCs w:val="28"/>
                <w:lang w:eastAsia="zh-CN"/>
              </w:rPr>
              <w:t>遂宁市</w:t>
            </w:r>
            <w:r>
              <w:rPr>
                <w:rFonts w:hint="eastAsia" w:ascii="仿宋_GB2312" w:eastAsia="仿宋_GB2312"/>
                <w:sz w:val="28"/>
                <w:szCs w:val="28"/>
              </w:rPr>
              <w:t>大英</w:t>
            </w:r>
            <w:r>
              <w:rPr>
                <w:rFonts w:hint="eastAsia" w:ascii="仿宋_GB2312" w:eastAsia="仿宋_GB2312"/>
                <w:sz w:val="28"/>
                <w:szCs w:val="28"/>
                <w:lang w:eastAsia="zh-CN"/>
              </w:rPr>
              <w:t>生态</w:t>
            </w:r>
            <w:r>
              <w:rPr>
                <w:rFonts w:hint="eastAsia" w:ascii="仿宋_GB2312" w:eastAsia="仿宋_GB2312"/>
                <w:sz w:val="28"/>
                <w:szCs w:val="28"/>
              </w:rPr>
              <w:t>环境局办公室</w:t>
            </w:r>
          </w:p>
        </w:tc>
        <w:tc>
          <w:tcPr>
            <w:tcW w:w="4422" w:type="dxa"/>
            <w:tcBorders>
              <w:tl2br w:val="nil"/>
              <w:tr2bl w:val="nil"/>
            </w:tcBorders>
            <w:vAlign w:val="top"/>
          </w:tcPr>
          <w:p>
            <w:pPr>
              <w:pStyle w:val="2"/>
              <w:keepNext w:val="0"/>
              <w:keepLines w:val="0"/>
              <w:pageBreakBefore w:val="0"/>
              <w:widowControl w:val="0"/>
              <w:kinsoku/>
              <w:wordWrap w:val="0"/>
              <w:overflowPunct/>
              <w:topLinePunct w:val="0"/>
              <w:autoSpaceDE/>
              <w:autoSpaceDN/>
              <w:bidi w:val="0"/>
              <w:adjustRightInd/>
              <w:snapToGrid/>
              <w:spacing w:after="0" w:line="500" w:lineRule="exact"/>
              <w:ind w:left="0"/>
              <w:jc w:val="right"/>
              <w:textAlignment w:val="auto"/>
              <w:rPr>
                <w:rFonts w:hint="default" w:ascii="Times New Roman" w:hAnsi="Times New Roman" w:eastAsia="宋体" w:cs="Times New Roman"/>
                <w:vertAlign w:val="baseline"/>
                <w:lang w:val="en-US" w:eastAsia="zh-CN"/>
              </w:rPr>
            </w:pPr>
            <w:r>
              <w:rPr>
                <w:rFonts w:hint="default" w:ascii="Times New Roman" w:hAnsi="Times New Roman" w:eastAsia="仿宋_GB2312" w:cs="Times New Roman"/>
                <w:sz w:val="28"/>
                <w:szCs w:val="28"/>
                <w:lang w:val="en-US" w:eastAsia="zh-CN"/>
              </w:rPr>
              <w:t>2023</w:t>
            </w:r>
            <w:r>
              <w:rPr>
                <w:rFonts w:hint="eastAsia" w:ascii="仿宋_GB2312" w:hAnsi="仿宋_GB2312" w:eastAsia="仿宋_GB2312" w:cs="仿宋_GB2312"/>
                <w:sz w:val="28"/>
                <w:szCs w:val="28"/>
                <w:lang w:val="en-US" w:eastAsia="zh-CN"/>
              </w:rPr>
              <w:t>年</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23</w:t>
            </w:r>
            <w:r>
              <w:rPr>
                <w:rFonts w:hint="eastAsia" w:ascii="仿宋_GB2312" w:hAnsi="仿宋_GB2312" w:eastAsia="仿宋_GB2312" w:cs="仿宋_GB2312"/>
                <w:sz w:val="28"/>
                <w:szCs w:val="28"/>
                <w:lang w:val="en-US" w:eastAsia="zh-CN"/>
              </w:rPr>
              <w:t>日印发</w:t>
            </w:r>
            <w:r>
              <w:rPr>
                <w:rFonts w:hint="eastAsia" w:ascii="仿宋_GB2312" w:eastAsia="仿宋_GB2312"/>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240" w:lineRule="atLeas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right="315" w:rightChars="15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right="315" w:rightChars="15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1844E19"/>
    <w:rsid w:val="01FD40F1"/>
    <w:rsid w:val="02B22144"/>
    <w:rsid w:val="041E0EAD"/>
    <w:rsid w:val="07445783"/>
    <w:rsid w:val="082B7D91"/>
    <w:rsid w:val="088675ED"/>
    <w:rsid w:val="089E130F"/>
    <w:rsid w:val="092A1E12"/>
    <w:rsid w:val="094E2162"/>
    <w:rsid w:val="098F0FA5"/>
    <w:rsid w:val="0AE4604C"/>
    <w:rsid w:val="0C4C2651"/>
    <w:rsid w:val="0F5D7B56"/>
    <w:rsid w:val="0FB35FED"/>
    <w:rsid w:val="108B04C2"/>
    <w:rsid w:val="11553800"/>
    <w:rsid w:val="12011292"/>
    <w:rsid w:val="13A050E7"/>
    <w:rsid w:val="14741B39"/>
    <w:rsid w:val="14AA3E63"/>
    <w:rsid w:val="15AB60E4"/>
    <w:rsid w:val="15C947BC"/>
    <w:rsid w:val="1735378C"/>
    <w:rsid w:val="1ADB2985"/>
    <w:rsid w:val="1B326960"/>
    <w:rsid w:val="1BCC1635"/>
    <w:rsid w:val="1D04432C"/>
    <w:rsid w:val="1D1F6E89"/>
    <w:rsid w:val="1DC1221D"/>
    <w:rsid w:val="1DEC2C84"/>
    <w:rsid w:val="1E29348B"/>
    <w:rsid w:val="1E6609BF"/>
    <w:rsid w:val="1EAC44A7"/>
    <w:rsid w:val="1F8E271B"/>
    <w:rsid w:val="1FC85967"/>
    <w:rsid w:val="204F3B10"/>
    <w:rsid w:val="20E64474"/>
    <w:rsid w:val="21464F13"/>
    <w:rsid w:val="224F429B"/>
    <w:rsid w:val="23E07BD5"/>
    <w:rsid w:val="251C281B"/>
    <w:rsid w:val="26672398"/>
    <w:rsid w:val="27E16961"/>
    <w:rsid w:val="2A1F2C38"/>
    <w:rsid w:val="2A784B2D"/>
    <w:rsid w:val="2A785045"/>
    <w:rsid w:val="2F1C72B3"/>
    <w:rsid w:val="31774C75"/>
    <w:rsid w:val="31F50C2D"/>
    <w:rsid w:val="31FD6612"/>
    <w:rsid w:val="32C1089D"/>
    <w:rsid w:val="344E1C6F"/>
    <w:rsid w:val="34A22009"/>
    <w:rsid w:val="37225683"/>
    <w:rsid w:val="372748CB"/>
    <w:rsid w:val="376A1E4F"/>
    <w:rsid w:val="38C236CA"/>
    <w:rsid w:val="3A2A31CC"/>
    <w:rsid w:val="40B97948"/>
    <w:rsid w:val="415844BA"/>
    <w:rsid w:val="42A751E8"/>
    <w:rsid w:val="433E49AD"/>
    <w:rsid w:val="44000AFA"/>
    <w:rsid w:val="44242A3A"/>
    <w:rsid w:val="46564467"/>
    <w:rsid w:val="47173438"/>
    <w:rsid w:val="486C0E54"/>
    <w:rsid w:val="491F4DFE"/>
    <w:rsid w:val="4944487A"/>
    <w:rsid w:val="4C6267F5"/>
    <w:rsid w:val="4E4D24B7"/>
    <w:rsid w:val="504C6A58"/>
    <w:rsid w:val="509E5922"/>
    <w:rsid w:val="518979CC"/>
    <w:rsid w:val="52614E59"/>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9C94FB5"/>
    <w:rsid w:val="5CBA1D36"/>
    <w:rsid w:val="5D307EFB"/>
    <w:rsid w:val="5D942597"/>
    <w:rsid w:val="5DCB6DD4"/>
    <w:rsid w:val="5EC51967"/>
    <w:rsid w:val="5F13397F"/>
    <w:rsid w:val="5F304531"/>
    <w:rsid w:val="60570CFE"/>
    <w:rsid w:val="60B414A2"/>
    <w:rsid w:val="61CF012A"/>
    <w:rsid w:val="63133F4E"/>
    <w:rsid w:val="64EF4296"/>
    <w:rsid w:val="670815C7"/>
    <w:rsid w:val="69BE7A7D"/>
    <w:rsid w:val="6A832EF5"/>
    <w:rsid w:val="6AAA7F05"/>
    <w:rsid w:val="6AAE27AE"/>
    <w:rsid w:val="6C846928"/>
    <w:rsid w:val="6CC3306C"/>
    <w:rsid w:val="6D3C5791"/>
    <w:rsid w:val="6E02688E"/>
    <w:rsid w:val="6E550418"/>
    <w:rsid w:val="6E560B0F"/>
    <w:rsid w:val="6EF74724"/>
    <w:rsid w:val="6EFF47BA"/>
    <w:rsid w:val="6F394D3C"/>
    <w:rsid w:val="6F6E3FD1"/>
    <w:rsid w:val="6F705600"/>
    <w:rsid w:val="6FF46C64"/>
    <w:rsid w:val="708C17E3"/>
    <w:rsid w:val="70D24CB2"/>
    <w:rsid w:val="724B2FD5"/>
    <w:rsid w:val="72B86D8A"/>
    <w:rsid w:val="72C65FB9"/>
    <w:rsid w:val="75091655"/>
    <w:rsid w:val="751C3136"/>
    <w:rsid w:val="76150602"/>
    <w:rsid w:val="76FC7D28"/>
    <w:rsid w:val="77992DA9"/>
    <w:rsid w:val="78E7601E"/>
    <w:rsid w:val="78F06C72"/>
    <w:rsid w:val="7A195E96"/>
    <w:rsid w:val="7B191EC6"/>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20"/>
    </w:pPr>
    <w:rPr>
      <w:rFonts w:ascii="宋体" w:hAnsi="宋体"/>
      <w:sz w:val="32"/>
      <w:szCs w:val="32"/>
    </w:rPr>
  </w:style>
  <w:style w:type="paragraph" w:styleId="4">
    <w:name w:val="List Number"/>
    <w:basedOn w:val="1"/>
    <w:qFormat/>
    <w:uiPriority w:val="0"/>
    <w:pPr>
      <w:numPr>
        <w:ilvl w:val="0"/>
        <w:numId w:val="1"/>
      </w:numPr>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Times New Roman"/>
    </w:rPr>
  </w:style>
  <w:style w:type="paragraph" w:styleId="7">
    <w:name w:val="Body Text Indent 2"/>
    <w:basedOn w:val="1"/>
    <w:next w:val="8"/>
    <w:qFormat/>
    <w:uiPriority w:val="0"/>
    <w:pPr>
      <w:adjustRightInd w:val="0"/>
      <w:snapToGrid w:val="0"/>
      <w:spacing w:line="440" w:lineRule="atLeast"/>
      <w:ind w:firstLine="573"/>
    </w:pPr>
    <w:rPr>
      <w:rFonts w:ascii="宋体"/>
    </w:rPr>
  </w:style>
  <w:style w:type="paragraph" w:customStyle="1" w:styleId="8">
    <w:name w:val="简单回函地址"/>
    <w:basedOn w:val="1"/>
    <w:next w:val="9"/>
    <w:qFormat/>
    <w:uiPriority w:val="0"/>
    <w:rPr>
      <w:szCs w:val="20"/>
    </w:rPr>
  </w:style>
  <w:style w:type="paragraph" w:customStyle="1" w:styleId="9">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_Style 2"/>
    <w:basedOn w:val="1"/>
    <w:qFormat/>
    <w:uiPriority w:val="34"/>
    <w:pPr>
      <w:ind w:firstLine="420" w:firstLineChars="200"/>
    </w:pPr>
  </w:style>
  <w:style w:type="paragraph" w:customStyle="1" w:styleId="18">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19">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0">
    <w:name w:val="font21"/>
    <w:basedOn w:val="15"/>
    <w:qFormat/>
    <w:uiPriority w:val="0"/>
    <w:rPr>
      <w:rFonts w:hint="eastAsia" w:ascii="宋体" w:hAnsi="宋体" w:eastAsia="宋体" w:cs="宋体"/>
      <w:color w:val="000000"/>
      <w:sz w:val="20"/>
      <w:szCs w:val="20"/>
      <w:u w:val="none"/>
    </w:rPr>
  </w:style>
  <w:style w:type="paragraph" w:customStyle="1" w:styleId="21">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paragraph" w:customStyle="1" w:styleId="22">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character" w:customStyle="1" w:styleId="23">
    <w:name w:val="font71"/>
    <w:basedOn w:val="15"/>
    <w:qFormat/>
    <w:uiPriority w:val="0"/>
    <w:rPr>
      <w:rFonts w:hint="eastAsia" w:ascii="宋体" w:hAnsi="宋体" w:eastAsia="宋体" w:cs="宋体"/>
      <w:color w:val="000000"/>
      <w:sz w:val="22"/>
      <w:szCs w:val="22"/>
      <w:u w:val="none"/>
    </w:rPr>
  </w:style>
  <w:style w:type="paragraph" w:customStyle="1" w:styleId="24">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2456</Words>
  <Characters>2563</Characters>
  <Lines>0</Lines>
  <Paragraphs>0</Paragraphs>
  <TotalTime>51</TotalTime>
  <ScaleCrop>false</ScaleCrop>
  <LinksUpToDate>false</LinksUpToDate>
  <CharactersWithSpaces>2567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小青年</cp:lastModifiedBy>
  <cp:lastPrinted>2023-04-12T07:02:00Z</cp:lastPrinted>
  <dcterms:modified xsi:type="dcterms:W3CDTF">2023-04-23T01:13:55Z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770FC33594934BA7A1849BCD676E20C8_13</vt:lpwstr>
  </property>
</Properties>
</file>