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1160" w:lineRule="exact"/>
        <w:ind w:left="0" w:leftChars="0" w:firstLine="0" w:firstLineChars="0"/>
        <w:textAlignment w:val="auto"/>
      </w:pPr>
      <w:bookmarkStart w:id="0" w:name="_GoBack"/>
      <w:bookmarkEnd w:id="0"/>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z w:val="44"/>
          <w:szCs w:val="44"/>
        </w:rPr>
        <w:t>关于新增3.0t/h天然气锅炉建设项目</w:t>
      </w:r>
      <w:r>
        <w:rPr>
          <w:rFonts w:hint="eastAsia" w:ascii="方正小标宋简体" w:hAnsi="方正小标宋简体" w:eastAsia="方正小标宋简体" w:cs="方正小标宋简体"/>
          <w:spacing w:val="-20"/>
          <w:sz w:val="44"/>
          <w:szCs w:val="44"/>
        </w:rPr>
        <w:t>环境</w:t>
      </w:r>
    </w:p>
    <w:p>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rPr>
        <w:t>影响报告表的批复</w:t>
      </w:r>
    </w:p>
    <w:p>
      <w:pPr>
        <w:pStyle w:val="4"/>
        <w:keepNext w:val="0"/>
        <w:keepLines w:val="0"/>
        <w:pageBreakBefore w:val="0"/>
        <w:widowControl w:val="0"/>
        <w:kinsoku/>
        <w:topLinePunct w:val="0"/>
        <w:autoSpaceDE/>
        <w:autoSpaceDN/>
        <w:bidi w:val="0"/>
        <w:spacing w:line="560" w:lineRule="exact"/>
        <w:textAlignment w:val="auto"/>
        <w:rPr>
          <w:rFonts w:hint="eastAsia"/>
          <w:lang w:eastAsia="zh-CN"/>
        </w:rPr>
      </w:pPr>
    </w:p>
    <w:p>
      <w:pPr>
        <w:keepNext w:val="0"/>
        <w:keepLines w:val="0"/>
        <w:pageBreakBefore w:val="0"/>
        <w:kinsoku/>
        <w:topLinePunct w:val="0"/>
        <w:autoSpaceDE/>
        <w:autoSpaceDN/>
        <w:bidi w:val="0"/>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遂宁森帝汽配制造有限责任公司：</w:t>
      </w:r>
    </w:p>
    <w:p>
      <w:pPr>
        <w:pStyle w:val="13"/>
        <w:keepNext w:val="0"/>
        <w:keepLines w:val="0"/>
        <w:pageBreakBefore w:val="0"/>
        <w:kinsoku/>
        <w:topLinePunct w:val="0"/>
        <w:autoSpaceDE/>
        <w:autoSpaceDN/>
        <w:bidi w:val="0"/>
        <w:spacing w:before="0" w:after="0"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你公司报送的《新</w:t>
      </w:r>
      <w:r>
        <w:rPr>
          <w:rFonts w:hint="eastAsia" w:ascii="仿宋_GB2312" w:hAnsi="仿宋_GB2312" w:eastAsia="仿宋_GB2312" w:cs="仿宋_GB2312"/>
          <w:bCs/>
          <w:kern w:val="2"/>
          <w:sz w:val="32"/>
          <w:szCs w:val="32"/>
          <w:lang w:val="en-US" w:eastAsia="zh-CN"/>
        </w:rPr>
        <w:t>增3.0t/h天然气</w:t>
      </w:r>
      <w:r>
        <w:rPr>
          <w:rFonts w:hint="eastAsia" w:ascii="仿宋_GB2312" w:hAnsi="仿宋_GB2312" w:eastAsia="仿宋_GB2312" w:cs="仿宋_GB2312"/>
          <w:bCs/>
          <w:sz w:val="32"/>
          <w:szCs w:val="32"/>
          <w:lang w:eastAsia="zh-CN"/>
        </w:rPr>
        <w:t>锅炉建设项目环境影响报告表》（以下简称《报告表》）收悉。经研究，批复如下：</w:t>
      </w:r>
    </w:p>
    <w:p>
      <w:pPr>
        <w:keepNext w:val="0"/>
        <w:keepLines w:val="0"/>
        <w:pageBreakBefore w:val="0"/>
        <w:numPr>
          <w:ilvl w:val="0"/>
          <w:numId w:val="1"/>
        </w:numPr>
        <w:kinsoku/>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项目为厂区热力生产和供应工程，拟</w:t>
      </w:r>
      <w:r>
        <w:rPr>
          <w:rFonts w:hint="eastAsia" w:ascii="仿宋_GB2312" w:hAnsi="仿宋_GB2312" w:eastAsia="仿宋_GB2312" w:cs="仿宋_GB2312"/>
          <w:spacing w:val="-5"/>
          <w:sz w:val="32"/>
          <w:szCs w:val="32"/>
        </w:rPr>
        <w:t>在四川大英经济开发区你公司厂区现有锅炉房内进行建设，不新增用</w:t>
      </w:r>
      <w:r>
        <w:rPr>
          <w:rFonts w:hint="eastAsia" w:ascii="仿宋_GB2312" w:hAnsi="仿宋_GB2312" w:eastAsia="仿宋_GB2312" w:cs="仿宋_GB2312"/>
          <w:bCs/>
          <w:sz w:val="32"/>
          <w:szCs w:val="32"/>
        </w:rPr>
        <w:t>地，不扩增产能。项目建设内容为：新增1台3t/h天燃气锅炉，并配套建设环保设施，原有2t/h天燃气锅炉进行低氮燃烧改造后作为备用锅炉。项目总投资100万元，环保投资1.6万元。</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sectPr>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hAnsi="仿宋_GB2312" w:eastAsia="仿宋_GB2312" w:cs="仿宋_GB2312"/>
          <w:sz w:val="32"/>
          <w:szCs w:val="32"/>
        </w:rPr>
        <w:t>项目在大英县发展和改革局备案（川投资备〔2211-510923-04-01-339644〕FGQB-0095号），属于未列入《产业结构调整指导目录》（2019年本）的允许类项目。项目在四川大英经济开发区</w:t>
      </w:r>
      <w:r>
        <w:rPr>
          <w:rFonts w:hint="eastAsia" w:ascii="仿宋_GB2312" w:hAnsi="仿宋_GB2312" w:eastAsia="仿宋_GB2312" w:cs="仿宋_GB2312"/>
          <w:bCs/>
          <w:sz w:val="32"/>
          <w:szCs w:val="32"/>
        </w:rPr>
        <w:t>你公司既有厂区内建设，不新增建设用地，</w:t>
      </w:r>
      <w:r>
        <w:rPr>
          <w:rFonts w:hint="eastAsia" w:ascii="仿宋_GB2312" w:hAnsi="仿宋_GB2312" w:eastAsia="仿宋_GB2312" w:cs="仿宋_GB2312"/>
          <w:sz w:val="32"/>
          <w:szCs w:val="32"/>
        </w:rPr>
        <w:t>用地性质为工业用地。项目建设选址的四川大英经济开发区，已开展规划环评并取得审查意见（川环建函〔2019〕48号）。《报告表》</w:t>
      </w:r>
    </w:p>
    <w:p>
      <w:pPr>
        <w:keepNext w:val="0"/>
        <w:keepLines w:val="0"/>
        <w:pageBreakBefore w:val="0"/>
        <w:kinsoku/>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认为该项目建设符合国家产业政策，选址符合相关规划和规划环评要求。</w:t>
      </w:r>
    </w:p>
    <w:p>
      <w:pPr>
        <w:keepNext w:val="0"/>
        <w:keepLines w:val="0"/>
        <w:pageBreakBefore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二、项目建设及营运应重点做好以下工作</w:t>
      </w:r>
    </w:p>
    <w:p>
      <w:pPr>
        <w:pStyle w:val="4"/>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（一）落实施工期各项环保措施。严格按照《报告表》要求，落实扬尘、施工废水、噪声、建筑垃圾等污染防治措施，减少对周围环境的影响。</w:t>
      </w:r>
    </w:p>
    <w:p>
      <w:pPr>
        <w:keepNext w:val="0"/>
        <w:keepLines w:val="0"/>
        <w:pageBreakBefore w:val="0"/>
        <w:kinsoku/>
        <w:topLinePunct w:val="0"/>
        <w:autoSpaceDE/>
        <w:autoSpaceDN/>
        <w:bidi w:val="0"/>
        <w:spacing w:line="560" w:lineRule="exact"/>
        <w:ind w:firstLine="684"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pacing w:val="11"/>
          <w:sz w:val="32"/>
          <w:szCs w:val="32"/>
        </w:rPr>
        <w:t>（二）</w:t>
      </w:r>
      <w:r>
        <w:rPr>
          <w:rFonts w:hint="eastAsia" w:ascii="仿宋_GB2312" w:hAnsi="仿宋_GB2312" w:eastAsia="仿宋_GB2312" w:cs="仿宋_GB2312"/>
          <w:bCs/>
          <w:sz w:val="32"/>
          <w:szCs w:val="32"/>
        </w:rPr>
        <w:t>落实废水处置措施</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sz w:val="32"/>
          <w:szCs w:val="32"/>
        </w:rPr>
        <w:t>锅炉废水与</w:t>
      </w:r>
      <w:r>
        <w:rPr>
          <w:rFonts w:hint="eastAsia" w:ascii="仿宋_GB2312" w:hAnsi="仿宋_GB2312" w:eastAsia="仿宋_GB2312" w:cs="仿宋_GB2312"/>
          <w:color w:val="000000"/>
          <w:kern w:val="0"/>
          <w:sz w:val="32"/>
          <w:szCs w:val="32"/>
        </w:rPr>
        <w:t>生活污水依托厂区已建预处理池处理后，经园区管网排至大英县工业污水处理厂处理达标后排入郪江</w:t>
      </w:r>
      <w:r>
        <w:rPr>
          <w:rFonts w:hint="eastAsia" w:ascii="仿宋_GB2312" w:hAnsi="仿宋_GB2312" w:eastAsia="仿宋_GB2312" w:cs="仿宋_GB2312"/>
          <w:sz w:val="32"/>
          <w:szCs w:val="32"/>
        </w:rPr>
        <w:t>。</w:t>
      </w:r>
    </w:p>
    <w:p>
      <w:pPr>
        <w:keepNext w:val="0"/>
        <w:keepLines w:val="0"/>
        <w:pageBreakBefore w:val="0"/>
        <w:kinsoku/>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Cs/>
          <w:sz w:val="32"/>
          <w:szCs w:val="32"/>
        </w:rPr>
        <w:t>落实废气处置措施</w:t>
      </w:r>
      <w:r>
        <w:rPr>
          <w:rFonts w:hint="eastAsia" w:ascii="仿宋_GB2312" w:hAnsi="仿宋_GB2312" w:eastAsia="仿宋_GB2312" w:cs="仿宋_GB2312"/>
          <w:sz w:val="32"/>
          <w:szCs w:val="32"/>
        </w:rPr>
        <w:t>。项目锅炉使用天然气，采用低氮燃烧技术，燃烧废气通过15m排气筒高空排放。</w:t>
      </w:r>
    </w:p>
    <w:p>
      <w:pPr>
        <w:pStyle w:val="4"/>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Cs/>
          <w:sz w:val="32"/>
          <w:szCs w:val="32"/>
        </w:rPr>
        <w:t>落实固体废物处置措施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sz w:val="32"/>
          <w:szCs w:val="32"/>
        </w:rPr>
        <w:t>产生的废离子交换树脂应集中收集，规范处置。</w:t>
      </w:r>
    </w:p>
    <w:p>
      <w:pPr>
        <w:pStyle w:val="4"/>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（五）落实噪声</w:t>
      </w:r>
      <w:r>
        <w:rPr>
          <w:rFonts w:hint="eastAsia" w:ascii="仿宋_GB2312" w:hAnsi="仿宋_GB2312" w:eastAsia="仿宋_GB2312" w:cs="仿宋_GB2312"/>
          <w:spacing w:val="11"/>
          <w:sz w:val="32"/>
          <w:szCs w:val="32"/>
        </w:rPr>
        <w:t>污染防治</w:t>
      </w:r>
      <w:r>
        <w:rPr>
          <w:rFonts w:hint="eastAsia" w:ascii="仿宋_GB2312" w:hAnsi="仿宋_GB2312" w:eastAsia="仿宋_GB2312" w:cs="仿宋_GB2312"/>
          <w:color w:val="000000"/>
          <w:kern w:val="0"/>
          <w:sz w:val="32"/>
          <w:szCs w:val="32"/>
        </w:rPr>
        <w:t>措施。项目生产设备应合理布局，采取选用低噪设备、基</w:t>
      </w:r>
      <w:r>
        <w:rPr>
          <w:rFonts w:hint="eastAsia" w:ascii="仿宋_GB2312" w:hAnsi="仿宋_GB2312" w:eastAsia="仿宋_GB2312" w:cs="仿宋_GB2312"/>
          <w:sz w:val="32"/>
          <w:szCs w:val="32"/>
        </w:rPr>
        <w:t>础减振等措施，确保厂界噪声满足《工业企业厂界环境噪声排放标准》（GB12348-2008）中的3类</w:t>
      </w:r>
      <w:r>
        <w:rPr>
          <w:rFonts w:hint="eastAsia" w:ascii="仿宋_GB2312" w:hAnsi="仿宋_GB2312" w:eastAsia="仿宋_GB2312" w:cs="仿宋_GB2312"/>
          <w:color w:val="000000"/>
          <w:kern w:val="0"/>
          <w:sz w:val="32"/>
          <w:szCs w:val="32"/>
        </w:rPr>
        <w:t>声环境功能区排放限值的要求。</w:t>
      </w:r>
    </w:p>
    <w:p>
      <w:pPr>
        <w:pStyle w:val="4"/>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red"/>
        </w:rPr>
      </w:pPr>
      <w:r>
        <w:rPr>
          <w:rFonts w:hint="eastAsia" w:ascii="仿宋_GB2312" w:hAnsi="仿宋_GB2312" w:eastAsia="仿宋_GB2312" w:cs="仿宋_GB2312"/>
          <w:sz w:val="32"/>
          <w:szCs w:val="32"/>
        </w:rPr>
        <w:t>三、</w:t>
      </w:r>
      <w:r>
        <w:rPr>
          <w:rFonts w:hint="eastAsia" w:ascii="仿宋_GB2312" w:hAnsi="仿宋_GB2312" w:eastAsia="仿宋_GB2312" w:cs="仿宋_GB2312"/>
          <w:bCs/>
          <w:sz w:val="32"/>
          <w:szCs w:val="32"/>
        </w:rPr>
        <w:t>根据项目环评报告预测</w:t>
      </w:r>
      <w:r>
        <w:rPr>
          <w:rFonts w:hint="eastAsia" w:ascii="仿宋_GB2312" w:hAnsi="仿宋_GB2312" w:eastAsia="仿宋_GB2312" w:cs="仿宋_GB2312"/>
          <w:sz w:val="32"/>
          <w:szCs w:val="32"/>
        </w:rPr>
        <w:t>，项目实施后主要大气污染物总量情况为：N</w:t>
      </w:r>
      <w:r>
        <w:rPr>
          <w:rFonts w:hint="eastAsia" w:ascii="仿宋_GB2312" w:hAnsi="仿宋_GB2312" w:eastAsia="仿宋_GB2312" w:cs="仿宋_GB2312"/>
          <w:bCs/>
          <w:sz w:val="32"/>
          <w:szCs w:val="32"/>
        </w:rPr>
        <w:t>O</w:t>
      </w:r>
      <w:r>
        <w:rPr>
          <w:rFonts w:hint="eastAsia" w:ascii="仿宋_GB2312" w:hAnsi="仿宋_GB2312" w:eastAsia="仿宋_GB2312" w:cs="仿宋_GB2312"/>
          <w:bCs/>
          <w:sz w:val="32"/>
          <w:szCs w:val="32"/>
          <w:vertAlign w:val="subscript"/>
        </w:rPr>
        <w:t>X</w:t>
      </w:r>
      <w:r>
        <w:rPr>
          <w:rFonts w:hint="eastAsia" w:ascii="仿宋_GB2312" w:hAnsi="仿宋_GB2312" w:eastAsia="仿宋_GB2312" w:cs="仿宋_GB2312"/>
          <w:bCs/>
          <w:sz w:val="32"/>
          <w:szCs w:val="32"/>
        </w:rPr>
        <w:t>1.2546t/a、VOC</w:t>
      </w:r>
      <w:r>
        <w:rPr>
          <w:rFonts w:hint="eastAsia" w:ascii="仿宋_GB2312" w:hAnsi="仿宋_GB2312" w:eastAsia="仿宋_GB2312" w:cs="仿宋_GB2312"/>
          <w:bCs/>
          <w:sz w:val="32"/>
          <w:szCs w:val="32"/>
          <w:vertAlign w:val="subscript"/>
        </w:rPr>
        <w:t>S</w:t>
      </w:r>
      <w:r>
        <w:rPr>
          <w:rFonts w:hint="eastAsia" w:ascii="仿宋_GB2312" w:hAnsi="仿宋_GB2312" w:eastAsia="仿宋_GB2312" w:cs="仿宋_GB2312"/>
          <w:bCs/>
          <w:sz w:val="32"/>
          <w:szCs w:val="32"/>
        </w:rPr>
        <w:t>0.19t/a、颗粒物0.609t/a；水污染物总量情况为：COD0.77t/a、NH</w:t>
      </w:r>
      <w:r>
        <w:rPr>
          <w:rFonts w:hint="eastAsia" w:ascii="仿宋_GB2312" w:hAnsi="仿宋_GB2312" w:eastAsia="仿宋_GB2312" w:cs="仿宋_GB2312"/>
          <w:bCs/>
          <w:sz w:val="32"/>
          <w:szCs w:val="32"/>
          <w:vertAlign w:val="subscript"/>
        </w:rPr>
        <w:t>3</w:t>
      </w:r>
      <w:r>
        <w:rPr>
          <w:rFonts w:hint="eastAsia" w:ascii="仿宋_GB2312" w:hAnsi="仿宋_GB2312" w:eastAsia="仿宋_GB2312" w:cs="仿宋_GB2312"/>
          <w:bCs/>
          <w:sz w:val="32"/>
          <w:szCs w:val="32"/>
        </w:rPr>
        <w:t>-N0.0602t/a（经园区污水处理厂处理达标后的排放量）。</w:t>
      </w:r>
    </w:p>
    <w:p>
      <w:pPr>
        <w:pStyle w:val="4"/>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四、项目建设应依法完备其他行政许可手续。</w:t>
      </w:r>
    </w:p>
    <w:p>
      <w:pPr>
        <w:keepNext w:val="0"/>
        <w:keepLines w:val="0"/>
        <w:pageBreakBefore w:val="0"/>
        <w:kinsoku/>
        <w:overflowPunct w:val="0"/>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spacing w:val="4"/>
          <w:kern w:val="18"/>
          <w:sz w:val="32"/>
          <w:szCs w:val="32"/>
        </w:rPr>
      </w:pPr>
      <w:r>
        <w:rPr>
          <w:rFonts w:hint="eastAsia" w:ascii="仿宋_GB2312" w:hAnsi="仿宋_GB2312" w:eastAsia="仿宋_GB2312" w:cs="仿宋_GB2312"/>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5年未开工建设，环境影响评价文件应当报我局重新审核。</w:t>
      </w:r>
    </w:p>
    <w:p>
      <w:pPr>
        <w:pageBreakBefore w:val="0"/>
        <w:widowControl w:val="0"/>
        <w:kinsoku/>
        <w:topLinePunct w:val="0"/>
        <w:autoSpaceDE/>
        <w:autoSpaceDN/>
        <w:bidi w:val="0"/>
        <w:spacing w:line="560" w:lineRule="exact"/>
        <w:textAlignment w:val="auto"/>
        <w:rPr>
          <w:rFonts w:hint="default"/>
          <w:lang w:val="en-US" w:eastAsia="zh-CN"/>
        </w:rPr>
      </w:pPr>
    </w:p>
    <w:p>
      <w:pPr>
        <w:pStyle w:val="4"/>
        <w:pageBreakBefore w:val="0"/>
        <w:widowControl w:val="0"/>
        <w:kinsoku/>
        <w:autoSpaceDE/>
        <w:autoSpaceDN/>
        <w:bidi w:val="0"/>
        <w:spacing w:line="560" w:lineRule="exact"/>
        <w:textAlignment w:val="auto"/>
        <w:rPr>
          <w:rFonts w:hint="default"/>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遂宁市大英生态环境局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4"/>
        <w:wordWrap w:val="0"/>
        <w:ind w:left="0" w:leftChars="0" w:firstLine="0" w:firstLineChars="0"/>
        <w:jc w:val="righ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18</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pStyle w:val="5"/>
        <w:rPr>
          <w:rFonts w:hint="eastAsia" w:ascii="仿宋_GB2312" w:hAnsi="仿宋_GB2312" w:eastAsia="仿宋_GB2312" w:cs="仿宋_GB2312"/>
          <w:bCs/>
          <w:sz w:val="32"/>
          <w:szCs w:val="32"/>
          <w:lang w:val="en-US" w:eastAsia="zh-CN"/>
        </w:rPr>
      </w:pPr>
    </w:p>
    <w:p>
      <w:pPr>
        <w:pStyle w:val="6"/>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4"/>
        <w:rPr>
          <w:rFonts w:hint="eastAsia" w:ascii="仿宋_GB2312" w:hAnsi="仿宋_GB2312" w:eastAsia="仿宋_GB2312" w:cs="仿宋_GB2312"/>
          <w:bCs/>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仿宋_GB2312" w:hAnsi="仿宋_GB2312" w:eastAsia="仿宋_GB2312" w:cs="仿宋_GB2312"/>
          <w:bCs/>
          <w:sz w:val="32"/>
          <w:szCs w:val="32"/>
          <w:lang w:val="en-US" w:eastAsia="zh-CN"/>
        </w:rPr>
      </w:pPr>
    </w:p>
    <w:p>
      <w:pPr>
        <w:pStyle w:val="6"/>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4"/>
        <w:rPr>
          <w:rFonts w:hint="eastAsia" w:ascii="仿宋_GB2312" w:hAnsi="仿宋_GB2312" w:eastAsia="仿宋_GB2312" w:cs="仿宋_GB2312"/>
          <w:bCs/>
          <w:sz w:val="32"/>
          <w:szCs w:val="32"/>
          <w:lang w:val="en-US" w:eastAsia="zh-CN"/>
        </w:rPr>
      </w:pPr>
    </w:p>
    <w:p>
      <w:pPr>
        <w:pStyle w:val="5"/>
        <w:rPr>
          <w:rFonts w:hint="eastAsia" w:ascii="仿宋_GB2312" w:hAnsi="仿宋_GB2312" w:eastAsia="仿宋_GB2312" w:cs="仿宋_GB2312"/>
          <w:bCs/>
          <w:sz w:val="32"/>
          <w:szCs w:val="32"/>
          <w:lang w:val="en-US" w:eastAsia="zh-CN"/>
        </w:rPr>
      </w:pPr>
    </w:p>
    <w:p>
      <w:pPr>
        <w:pStyle w:val="6"/>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4"/>
        <w:rPr>
          <w:rFonts w:hint="eastAsia" w:ascii="仿宋_GB2312" w:hAnsi="仿宋_GB2312" w:eastAsia="仿宋_GB2312" w:cs="仿宋_GB2312"/>
          <w:bCs/>
          <w:sz w:val="32"/>
          <w:szCs w:val="32"/>
          <w:lang w:val="en-US" w:eastAsia="zh-CN"/>
        </w:rPr>
      </w:pPr>
    </w:p>
    <w:p>
      <w:pPr>
        <w:pStyle w:val="5"/>
        <w:rPr>
          <w:rFonts w:hint="eastAsia" w:ascii="仿宋_GB2312" w:hAnsi="仿宋_GB2312" w:eastAsia="仿宋_GB2312" w:cs="仿宋_GB2312"/>
          <w:bCs/>
          <w:sz w:val="32"/>
          <w:szCs w:val="32"/>
          <w:lang w:val="en-US" w:eastAsia="zh-CN"/>
        </w:rPr>
      </w:pPr>
    </w:p>
    <w:p>
      <w:pPr>
        <w:pStyle w:val="6"/>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pStyle w:val="4"/>
        <w:rPr>
          <w:rFonts w:hint="eastAsia" w:ascii="仿宋_GB2312" w:hAnsi="仿宋_GB2312" w:eastAsia="仿宋_GB2312" w:cs="仿宋_GB2312"/>
          <w:bCs/>
          <w:sz w:val="32"/>
          <w:szCs w:val="32"/>
          <w:lang w:val="en-US" w:eastAsia="zh-CN"/>
        </w:rPr>
      </w:pPr>
    </w:p>
    <w:p>
      <w:pPr>
        <w:pStyle w:val="5"/>
        <w:rPr>
          <w:rFonts w:hint="eastAsia" w:ascii="仿宋_GB2312" w:hAnsi="仿宋_GB2312" w:eastAsia="仿宋_GB2312" w:cs="仿宋_GB2312"/>
          <w:bCs/>
          <w:sz w:val="32"/>
          <w:szCs w:val="32"/>
          <w:lang w:val="en-US" w:eastAsia="zh-CN"/>
        </w:rPr>
      </w:pPr>
    </w:p>
    <w:p>
      <w:pPr>
        <w:pStyle w:val="6"/>
        <w:rPr>
          <w:rFonts w:hint="eastAsia" w:ascii="仿宋_GB2312" w:hAnsi="仿宋_GB2312" w:eastAsia="仿宋_GB2312" w:cs="仿宋_GB2312"/>
          <w:bCs/>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textAlignment w:val="auto"/>
        <w:rPr>
          <w:rFonts w:hint="default"/>
          <w:lang w:val="en-US" w:eastAsia="zh-CN"/>
        </w:rPr>
      </w:pPr>
    </w:p>
    <w:p>
      <w:pPr>
        <w:rPr>
          <w:rFonts w:hint="default"/>
          <w:lang w:val="en-US" w:eastAsia="zh-CN"/>
        </w:rPr>
      </w:pPr>
    </w:p>
    <w:p>
      <w:pPr>
        <w:rPr>
          <w:rFonts w:hint="default"/>
          <w:lang w:val="en-US" w:eastAsia="zh-CN"/>
        </w:rPr>
      </w:pPr>
    </w:p>
    <w:p>
      <w:pPr>
        <w:pStyle w:val="3"/>
        <w:rPr>
          <w:rFonts w:hint="default"/>
          <w:vanish w:val="0"/>
          <w:lang w:val="en-US" w:eastAsia="zh-CN"/>
        </w:rPr>
      </w:pPr>
    </w:p>
    <w:tbl>
      <w:tblPr>
        <w:tblStyle w:val="10"/>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hidden/>
        </w:trPr>
        <w:tc>
          <w:tcPr>
            <w:tcW w:w="4422" w:type="dxa"/>
            <w:tcBorders>
              <w:tl2br w:val="nil"/>
              <w:tr2bl w:val="nil"/>
            </w:tcBorders>
            <w:vAlign w:val="top"/>
          </w:tcPr>
          <w:p>
            <w:pPr>
              <w:ind w:firstLine="280" w:firstLineChars="100"/>
              <w:jc w:val="left"/>
              <w:rPr>
                <w:rFonts w:hint="default"/>
                <w:vanish w:val="0"/>
                <w:vertAlign w:val="baseline"/>
                <w:lang w:val="en-US" w:eastAsia="zh-CN"/>
              </w:rPr>
            </w:pPr>
            <w:r>
              <w:rPr>
                <w:rFonts w:hint="eastAsia" w:ascii="仿宋" w:hAnsi="仿宋" w:eastAsia="仿宋" w:cs="仿宋"/>
                <w:vanish w:val="0"/>
                <w:color w:val="auto"/>
                <w:sz w:val="28"/>
                <w:szCs w:val="28"/>
              </w:rPr>
              <w:t>遂宁市大英生态环境局办公室</w:t>
            </w:r>
          </w:p>
        </w:tc>
        <w:tc>
          <w:tcPr>
            <w:tcW w:w="4422" w:type="dxa"/>
            <w:tcBorders>
              <w:tl2br w:val="nil"/>
              <w:tr2bl w:val="nil"/>
            </w:tcBorders>
            <w:vAlign w:val="top"/>
          </w:tcPr>
          <w:p>
            <w:pPr>
              <w:wordWrap w:val="0"/>
              <w:jc w:val="right"/>
              <w:rPr>
                <w:rFonts w:hint="eastAsia" w:eastAsia="仿宋"/>
                <w:vanish w:val="0"/>
                <w:vertAlign w:val="baseline"/>
                <w:lang w:val="en-US" w:eastAsia="zh-CN"/>
              </w:rPr>
            </w:pPr>
            <w:r>
              <w:rPr>
                <w:rFonts w:hint="eastAsia" w:ascii="仿宋" w:hAnsi="仿宋" w:eastAsia="仿宋" w:cs="仿宋"/>
                <w:vanish w:val="0"/>
                <w:color w:val="auto"/>
                <w:sz w:val="28"/>
                <w:szCs w:val="28"/>
                <w:lang w:val="en-US" w:eastAsia="zh-CN"/>
              </w:rPr>
              <w:t>2023年1月18日印</w:t>
            </w:r>
            <w:r>
              <w:rPr>
                <w:rFonts w:hint="eastAsia" w:ascii="仿宋" w:hAnsi="仿宋" w:eastAsia="仿宋" w:cs="仿宋"/>
                <w:vanish w:val="0"/>
                <w:color w:val="auto"/>
                <w:sz w:val="28"/>
                <w:szCs w:val="28"/>
              </w:rPr>
              <w:t>发</w:t>
            </w:r>
            <w:r>
              <w:rPr>
                <w:rFonts w:hint="eastAsia" w:ascii="仿宋" w:hAnsi="仿宋" w:eastAsia="仿宋" w:cs="仿宋"/>
                <w:vanish w:val="0"/>
                <w:color w:val="auto"/>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-125730</wp:posOffset>
              </wp:positionV>
              <wp:extent cx="1068705" cy="488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8705" cy="48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val="0"/>
                            <w:overflowPunct/>
                            <w:topLinePunct w:val="0"/>
                            <w:autoSpaceDE/>
                            <w:autoSpaceDN/>
                            <w:bidi w:val="0"/>
                            <w:adjustRightInd/>
                            <w:snapToGrid w:val="0"/>
                            <w:spacing w:before="397"/>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pt;height:38.5pt;width:84.15pt;mso-position-horizontal:outside;mso-position-horizontal-relative:margin;z-index:251659264;mso-width-relative:page;mso-height-relative:page;" filled="f" stroked="f" coordsize="21600,21600" o:gfxdata="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A4FN1gAAAAcBAAAPAAAAAAAAAAEAIAAAACIAAABkcnMvZG93bnJldi54&#10;bWxQSwECFAAUAAAACACHTuJAi4E0bjUCAABiBAAADgAAAAAAAAABACAAAAAlAQAAZHJzL2Uyb0Rv&#10;Yy54bWxQSwUGAAAAAAYABgBZAQAAzAUAAAAA&#10;">
              <v:fill on="f" focussize="0,0"/>
              <v:stroke on="f" weight="0.5pt"/>
              <v:imagedata o:title=""/>
              <o:lock v:ext="edit" aspectratio="f"/>
              <v:textbox inset="0mm,0mm,0mm,0mm">
                <w:txbxContent>
                  <w:p>
                    <w:pPr>
                      <w:pStyle w:val="7"/>
                      <w:keepNext w:val="0"/>
                      <w:keepLines w:val="0"/>
                      <w:pageBreakBefore w:val="0"/>
                      <w:widowControl w:val="0"/>
                      <w:kinsoku/>
                      <w:wordWrap w:val="0"/>
                      <w:overflowPunct/>
                      <w:topLinePunct w:val="0"/>
                      <w:autoSpaceDE/>
                      <w:autoSpaceDN/>
                      <w:bidi w:val="0"/>
                      <w:adjustRightInd/>
                      <w:snapToGrid w:val="0"/>
                      <w:spacing w:before="397"/>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4D21B"/>
    <w:multiLevelType w:val="singleLevel"/>
    <w:tmpl w:val="A544D2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1844E19"/>
    <w:rsid w:val="094E2162"/>
    <w:rsid w:val="0C4C2651"/>
    <w:rsid w:val="27E16961"/>
    <w:rsid w:val="2A1F2C38"/>
    <w:rsid w:val="31F50C2D"/>
    <w:rsid w:val="38C236CA"/>
    <w:rsid w:val="58C4394C"/>
    <w:rsid w:val="5EC51967"/>
    <w:rsid w:val="60570CFE"/>
    <w:rsid w:val="6E550418"/>
    <w:rsid w:val="6F6E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2"/>
    <w:basedOn w:val="1"/>
    <w:next w:val="5"/>
    <w:qFormat/>
    <w:uiPriority w:val="0"/>
    <w:pPr>
      <w:adjustRightInd w:val="0"/>
      <w:snapToGrid w:val="0"/>
      <w:spacing w:line="440" w:lineRule="atLeast"/>
      <w:ind w:firstLine="573"/>
    </w:pPr>
    <w:rPr>
      <w:rFonts w:ascii="宋体"/>
    </w:rPr>
  </w:style>
  <w:style w:type="paragraph" w:customStyle="1" w:styleId="5">
    <w:name w:val="简单回函地址"/>
    <w:basedOn w:val="1"/>
    <w:next w:val="6"/>
    <w:qFormat/>
    <w:uiPriority w:val="0"/>
    <w:rPr>
      <w:szCs w:val="20"/>
    </w:rPr>
  </w:style>
  <w:style w:type="paragraph" w:customStyle="1" w:styleId="6">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3">
    <w:name w:val="Normal_37"/>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1402</Words>
  <Characters>1441</Characters>
  <Lines>0</Lines>
  <Paragraphs>0</Paragraphs>
  <TotalTime>9</TotalTime>
  <ScaleCrop>false</ScaleCrop>
  <LinksUpToDate>false</LinksUpToDate>
  <CharactersWithSpaces>1483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洛丽塔塔塔</cp:lastModifiedBy>
  <cp:lastPrinted>2023-01-18T06:54:40Z</cp:lastPrinted>
  <dcterms:modified xsi:type="dcterms:W3CDTF">2023-01-18T07:03:35Z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84AF9974EFDA41BBB430CA9C288762B8</vt:lpwstr>
  </property>
</Properties>
</file>