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61</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pPr>
        <w:keepNext w:val="0"/>
        <w:keepLines w:val="0"/>
        <w:pageBreakBefore w:val="0"/>
        <w:widowControl w:val="0"/>
        <w:kinsoku/>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遂宁市大英生态环境局</w:t>
      </w:r>
    </w:p>
    <w:p>
      <w:pPr>
        <w:keepNext w:val="0"/>
        <w:keepLines w:val="0"/>
        <w:pageBreakBefore w:val="0"/>
        <w:widowControl w:val="0"/>
        <w:kinsoku/>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关于年产2亿只智能电子元器件项目环境</w:t>
      </w:r>
    </w:p>
    <w:p>
      <w:pPr>
        <w:keepNext w:val="0"/>
        <w:keepLines w:val="0"/>
        <w:pageBreakBefore w:val="0"/>
        <w:widowControl w:val="0"/>
        <w:kinsoku/>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影响报</w:t>
      </w:r>
      <w:bookmarkStart w:id="0" w:name="_GoBack"/>
      <w:bookmarkEnd w:id="0"/>
      <w:r>
        <w:rPr>
          <w:rFonts w:hint="eastAsia" w:ascii="方正小标宋简体" w:hAnsi="方正小标宋简体" w:eastAsia="方正小标宋简体" w:cs="方正小标宋简体"/>
          <w:sz w:val="44"/>
          <w:szCs w:val="44"/>
        </w:rPr>
        <w:t>告表的批复</w:t>
      </w:r>
    </w:p>
    <w:p>
      <w:pPr>
        <w:keepNext w:val="0"/>
        <w:keepLines w:val="0"/>
        <w:pageBreakBefore w:val="0"/>
        <w:widowControl w:val="0"/>
        <w:kinsoku/>
        <w:wordWrap w:val="0"/>
        <w:overflowPunct w:val="0"/>
        <w:topLinePunct/>
        <w:autoSpaceDE/>
        <w:autoSpaceDN/>
        <w:bidi w:val="0"/>
        <w:adjustRightInd/>
        <w:snapToGrid w:val="0"/>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autoSpaceDE/>
        <w:autoSpaceDN/>
        <w:bidi w:val="0"/>
        <w:adjustRightInd/>
        <w:spacing w:line="600" w:lineRule="exact"/>
        <w:textAlignment w:val="auto"/>
        <w:rPr>
          <w:rFonts w:eastAsia="仿宋_GB2312"/>
          <w:sz w:val="32"/>
          <w:szCs w:val="32"/>
        </w:rPr>
      </w:pPr>
      <w:r>
        <w:rPr>
          <w:rFonts w:eastAsia="仿宋_GB2312"/>
          <w:sz w:val="32"/>
          <w:szCs w:val="32"/>
        </w:rPr>
        <w:t>四川德弘电子有限公司：</w:t>
      </w:r>
    </w:p>
    <w:p>
      <w:pPr>
        <w:keepNext w:val="0"/>
        <w:keepLines w:val="0"/>
        <w:pageBreakBefore w:val="0"/>
        <w:widowControl w:val="0"/>
        <w:kinsoku/>
        <w:autoSpaceDE/>
        <w:autoSpaceDN/>
        <w:bidi w:val="0"/>
        <w:adjustRightInd/>
        <w:spacing w:line="600" w:lineRule="exact"/>
        <w:ind w:firstLine="640" w:firstLineChars="200"/>
        <w:textAlignment w:val="auto"/>
        <w:rPr>
          <w:rFonts w:eastAsia="仿宋_GB2312"/>
          <w:sz w:val="32"/>
          <w:szCs w:val="32"/>
        </w:rPr>
      </w:pPr>
      <w:r>
        <w:rPr>
          <w:rFonts w:eastAsia="仿宋_GB2312"/>
          <w:sz w:val="32"/>
          <w:szCs w:val="32"/>
        </w:rPr>
        <w:t>你公司报送的《年产</w:t>
      </w:r>
      <w:r>
        <w:rPr>
          <w:rFonts w:hint="default" w:ascii="Times New Roman" w:hAnsi="Times New Roman" w:eastAsia="仿宋_GB2312" w:cs="Times New Roman"/>
          <w:sz w:val="32"/>
          <w:szCs w:val="32"/>
        </w:rPr>
        <w:t>2</w:t>
      </w:r>
      <w:r>
        <w:rPr>
          <w:rFonts w:eastAsia="仿宋_GB2312"/>
          <w:sz w:val="32"/>
          <w:szCs w:val="32"/>
        </w:rPr>
        <w:t>亿只智能电子元器件项目环境影响报告表》（以下简称《报告表》）收悉。经研究，批复如下：</w:t>
      </w:r>
    </w:p>
    <w:p>
      <w:pPr>
        <w:keepNext w:val="0"/>
        <w:keepLines w:val="0"/>
        <w:pageBreakBefore w:val="0"/>
        <w:widowControl w:val="0"/>
        <w:kinsoku/>
        <w:autoSpaceDE/>
        <w:autoSpaceDN/>
        <w:bidi w:val="0"/>
        <w:adjustRightInd/>
        <w:spacing w:line="60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widowControl w:val="0"/>
        <w:kinsoku/>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rPr>
      </w:pPr>
      <w:r>
        <w:rPr>
          <w:rFonts w:eastAsia="仿宋_GB2312"/>
          <w:sz w:val="32"/>
          <w:szCs w:val="32"/>
        </w:rPr>
        <w:t>该项目租赁四川大英经济开发区罗家湾机电产业园标准厂</w:t>
      </w:r>
      <w:r>
        <w:rPr>
          <w:rFonts w:hint="default" w:ascii="Times New Roman" w:hAnsi="Times New Roman" w:eastAsia="仿宋_GB2312" w:cs="Times New Roman"/>
          <w:color w:val="auto"/>
          <w:sz w:val="32"/>
          <w:szCs w:val="32"/>
        </w:rPr>
        <w:t>房2栋4楼北侧区域，新建智能电子元器件生产线1条，建成达到年产智能电子元器件2亿只（变压器</w:t>
      </w:r>
      <w:r>
        <w:rPr>
          <w:rFonts w:hint="default" w:ascii="Times New Roman" w:hAnsi="Times New Roman" w:eastAsia="仿宋_GB2312" w:cs="Times New Roman"/>
          <w:color w:val="auto"/>
          <w:sz w:val="32"/>
          <w:szCs w:val="32"/>
          <w:lang w:val="en-US" w:eastAsia="zh-CN"/>
        </w:rPr>
        <w:t>7000万</w:t>
      </w:r>
      <w:r>
        <w:rPr>
          <w:rFonts w:hint="default" w:ascii="Times New Roman" w:hAnsi="Times New Roman" w:eastAsia="仿宋_GB2312" w:cs="Times New Roman"/>
          <w:color w:val="auto"/>
          <w:sz w:val="32"/>
          <w:szCs w:val="32"/>
        </w:rPr>
        <w:t>只、</w:t>
      </w:r>
      <w:r>
        <w:rPr>
          <w:rFonts w:hint="default" w:ascii="Times New Roman" w:hAnsi="Times New Roman" w:eastAsia="仿宋_GB2312" w:cs="Times New Roman"/>
          <w:color w:val="auto"/>
          <w:sz w:val="32"/>
          <w:szCs w:val="32"/>
          <w:lang w:val="en-US" w:eastAsia="zh-CN"/>
        </w:rPr>
        <w:t>磁环</w:t>
      </w:r>
      <w:r>
        <w:rPr>
          <w:rFonts w:hint="default" w:ascii="Times New Roman" w:hAnsi="Times New Roman" w:eastAsia="仿宋_GB2312" w:cs="Times New Roman"/>
          <w:color w:val="auto"/>
          <w:sz w:val="32"/>
          <w:szCs w:val="32"/>
        </w:rPr>
        <w:t>电感5000万只、电感</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000万只）的生产能力。项目总投资2800万元，环保投资10.6万元。</w:t>
      </w:r>
    </w:p>
    <w:p>
      <w:pPr>
        <w:keepNext w:val="0"/>
        <w:keepLines w:val="0"/>
        <w:pageBreakBefore w:val="0"/>
        <w:widowControl w:val="0"/>
        <w:kinsoku/>
        <w:autoSpaceDE/>
        <w:autoSpaceDN/>
        <w:bidi w:val="0"/>
        <w:adjustRightInd/>
        <w:spacing w:line="600" w:lineRule="exact"/>
        <w:ind w:firstLine="640"/>
        <w:textAlignment w:val="auto"/>
        <w:rPr>
          <w:rFonts w:hint="default" w:ascii="Times New Roman" w:hAnsi="Times New Roman" w:eastAsia="仿宋_GB2312" w:cs="Times New Roman"/>
          <w:color w:val="auto"/>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default" w:ascii="Times New Roman" w:hAnsi="Times New Roman" w:eastAsia="仿宋_GB2312" w:cs="Times New Roman"/>
          <w:color w:val="auto"/>
          <w:sz w:val="32"/>
          <w:szCs w:val="32"/>
        </w:rPr>
        <w:t>项目经大英县发展和改革局备案（川投资备〔2212-510923-04-01-619812〕FGQB-0107号），属于未列入《产业结构调整指导目录》（2019年本）中的允许类项目。项目租用已建空置标准厂房，不新增建设用地。项目选址的四川大英经济</w:t>
      </w:r>
    </w:p>
    <w:p>
      <w:pPr>
        <w:keepNext w:val="0"/>
        <w:keepLines w:val="0"/>
        <w:pageBreakBefore w:val="0"/>
        <w:widowControl w:val="0"/>
        <w:kinsoku/>
        <w:autoSpaceDE/>
        <w:autoSpaceDN/>
        <w:bidi w:val="0"/>
        <w:adjustRightInd/>
        <w:spacing w:line="60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开发区，已开展规划环评并取得审查意见（川环建函〔2019〕48号）。《报告表》认为该项目建设符合国家产业政策，选址符合相关规划和规划环评要求。</w:t>
      </w:r>
    </w:p>
    <w:p>
      <w:pPr>
        <w:keepNext w:val="0"/>
        <w:keepLines w:val="0"/>
        <w:pageBreakBefore w:val="0"/>
        <w:widowControl w:val="0"/>
        <w:kinsoku/>
        <w:autoSpaceDE/>
        <w:autoSpaceDN/>
        <w:bidi w:val="0"/>
        <w:adjustRightInd/>
        <w:spacing w:line="600" w:lineRule="exact"/>
        <w:ind w:firstLine="640"/>
        <w:textAlignment w:val="auto"/>
        <w:rPr>
          <w:rFonts w:eastAsia="仿宋_GB2312"/>
          <w:color w:val="auto"/>
          <w:sz w:val="32"/>
          <w:szCs w:val="32"/>
        </w:rPr>
      </w:pPr>
      <w:r>
        <w:rPr>
          <w:rFonts w:eastAsia="仿宋_GB2312"/>
          <w:color w:val="auto"/>
          <w:sz w:val="32"/>
          <w:szCs w:val="32"/>
        </w:rPr>
        <w:t>在严格落实《报告表》提出的环保对策及措施，严格执行环境保</w:t>
      </w:r>
      <w:r>
        <w:rPr>
          <w:rFonts w:hint="eastAsia" w:ascii="仿宋_GB2312" w:hAnsi="仿宋_GB2312" w:eastAsia="仿宋_GB2312" w:cs="仿宋_GB2312"/>
          <w:color w:val="auto"/>
          <w:sz w:val="32"/>
          <w:szCs w:val="32"/>
        </w:rPr>
        <w:t>护“三同时”制</w:t>
      </w:r>
      <w:r>
        <w:rPr>
          <w:rFonts w:eastAsia="仿宋_GB2312"/>
          <w:color w:val="auto"/>
          <w:sz w:val="32"/>
          <w:szCs w:val="32"/>
        </w:rPr>
        <w:t>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pPr>
        <w:keepNext w:val="0"/>
        <w:keepLines w:val="0"/>
        <w:pageBreakBefore w:val="0"/>
        <w:widowControl w:val="0"/>
        <w:kinsoku/>
        <w:autoSpaceDE/>
        <w:autoSpaceDN/>
        <w:bidi w:val="0"/>
        <w:adjustRightInd/>
        <w:spacing w:line="600" w:lineRule="exact"/>
        <w:textAlignment w:val="auto"/>
        <w:rPr>
          <w:rFonts w:eastAsia="仿宋_GB2312"/>
          <w:color w:val="auto"/>
          <w:sz w:val="32"/>
          <w:szCs w:val="32"/>
        </w:rPr>
      </w:pPr>
      <w:r>
        <w:rPr>
          <w:rFonts w:eastAsia="仿宋_GB2312"/>
          <w:color w:val="auto"/>
          <w:sz w:val="32"/>
          <w:szCs w:val="32"/>
        </w:rPr>
        <w:t xml:space="preserve">   </w:t>
      </w:r>
      <w:r>
        <w:rPr>
          <w:rFonts w:ascii="黑体" w:hAnsi="黑体" w:eastAsia="黑体" w:cs="黑体"/>
          <w:color w:val="auto"/>
          <w:sz w:val="32"/>
          <w:szCs w:val="32"/>
        </w:rPr>
        <w:t xml:space="preserve"> 二、项目建设及营运期重点做好以下工作</w:t>
      </w:r>
    </w:p>
    <w:p>
      <w:pPr>
        <w:keepNext w:val="0"/>
        <w:keepLines w:val="0"/>
        <w:pageBreakBefore w:val="0"/>
        <w:widowControl w:val="0"/>
        <w:kinsoku/>
        <w:autoSpaceDE/>
        <w:autoSpaceDN/>
        <w:bidi w:val="0"/>
        <w:adjustRightInd/>
        <w:spacing w:line="600" w:lineRule="exact"/>
        <w:ind w:firstLine="640" w:firstLineChars="200"/>
        <w:textAlignment w:val="auto"/>
        <w:rPr>
          <w:rFonts w:eastAsia="仿宋_GB2312"/>
          <w:color w:val="auto"/>
          <w:sz w:val="32"/>
          <w:szCs w:val="32"/>
        </w:rPr>
      </w:pPr>
      <w:r>
        <w:rPr>
          <w:rFonts w:hint="eastAsia" w:ascii="楷体_GB2312" w:hAnsi="楷体_GB2312" w:eastAsia="楷体_GB2312" w:cs="楷体_GB2312"/>
          <w:b w:val="0"/>
          <w:bCs w:val="0"/>
          <w:color w:val="auto"/>
          <w:sz w:val="32"/>
          <w:szCs w:val="32"/>
        </w:rPr>
        <w:t>（一）</w:t>
      </w:r>
      <w:r>
        <w:rPr>
          <w:rFonts w:ascii="楷体_GB2312" w:hAnsi="楷体_GB2312" w:eastAsia="楷体_GB2312" w:cs="楷体_GB2312"/>
          <w:b w:val="0"/>
          <w:bCs w:val="0"/>
          <w:color w:val="auto"/>
          <w:sz w:val="32"/>
          <w:szCs w:val="32"/>
        </w:rPr>
        <w:t>严格按照《报告表》要求，落实各项污染防治和环境风险防范措施。</w:t>
      </w:r>
      <w:r>
        <w:rPr>
          <w:rFonts w:eastAsia="仿宋_GB2312"/>
          <w:color w:val="auto"/>
          <w:sz w:val="32"/>
          <w:szCs w:val="32"/>
        </w:rPr>
        <w:t>项目租用已建闲置厂房进行适应性改造和设备安装，不进行土石方工程，严格落实施工期环境保护措施，减轻项目施工对周边环境的影响。加强营运期环保设施的日常管理和维护，确保环境设施正常运行及各类污染物稳定达标排放。</w:t>
      </w:r>
    </w:p>
    <w:p>
      <w:pPr>
        <w:keepNext w:val="0"/>
        <w:keepLines w:val="0"/>
        <w:pageBreakBefore w:val="0"/>
        <w:widowControl w:val="0"/>
        <w:kinsoku/>
        <w:autoSpaceDE/>
        <w:autoSpaceDN/>
        <w:bidi w:val="0"/>
        <w:adjustRightInd/>
        <w:spacing w:line="600" w:lineRule="exact"/>
        <w:ind w:firstLine="640" w:firstLineChars="200"/>
        <w:textAlignment w:val="auto"/>
        <w:rPr>
          <w:rFonts w:eastAsia="仿宋_GB2312"/>
          <w:color w:val="auto"/>
          <w:sz w:val="32"/>
          <w:szCs w:val="32"/>
        </w:rPr>
      </w:pPr>
      <w:r>
        <w:rPr>
          <w:rFonts w:ascii="楷体_GB2312" w:hAnsi="楷体_GB2312" w:eastAsia="楷体_GB2312" w:cs="楷体_GB2312"/>
          <w:b w:val="0"/>
          <w:bCs w:val="0"/>
          <w:color w:val="auto"/>
          <w:sz w:val="32"/>
          <w:szCs w:val="32"/>
        </w:rPr>
        <w:t>（二）落实废气污染治理措施。</w:t>
      </w:r>
      <w:r>
        <w:rPr>
          <w:rFonts w:eastAsia="仿宋_GB2312"/>
          <w:color w:val="auto"/>
          <w:sz w:val="32"/>
          <w:szCs w:val="32"/>
        </w:rPr>
        <w:t>焊锡</w:t>
      </w:r>
      <w:r>
        <w:rPr>
          <w:rFonts w:hint="eastAsia" w:eastAsia="仿宋_GB2312"/>
          <w:color w:val="auto"/>
          <w:sz w:val="32"/>
          <w:szCs w:val="32"/>
        </w:rPr>
        <w:t>工序</w:t>
      </w:r>
      <w:r>
        <w:rPr>
          <w:rFonts w:eastAsia="仿宋_GB2312"/>
          <w:color w:val="auto"/>
          <w:sz w:val="32"/>
          <w:szCs w:val="32"/>
        </w:rPr>
        <w:t>采用无铅锡条</w:t>
      </w:r>
      <w:r>
        <w:rPr>
          <w:rFonts w:hint="eastAsia" w:eastAsia="仿宋_GB2312"/>
          <w:color w:val="auto"/>
          <w:sz w:val="32"/>
          <w:szCs w:val="32"/>
        </w:rPr>
        <w:t>，沾</w:t>
      </w:r>
      <w:r>
        <w:rPr>
          <w:rFonts w:eastAsia="仿宋_GB2312"/>
          <w:color w:val="auto"/>
          <w:sz w:val="32"/>
          <w:szCs w:val="32"/>
        </w:rPr>
        <w:t>锡</w:t>
      </w:r>
      <w:r>
        <w:rPr>
          <w:rFonts w:hint="eastAsia" w:eastAsia="仿宋_GB2312"/>
          <w:color w:val="auto"/>
          <w:sz w:val="32"/>
          <w:szCs w:val="32"/>
        </w:rPr>
        <w:t>机</w:t>
      </w:r>
      <w:r>
        <w:rPr>
          <w:rFonts w:eastAsia="仿宋_GB2312"/>
          <w:color w:val="auto"/>
          <w:sz w:val="32"/>
          <w:szCs w:val="32"/>
        </w:rPr>
        <w:t>设置</w:t>
      </w:r>
      <w:r>
        <w:rPr>
          <w:rFonts w:hint="eastAsia" w:eastAsia="仿宋_GB2312"/>
          <w:color w:val="auto"/>
          <w:sz w:val="32"/>
          <w:szCs w:val="32"/>
        </w:rPr>
        <w:t>固定式全包裹</w:t>
      </w:r>
      <w:r>
        <w:rPr>
          <w:rFonts w:eastAsia="仿宋_GB2312"/>
          <w:color w:val="auto"/>
          <w:sz w:val="32"/>
          <w:szCs w:val="32"/>
        </w:rPr>
        <w:t>集气罩</w:t>
      </w:r>
      <w:r>
        <w:rPr>
          <w:rFonts w:hint="eastAsia" w:eastAsia="仿宋_GB2312"/>
          <w:color w:val="auto"/>
          <w:sz w:val="32"/>
          <w:szCs w:val="32"/>
        </w:rPr>
        <w:t>（人工操作口除外）、</w:t>
      </w:r>
      <w:r>
        <w:rPr>
          <w:rFonts w:eastAsia="仿宋_GB2312"/>
          <w:color w:val="auto"/>
          <w:sz w:val="32"/>
          <w:szCs w:val="32"/>
        </w:rPr>
        <w:t>手工焊锡（补锡）点设置万向臂型集气罩收集</w:t>
      </w:r>
      <w:r>
        <w:rPr>
          <w:rFonts w:hint="eastAsia" w:eastAsia="仿宋_GB2312"/>
          <w:color w:val="auto"/>
          <w:sz w:val="32"/>
          <w:szCs w:val="32"/>
        </w:rPr>
        <w:t>焊锡废气。</w:t>
      </w:r>
      <w:r>
        <w:rPr>
          <w:rFonts w:eastAsia="仿宋_GB2312"/>
          <w:color w:val="auto"/>
          <w:sz w:val="32"/>
          <w:szCs w:val="32"/>
        </w:rPr>
        <w:t>浸油</w:t>
      </w:r>
      <w:r>
        <w:rPr>
          <w:rFonts w:hint="eastAsia" w:eastAsia="仿宋_GB2312"/>
          <w:color w:val="auto"/>
          <w:sz w:val="32"/>
          <w:szCs w:val="32"/>
        </w:rPr>
        <w:t>、</w:t>
      </w:r>
      <w:r>
        <w:rPr>
          <w:rFonts w:eastAsia="仿宋_GB2312"/>
          <w:color w:val="auto"/>
          <w:sz w:val="32"/>
          <w:szCs w:val="32"/>
        </w:rPr>
        <w:t>烘烤工序</w:t>
      </w:r>
      <w:r>
        <w:rPr>
          <w:rFonts w:hint="eastAsia" w:eastAsia="仿宋_GB2312"/>
          <w:color w:val="auto"/>
          <w:sz w:val="32"/>
          <w:szCs w:val="32"/>
        </w:rPr>
        <w:t>设置</w:t>
      </w:r>
      <w:r>
        <w:rPr>
          <w:rFonts w:eastAsia="仿宋_GB2312"/>
          <w:color w:val="auto"/>
          <w:sz w:val="32"/>
          <w:szCs w:val="32"/>
        </w:rPr>
        <w:t>在密闭的浸油房内</w:t>
      </w:r>
      <w:r>
        <w:rPr>
          <w:rFonts w:hint="eastAsia" w:eastAsia="仿宋_GB2312"/>
          <w:color w:val="auto"/>
          <w:sz w:val="32"/>
          <w:szCs w:val="32"/>
        </w:rPr>
        <w:t>进行，房间内保持</w:t>
      </w:r>
      <w:r>
        <w:rPr>
          <w:rFonts w:eastAsia="仿宋_GB2312"/>
          <w:color w:val="auto"/>
          <w:sz w:val="32"/>
          <w:szCs w:val="32"/>
        </w:rPr>
        <w:t>微负压</w:t>
      </w:r>
      <w:r>
        <w:rPr>
          <w:rFonts w:hint="eastAsia" w:eastAsia="仿宋_GB2312"/>
          <w:color w:val="auto"/>
          <w:sz w:val="32"/>
          <w:szCs w:val="32"/>
        </w:rPr>
        <w:t>状态</w:t>
      </w:r>
      <w:r>
        <w:rPr>
          <w:rFonts w:eastAsia="仿宋_GB2312"/>
          <w:color w:val="auto"/>
          <w:sz w:val="32"/>
          <w:szCs w:val="32"/>
        </w:rPr>
        <w:t>，</w:t>
      </w:r>
      <w:r>
        <w:rPr>
          <w:rFonts w:hint="eastAsia" w:eastAsia="仿宋_GB2312"/>
          <w:color w:val="auto"/>
          <w:sz w:val="32"/>
          <w:szCs w:val="32"/>
        </w:rPr>
        <w:t>浸油废气</w:t>
      </w:r>
      <w:r>
        <w:rPr>
          <w:rFonts w:eastAsia="仿宋_GB2312"/>
          <w:color w:val="auto"/>
          <w:sz w:val="32"/>
          <w:szCs w:val="32"/>
        </w:rPr>
        <w:t>经</w:t>
      </w:r>
      <w:r>
        <w:rPr>
          <w:rFonts w:hint="eastAsia" w:eastAsia="仿宋_GB2312"/>
          <w:color w:val="auto"/>
          <w:sz w:val="32"/>
          <w:szCs w:val="32"/>
        </w:rPr>
        <w:t>含浸设备上方</w:t>
      </w:r>
      <w:r>
        <w:rPr>
          <w:rFonts w:eastAsia="仿宋_GB2312"/>
          <w:color w:val="auto"/>
          <w:sz w:val="32"/>
          <w:szCs w:val="32"/>
        </w:rPr>
        <w:t>集气罩、</w:t>
      </w:r>
      <w:r>
        <w:rPr>
          <w:rFonts w:hint="eastAsia" w:eastAsia="仿宋_GB2312"/>
          <w:color w:val="auto"/>
          <w:sz w:val="32"/>
          <w:szCs w:val="32"/>
        </w:rPr>
        <w:t>烘烤废气经</w:t>
      </w:r>
      <w:r>
        <w:rPr>
          <w:rFonts w:eastAsia="仿宋_GB2312"/>
          <w:color w:val="auto"/>
          <w:sz w:val="32"/>
          <w:szCs w:val="32"/>
        </w:rPr>
        <w:t>烘烤箱排气管收集至浸油房专用排风管道</w:t>
      </w:r>
      <w:r>
        <w:rPr>
          <w:rFonts w:hint="eastAsia" w:eastAsia="仿宋_GB2312"/>
          <w:color w:val="auto"/>
          <w:sz w:val="32"/>
          <w:szCs w:val="32"/>
        </w:rPr>
        <w:t>与焊锡废气并入</w:t>
      </w:r>
      <w:r>
        <w:rPr>
          <w:rFonts w:eastAsia="仿宋_GB2312"/>
          <w:color w:val="auto"/>
          <w:sz w:val="32"/>
          <w:szCs w:val="32"/>
        </w:rPr>
        <w:t>同一</w:t>
      </w:r>
      <w:r>
        <w:rPr>
          <w:rFonts w:hint="eastAsia" w:ascii="仿宋_GB2312" w:hAnsi="仿宋_GB2312" w:eastAsia="仿宋_GB2312" w:cs="仿宋_GB2312"/>
          <w:color w:val="auto"/>
          <w:sz w:val="32"/>
          <w:szCs w:val="32"/>
        </w:rPr>
        <w:t>套“过滤棉+二级活性炭”废气</w:t>
      </w:r>
      <w:r>
        <w:rPr>
          <w:rFonts w:eastAsia="仿宋_GB2312"/>
          <w:color w:val="auto"/>
          <w:sz w:val="32"/>
          <w:szCs w:val="32"/>
        </w:rPr>
        <w:t>处理系统处理达标后，</w:t>
      </w:r>
      <w:r>
        <w:rPr>
          <w:rFonts w:hint="default" w:ascii="Times New Roman" w:hAnsi="Times New Roman" w:eastAsia="仿宋_GB2312" w:cs="Times New Roman"/>
          <w:color w:val="auto"/>
          <w:sz w:val="32"/>
          <w:szCs w:val="32"/>
        </w:rPr>
        <w:t>通过20m高排气筒（DA001）排放。项目生产时应加强无组织废气排放管控措施，减少无组织废气</w:t>
      </w:r>
      <w:r>
        <w:rPr>
          <w:rFonts w:eastAsia="仿宋_GB2312"/>
          <w:color w:val="auto"/>
          <w:sz w:val="32"/>
          <w:szCs w:val="32"/>
        </w:rPr>
        <w:t>排放。</w:t>
      </w:r>
    </w:p>
    <w:p>
      <w:pPr>
        <w:keepNext w:val="0"/>
        <w:keepLines w:val="0"/>
        <w:pageBreakBefore w:val="0"/>
        <w:widowControl w:val="0"/>
        <w:kinsoku/>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ascii="楷体_GB2312" w:hAnsi="楷体_GB2312" w:eastAsia="楷体_GB2312" w:cs="楷体_GB2312"/>
          <w:b w:val="0"/>
          <w:bCs w:val="0"/>
          <w:color w:val="auto"/>
          <w:sz w:val="32"/>
          <w:szCs w:val="32"/>
        </w:rPr>
        <w:t>（三）落实废水污染治理措施。</w:t>
      </w:r>
      <w:r>
        <w:rPr>
          <w:rFonts w:eastAsia="仿宋_GB2312"/>
          <w:color w:val="auto"/>
          <w:sz w:val="32"/>
          <w:szCs w:val="32"/>
        </w:rPr>
        <w:t>项目不产生生产废水，生活污水经过厂区内预处理池处理达《污水综合排放标准》</w:t>
      </w:r>
      <w:r>
        <w:rPr>
          <w:rFonts w:hint="default" w:ascii="Times New Roman" w:hAnsi="Times New Roman" w:eastAsia="仿宋_GB2312" w:cs="Times New Roman"/>
          <w:color w:val="auto"/>
          <w:sz w:val="32"/>
          <w:szCs w:val="32"/>
        </w:rPr>
        <w:t>（GB8978-1996）表4中的三级标准（氨氮、总氮、总磷达到《污水排入城镇下水道水质标准》（GB/T31962-2015）表1中的B级标准）后排入园区污水管网，经大英县工业污水处理厂处理达标后排放。</w:t>
      </w:r>
    </w:p>
    <w:p>
      <w:pPr>
        <w:keepNext w:val="0"/>
        <w:keepLines w:val="0"/>
        <w:pageBreakBefore w:val="0"/>
        <w:widowControl w:val="0"/>
        <w:kinsoku/>
        <w:autoSpaceDE/>
        <w:autoSpaceDN/>
        <w:bidi w:val="0"/>
        <w:adjustRightInd/>
        <w:spacing w:line="600" w:lineRule="exact"/>
        <w:ind w:firstLine="640" w:firstLineChars="200"/>
        <w:textAlignment w:val="auto"/>
        <w:rPr>
          <w:rFonts w:eastAsia="仿宋_GB2312"/>
          <w:color w:val="auto"/>
          <w:sz w:val="32"/>
          <w:szCs w:val="32"/>
        </w:rPr>
      </w:pPr>
      <w:r>
        <w:rPr>
          <w:rFonts w:ascii="楷体_GB2312" w:hAnsi="楷体_GB2312" w:eastAsia="楷体_GB2312" w:cs="楷体_GB2312"/>
          <w:b w:val="0"/>
          <w:bCs w:val="0"/>
          <w:color w:val="auto"/>
          <w:sz w:val="32"/>
          <w:szCs w:val="32"/>
        </w:rPr>
        <w:t>（四）落实固体废物处置措施。</w:t>
      </w:r>
      <w:r>
        <w:rPr>
          <w:rFonts w:eastAsia="仿宋_GB2312"/>
          <w:color w:val="auto"/>
          <w:sz w:val="32"/>
          <w:szCs w:val="32"/>
        </w:rPr>
        <w:t>严格按照《报告表》要求，建立一般工业固体废物和危险废物台账，分类收集各类固体废物并妥善处置。废边角料、废玛拉胶带、锡渣</w:t>
      </w:r>
      <w:r>
        <w:rPr>
          <w:rFonts w:hint="eastAsia" w:eastAsia="仿宋_GB2312"/>
          <w:color w:val="auto"/>
          <w:sz w:val="32"/>
          <w:szCs w:val="32"/>
        </w:rPr>
        <w:t>、</w:t>
      </w:r>
      <w:r>
        <w:rPr>
          <w:rFonts w:eastAsia="仿宋_GB2312"/>
          <w:color w:val="auto"/>
          <w:sz w:val="32"/>
          <w:szCs w:val="32"/>
        </w:rPr>
        <w:t>废包装材料、不合格品分类收集暂存于一般固废暂存间，定期外售；生活垃圾统一收集交由环卫部门清运处理；废过滤棉、废活性炭</w:t>
      </w:r>
      <w:r>
        <w:rPr>
          <w:rFonts w:hint="eastAsia" w:eastAsia="仿宋_GB2312"/>
          <w:color w:val="auto"/>
          <w:sz w:val="32"/>
          <w:szCs w:val="32"/>
        </w:rPr>
        <w:t>、</w:t>
      </w:r>
      <w:r>
        <w:rPr>
          <w:rFonts w:eastAsia="仿宋_GB2312"/>
          <w:color w:val="auto"/>
          <w:sz w:val="32"/>
          <w:szCs w:val="32"/>
        </w:rPr>
        <w:t>废稀释剂桶、</w:t>
      </w:r>
      <w:r>
        <w:rPr>
          <w:rFonts w:hint="eastAsia" w:eastAsia="仿宋_GB2312"/>
          <w:color w:val="auto"/>
          <w:sz w:val="32"/>
          <w:szCs w:val="32"/>
        </w:rPr>
        <w:t>废凡立水桶、</w:t>
      </w:r>
      <w:r>
        <w:rPr>
          <w:rFonts w:eastAsia="仿宋_GB2312"/>
          <w:color w:val="auto"/>
          <w:sz w:val="32"/>
          <w:szCs w:val="32"/>
        </w:rPr>
        <w:t>废助焊剂桶属于危险废物，分类暂存于危险废物暂存间，定期交由有资质</w:t>
      </w:r>
      <w:r>
        <w:rPr>
          <w:rFonts w:hint="eastAsia" w:eastAsia="仿宋_GB2312"/>
          <w:color w:val="auto"/>
          <w:sz w:val="32"/>
          <w:szCs w:val="32"/>
        </w:rPr>
        <w:t>的</w:t>
      </w:r>
      <w:r>
        <w:rPr>
          <w:rFonts w:eastAsia="仿宋_GB2312"/>
          <w:color w:val="auto"/>
          <w:sz w:val="32"/>
          <w:szCs w:val="32"/>
        </w:rPr>
        <w:t>单位处置，转移过程严格落实《危险废物转移管理办法》要求。</w:t>
      </w:r>
    </w:p>
    <w:p>
      <w:pPr>
        <w:keepNext w:val="0"/>
        <w:keepLines w:val="0"/>
        <w:pageBreakBefore w:val="0"/>
        <w:widowControl w:val="0"/>
        <w:kinsoku/>
        <w:autoSpaceDE/>
        <w:autoSpaceDN/>
        <w:bidi w:val="0"/>
        <w:adjustRightInd/>
        <w:spacing w:line="600" w:lineRule="exact"/>
        <w:ind w:firstLine="640" w:firstLineChars="200"/>
        <w:textAlignment w:val="auto"/>
        <w:rPr>
          <w:rFonts w:eastAsia="仿宋_GB2312"/>
          <w:color w:val="auto"/>
          <w:sz w:val="32"/>
          <w:szCs w:val="32"/>
        </w:rPr>
      </w:pPr>
      <w:r>
        <w:rPr>
          <w:rFonts w:ascii="楷体_GB2312" w:hAnsi="楷体_GB2312" w:eastAsia="楷体_GB2312" w:cs="楷体_GB2312"/>
          <w:b w:val="0"/>
          <w:bCs w:val="0"/>
          <w:color w:val="auto"/>
          <w:sz w:val="32"/>
          <w:szCs w:val="32"/>
        </w:rPr>
        <w:t>（五）落实噪声污染防治措施。</w:t>
      </w:r>
      <w:r>
        <w:rPr>
          <w:rFonts w:eastAsia="仿宋_GB2312"/>
          <w:color w:val="auto"/>
          <w:sz w:val="32"/>
          <w:szCs w:val="32"/>
        </w:rPr>
        <w:t>项目生产设备合理布置，</w:t>
      </w:r>
      <w:r>
        <w:rPr>
          <w:rFonts w:hint="eastAsia" w:eastAsia="仿宋_GB2312"/>
          <w:color w:val="auto"/>
          <w:sz w:val="32"/>
          <w:szCs w:val="32"/>
        </w:rPr>
        <w:t>采取</w:t>
      </w:r>
      <w:r>
        <w:rPr>
          <w:rFonts w:eastAsia="仿宋_GB2312"/>
          <w:color w:val="auto"/>
          <w:sz w:val="32"/>
          <w:szCs w:val="32"/>
        </w:rPr>
        <w:t>选用低噪声设备</w:t>
      </w:r>
      <w:r>
        <w:rPr>
          <w:rFonts w:hint="eastAsia" w:eastAsia="仿宋_GB2312"/>
          <w:color w:val="auto"/>
          <w:sz w:val="32"/>
          <w:szCs w:val="32"/>
        </w:rPr>
        <w:t>、</w:t>
      </w:r>
      <w:r>
        <w:rPr>
          <w:rFonts w:eastAsia="仿宋_GB2312"/>
          <w:color w:val="auto"/>
          <w:sz w:val="32"/>
          <w:szCs w:val="32"/>
        </w:rPr>
        <w:t>减震、隔声</w:t>
      </w:r>
      <w:r>
        <w:rPr>
          <w:rFonts w:hint="eastAsia" w:eastAsia="仿宋_GB2312"/>
          <w:color w:val="auto"/>
          <w:sz w:val="32"/>
          <w:szCs w:val="32"/>
        </w:rPr>
        <w:t>、定期维护</w:t>
      </w:r>
      <w:r>
        <w:rPr>
          <w:rFonts w:eastAsia="仿宋_GB2312"/>
          <w:color w:val="auto"/>
          <w:sz w:val="32"/>
          <w:szCs w:val="32"/>
        </w:rPr>
        <w:t>等措施，确保满足《工业企业厂界环境噪声排放</w:t>
      </w:r>
      <w:r>
        <w:rPr>
          <w:rFonts w:hint="default" w:ascii="Times New Roman" w:hAnsi="Times New Roman" w:eastAsia="仿宋_GB2312" w:cs="Times New Roman"/>
          <w:color w:val="auto"/>
          <w:sz w:val="32"/>
          <w:szCs w:val="32"/>
        </w:rPr>
        <w:t>标准》（GB12348-2008）表1中的3类</w:t>
      </w:r>
      <w:r>
        <w:rPr>
          <w:rFonts w:eastAsia="仿宋_GB2312"/>
          <w:color w:val="auto"/>
          <w:sz w:val="32"/>
          <w:szCs w:val="32"/>
        </w:rPr>
        <w:t>声环境功能区</w:t>
      </w:r>
      <w:r>
        <w:rPr>
          <w:rFonts w:hint="eastAsia" w:eastAsia="仿宋_GB2312"/>
          <w:color w:val="auto"/>
          <w:sz w:val="32"/>
          <w:szCs w:val="32"/>
        </w:rPr>
        <w:t>噪声</w:t>
      </w:r>
      <w:r>
        <w:rPr>
          <w:rFonts w:eastAsia="仿宋_GB2312"/>
          <w:color w:val="auto"/>
          <w:sz w:val="32"/>
          <w:szCs w:val="32"/>
        </w:rPr>
        <w:t>排放限值的要求。</w:t>
      </w:r>
    </w:p>
    <w:p>
      <w:pPr>
        <w:keepNext w:val="0"/>
        <w:keepLines w:val="0"/>
        <w:pageBreakBefore w:val="0"/>
        <w:widowControl w:val="0"/>
        <w:kinsoku/>
        <w:autoSpaceDE/>
        <w:autoSpaceDN/>
        <w:bidi w:val="0"/>
        <w:adjustRightInd/>
        <w:spacing w:line="600" w:lineRule="exact"/>
        <w:ind w:firstLine="640" w:firstLineChars="200"/>
        <w:textAlignment w:val="auto"/>
        <w:rPr>
          <w:rFonts w:eastAsia="仿宋_GB2312"/>
          <w:color w:val="auto"/>
          <w:sz w:val="32"/>
          <w:szCs w:val="32"/>
        </w:rPr>
      </w:pPr>
      <w:r>
        <w:rPr>
          <w:rFonts w:ascii="楷体_GB2312" w:hAnsi="楷体_GB2312" w:eastAsia="楷体_GB2312" w:cs="楷体_GB2312"/>
          <w:b w:val="0"/>
          <w:bCs w:val="0"/>
          <w:color w:val="auto"/>
          <w:sz w:val="32"/>
          <w:szCs w:val="32"/>
        </w:rPr>
        <w:t>（六）落实地下水、土壤污染防治措施。</w:t>
      </w:r>
      <w:r>
        <w:rPr>
          <w:rFonts w:eastAsia="仿宋_GB2312"/>
          <w:color w:val="auto"/>
          <w:sz w:val="32"/>
          <w:szCs w:val="32"/>
        </w:rPr>
        <w:t>严格按照《报告表》要求，对危废暂存间、凡立水</w:t>
      </w:r>
      <w:r>
        <w:rPr>
          <w:rFonts w:hint="eastAsia" w:eastAsia="仿宋_GB2312"/>
          <w:color w:val="auto"/>
          <w:sz w:val="32"/>
          <w:szCs w:val="32"/>
        </w:rPr>
        <w:t>及</w:t>
      </w:r>
      <w:r>
        <w:rPr>
          <w:rFonts w:eastAsia="仿宋_GB2312"/>
          <w:color w:val="auto"/>
          <w:sz w:val="32"/>
          <w:szCs w:val="32"/>
        </w:rPr>
        <w:t>稀释剂仓库、浸油房进行重点防渗，对车间内除重点防渗区以外的其他区域进行一般防渗，对办公区进行简单防渗，防止地下水和土壤环境污染。</w:t>
      </w:r>
    </w:p>
    <w:p>
      <w:pPr>
        <w:keepNext w:val="0"/>
        <w:keepLines w:val="0"/>
        <w:pageBreakBefore w:val="0"/>
        <w:widowControl w:val="0"/>
        <w:kinsoku/>
        <w:autoSpaceDE/>
        <w:autoSpaceDN/>
        <w:bidi w:val="0"/>
        <w:adjustRightInd/>
        <w:spacing w:line="600" w:lineRule="exact"/>
        <w:ind w:firstLine="640" w:firstLineChars="200"/>
        <w:textAlignment w:val="auto"/>
        <w:rPr>
          <w:rFonts w:eastAsia="仿宋_GB2312"/>
          <w:color w:val="auto"/>
          <w:sz w:val="32"/>
          <w:szCs w:val="32"/>
        </w:rPr>
      </w:pPr>
      <w:r>
        <w:rPr>
          <w:rFonts w:ascii="楷体_GB2312" w:hAnsi="楷体_GB2312" w:eastAsia="楷体_GB2312" w:cs="楷体_GB2312"/>
          <w:b w:val="0"/>
          <w:bCs w:val="0"/>
          <w:color w:val="auto"/>
          <w:sz w:val="32"/>
          <w:szCs w:val="32"/>
        </w:rPr>
        <w:t>（七）落实环境风险防范措施。</w:t>
      </w:r>
      <w:r>
        <w:rPr>
          <w:rFonts w:eastAsia="仿宋_GB2312"/>
          <w:color w:val="auto"/>
          <w:sz w:val="32"/>
          <w:szCs w:val="32"/>
        </w:rPr>
        <w:t>严格落实《报告表》提出的风险防范措施，制定并不断完善突发环境事件应急预案，规范内部管理，严格操作规范，</w:t>
      </w:r>
      <w:r>
        <w:rPr>
          <w:rFonts w:hint="eastAsia" w:eastAsia="仿宋_GB2312"/>
          <w:color w:val="auto"/>
          <w:sz w:val="32"/>
          <w:szCs w:val="32"/>
        </w:rPr>
        <w:t>定期开展自行监测，</w:t>
      </w:r>
      <w:r>
        <w:rPr>
          <w:rFonts w:eastAsia="仿宋_GB2312"/>
          <w:color w:val="auto"/>
          <w:sz w:val="32"/>
          <w:szCs w:val="32"/>
        </w:rPr>
        <w:t>防止污染事故的发生。</w:t>
      </w:r>
    </w:p>
    <w:p>
      <w:pPr>
        <w:keepNext w:val="0"/>
        <w:keepLines w:val="0"/>
        <w:pageBreakBefore w:val="0"/>
        <w:widowControl w:val="0"/>
        <w:kinsoku/>
        <w:autoSpaceDE/>
        <w:autoSpaceDN/>
        <w:bidi w:val="0"/>
        <w:adjustRightInd/>
        <w:spacing w:line="600" w:lineRule="exact"/>
        <w:ind w:firstLine="640" w:firstLineChars="200"/>
        <w:textAlignment w:val="auto"/>
        <w:rPr>
          <w:rFonts w:hint="eastAsia" w:ascii="黑体" w:hAnsi="黑体" w:eastAsia="黑体" w:cs="黑体"/>
          <w:color w:val="auto"/>
          <w:sz w:val="32"/>
          <w:szCs w:val="32"/>
        </w:rPr>
      </w:pPr>
      <w:r>
        <w:rPr>
          <w:rFonts w:ascii="黑体" w:hAnsi="黑体" w:eastAsia="黑体" w:cs="黑体"/>
          <w:color w:val="auto"/>
          <w:sz w:val="32"/>
          <w:szCs w:val="32"/>
        </w:rPr>
        <w:t>三、</w:t>
      </w:r>
      <w:r>
        <w:rPr>
          <w:rFonts w:hint="eastAsia" w:ascii="黑体" w:hAnsi="黑体" w:eastAsia="黑体" w:cs="黑体"/>
          <w:color w:val="auto"/>
          <w:sz w:val="32"/>
          <w:szCs w:val="32"/>
        </w:rPr>
        <w:t>污染物排放总量</w:t>
      </w:r>
    </w:p>
    <w:p>
      <w:pPr>
        <w:keepNext w:val="0"/>
        <w:keepLines w:val="0"/>
        <w:pageBreakBefore w:val="0"/>
        <w:widowControl w:val="0"/>
        <w:kinsoku/>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根据《报告表》预测，项目建成后主要大气污染物排放总量为：VOC</w:t>
      </w:r>
      <w:r>
        <w:rPr>
          <w:rFonts w:hint="default" w:ascii="Times New Roman" w:hAnsi="Times New Roman" w:eastAsia="仿宋_GB2312" w:cs="Times New Roman"/>
          <w:color w:val="auto"/>
          <w:sz w:val="32"/>
          <w:szCs w:val="32"/>
          <w:highlight w:val="none"/>
          <w:vertAlign w:val="subscript"/>
        </w:rPr>
        <w:t>s</w:t>
      </w:r>
      <w:r>
        <w:rPr>
          <w:rFonts w:hint="default" w:ascii="Times New Roman" w:hAnsi="Times New Roman" w:eastAsia="仿宋_GB2312" w:cs="Times New Roman"/>
          <w:color w:val="auto"/>
          <w:sz w:val="32"/>
          <w:szCs w:val="32"/>
          <w:highlight w:val="none"/>
        </w:rPr>
        <w:t>0.</w:t>
      </w:r>
      <w:r>
        <w:rPr>
          <w:rFonts w:hint="default" w:ascii="Times New Roman" w:hAnsi="Times New Roman" w:eastAsia="仿宋_GB2312" w:cs="Times New Roman"/>
          <w:color w:val="auto"/>
          <w:sz w:val="32"/>
          <w:szCs w:val="32"/>
          <w:highlight w:val="none"/>
          <w:lang w:val="en-US" w:eastAsia="zh-CN"/>
        </w:rPr>
        <w:t>4299</w:t>
      </w:r>
      <w:r>
        <w:rPr>
          <w:rFonts w:hint="default" w:ascii="Times New Roman" w:hAnsi="Times New Roman" w:eastAsia="仿宋_GB2312" w:cs="Times New Roman"/>
          <w:color w:val="auto"/>
          <w:sz w:val="32"/>
          <w:szCs w:val="32"/>
          <w:highlight w:val="none"/>
        </w:rPr>
        <w:t>t/a；主要水污染物排放总量COD</w:t>
      </w:r>
      <w:r>
        <w:rPr>
          <w:rFonts w:hint="default" w:ascii="Times New Roman" w:hAnsi="Times New Roman" w:eastAsia="仿宋_GB2312" w:cs="Times New Roman"/>
          <w:color w:val="auto"/>
          <w:sz w:val="32"/>
          <w:szCs w:val="32"/>
          <w:highlight w:val="none"/>
          <w:vertAlign w:val="subscript"/>
          <w:lang w:val="en-US" w:eastAsia="zh-CN"/>
        </w:rPr>
        <w:t>C</w:t>
      </w:r>
      <w:r>
        <w:rPr>
          <w:rFonts w:hint="default" w:ascii="Times New Roman" w:hAnsi="Times New Roman" w:eastAsia="仿宋_GB2312" w:cs="Times New Roman"/>
          <w:color w:val="auto"/>
          <w:sz w:val="32"/>
          <w:szCs w:val="32"/>
          <w:highlight w:val="none"/>
          <w:vertAlign w:val="subscript"/>
        </w:rPr>
        <w:t>r</w:t>
      </w:r>
      <w:r>
        <w:rPr>
          <w:rFonts w:hint="default" w:ascii="Times New Roman" w:hAnsi="Times New Roman" w:eastAsia="仿宋_GB2312" w:cs="Times New Roman"/>
          <w:color w:val="auto"/>
          <w:sz w:val="32"/>
          <w:szCs w:val="32"/>
          <w:highlight w:val="none"/>
        </w:rPr>
        <w:t>0.0768t/a、氨氮0.00</w:t>
      </w:r>
      <w:r>
        <w:rPr>
          <w:rFonts w:hint="default" w:ascii="Times New Roman" w:hAnsi="Times New Roman" w:eastAsia="仿宋_GB2312" w:cs="Times New Roman"/>
          <w:color w:val="auto"/>
          <w:sz w:val="32"/>
          <w:szCs w:val="32"/>
          <w:highlight w:val="none"/>
          <w:lang w:val="en-US" w:eastAsia="zh-CN"/>
        </w:rPr>
        <w:t>38</w:t>
      </w:r>
      <w:r>
        <w:rPr>
          <w:rFonts w:hint="default" w:ascii="Times New Roman" w:hAnsi="Times New Roman" w:eastAsia="仿宋_GB2312" w:cs="Times New Roman"/>
          <w:color w:val="auto"/>
          <w:sz w:val="32"/>
          <w:szCs w:val="32"/>
          <w:highlight w:val="none"/>
        </w:rPr>
        <w:t>t/a（经</w:t>
      </w:r>
      <w:r>
        <w:rPr>
          <w:rFonts w:hint="default" w:ascii="Times New Roman" w:hAnsi="Times New Roman" w:eastAsia="仿宋_GB2312" w:cs="Times New Roman"/>
          <w:color w:val="auto"/>
          <w:sz w:val="32"/>
          <w:szCs w:val="32"/>
          <w:highlight w:val="none"/>
          <w:lang w:val="en-US" w:eastAsia="zh-CN"/>
        </w:rPr>
        <w:t>工业</w:t>
      </w:r>
      <w:r>
        <w:rPr>
          <w:rFonts w:hint="default" w:ascii="Times New Roman" w:hAnsi="Times New Roman" w:eastAsia="仿宋_GB2312" w:cs="Times New Roman"/>
          <w:color w:val="auto"/>
          <w:sz w:val="32"/>
          <w:szCs w:val="32"/>
          <w:highlight w:val="none"/>
        </w:rPr>
        <w:t>污水处理厂处理达标后的排放量）。</w:t>
      </w:r>
    </w:p>
    <w:p>
      <w:pPr>
        <w:keepNext w:val="0"/>
        <w:keepLines w:val="0"/>
        <w:pageBreakBefore w:val="0"/>
        <w:widowControl w:val="0"/>
        <w:kinsoku/>
        <w:autoSpaceDE/>
        <w:autoSpaceDN/>
        <w:bidi w:val="0"/>
        <w:adjustRightInd/>
        <w:spacing w:line="600" w:lineRule="exact"/>
        <w:ind w:firstLine="640" w:firstLineChars="200"/>
        <w:textAlignment w:val="auto"/>
        <w:rPr>
          <w:rFonts w:eastAsia="仿宋_GB2312"/>
          <w:color w:val="auto"/>
          <w:sz w:val="32"/>
          <w:szCs w:val="32"/>
          <w:highlight w:val="none"/>
        </w:rPr>
      </w:pPr>
      <w:r>
        <w:rPr>
          <w:rFonts w:ascii="黑体" w:hAnsi="黑体" w:eastAsia="黑体" w:cs="黑体"/>
          <w:color w:val="auto"/>
          <w:sz w:val="32"/>
          <w:szCs w:val="32"/>
          <w:highlight w:val="none"/>
        </w:rPr>
        <w:t>四、</w:t>
      </w:r>
      <w:r>
        <w:rPr>
          <w:rFonts w:eastAsia="仿宋_GB2312"/>
          <w:color w:val="auto"/>
          <w:sz w:val="32"/>
          <w:szCs w:val="32"/>
          <w:highlight w:val="none"/>
        </w:rPr>
        <w:t>项目建设应依法完备其他行政许可手续。</w:t>
      </w:r>
    </w:p>
    <w:p>
      <w:pPr>
        <w:keepNext w:val="0"/>
        <w:keepLines w:val="0"/>
        <w:pageBreakBefore w:val="0"/>
        <w:widowControl w:val="0"/>
        <w:kinsoku/>
        <w:autoSpaceDE/>
        <w:autoSpaceDN/>
        <w:bidi w:val="0"/>
        <w:adjustRightInd/>
        <w:spacing w:line="600" w:lineRule="exact"/>
        <w:ind w:firstLine="640" w:firstLineChars="200"/>
        <w:textAlignment w:val="auto"/>
        <w:rPr>
          <w:rFonts w:hint="eastAsia" w:ascii="黑体" w:hAnsi="黑体" w:eastAsia="黑体" w:cs="黑体"/>
          <w:color w:val="auto"/>
          <w:sz w:val="32"/>
          <w:szCs w:val="32"/>
        </w:rPr>
      </w:pPr>
      <w:r>
        <w:rPr>
          <w:rFonts w:ascii="黑体" w:hAnsi="黑体" w:eastAsia="黑体" w:cs="黑体"/>
          <w:color w:val="auto"/>
          <w:sz w:val="32"/>
          <w:szCs w:val="32"/>
        </w:rPr>
        <w:t>五、</w:t>
      </w:r>
      <w:r>
        <w:rPr>
          <w:rFonts w:hint="eastAsia" w:ascii="黑体" w:hAnsi="黑体" w:eastAsia="黑体" w:cs="黑体"/>
          <w:color w:val="auto"/>
          <w:sz w:val="32"/>
          <w:szCs w:val="32"/>
        </w:rPr>
        <w:t>验收和排污许可</w:t>
      </w:r>
    </w:p>
    <w:p>
      <w:pPr>
        <w:keepNext w:val="0"/>
        <w:keepLines w:val="0"/>
        <w:pageBreakBefore w:val="0"/>
        <w:widowControl w:val="0"/>
        <w:kinsoku/>
        <w:autoSpaceDE/>
        <w:autoSpaceDN/>
        <w:bidi w:val="0"/>
        <w:adjustRightInd/>
        <w:spacing w:line="600" w:lineRule="exact"/>
        <w:ind w:firstLine="640" w:firstLineChars="200"/>
        <w:textAlignment w:val="auto"/>
        <w:rPr>
          <w:rFonts w:eastAsia="仿宋_GB2312"/>
          <w:color w:val="auto"/>
          <w:sz w:val="32"/>
          <w:szCs w:val="32"/>
        </w:rPr>
      </w:pPr>
      <w:r>
        <w:rPr>
          <w:rFonts w:eastAsia="仿宋_GB2312"/>
          <w:color w:val="auto"/>
          <w:sz w:val="32"/>
          <w:szCs w:val="32"/>
        </w:rPr>
        <w:t>项目建设必须严格执行配套建设的环境保护设施与主体工程同时设计、同时施工、同时投产使用的环境</w:t>
      </w:r>
      <w:r>
        <w:rPr>
          <w:rFonts w:hint="eastAsia" w:ascii="仿宋_GB2312" w:hAnsi="仿宋_GB2312" w:eastAsia="仿宋_GB2312" w:cs="仿宋_GB2312"/>
          <w:color w:val="auto"/>
          <w:sz w:val="32"/>
          <w:szCs w:val="32"/>
        </w:rPr>
        <w:t>保护“三同时”制</w:t>
      </w:r>
      <w:r>
        <w:rPr>
          <w:rFonts w:eastAsia="仿宋_GB2312"/>
          <w:color w:val="auto"/>
          <w:sz w:val="32"/>
          <w:szCs w:val="32"/>
        </w:rPr>
        <w:t>度。在发生实际排污行为前，必须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keepNext w:val="0"/>
        <w:keepLines w:val="0"/>
        <w:pageBreakBefore w:val="0"/>
        <w:widowControl w:val="0"/>
        <w:kinsoku/>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eastAsia="仿宋_GB2312"/>
          <w:color w:val="auto"/>
          <w:sz w:val="32"/>
          <w:szCs w:val="32"/>
        </w:rPr>
        <w:t>项目环境影响评价文件经批准后，如工程的性质、规模、地点、采用的生产工艺或者防治污染、防止生态破坏的措施发生重</w:t>
      </w:r>
      <w:r>
        <w:rPr>
          <w:rFonts w:eastAsia="仿宋_GB2312"/>
          <w:sz w:val="32"/>
          <w:szCs w:val="32"/>
        </w:rPr>
        <w:t>大变动，你公司应当重新报批环境影响评价文件，否则不得实施</w:t>
      </w:r>
      <w:r>
        <w:rPr>
          <w:rFonts w:hint="default" w:ascii="Times New Roman" w:hAnsi="Times New Roman" w:eastAsia="仿宋_GB2312" w:cs="Times New Roman"/>
          <w:sz w:val="32"/>
          <w:szCs w:val="32"/>
        </w:rPr>
        <w:t>建设。自环评文件批准之日起，如工程超过5年未开工建设，环境影响评价文件应当报我局重新审核。</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lang w:val="en-US" w:eastAsia="zh-CN"/>
        </w:rPr>
      </w:pPr>
    </w:p>
    <w:p>
      <w:pPr>
        <w:pStyle w:val="18"/>
        <w:keepNext w:val="0"/>
        <w:keepLines w:val="0"/>
        <w:pageBreakBefore w:val="0"/>
        <w:widowControl w:val="0"/>
        <w:kinsoku/>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756" w:firstLineChars="1450"/>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keepNext w:val="0"/>
        <w:keepLines w:val="0"/>
        <w:pageBreakBefore w:val="0"/>
        <w:widowControl w:val="0"/>
        <w:kinsoku/>
        <w:wordWrap w:val="0"/>
        <w:overflowPunct/>
        <w:topLinePunct w:val="0"/>
        <w:autoSpaceDE/>
        <w:autoSpaceDN/>
        <w:bidi w:val="0"/>
        <w:adjustRightInd/>
        <w:snapToGrid/>
        <w:spacing w:line="600" w:lineRule="exact"/>
        <w:ind w:left="0" w:leftChars="0"/>
        <w:jc w:val="righ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p>
      <w:pPr>
        <w:pStyle w:val="18"/>
        <w:wordWrap/>
        <w:rPr>
          <w:rFonts w:hint="eastAsia" w:ascii="Times New Roman" w:hAnsi="Times New Roman" w:eastAsia="仿宋_GB2312" w:cs="Times New Roman"/>
          <w:kern w:val="2"/>
          <w:sz w:val="32"/>
          <w:szCs w:val="32"/>
          <w:lang w:val="en-US" w:eastAsia="zh-CN" w:bidi="ar-SA"/>
        </w:rPr>
      </w:pPr>
    </w:p>
    <w:p>
      <w:pPr>
        <w:rPr>
          <w:rFonts w:hint="eastAsia" w:ascii="Times New Roman" w:hAnsi="Times New Roman" w:eastAsia="仿宋_GB2312" w:cs="Times New Roman"/>
          <w:kern w:val="2"/>
          <w:sz w:val="32"/>
          <w:szCs w:val="32"/>
          <w:lang w:val="en-US" w:eastAsia="zh-CN" w:bidi="ar-SA"/>
        </w:rPr>
      </w:pPr>
    </w:p>
    <w:p>
      <w:pPr>
        <w:pStyle w:val="18"/>
        <w:rPr>
          <w:rFonts w:hint="eastAsia" w:ascii="Times New Roman" w:hAnsi="Times New Roman" w:eastAsia="仿宋_GB2312" w:cs="Times New Roman"/>
          <w:kern w:val="2"/>
          <w:sz w:val="32"/>
          <w:szCs w:val="32"/>
          <w:lang w:val="en-US" w:eastAsia="zh-CN" w:bidi="ar-SA"/>
        </w:rPr>
      </w:pPr>
    </w:p>
    <w:p>
      <w:pPr>
        <w:rPr>
          <w:rFonts w:hint="eastAsia" w:ascii="Times New Roman" w:hAnsi="Times New Roman" w:eastAsia="仿宋_GB2312" w:cs="Times New Roman"/>
          <w:kern w:val="2"/>
          <w:sz w:val="32"/>
          <w:szCs w:val="32"/>
          <w:lang w:val="en-US" w:eastAsia="zh-CN" w:bidi="ar-SA"/>
        </w:rPr>
      </w:pPr>
    </w:p>
    <w:p>
      <w:pPr>
        <w:pStyle w:val="18"/>
        <w:rPr>
          <w:rFonts w:hint="eastAsia" w:ascii="Times New Roman" w:hAnsi="Times New Roman" w:eastAsia="仿宋_GB2312" w:cs="Times New Roman"/>
          <w:kern w:val="2"/>
          <w:sz w:val="32"/>
          <w:szCs w:val="32"/>
          <w:lang w:val="en-US" w:eastAsia="zh-CN" w:bidi="ar-SA"/>
        </w:rPr>
      </w:pPr>
    </w:p>
    <w:p>
      <w:pPr>
        <w:rPr>
          <w:rFonts w:hint="eastAsia" w:ascii="Times New Roman" w:hAnsi="Times New Roman" w:eastAsia="仿宋_GB2312" w:cs="Times New Roman"/>
          <w:kern w:val="2"/>
          <w:sz w:val="32"/>
          <w:szCs w:val="32"/>
          <w:lang w:val="en-US" w:eastAsia="zh-CN" w:bidi="ar-SA"/>
        </w:rPr>
      </w:pPr>
    </w:p>
    <w:p>
      <w:pPr>
        <w:pStyle w:val="18"/>
        <w:rPr>
          <w:rFonts w:hint="eastAsia" w:ascii="Times New Roman" w:hAnsi="Times New Roman" w:eastAsia="仿宋_GB2312" w:cs="Times New Roman"/>
          <w:kern w:val="2"/>
          <w:sz w:val="32"/>
          <w:szCs w:val="32"/>
          <w:lang w:val="en-US" w:eastAsia="zh-CN" w:bidi="ar-SA"/>
        </w:rPr>
      </w:pPr>
    </w:p>
    <w:p>
      <w:pPr>
        <w:rPr>
          <w:rFonts w:hint="eastAsia" w:ascii="Times New Roman" w:hAnsi="Times New Roman" w:eastAsia="仿宋_GB2312" w:cs="Times New Roman"/>
          <w:kern w:val="2"/>
          <w:sz w:val="32"/>
          <w:szCs w:val="32"/>
          <w:lang w:val="en-US" w:eastAsia="zh-CN" w:bidi="ar-SA"/>
        </w:rPr>
      </w:pPr>
    </w:p>
    <w:p>
      <w:pPr>
        <w:pStyle w:val="18"/>
        <w:rPr>
          <w:rFonts w:hint="eastAsia" w:ascii="Times New Roman" w:hAnsi="Times New Roman" w:eastAsia="仿宋_GB2312" w:cs="Times New Roman"/>
          <w:kern w:val="2"/>
          <w:sz w:val="32"/>
          <w:szCs w:val="32"/>
          <w:lang w:val="en-US" w:eastAsia="zh-CN" w:bidi="ar-SA"/>
        </w:rPr>
      </w:pPr>
    </w:p>
    <w:p>
      <w:pPr>
        <w:rPr>
          <w:rFonts w:hint="eastAsia" w:ascii="Times New Roman" w:hAnsi="Times New Roman" w:eastAsia="仿宋_GB2312" w:cs="Times New Roman"/>
          <w:kern w:val="2"/>
          <w:sz w:val="32"/>
          <w:szCs w:val="32"/>
          <w:lang w:val="en-US" w:eastAsia="zh-CN" w:bidi="ar-SA"/>
        </w:rPr>
      </w:pPr>
    </w:p>
    <w:p>
      <w:pPr>
        <w:pStyle w:val="18"/>
        <w:rPr>
          <w:rFonts w:hint="eastAsia" w:ascii="Times New Roman" w:hAnsi="Times New Roman" w:eastAsia="仿宋_GB2312" w:cs="Times New Roman"/>
          <w:kern w:val="2"/>
          <w:sz w:val="32"/>
          <w:szCs w:val="32"/>
          <w:lang w:val="en-US" w:eastAsia="zh-CN" w:bidi="ar-SA"/>
        </w:rPr>
      </w:pPr>
    </w:p>
    <w:p>
      <w:pPr>
        <w:pStyle w:val="18"/>
        <w:wordWrap/>
        <w:ind w:left="0" w:leftChars="0" w:firstLine="0" w:firstLineChars="0"/>
        <w:rPr>
          <w:rFonts w:hint="default"/>
          <w:lang w:val="en-US" w:eastAsia="zh-CN"/>
        </w:rPr>
      </w:pP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1844E19"/>
    <w:rsid w:val="01FD40F1"/>
    <w:rsid w:val="02B22144"/>
    <w:rsid w:val="041E0EAD"/>
    <w:rsid w:val="05A04EB4"/>
    <w:rsid w:val="07445783"/>
    <w:rsid w:val="08157D0A"/>
    <w:rsid w:val="082B7D91"/>
    <w:rsid w:val="088675ED"/>
    <w:rsid w:val="089E130F"/>
    <w:rsid w:val="092A1E12"/>
    <w:rsid w:val="094E2162"/>
    <w:rsid w:val="098F0FA5"/>
    <w:rsid w:val="0AE4604C"/>
    <w:rsid w:val="0C4C2651"/>
    <w:rsid w:val="0F410220"/>
    <w:rsid w:val="0F5D7B56"/>
    <w:rsid w:val="0FB35FED"/>
    <w:rsid w:val="10632F32"/>
    <w:rsid w:val="108B04C2"/>
    <w:rsid w:val="11553800"/>
    <w:rsid w:val="12011292"/>
    <w:rsid w:val="13A050E7"/>
    <w:rsid w:val="14741B39"/>
    <w:rsid w:val="14AA3E63"/>
    <w:rsid w:val="15AB60E4"/>
    <w:rsid w:val="15C947BC"/>
    <w:rsid w:val="16243B6E"/>
    <w:rsid w:val="1735378C"/>
    <w:rsid w:val="1ADB2985"/>
    <w:rsid w:val="1B326960"/>
    <w:rsid w:val="1BCC1635"/>
    <w:rsid w:val="1D04432C"/>
    <w:rsid w:val="1D1F6E89"/>
    <w:rsid w:val="1DC1221D"/>
    <w:rsid w:val="1DEC2C84"/>
    <w:rsid w:val="1E29348B"/>
    <w:rsid w:val="1E6609BF"/>
    <w:rsid w:val="1EAC44A7"/>
    <w:rsid w:val="1F8E271B"/>
    <w:rsid w:val="1FC85967"/>
    <w:rsid w:val="204F3B10"/>
    <w:rsid w:val="20E64474"/>
    <w:rsid w:val="21464F13"/>
    <w:rsid w:val="224F429B"/>
    <w:rsid w:val="23631F61"/>
    <w:rsid w:val="23E07BD5"/>
    <w:rsid w:val="251C281B"/>
    <w:rsid w:val="263C2178"/>
    <w:rsid w:val="26672398"/>
    <w:rsid w:val="273A436A"/>
    <w:rsid w:val="274157D7"/>
    <w:rsid w:val="27E16961"/>
    <w:rsid w:val="29E46919"/>
    <w:rsid w:val="2A1F2C38"/>
    <w:rsid w:val="2A2D6A04"/>
    <w:rsid w:val="2A784B2D"/>
    <w:rsid w:val="2A785045"/>
    <w:rsid w:val="2AC24BA7"/>
    <w:rsid w:val="2CFA5D9C"/>
    <w:rsid w:val="2F1C72B3"/>
    <w:rsid w:val="31442D31"/>
    <w:rsid w:val="31774C75"/>
    <w:rsid w:val="31F50C2D"/>
    <w:rsid w:val="31FD6612"/>
    <w:rsid w:val="32C1089D"/>
    <w:rsid w:val="344E1C6F"/>
    <w:rsid w:val="34A22009"/>
    <w:rsid w:val="354A265C"/>
    <w:rsid w:val="37225683"/>
    <w:rsid w:val="372748CB"/>
    <w:rsid w:val="376A1E4F"/>
    <w:rsid w:val="38C236CA"/>
    <w:rsid w:val="3965276B"/>
    <w:rsid w:val="3A2A31CC"/>
    <w:rsid w:val="3C1E30AA"/>
    <w:rsid w:val="3E406C06"/>
    <w:rsid w:val="40B97948"/>
    <w:rsid w:val="415844BA"/>
    <w:rsid w:val="42A751E8"/>
    <w:rsid w:val="433E49AD"/>
    <w:rsid w:val="44000AFA"/>
    <w:rsid w:val="44242A3A"/>
    <w:rsid w:val="46564467"/>
    <w:rsid w:val="47173438"/>
    <w:rsid w:val="486C0E54"/>
    <w:rsid w:val="491F4DFE"/>
    <w:rsid w:val="4944487A"/>
    <w:rsid w:val="4C6267F5"/>
    <w:rsid w:val="4E4D24B7"/>
    <w:rsid w:val="504C6A58"/>
    <w:rsid w:val="509E5922"/>
    <w:rsid w:val="518979CC"/>
    <w:rsid w:val="52614E59"/>
    <w:rsid w:val="52A56FED"/>
    <w:rsid w:val="54454557"/>
    <w:rsid w:val="54C73958"/>
    <w:rsid w:val="558A2919"/>
    <w:rsid w:val="55D1023B"/>
    <w:rsid w:val="55E55DA1"/>
    <w:rsid w:val="566A0472"/>
    <w:rsid w:val="56B365F2"/>
    <w:rsid w:val="571C1C97"/>
    <w:rsid w:val="577473DD"/>
    <w:rsid w:val="57EE76DD"/>
    <w:rsid w:val="585711D8"/>
    <w:rsid w:val="58C4394C"/>
    <w:rsid w:val="58D418CA"/>
    <w:rsid w:val="59030A18"/>
    <w:rsid w:val="59205D38"/>
    <w:rsid w:val="59C94FB5"/>
    <w:rsid w:val="5CBA1D36"/>
    <w:rsid w:val="5D307EFB"/>
    <w:rsid w:val="5D942597"/>
    <w:rsid w:val="5DCB6DD4"/>
    <w:rsid w:val="5E800533"/>
    <w:rsid w:val="5EC51967"/>
    <w:rsid w:val="5F13397F"/>
    <w:rsid w:val="5F304531"/>
    <w:rsid w:val="60217911"/>
    <w:rsid w:val="60570CFE"/>
    <w:rsid w:val="60B414A2"/>
    <w:rsid w:val="61CF012A"/>
    <w:rsid w:val="62BB2173"/>
    <w:rsid w:val="63133F4E"/>
    <w:rsid w:val="64EF4296"/>
    <w:rsid w:val="670815C7"/>
    <w:rsid w:val="681D537C"/>
    <w:rsid w:val="69BE7A7D"/>
    <w:rsid w:val="69CD2D06"/>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B86D8A"/>
    <w:rsid w:val="72C65FB9"/>
    <w:rsid w:val="73FB1924"/>
    <w:rsid w:val="746F0F41"/>
    <w:rsid w:val="75091655"/>
    <w:rsid w:val="751C3136"/>
    <w:rsid w:val="76150602"/>
    <w:rsid w:val="76FC7D28"/>
    <w:rsid w:val="77992DA9"/>
    <w:rsid w:val="78E7601E"/>
    <w:rsid w:val="78F06C72"/>
    <w:rsid w:val="79C96773"/>
    <w:rsid w:val="7A195E96"/>
    <w:rsid w:val="7B191EC6"/>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line="560" w:lineRule="exact"/>
      <w:outlineLvl w:val="2"/>
    </w:pPr>
    <w:rPr>
      <w:rFonts w:eastAsia="楷体"/>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List Number"/>
    <w:basedOn w:val="1"/>
    <w:qFormat/>
    <w:uiPriority w:val="0"/>
    <w:pPr>
      <w:numPr>
        <w:ilvl w:val="0"/>
        <w:numId w:val="1"/>
      </w:numPr>
    </w:pPr>
  </w:style>
  <w:style w:type="paragraph" w:styleId="6">
    <w:name w:val="Body Text"/>
    <w:basedOn w:val="1"/>
    <w:next w:val="1"/>
    <w:qFormat/>
    <w:uiPriority w:val="0"/>
    <w:pPr>
      <w:ind w:left="120"/>
    </w:pPr>
    <w:rPr>
      <w:rFonts w:ascii="宋体" w:hAnsi="宋体"/>
      <w:sz w:val="32"/>
      <w:szCs w:val="32"/>
    </w:r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eastAsia="宋体" w:cs="Times New Roman"/>
    </w:rPr>
  </w:style>
  <w:style w:type="paragraph" w:styleId="9">
    <w:name w:val="Body Text Indent 2"/>
    <w:basedOn w:val="1"/>
    <w:next w:val="10"/>
    <w:qFormat/>
    <w:uiPriority w:val="0"/>
    <w:pPr>
      <w:adjustRightInd w:val="0"/>
      <w:snapToGrid w:val="0"/>
      <w:spacing w:line="440" w:lineRule="atLeast"/>
      <w:ind w:firstLine="573"/>
    </w:pPr>
    <w:rPr>
      <w:rFonts w:ascii="宋体"/>
    </w:rPr>
  </w:style>
  <w:style w:type="paragraph" w:customStyle="1" w:styleId="10">
    <w:name w:val="简单回函地址"/>
    <w:basedOn w:val="1"/>
    <w:next w:val="11"/>
    <w:qFormat/>
    <w:uiPriority w:val="0"/>
    <w:rPr>
      <w:szCs w:val="20"/>
    </w:rPr>
  </w:style>
  <w:style w:type="paragraph" w:customStyle="1" w:styleId="11">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2"/>
    <w:basedOn w:val="7"/>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paragraph" w:customStyle="1" w:styleId="19">
    <w:name w:val="_Style 2"/>
    <w:basedOn w:val="1"/>
    <w:qFormat/>
    <w:uiPriority w:val="34"/>
    <w:pPr>
      <w:ind w:firstLine="420" w:firstLineChars="200"/>
    </w:pPr>
  </w:style>
  <w:style w:type="paragraph" w:customStyle="1" w:styleId="20">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1">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2">
    <w:name w:val="font21"/>
    <w:basedOn w:val="17"/>
    <w:qFormat/>
    <w:uiPriority w:val="0"/>
    <w:rPr>
      <w:rFonts w:hint="eastAsia" w:ascii="宋体" w:hAnsi="宋体" w:eastAsia="宋体" w:cs="宋体"/>
      <w:color w:val="000000"/>
      <w:sz w:val="20"/>
      <w:szCs w:val="20"/>
      <w:u w:val="none"/>
    </w:rPr>
  </w:style>
  <w:style w:type="paragraph" w:customStyle="1" w:styleId="23">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4">
    <w:name w:val="font71"/>
    <w:basedOn w:val="17"/>
    <w:qFormat/>
    <w:uiPriority w:val="0"/>
    <w:rPr>
      <w:rFonts w:hint="eastAsia" w:ascii="宋体" w:hAnsi="宋体" w:eastAsia="宋体" w:cs="宋体"/>
      <w:color w:val="000000"/>
      <w:sz w:val="22"/>
      <w:szCs w:val="22"/>
      <w:u w:val="none"/>
    </w:rPr>
  </w:style>
  <w:style w:type="paragraph" w:customStyle="1" w:styleId="25">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2019</Words>
  <Characters>2158</Characters>
  <Lines>0</Lines>
  <Paragraphs>0</Paragraphs>
  <TotalTime>14</TotalTime>
  <ScaleCrop>false</ScaleCrop>
  <LinksUpToDate>false</LinksUpToDate>
  <CharactersWithSpaces>2171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小青年</cp:lastModifiedBy>
  <cp:lastPrinted>2023-06-08T02:02:35Z</cp:lastPrinted>
  <dcterms:modified xsi:type="dcterms:W3CDTF">2023-06-08T02:08:11Z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770FC33594934BA7A1849BCD676E20C8_13</vt:lpwstr>
  </property>
</Properties>
</file>