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73</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sz w:val="32"/>
          <w:szCs w:val="32"/>
        </w:rPr>
      </w:pPr>
    </w:p>
    <w:p>
      <w:pPr>
        <w:pageBreakBefore w:val="0"/>
        <w:widowControl w:val="0"/>
        <w:kinsoku/>
        <w:wordWrap/>
        <w:overflowPunct/>
        <w:topLinePunct w:val="0"/>
        <w:autoSpaceDE/>
        <w:autoSpaceDN/>
        <w:bidi w:val="0"/>
        <w:adjustRightInd/>
        <w:snapToGrid/>
        <w:spacing w:line="600" w:lineRule="exact"/>
        <w:textAlignment w:val="auto"/>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遂宁市大英生态环境局</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汽车尼龙管路系统生产项目</w:t>
      </w:r>
      <w:r>
        <w:rPr>
          <w:rFonts w:ascii="Times New Roman" w:hAnsi="Times New Roman" w:eastAsia="方正小标宋简体" w:cs="Times New Roman"/>
          <w:sz w:val="44"/>
          <w:szCs w:val="44"/>
        </w:rPr>
        <w:t>环境影响</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报告表的批复</w:t>
      </w:r>
    </w:p>
    <w:p>
      <w:pPr>
        <w:keepNext w:val="0"/>
        <w:keepLines w:val="0"/>
        <w:pageBreakBefore w:val="0"/>
        <w:widowControl w:val="0"/>
        <w:kinsoku/>
        <w:wordWrap w:val="0"/>
        <w:overflowPunct w:val="0"/>
        <w:topLinePunct/>
        <w:autoSpaceDE/>
        <w:autoSpaceDN/>
        <w:bidi w:val="0"/>
        <w:adjustRightInd/>
        <w:snapToGrid w:val="0"/>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四川森旭汽车零部件有限公司：</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你公司报送的《汽车尼龙管路系统生产项目环境影响报告表》收悉。经研究，批复如下：</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一、项目概况及总体意见</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项目租</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赁四川大英经济开发区罗家湾机电产业园</w:t>
      </w:r>
      <w:r>
        <w:rPr>
          <w:rFonts w:hint="default" w:ascii="Times New Roman" w:hAnsi="Times New Roman" w:eastAsia="仿宋_GB2312" w:cs="Times New Roman"/>
          <w:b w:val="0"/>
          <w:bCs w:val="0"/>
          <w:sz w:val="32"/>
          <w:szCs w:val="32"/>
        </w:rPr>
        <w:t>1号标准厂房4楼，新建汽车尼龙管路系统生产线1条，主要设置成型隧道烤箱（电能）、伺服装配机、气密检测仪等设施设备，建设仓储、办公、环保等配套设施。项目建成后形成生产各类汽车尼龙管路（汽车燃油管、新能源汽车冷却管、真空制动管、天窗排水管、发动机通风管）500万米/年的生产能力。项目总投资2500万元，其中环保投资14.5万元。</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项目经大英县发展和改革局备案（川投资备〔</w:t>
      </w:r>
      <w:r>
        <w:rPr>
          <w:rFonts w:hint="default" w:ascii="Times New Roman" w:hAnsi="Times New Roman" w:eastAsia="仿宋_GB2312" w:cs="Times New Roman"/>
          <w:b w:val="0"/>
          <w:bCs w:val="0"/>
          <w:sz w:val="32"/>
          <w:szCs w:val="32"/>
        </w:rPr>
        <w:t>2301-510923-04-01-573321〕FGQB-0003</w:t>
      </w:r>
      <w:r>
        <w:rPr>
          <w:rFonts w:hint="eastAsia" w:ascii="仿宋_GB2312" w:hAnsi="仿宋_GB2312" w:eastAsia="仿宋_GB2312" w:cs="仿宋_GB2312"/>
          <w:b w:val="0"/>
          <w:bCs w:val="0"/>
          <w:sz w:val="32"/>
          <w:szCs w:val="32"/>
        </w:rPr>
        <w:t>号），属于未列入《产业结构调整指导目录》（</w:t>
      </w:r>
      <w:r>
        <w:rPr>
          <w:rFonts w:hint="default" w:ascii="Times New Roman" w:hAnsi="Times New Roman" w:eastAsia="仿宋_GB2312" w:cs="Times New Roman"/>
          <w:b w:val="0"/>
          <w:bCs w:val="0"/>
          <w:sz w:val="32"/>
          <w:szCs w:val="32"/>
        </w:rPr>
        <w:t>2019</w:t>
      </w:r>
      <w:r>
        <w:rPr>
          <w:rFonts w:hint="eastAsia" w:ascii="仿宋_GB2312" w:hAnsi="仿宋_GB2312" w:eastAsia="仿宋_GB2312" w:cs="仿宋_GB2312"/>
          <w:b w:val="0"/>
          <w:bCs w:val="0"/>
          <w:sz w:val="32"/>
          <w:szCs w:val="32"/>
        </w:rPr>
        <w:t>年本）中的允许类项目。项目租用</w:t>
      </w:r>
    </w:p>
    <w:p>
      <w:pPr>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val="0"/>
          <w:bCs w:val="0"/>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p>
    <w:p>
      <w:pPr>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已建闲置标准厂房，不新增建设用地。项目选址的四川大英经济</w:t>
      </w:r>
    </w:p>
    <w:p>
      <w:pPr>
        <w:keepNext w:val="0"/>
        <w:keepLines w:val="0"/>
        <w:pageBreakBefore w:val="0"/>
        <w:widowControl w:val="0"/>
        <w:kinsoku/>
        <w:wordWrap/>
        <w:topLinePunct w:val="0"/>
        <w:autoSpaceDE/>
        <w:autoSpaceDN/>
        <w:bidi w:val="0"/>
        <w:adjustRightInd/>
        <w:spacing w:line="560" w:lineRule="exact"/>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bCs w:val="0"/>
          <w:sz w:val="32"/>
          <w:szCs w:val="32"/>
        </w:rPr>
        <w:t>开发区已开展规划环评并取得审查意见（川环建函〔2019〕48</w:t>
      </w:r>
      <w:r>
        <w:rPr>
          <w:rFonts w:hint="eastAsia" w:ascii="仿宋_GB2312" w:hAnsi="仿宋_GB2312" w:eastAsia="仿宋_GB2312" w:cs="仿宋_GB2312"/>
          <w:b w:val="0"/>
          <w:bCs w:val="0"/>
          <w:sz w:val="32"/>
          <w:szCs w:val="32"/>
        </w:rPr>
        <w:t>号）。《报告表》认为该项目建设符合国家产业政策，选址符合相关规划和规划环评要求。</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pPr>
        <w:keepNext w:val="0"/>
        <w:keepLines w:val="0"/>
        <w:pageBreakBefore w:val="0"/>
        <w:widowControl w:val="0"/>
        <w:kinsoku/>
        <w:wordWrap/>
        <w:topLinePunct w:val="0"/>
        <w:autoSpaceDE/>
        <w:autoSpaceDN/>
        <w:bidi w:val="0"/>
        <w:adjustRightIn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二、项目建设及营运重点做好以下工作</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（一）落实污染防治和环境风险防范措施。</w:t>
      </w:r>
      <w:r>
        <w:rPr>
          <w:rFonts w:hint="eastAsia" w:ascii="仿宋_GB2312" w:hAnsi="仿宋_GB2312" w:eastAsia="仿宋_GB2312" w:cs="仿宋_GB2312"/>
          <w:b w:val="0"/>
          <w:bCs w:val="0"/>
          <w:color w:val="000000"/>
          <w:kern w:val="18"/>
          <w:sz w:val="32"/>
          <w:szCs w:val="32"/>
        </w:rPr>
        <w:t>项目租用已建成的闲置厂房进行适应性改造和设备安装，不进行土石方工程。项目建设严格落实施工期环境保护措施，减轻项目施工对周边环境的影响。加强运营期环保设施的日常管理和维护，确保环保设施正常运行及各类污染物稳定达标排放。制定并不断完善突发环境事件应急预案，规范内部管理，严格操作规范，定期开展自行监测，防止污染事故的发生。</w:t>
      </w:r>
    </w:p>
    <w:p>
      <w:pPr>
        <w:keepNext w:val="0"/>
        <w:keepLines w:val="0"/>
        <w:pageBreakBefore w:val="0"/>
        <w:widowControl w:val="0"/>
        <w:kinsoku/>
        <w:wordWrap/>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（二）落实废气污染防治措施。</w:t>
      </w:r>
      <w:r>
        <w:rPr>
          <w:rFonts w:hint="eastAsia" w:ascii="仿宋_GB2312" w:hAnsi="仿宋_GB2312" w:eastAsia="仿宋_GB2312" w:cs="仿宋_GB2312"/>
          <w:b w:val="0"/>
          <w:bCs w:val="0"/>
          <w:color w:val="000000"/>
          <w:kern w:val="18"/>
          <w:sz w:val="32"/>
          <w:szCs w:val="32"/>
        </w:rPr>
        <w:t>尼龙管热塑</w:t>
      </w:r>
      <w:bookmarkStart w:id="0" w:name="_GoBack"/>
      <w:bookmarkEnd w:id="0"/>
      <w:r>
        <w:rPr>
          <w:rFonts w:hint="eastAsia" w:ascii="仿宋_GB2312" w:hAnsi="仿宋_GB2312" w:eastAsia="仿宋_GB2312" w:cs="仿宋_GB2312"/>
          <w:b w:val="0"/>
          <w:bCs w:val="0"/>
          <w:color w:val="000000"/>
          <w:kern w:val="18"/>
          <w:sz w:val="32"/>
          <w:szCs w:val="32"/>
        </w:rPr>
        <w:t>在相对封闭的隧道烤箱内进行，在隧道烤箱上设置废气收集管道，对产生的废气进行抽风收集，经过“喷淋+干燥棉干燥+活性炭吸附”装置处理达标后，通</w:t>
      </w:r>
      <w:r>
        <w:rPr>
          <w:rFonts w:hint="default" w:ascii="Times New Roman" w:hAnsi="Times New Roman" w:eastAsia="仿宋_GB2312" w:cs="Times New Roman"/>
          <w:b w:val="0"/>
          <w:bCs w:val="0"/>
          <w:color w:val="000000"/>
          <w:kern w:val="18"/>
          <w:sz w:val="32"/>
          <w:szCs w:val="32"/>
        </w:rPr>
        <w:t>过25米排气筒（DA001）排</w:t>
      </w:r>
      <w:r>
        <w:rPr>
          <w:rFonts w:hint="eastAsia" w:ascii="仿宋_GB2312" w:hAnsi="仿宋_GB2312" w:eastAsia="仿宋_GB2312" w:cs="仿宋_GB2312"/>
          <w:b w:val="0"/>
          <w:bCs w:val="0"/>
          <w:color w:val="000000"/>
          <w:kern w:val="18"/>
          <w:sz w:val="32"/>
          <w:szCs w:val="32"/>
        </w:rPr>
        <w:t>放。项目生产时应加强无组织废气排放管控措施，减少废气无组织排放。</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（三）落实废水污染防治措施。</w:t>
      </w:r>
      <w:r>
        <w:rPr>
          <w:rFonts w:hint="eastAsia" w:ascii="仿宋_GB2312" w:hAnsi="仿宋_GB2312" w:eastAsia="仿宋_GB2312" w:cs="仿宋_GB2312"/>
          <w:b w:val="0"/>
          <w:bCs w:val="0"/>
          <w:color w:val="000000"/>
          <w:kern w:val="18"/>
          <w:sz w:val="32"/>
          <w:szCs w:val="32"/>
        </w:rPr>
        <w:t>尼龙管热塑成型的冷却水和废气处理系统的喷淋废水原则上循环使用不外排，</w:t>
      </w:r>
      <w:r>
        <w:rPr>
          <w:rFonts w:hint="eastAsia" w:ascii="仿宋_GB2312" w:hAnsi="仿宋_GB2312" w:eastAsia="仿宋_GB2312" w:cs="仿宋_GB2312"/>
          <w:b w:val="0"/>
          <w:bCs w:val="0"/>
          <w:sz w:val="32"/>
          <w:szCs w:val="32"/>
        </w:rPr>
        <w:t>确需</w:t>
      </w:r>
      <w:r>
        <w:rPr>
          <w:rFonts w:hint="eastAsia" w:ascii="仿宋_GB2312" w:hAnsi="仿宋_GB2312" w:eastAsia="仿宋_GB2312" w:cs="仿宋_GB2312"/>
          <w:b w:val="0"/>
          <w:bCs w:val="0"/>
          <w:color w:val="000000"/>
          <w:kern w:val="18"/>
          <w:sz w:val="32"/>
          <w:szCs w:val="32"/>
        </w:rPr>
        <w:t>更换的循</w:t>
      </w:r>
      <w:r>
        <w:rPr>
          <w:rFonts w:hint="default" w:ascii="Times New Roman" w:hAnsi="Times New Roman" w:eastAsia="仿宋_GB2312" w:cs="Times New Roman"/>
          <w:b w:val="0"/>
          <w:bCs w:val="0"/>
          <w:color w:val="000000"/>
          <w:kern w:val="18"/>
          <w:sz w:val="32"/>
          <w:szCs w:val="32"/>
        </w:rPr>
        <w:t>环冷却水和喷淋废水与生活废水经预处理达《污水综合排放标准》（GB8978-1996）表4中的三级标准（氨氮、总氮、总磷达到《污水排入城镇下水道水质标准》（GB/T31962-2015）表1中的B级标准）后排入园区污水管网，经大英县工业污水处理厂处理达标</w:t>
      </w:r>
      <w:r>
        <w:rPr>
          <w:rFonts w:hint="eastAsia" w:ascii="仿宋_GB2312" w:hAnsi="仿宋_GB2312" w:eastAsia="仿宋_GB2312" w:cs="仿宋_GB2312"/>
          <w:b w:val="0"/>
          <w:bCs w:val="0"/>
          <w:color w:val="000000"/>
          <w:kern w:val="18"/>
          <w:sz w:val="32"/>
          <w:szCs w:val="32"/>
        </w:rPr>
        <w:t>后排放。</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（四）落实固体废物处置措施</w:t>
      </w:r>
      <w:r>
        <w:rPr>
          <w:rFonts w:hint="eastAsia" w:ascii="楷体" w:hAnsi="楷体" w:eastAsia="楷体" w:cs="楷体"/>
          <w:b w:val="0"/>
          <w:bCs w:val="0"/>
          <w:color w:val="000000"/>
          <w:kern w:val="18"/>
          <w:sz w:val="32"/>
          <w:szCs w:val="32"/>
        </w:rPr>
        <w:t>。</w:t>
      </w:r>
      <w:r>
        <w:rPr>
          <w:rFonts w:hint="eastAsia" w:ascii="仿宋_GB2312" w:hAnsi="仿宋_GB2312" w:eastAsia="仿宋_GB2312" w:cs="仿宋_GB2312"/>
          <w:b w:val="0"/>
          <w:bCs w:val="0"/>
          <w:color w:val="000000"/>
          <w:kern w:val="18"/>
          <w:sz w:val="32"/>
          <w:szCs w:val="32"/>
        </w:rPr>
        <w:t>严格按照《报告表》要求分类收集各类固体废物并妥善处置。尼龙管废边角料、不合格产品、废包装材料分类收集暂存于一般固废暂存间，定期外售；生活垃圾统一交由环卫部门清运处理；废润滑油、废润滑油桶、废活性炭、废含油手套及抹布等危险废物分类分区暂存于危废暂存间，定期交由有资质的单位处置，转移过程严格落实《危险废物转移管理办法》要求。</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（五）落实噪声污染防治措施。</w:t>
      </w:r>
      <w:r>
        <w:rPr>
          <w:rFonts w:hint="eastAsia" w:ascii="仿宋_GB2312" w:hAnsi="仿宋_GB2312" w:eastAsia="仿宋_GB2312" w:cs="仿宋_GB2312"/>
          <w:b w:val="0"/>
          <w:bCs w:val="0"/>
          <w:color w:val="000000"/>
          <w:kern w:val="18"/>
          <w:sz w:val="32"/>
          <w:szCs w:val="32"/>
        </w:rPr>
        <w:t>生产设备合理布置，采取选用低噪声设备、基础减震、加强设备维护等措施，确保满足《工业企业厂界环境噪声排放标准》（</w:t>
      </w:r>
      <w:r>
        <w:rPr>
          <w:rFonts w:hint="default" w:ascii="Times New Roman" w:hAnsi="Times New Roman" w:eastAsia="仿宋_GB2312" w:cs="Times New Roman"/>
          <w:b w:val="0"/>
          <w:bCs w:val="0"/>
          <w:color w:val="000000"/>
          <w:kern w:val="18"/>
          <w:sz w:val="32"/>
          <w:szCs w:val="32"/>
        </w:rPr>
        <w:t>GB12348-2008）表1中的3</w:t>
      </w:r>
      <w:r>
        <w:rPr>
          <w:rFonts w:hint="eastAsia" w:ascii="仿宋_GB2312" w:hAnsi="仿宋_GB2312" w:eastAsia="仿宋_GB2312" w:cs="仿宋_GB2312"/>
          <w:b w:val="0"/>
          <w:bCs w:val="0"/>
          <w:color w:val="000000"/>
          <w:kern w:val="18"/>
          <w:sz w:val="32"/>
          <w:szCs w:val="32"/>
        </w:rPr>
        <w:t>类声功能区噪声排放限值要求。</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18"/>
          <w:sz w:val="32"/>
          <w:szCs w:val="32"/>
        </w:rPr>
      </w:pPr>
      <w:r>
        <w:rPr>
          <w:rFonts w:hint="eastAsia" w:ascii="楷体" w:hAnsi="楷体" w:eastAsia="楷体" w:cs="楷体"/>
          <w:b w:val="0"/>
          <w:bCs w:val="0"/>
          <w:sz w:val="32"/>
          <w:szCs w:val="32"/>
        </w:rPr>
        <w:t>（六）落实土壤和地下水污染防治措施。</w:t>
      </w:r>
      <w:r>
        <w:rPr>
          <w:rFonts w:hint="eastAsia" w:ascii="仿宋_GB2312" w:hAnsi="仿宋_GB2312" w:eastAsia="仿宋_GB2312" w:cs="仿宋_GB2312"/>
          <w:b w:val="0"/>
          <w:bCs w:val="0"/>
          <w:color w:val="000000"/>
          <w:kern w:val="18"/>
          <w:sz w:val="32"/>
          <w:szCs w:val="32"/>
        </w:rPr>
        <w:t>严格按照《报告表》要求，对危废暂存间进行重点防渗，其他区域进行简单防渗，防止土壤和地下水环境污染。</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18"/>
          <w:sz w:val="32"/>
          <w:szCs w:val="32"/>
        </w:rPr>
        <w:t>三、</w:t>
      </w:r>
      <w:r>
        <w:rPr>
          <w:rFonts w:hint="eastAsia" w:ascii="黑体" w:hAnsi="黑体" w:eastAsia="黑体" w:cs="黑体"/>
          <w:b w:val="0"/>
          <w:bCs w:val="0"/>
          <w:sz w:val="32"/>
          <w:szCs w:val="32"/>
        </w:rPr>
        <w:t>污染物排放总量</w:t>
      </w:r>
    </w:p>
    <w:p>
      <w:pPr>
        <w:keepNext w:val="0"/>
        <w:keepLines w:val="0"/>
        <w:pageBreakBefore w:val="0"/>
        <w:widowControl w:val="0"/>
        <w:kinsoku/>
        <w:wordWrap/>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000000"/>
          <w:kern w:val="18"/>
          <w:sz w:val="32"/>
          <w:szCs w:val="32"/>
        </w:rPr>
      </w:pPr>
      <w:r>
        <w:rPr>
          <w:rFonts w:hint="eastAsia" w:ascii="仿宋_GB2312" w:hAnsi="仿宋_GB2312" w:eastAsia="仿宋_GB2312" w:cs="仿宋_GB2312"/>
          <w:b w:val="0"/>
          <w:bCs w:val="0"/>
          <w:sz w:val="32"/>
          <w:szCs w:val="32"/>
        </w:rPr>
        <w:t>根据《报告表》预测，项目建成后主要大气污染物有组织排放总量为</w:t>
      </w:r>
      <w:r>
        <w:rPr>
          <w:rFonts w:hint="eastAsia" w:ascii="仿宋_GB2312" w:hAnsi="仿宋_GB2312" w:eastAsia="仿宋_GB2312" w:cs="仿宋_GB2312"/>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VOC</w:t>
      </w:r>
      <w:r>
        <w:rPr>
          <w:rFonts w:hint="default" w:ascii="Times New Roman" w:hAnsi="Times New Roman" w:eastAsia="仿宋_GB2312" w:cs="Times New Roman"/>
          <w:b w:val="0"/>
          <w:bCs w:val="0"/>
          <w:color w:val="auto"/>
          <w:sz w:val="32"/>
          <w:szCs w:val="32"/>
          <w:highlight w:val="none"/>
          <w:vertAlign w:val="subscript"/>
        </w:rPr>
        <w:t>s</w:t>
      </w:r>
      <w:r>
        <w:rPr>
          <w:rFonts w:hint="default" w:ascii="Times New Roman" w:hAnsi="Times New Roman" w:eastAsia="仿宋_GB2312" w:cs="Times New Roman"/>
          <w:b w:val="0"/>
          <w:bCs w:val="0"/>
          <w:color w:val="auto"/>
          <w:sz w:val="32"/>
          <w:szCs w:val="32"/>
          <w:highlight w:val="none"/>
          <w:vertAlign w:val="baseline"/>
          <w:lang w:val="en-US" w:eastAsia="zh-CN"/>
        </w:rPr>
        <w:t>0.1282</w:t>
      </w:r>
      <w:r>
        <w:rPr>
          <w:rFonts w:hint="default" w:ascii="Times New Roman" w:hAnsi="Times New Roman" w:eastAsia="仿宋_GB2312" w:cs="Times New Roman"/>
          <w:b w:val="0"/>
          <w:bCs w:val="0"/>
          <w:color w:val="auto"/>
          <w:sz w:val="32"/>
          <w:szCs w:val="32"/>
          <w:highlight w:val="none"/>
        </w:rPr>
        <w:t>吨/年；主要水污染物排放总量为：COD</w:t>
      </w:r>
      <w:r>
        <w:rPr>
          <w:rFonts w:hint="default" w:ascii="Times New Roman" w:hAnsi="Times New Roman" w:eastAsia="仿宋_GB2312" w:cs="Times New Roman"/>
          <w:b w:val="0"/>
          <w:bCs w:val="0"/>
          <w:color w:val="auto"/>
          <w:sz w:val="32"/>
          <w:szCs w:val="32"/>
          <w:highlight w:val="none"/>
          <w:vertAlign w:val="subscript"/>
        </w:rPr>
        <w:t>cr</w:t>
      </w:r>
      <w:r>
        <w:rPr>
          <w:rFonts w:hint="default" w:ascii="Times New Roman" w:hAnsi="Times New Roman" w:eastAsia="仿宋_GB2312" w:cs="Times New Roman"/>
          <w:b w:val="0"/>
          <w:bCs w:val="0"/>
          <w:color w:val="auto"/>
          <w:sz w:val="32"/>
          <w:szCs w:val="32"/>
          <w:highlight w:val="none"/>
          <w:lang w:eastAsia="zh-CN"/>
        </w:rPr>
        <w:t>0</w:t>
      </w:r>
      <w:r>
        <w:rPr>
          <w:rFonts w:hint="default" w:ascii="Times New Roman" w:hAnsi="Times New Roman" w:eastAsia="仿宋_GB2312" w:cs="Times New Roman"/>
          <w:b w:val="0"/>
          <w:bCs w:val="0"/>
          <w:color w:val="auto"/>
          <w:sz w:val="32"/>
          <w:szCs w:val="32"/>
          <w:highlight w:val="none"/>
          <w:lang w:val="en-US" w:eastAsia="zh-CN"/>
        </w:rPr>
        <w:t>.0773</w:t>
      </w:r>
      <w:r>
        <w:rPr>
          <w:rFonts w:hint="default" w:ascii="Times New Roman" w:hAnsi="Times New Roman" w:eastAsia="仿宋_GB2312" w:cs="Times New Roman"/>
          <w:b w:val="0"/>
          <w:bCs w:val="0"/>
          <w:color w:val="auto"/>
          <w:sz w:val="32"/>
          <w:szCs w:val="32"/>
          <w:highlight w:val="none"/>
        </w:rPr>
        <w:t>吨/年、氨氮</w:t>
      </w:r>
      <w:r>
        <w:rPr>
          <w:rFonts w:hint="default" w:ascii="Times New Roman" w:hAnsi="Times New Roman" w:eastAsia="仿宋_GB2312" w:cs="Times New Roman"/>
          <w:b w:val="0"/>
          <w:bCs w:val="0"/>
          <w:color w:val="auto"/>
          <w:sz w:val="32"/>
          <w:szCs w:val="32"/>
          <w:highlight w:val="none"/>
          <w:lang w:eastAsia="zh-CN"/>
        </w:rPr>
        <w:t>0</w:t>
      </w:r>
      <w:r>
        <w:rPr>
          <w:rFonts w:hint="default" w:ascii="Times New Roman" w:hAnsi="Times New Roman" w:eastAsia="仿宋_GB2312" w:cs="Times New Roman"/>
          <w:b w:val="0"/>
          <w:bCs w:val="0"/>
          <w:color w:val="auto"/>
          <w:sz w:val="32"/>
          <w:szCs w:val="32"/>
          <w:highlight w:val="none"/>
          <w:lang w:val="en-US" w:eastAsia="zh-CN"/>
        </w:rPr>
        <w:t>.0058</w:t>
      </w:r>
      <w:r>
        <w:rPr>
          <w:rFonts w:hint="default" w:ascii="Times New Roman" w:hAnsi="Times New Roman" w:eastAsia="仿宋_GB2312" w:cs="Times New Roman"/>
          <w:b w:val="0"/>
          <w:bCs w:val="0"/>
          <w:color w:val="auto"/>
          <w:sz w:val="32"/>
          <w:szCs w:val="32"/>
          <w:highlight w:val="none"/>
        </w:rPr>
        <w:t>吨/年</w:t>
      </w:r>
      <w:r>
        <w:rPr>
          <w:rFonts w:hint="eastAsia" w:ascii="仿宋_GB2312" w:hAnsi="仿宋_GB2312" w:eastAsia="仿宋_GB2312" w:cs="仿宋_GB2312"/>
          <w:b w:val="0"/>
          <w:bCs w:val="0"/>
          <w:sz w:val="32"/>
          <w:szCs w:val="32"/>
        </w:rPr>
        <w:t>（经工业污水处理厂处理达标后的排放量）。</w:t>
      </w:r>
    </w:p>
    <w:p>
      <w:pPr>
        <w:keepNext w:val="0"/>
        <w:keepLines w:val="0"/>
        <w:pageBreakBefore w:val="0"/>
        <w:widowControl w:val="0"/>
        <w:kinsoku/>
        <w:wordWrap/>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color w:val="000000"/>
          <w:kern w:val="18"/>
          <w:sz w:val="32"/>
          <w:szCs w:val="32"/>
        </w:rPr>
      </w:pPr>
      <w:r>
        <w:rPr>
          <w:rFonts w:hint="eastAsia" w:ascii="黑体" w:hAnsi="黑体" w:eastAsia="黑体" w:cs="黑体"/>
          <w:b w:val="0"/>
          <w:bCs w:val="0"/>
          <w:color w:val="000000"/>
          <w:kern w:val="18"/>
          <w:sz w:val="32"/>
          <w:szCs w:val="32"/>
        </w:rPr>
        <w:t>四、</w:t>
      </w:r>
      <w:r>
        <w:rPr>
          <w:rFonts w:hint="eastAsia" w:ascii="仿宋_GB2312" w:hAnsi="仿宋_GB2312" w:eastAsia="仿宋_GB2312" w:cs="仿宋_GB2312"/>
          <w:b w:val="0"/>
          <w:bCs w:val="0"/>
          <w:color w:val="000000"/>
          <w:kern w:val="18"/>
          <w:sz w:val="32"/>
          <w:szCs w:val="32"/>
        </w:rPr>
        <w:t>项目开工建设前，应依法完备其他行政许可手续。</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18"/>
          <w:sz w:val="32"/>
          <w:szCs w:val="32"/>
        </w:rPr>
        <w:t>五、排污许可和环保</w:t>
      </w:r>
      <w:r>
        <w:rPr>
          <w:rFonts w:hint="eastAsia" w:ascii="黑体" w:hAnsi="黑体" w:eastAsia="黑体" w:cs="黑体"/>
          <w:b w:val="0"/>
          <w:bCs w:val="0"/>
          <w:sz w:val="32"/>
          <w:szCs w:val="32"/>
        </w:rPr>
        <w:t>验收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000000"/>
          <w:kern w:val="18"/>
          <w:sz w:val="32"/>
          <w:szCs w:val="32"/>
        </w:rPr>
      </w:pPr>
      <w:r>
        <w:rPr>
          <w:rFonts w:hint="eastAsia" w:ascii="黑体" w:hAnsi="黑体" w:eastAsia="黑体" w:cs="黑体"/>
          <w:b w:val="0"/>
          <w:bCs w:val="0"/>
          <w:color w:val="000000"/>
          <w:kern w:val="18"/>
          <w:sz w:val="32"/>
          <w:szCs w:val="32"/>
        </w:rPr>
        <w:t>六、其他规定</w:t>
      </w:r>
    </w:p>
    <w:p>
      <w:pPr>
        <w:keepNext w:val="0"/>
        <w:keepLines w:val="0"/>
        <w:pageBreakBefore w:val="0"/>
        <w:widowControl w:val="0"/>
        <w:kinsoku/>
        <w:wordWrap/>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项目环境影响评价文件经批准后，如工程的性质、规模、地点、工艺或者防治污染、防止生态破坏的措施发生重大变动，你公司应当重新报批环境影响评价文件，否则不得实施建设。自环</w:t>
      </w:r>
      <w:r>
        <w:rPr>
          <w:rFonts w:hint="default" w:ascii="Times New Roman" w:hAnsi="Times New Roman" w:eastAsia="仿宋_GB2312" w:cs="Times New Roman"/>
          <w:b w:val="0"/>
          <w:bCs w:val="0"/>
          <w:sz w:val="32"/>
          <w:szCs w:val="32"/>
        </w:rPr>
        <w:t>境影响评价文件批准之日起，如工程超过5年未开工建设，环境</w:t>
      </w:r>
      <w:r>
        <w:rPr>
          <w:rFonts w:hint="eastAsia" w:ascii="仿宋_GB2312" w:hAnsi="仿宋_GB2312" w:eastAsia="仿宋_GB2312" w:cs="仿宋_GB2312"/>
          <w:b w:val="0"/>
          <w:bCs w:val="0"/>
          <w:sz w:val="32"/>
          <w:szCs w:val="32"/>
        </w:rPr>
        <w:t>影响评价文件应当报我局重新审核。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lang w:val="en-US" w:eastAsia="zh-CN"/>
        </w:rPr>
      </w:pPr>
    </w:p>
    <w:p>
      <w:pPr>
        <w:pStyle w:val="19"/>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18" w:firstLineChars="146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lang w:val="en-US" w:eastAsia="zh-CN"/>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FD40F1"/>
    <w:rsid w:val="02B22144"/>
    <w:rsid w:val="041E0EAD"/>
    <w:rsid w:val="07445783"/>
    <w:rsid w:val="08076BAC"/>
    <w:rsid w:val="08157D0A"/>
    <w:rsid w:val="082B7D91"/>
    <w:rsid w:val="088675ED"/>
    <w:rsid w:val="089E130F"/>
    <w:rsid w:val="08A70EB9"/>
    <w:rsid w:val="092A1E12"/>
    <w:rsid w:val="094E2162"/>
    <w:rsid w:val="098F0FA5"/>
    <w:rsid w:val="0AE4604C"/>
    <w:rsid w:val="0C4C2651"/>
    <w:rsid w:val="0F410220"/>
    <w:rsid w:val="0F5D7B56"/>
    <w:rsid w:val="0FB35FED"/>
    <w:rsid w:val="10632F32"/>
    <w:rsid w:val="108B04C2"/>
    <w:rsid w:val="11553800"/>
    <w:rsid w:val="12011292"/>
    <w:rsid w:val="13A050E7"/>
    <w:rsid w:val="14741B39"/>
    <w:rsid w:val="14AA3E63"/>
    <w:rsid w:val="15AB60E4"/>
    <w:rsid w:val="15C947BC"/>
    <w:rsid w:val="16243B6E"/>
    <w:rsid w:val="1735378C"/>
    <w:rsid w:val="1ADB2985"/>
    <w:rsid w:val="1B326960"/>
    <w:rsid w:val="1BCC1635"/>
    <w:rsid w:val="1D04432C"/>
    <w:rsid w:val="1D1F6E89"/>
    <w:rsid w:val="1D340684"/>
    <w:rsid w:val="1DC1221D"/>
    <w:rsid w:val="1DEC2C84"/>
    <w:rsid w:val="1E29348B"/>
    <w:rsid w:val="1E6609BF"/>
    <w:rsid w:val="1EAC44A7"/>
    <w:rsid w:val="1F8E271B"/>
    <w:rsid w:val="1FC85967"/>
    <w:rsid w:val="204F3B10"/>
    <w:rsid w:val="20E64474"/>
    <w:rsid w:val="21464F13"/>
    <w:rsid w:val="224F429B"/>
    <w:rsid w:val="23631F61"/>
    <w:rsid w:val="23E07BD5"/>
    <w:rsid w:val="251C281B"/>
    <w:rsid w:val="25733D33"/>
    <w:rsid w:val="26672398"/>
    <w:rsid w:val="273A436A"/>
    <w:rsid w:val="27E16961"/>
    <w:rsid w:val="29E46919"/>
    <w:rsid w:val="2A1F2C38"/>
    <w:rsid w:val="2A2D6A04"/>
    <w:rsid w:val="2A784B2D"/>
    <w:rsid w:val="2A785045"/>
    <w:rsid w:val="2AC24BA7"/>
    <w:rsid w:val="2AD45C89"/>
    <w:rsid w:val="2CFA5D9C"/>
    <w:rsid w:val="2E233353"/>
    <w:rsid w:val="2F1C72B3"/>
    <w:rsid w:val="31442D31"/>
    <w:rsid w:val="31774C75"/>
    <w:rsid w:val="31F50C2D"/>
    <w:rsid w:val="31FD6612"/>
    <w:rsid w:val="32C1089D"/>
    <w:rsid w:val="344E1C6F"/>
    <w:rsid w:val="34A22009"/>
    <w:rsid w:val="354A265C"/>
    <w:rsid w:val="37225683"/>
    <w:rsid w:val="372748CB"/>
    <w:rsid w:val="376A1E4F"/>
    <w:rsid w:val="38C236CA"/>
    <w:rsid w:val="3965276B"/>
    <w:rsid w:val="3A2A31CC"/>
    <w:rsid w:val="3C1E30AA"/>
    <w:rsid w:val="3E406C06"/>
    <w:rsid w:val="40B97948"/>
    <w:rsid w:val="415844BA"/>
    <w:rsid w:val="42A751E8"/>
    <w:rsid w:val="433E49AD"/>
    <w:rsid w:val="44000AFA"/>
    <w:rsid w:val="44242A3A"/>
    <w:rsid w:val="46564467"/>
    <w:rsid w:val="47173438"/>
    <w:rsid w:val="486C0E54"/>
    <w:rsid w:val="491F4DFE"/>
    <w:rsid w:val="4944487A"/>
    <w:rsid w:val="4C6267F5"/>
    <w:rsid w:val="4DA81B78"/>
    <w:rsid w:val="4E4D24B7"/>
    <w:rsid w:val="504C6A58"/>
    <w:rsid w:val="509E5922"/>
    <w:rsid w:val="518979CC"/>
    <w:rsid w:val="52614E59"/>
    <w:rsid w:val="52A56FED"/>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C51967"/>
    <w:rsid w:val="5F13397F"/>
    <w:rsid w:val="5F304531"/>
    <w:rsid w:val="60217911"/>
    <w:rsid w:val="60570CFE"/>
    <w:rsid w:val="60B414A2"/>
    <w:rsid w:val="61CF012A"/>
    <w:rsid w:val="62BB2173"/>
    <w:rsid w:val="63133F4E"/>
    <w:rsid w:val="64EF4296"/>
    <w:rsid w:val="670815C7"/>
    <w:rsid w:val="681D537C"/>
    <w:rsid w:val="69BE7A7D"/>
    <w:rsid w:val="69CD2D06"/>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3BB57D1"/>
    <w:rsid w:val="746F0F41"/>
    <w:rsid w:val="75091655"/>
    <w:rsid w:val="751C3136"/>
    <w:rsid w:val="76150602"/>
    <w:rsid w:val="76FC7D28"/>
    <w:rsid w:val="77992DA9"/>
    <w:rsid w:val="78E7601E"/>
    <w:rsid w:val="78F06C72"/>
    <w:rsid w:val="79C96773"/>
    <w:rsid w:val="7A195E96"/>
    <w:rsid w:val="7B191EC6"/>
    <w:rsid w:val="7C663B77"/>
    <w:rsid w:val="7E17693C"/>
    <w:rsid w:val="7E642C44"/>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5">
    <w:name w:val="List Number"/>
    <w:basedOn w:val="1"/>
    <w:qFormat/>
    <w:uiPriority w:val="0"/>
    <w:pPr>
      <w:numPr>
        <w:ilvl w:val="0"/>
        <w:numId w:val="1"/>
      </w:numPr>
    </w:pPr>
  </w:style>
  <w:style w:type="paragraph" w:styleId="6">
    <w:name w:val="Body Text"/>
    <w:basedOn w:val="1"/>
    <w:next w:val="1"/>
    <w:qFormat/>
    <w:uiPriority w:val="0"/>
    <w:pPr>
      <w:ind w:left="120"/>
    </w:pPr>
    <w:rPr>
      <w:rFonts w:ascii="宋体" w:hAnsi="宋体"/>
      <w:sz w:val="32"/>
      <w:szCs w:val="32"/>
    </w:rPr>
  </w:style>
  <w:style w:type="paragraph" w:styleId="7">
    <w:name w:val="Body Text Indent"/>
    <w:basedOn w:val="1"/>
    <w:qFormat/>
    <w:uiPriority w:val="0"/>
    <w:pPr>
      <w:spacing w:after="120"/>
      <w:ind w:left="420" w:leftChars="200"/>
    </w:pPr>
  </w:style>
  <w:style w:type="paragraph" w:styleId="8">
    <w:name w:val="Body Text Indent 2"/>
    <w:basedOn w:val="1"/>
    <w:next w:val="9"/>
    <w:qFormat/>
    <w:uiPriority w:val="0"/>
    <w:pPr>
      <w:adjustRightInd w:val="0"/>
      <w:snapToGrid w:val="0"/>
      <w:spacing w:line="440" w:lineRule="atLeast"/>
      <w:ind w:firstLine="573"/>
    </w:pPr>
    <w:rPr>
      <w:rFonts w:ascii="宋体"/>
    </w:rPr>
  </w:style>
  <w:style w:type="paragraph" w:customStyle="1" w:styleId="9">
    <w:name w:val="简单回函地址"/>
    <w:basedOn w:val="1"/>
    <w:next w:val="10"/>
    <w:qFormat/>
    <w:uiPriority w:val="0"/>
    <w:rPr>
      <w:szCs w:val="20"/>
    </w:rPr>
  </w:style>
  <w:style w:type="paragraph" w:customStyle="1" w:styleId="10">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章标题"/>
    <w:next w:val="18"/>
    <w:unhideWhenUsed/>
    <w:qFormat/>
    <w:uiPriority w:val="99"/>
    <w:pPr>
      <w:widowControl/>
      <w:spacing w:before="158" w:after="153" w:line="323" w:lineRule="atLeast"/>
      <w:ind w:right="-120"/>
      <w:jc w:val="center"/>
      <w:textAlignment w:val="baseline"/>
    </w:pPr>
    <w:rPr>
      <w:rFonts w:ascii="Calibri" w:hAnsi="Calibri" w:eastAsia="宋体" w:cs="Times New Roman"/>
      <w:color w:val="FF0000"/>
      <w:kern w:val="2"/>
      <w:sz w:val="18"/>
      <w:szCs w:val="18"/>
      <w:lang w:val="en-US" w:eastAsia="zh-CN" w:bidi="ar-SA"/>
    </w:rPr>
  </w:style>
  <w:style w:type="paragraph" w:customStyle="1" w:styleId="18">
    <w:name w:val="节标题"/>
    <w:next w:val="1"/>
    <w:unhideWhenUsed/>
    <w:qFormat/>
    <w:uiPriority w:val="99"/>
    <w:pPr>
      <w:widowControl/>
      <w:spacing w:line="289" w:lineRule="atLeast"/>
      <w:jc w:val="center"/>
      <w:textAlignment w:val="baseline"/>
    </w:pPr>
    <w:rPr>
      <w:rFonts w:ascii="Calibri" w:hAnsi="Calibri" w:eastAsia="宋体" w:cs="Times New Roman"/>
      <w:color w:val="000000"/>
      <w:kern w:val="2"/>
      <w:sz w:val="28"/>
      <w:szCs w:val="28"/>
      <w:lang w:val="en-US" w:eastAsia="zh-CN" w:bidi="ar-SA"/>
    </w:rPr>
  </w:style>
  <w:style w:type="paragraph" w:customStyle="1" w:styleId="19">
    <w:name w:val="常用样式（方正仿宋简）"/>
    <w:basedOn w:val="20"/>
    <w:next w:val="11"/>
    <w:qFormat/>
    <w:uiPriority w:val="0"/>
    <w:pPr>
      <w:spacing w:line="560" w:lineRule="exact"/>
      <w:ind w:firstLine="640" w:firstLineChars="200"/>
    </w:pPr>
    <w:rPr>
      <w:rFonts w:ascii="Times New Roman" w:hAnsi="Times New Roman" w:eastAsia="方正仿宋简体"/>
      <w:sz w:val="32"/>
    </w:rPr>
  </w:style>
  <w:style w:type="paragraph" w:customStyle="1" w:styleId="20">
    <w:name w:val="正文1"/>
    <w:next w:val="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2"/>
    <w:basedOn w:val="1"/>
    <w:qFormat/>
    <w:uiPriority w:val="34"/>
    <w:pPr>
      <w:ind w:firstLine="420" w:firstLineChars="200"/>
    </w:pPr>
  </w:style>
  <w:style w:type="paragraph" w:customStyle="1" w:styleId="23">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4">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5">
    <w:name w:val="font21"/>
    <w:basedOn w:val="16"/>
    <w:qFormat/>
    <w:uiPriority w:val="0"/>
    <w:rPr>
      <w:rFonts w:hint="eastAsia" w:ascii="宋体" w:hAnsi="宋体" w:eastAsia="宋体" w:cs="宋体"/>
      <w:color w:val="000000"/>
      <w:sz w:val="20"/>
      <w:szCs w:val="20"/>
      <w:u w:val="none"/>
    </w:rPr>
  </w:style>
  <w:style w:type="paragraph" w:customStyle="1" w:styleId="26">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7">
    <w:name w:val="font71"/>
    <w:basedOn w:val="16"/>
    <w:qFormat/>
    <w:uiPriority w:val="0"/>
    <w:rPr>
      <w:rFonts w:hint="eastAsia" w:ascii="宋体" w:hAnsi="宋体" w:eastAsia="宋体" w:cs="宋体"/>
      <w:color w:val="000000"/>
      <w:sz w:val="22"/>
      <w:szCs w:val="22"/>
      <w:u w:val="none"/>
    </w:rPr>
  </w:style>
  <w:style w:type="paragraph" w:customStyle="1" w:styleId="2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1867</Words>
  <Characters>1984</Characters>
  <Lines>0</Lines>
  <Paragraphs>0</Paragraphs>
  <TotalTime>6</TotalTime>
  <ScaleCrop>false</ScaleCrop>
  <LinksUpToDate>false</LinksUpToDate>
  <CharactersWithSpaces>1995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2023-06-26T00:52:35Z</cp:lastPrinted>
  <dcterms:modified xsi:type="dcterms:W3CDTF">2023-06-26T00:54:37Z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770FC33594934BA7A1849BCD676E20C8_13</vt:lpwstr>
  </property>
</Properties>
</file>