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hint="eastAsia" w:ascii="黑体" w:hAnsi="黑体" w:eastAsia="黑体"/>
          <w:bCs/>
          <w:color w:val="000000"/>
          <w:sz w:val="32"/>
          <w:szCs w:val="32"/>
        </w:rPr>
      </w:pPr>
      <w:r>
        <w:rPr>
          <w:rFonts w:hint="eastAsia" w:ascii="黑体" w:hAnsi="黑体" w:eastAsia="黑体"/>
          <w:bCs/>
          <w:color w:val="000000"/>
          <w:sz w:val="32"/>
          <w:szCs w:val="32"/>
        </w:rPr>
        <w:t>附件</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eastAsia="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大英县</w:t>
      </w:r>
      <w:r>
        <w:rPr>
          <w:rFonts w:hint="eastAsia" w:ascii="方正小标宋简体" w:hAnsi="方正小标宋简体" w:eastAsia="方正小标宋简体" w:cs="方正小标宋简体"/>
          <w:color w:val="000000"/>
          <w:sz w:val="36"/>
          <w:szCs w:val="36"/>
        </w:rPr>
        <w:t>农业农村局</w:t>
      </w:r>
      <w:r>
        <w:rPr>
          <w:rFonts w:hint="eastAsia" w:ascii="方正小标宋简体" w:eastAsia="方正小标宋简体"/>
          <w:color w:val="000000"/>
          <w:sz w:val="36"/>
          <w:szCs w:val="36"/>
        </w:rPr>
        <w:t>20</w:t>
      </w:r>
      <w:r>
        <w:rPr>
          <w:rFonts w:hint="eastAsia" w:ascii="方正小标宋简体" w:eastAsia="方正小标宋简体"/>
          <w:color w:val="000000"/>
          <w:sz w:val="36"/>
          <w:szCs w:val="36"/>
          <w:lang w:val="en-US" w:eastAsia="zh-CN"/>
        </w:rPr>
        <w:t>22</w:t>
      </w:r>
      <w:r>
        <w:rPr>
          <w:rFonts w:hint="eastAsia" w:ascii="方正小标宋简体" w:eastAsia="方正小标宋简体"/>
          <w:color w:val="000000"/>
          <w:sz w:val="36"/>
          <w:szCs w:val="36"/>
        </w:rPr>
        <w:t>年度“双随机</w:t>
      </w:r>
      <w:r>
        <w:rPr>
          <w:rFonts w:hint="eastAsia" w:ascii="方正小标宋简体" w:eastAsia="方正小标宋简体"/>
          <w:color w:val="000000"/>
          <w:sz w:val="36"/>
          <w:szCs w:val="36"/>
          <w:lang w:eastAsia="zh-CN"/>
        </w:rPr>
        <w:t>、</w:t>
      </w:r>
      <w:r>
        <w:rPr>
          <w:rFonts w:hint="eastAsia" w:ascii="方正小标宋简体" w:eastAsia="方正小标宋简体"/>
          <w:color w:val="000000"/>
          <w:sz w:val="36"/>
          <w:szCs w:val="36"/>
        </w:rPr>
        <w:t>一公开”</w:t>
      </w:r>
      <w:r>
        <w:rPr>
          <w:rFonts w:hint="eastAsia" w:ascii="方正小标宋简体" w:eastAsia="方正小标宋简体"/>
          <w:color w:val="000000"/>
          <w:sz w:val="36"/>
          <w:szCs w:val="36"/>
          <w:lang w:eastAsia="zh-CN"/>
        </w:rPr>
        <w:t>监管随机</w:t>
      </w:r>
      <w:r>
        <w:rPr>
          <w:rFonts w:hint="eastAsia" w:ascii="方正小标宋简体" w:eastAsia="方正小标宋简体"/>
          <w:color w:val="000000"/>
          <w:sz w:val="36"/>
          <w:szCs w:val="36"/>
        </w:rPr>
        <w:t>抽查</w:t>
      </w:r>
      <w:r>
        <w:rPr>
          <w:rFonts w:hint="eastAsia" w:ascii="方正小标宋简体" w:eastAsia="方正小标宋简体"/>
          <w:color w:val="000000"/>
          <w:sz w:val="36"/>
          <w:szCs w:val="36"/>
          <w:lang w:eastAsia="zh-CN"/>
        </w:rPr>
        <w:t>事项清单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60" w:lineRule="exact"/>
        <w:jc w:val="center"/>
        <w:textAlignment w:val="auto"/>
        <w:rPr>
          <w:rFonts w:hint="eastAsia" w:ascii="方正小标宋简体" w:eastAsia="方正小标宋简体"/>
          <w:color w:val="000000"/>
          <w:sz w:val="44"/>
          <w:szCs w:val="44"/>
          <w:lang w:eastAsia="zh-CN"/>
        </w:rPr>
      </w:pPr>
    </w:p>
    <w:tbl>
      <w:tblPr>
        <w:tblStyle w:val="7"/>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75" w:type="dxa"/>
          <w:left w:w="150" w:type="dxa"/>
          <w:bottom w:w="75" w:type="dxa"/>
          <w:right w:w="150" w:type="dxa"/>
        </w:tblCellMar>
      </w:tblPr>
      <w:tblGrid>
        <w:gridCol w:w="649"/>
        <w:gridCol w:w="2044"/>
        <w:gridCol w:w="2806"/>
        <w:gridCol w:w="1502"/>
        <w:gridCol w:w="5291"/>
        <w:gridCol w:w="2185"/>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596" w:hRule="atLeast"/>
          <w:tblHeader/>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kern w:val="0"/>
                <w:sz w:val="28"/>
                <w:szCs w:val="28"/>
                <w:lang w:val="en-US" w:eastAsia="zh-CN" w:bidi="ar"/>
              </w:rPr>
              <w:t>序号</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kern w:val="0"/>
                <w:sz w:val="28"/>
                <w:szCs w:val="28"/>
                <w:lang w:val="en-US" w:eastAsia="zh-CN" w:bidi="ar"/>
              </w:rPr>
            </w:pPr>
            <w:r>
              <w:rPr>
                <w:rFonts w:hint="eastAsia" w:ascii="黑体" w:hAnsi="黑体" w:eastAsia="黑体" w:cs="黑体"/>
                <w:i w:val="0"/>
                <w:caps w:val="0"/>
                <w:color w:val="000000"/>
                <w:spacing w:val="0"/>
                <w:kern w:val="0"/>
                <w:sz w:val="28"/>
                <w:szCs w:val="28"/>
                <w:lang w:val="en-US" w:eastAsia="zh-CN" w:bidi="ar"/>
              </w:rPr>
              <w:t>抽查事项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kern w:val="0"/>
                <w:sz w:val="28"/>
                <w:szCs w:val="28"/>
                <w:lang w:val="en-US" w:eastAsia="zh-CN" w:bidi="ar"/>
              </w:rPr>
              <w:t>名称</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kern w:val="0"/>
                <w:sz w:val="28"/>
                <w:szCs w:val="28"/>
                <w:lang w:val="en-US" w:eastAsia="zh-CN" w:bidi="ar"/>
              </w:rPr>
              <w:t>抽查依据</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kern w:val="0"/>
                <w:sz w:val="28"/>
                <w:szCs w:val="28"/>
                <w:lang w:val="en-US" w:eastAsia="zh-CN" w:bidi="ar"/>
              </w:rPr>
            </w:pPr>
            <w:r>
              <w:rPr>
                <w:rFonts w:hint="eastAsia" w:ascii="黑体" w:hAnsi="黑体" w:eastAsia="黑体" w:cs="黑体"/>
                <w:i w:val="0"/>
                <w:caps w:val="0"/>
                <w:color w:val="000000"/>
                <w:spacing w:val="0"/>
                <w:kern w:val="0"/>
                <w:sz w:val="28"/>
                <w:szCs w:val="28"/>
                <w:lang w:val="en-US" w:eastAsia="zh-CN" w:bidi="ar"/>
              </w:rPr>
              <w:t>抽查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kern w:val="0"/>
                <w:sz w:val="28"/>
                <w:szCs w:val="28"/>
                <w:lang w:val="en-US" w:eastAsia="zh-CN" w:bidi="ar"/>
              </w:rPr>
              <w:t>对象</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kern w:val="0"/>
                <w:sz w:val="28"/>
                <w:szCs w:val="28"/>
                <w:lang w:val="en-US" w:eastAsia="zh-CN" w:bidi="ar"/>
              </w:rPr>
              <w:t>抽查内容</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rPr>
            </w:pPr>
            <w:r>
              <w:rPr>
                <w:rFonts w:hint="eastAsia" w:ascii="黑体" w:hAnsi="黑体" w:eastAsia="黑体" w:cs="黑体"/>
                <w:i w:val="0"/>
                <w:caps w:val="0"/>
                <w:color w:val="000000"/>
                <w:spacing w:val="0"/>
                <w:kern w:val="0"/>
                <w:sz w:val="28"/>
                <w:szCs w:val="28"/>
                <w:lang w:val="en-US" w:eastAsia="zh-CN" w:bidi="ar"/>
              </w:rPr>
              <w:t>抽查方式</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caps w:val="0"/>
                <w:color w:val="000000"/>
                <w:spacing w:val="0"/>
                <w:sz w:val="28"/>
                <w:szCs w:val="28"/>
                <w:lang w:eastAsia="zh-CN"/>
              </w:rPr>
            </w:pPr>
            <w:r>
              <w:rPr>
                <w:rFonts w:hint="eastAsia" w:ascii="黑体" w:hAnsi="黑体" w:eastAsia="黑体" w:cs="黑体"/>
                <w:i w:val="0"/>
                <w:caps w:val="0"/>
                <w:color w:val="000000"/>
                <w:spacing w:val="0"/>
                <w:sz w:val="28"/>
                <w:szCs w:val="28"/>
                <w:lang w:eastAsia="zh-CN"/>
              </w:rPr>
              <w:t>检查主体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2444" w:hRule="atLeast"/>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1</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对农产品质量安全的监督检查、抽查</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w:t>
            </w:r>
            <w:r>
              <w:rPr>
                <w:rFonts w:ascii="仿宋_GB2312" w:hAnsi="宋体" w:eastAsia="仿宋_GB2312" w:cs="仿宋_GB2312"/>
                <w:i w:val="0"/>
                <w:iCs w:val="0"/>
                <w:caps w:val="0"/>
                <w:color w:val="000000"/>
                <w:spacing w:val="0"/>
                <w:sz w:val="28"/>
                <w:szCs w:val="28"/>
                <w:shd w:val="clear" w:fill="FFFFFF"/>
              </w:rPr>
              <w:t>中华人民共和国农产品质量安全法</w:t>
            </w:r>
            <w:r>
              <w:rPr>
                <w:rFonts w:hint="eastAsia" w:ascii="仿宋_GB2312" w:hAnsi="仿宋_GB2312" w:eastAsia="仿宋_GB2312" w:cs="仿宋_GB2312"/>
                <w:i w:val="0"/>
                <w:caps w:val="0"/>
                <w:color w:val="000000"/>
                <w:spacing w:val="0"/>
                <w:kern w:val="0"/>
                <w:sz w:val="28"/>
                <w:szCs w:val="28"/>
                <w:lang w:val="en-US" w:eastAsia="zh-CN" w:bidi="ar"/>
              </w:rPr>
              <w:t>》第三十四条，《农产品质量安全监测管理办法》第十九条至第三十一条。</w:t>
            </w:r>
          </w:p>
        </w:tc>
        <w:tc>
          <w:tcPr>
            <w:tcW w:w="487" w:type="pct"/>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340" w:lineRule="exact"/>
              <w:ind w:left="0" w:firstLine="0"/>
              <w:textAlignment w:val="auto"/>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种植基地、农产品生产企业、农民专业合作经济组织</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p>
        </w:tc>
        <w:tc>
          <w:tcPr>
            <w:tcW w:w="1717" w:type="pct"/>
            <w:shd w:val="clear" w:color="auto" w:fill="FFFFFF"/>
            <w:vAlign w:val="center"/>
          </w:tcPr>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农产品产地环境发生重大变化的，组织检测机构进行现场抽查; 2.对农产品生产、包装、经营及仓储场所进行现场检查;3.向当事人和其他有关人员调查了解农产品质量安全的有关情况;查阅、复制涉及生产、经营活动的记录、档案、票据、账簿、协议、证明等有关资料。</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一般检查、定期抽查与不定期抽查相结合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lang w:eastAsia="zh-CN"/>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1760" w:hRule="atLeast"/>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对农作物种子(含草种)经营、质量的监督检查</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《中华人民共和国种子法》第五十条，《农作物种子质量监督抽查管理办法》第二条。</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种子经营单位</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1.进入经营场所进行现场检查;2.查阅、复制有关合同、票据、账簿、生产经营档案及其他有关资料。</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一般性检查、定期抽查与不定期抽查相结合。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1490" w:hRule="atLeast"/>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对肥料的监督检查</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《肥料登记管理办法》( 中华人民共和国农业部令2000年第32号)第七条、第二十五条。</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肥料生产、经营和使用单位</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应当按照规定对辖区内的肥料生产、经营和使用单位的肥料进行定期或不定期监督、检查，必要时按照规定抽取样品和索取有关资料。</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一般性检查、定期抽查与不定期抽查相结合。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2288" w:hRule="atLeast"/>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4</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对农药进行监督检查和抽样</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《四川省农药管理条例》第三十八条，《农药管理条例实施办法》第三十三条第一款。</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农药生产、经营和使用单位</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对辖区内的农药生产、经营和使用单位的农药进行定期和不定期监督、检查，必要时按照规定抽取样品和索取有关资料。</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2216" w:hRule="atLeast"/>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5</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对农业机械的安全监督检查</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《农业机械安全监督管理条例》(中华人民共和国国务院令2009年第563号)第九条、第四十条。</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农业机械操作人员</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向有关单位和个人了解情况，查阅、复制有关资料;</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一般性检查、定期抽查与不定期抽查相结合。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2972" w:hRule="atLeast"/>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6</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对饲料、饲料添加剂进行监督检查和抽样</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6"/>
                <w:kern w:val="0"/>
                <w:sz w:val="28"/>
                <w:szCs w:val="28"/>
                <w:lang w:val="en-US" w:eastAsia="zh-CN" w:bidi="ar"/>
              </w:rPr>
              <w:t>《饲料和饲料添加剂管理条例》第三十二条、第</w:t>
            </w:r>
            <w:bookmarkStart w:id="0" w:name="_GoBack"/>
            <w:bookmarkEnd w:id="0"/>
            <w:r>
              <w:rPr>
                <w:rFonts w:hint="eastAsia" w:ascii="仿宋_GB2312" w:hAnsi="仿宋_GB2312" w:eastAsia="仿宋_GB2312" w:cs="仿宋_GB2312"/>
                <w:i w:val="0"/>
                <w:caps w:val="0"/>
                <w:color w:val="000000"/>
                <w:spacing w:val="-6"/>
                <w:kern w:val="0"/>
                <w:sz w:val="28"/>
                <w:szCs w:val="28"/>
                <w:lang w:val="en-US" w:eastAsia="zh-CN" w:bidi="ar"/>
              </w:rPr>
              <w:t>三十三条，《饲料和饲料添加剂生产许可管理办法》第十六条，《饲料质量安全管理规范》第五条 。</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饲料、饲料添加剂生产企业、经营者、规模养殖场</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饲料、饲料添加剂产品质量安全主体责任履行情况。</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一般性检查、定期抽查与不定期抽查相结合。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7</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对生猪屠宰活动的监督检查</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《生猪屠宰管理条例》(国务院令2008年第525号、国务院令2016年第666号修订)第二十一条。</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生猪定点屠宰厂（场）</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对生猪屠宰活动的主体责任履行情况。</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kern w:val="0"/>
                <w:sz w:val="28"/>
                <w:szCs w:val="28"/>
                <w:lang w:val="en-US" w:eastAsia="zh-CN" w:bidi="ar"/>
              </w:rPr>
              <w:t>定期抽查、不定期抽查、飞行检查相结合。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jc w:val="center"/>
        </w:trPr>
        <w:tc>
          <w:tcPr>
            <w:tcW w:w="210"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8</w:t>
            </w:r>
          </w:p>
        </w:tc>
        <w:tc>
          <w:tcPr>
            <w:tcW w:w="663"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对兽药的监督检查</w:t>
            </w:r>
          </w:p>
        </w:tc>
        <w:tc>
          <w:tcPr>
            <w:tcW w:w="911"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《兽药管理条例》(国务院令2004年第404号，国务院令2014年第653号部分修订，国务院令2016年第666号部分修订)第四十四条、第二十五条、第十四条。</w:t>
            </w:r>
          </w:p>
        </w:tc>
        <w:tc>
          <w:tcPr>
            <w:tcW w:w="48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兽药生产、经营企业、规模养殖场</w:t>
            </w:r>
          </w:p>
        </w:tc>
        <w:tc>
          <w:tcPr>
            <w:tcW w:w="1717"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1.兽药产品质量安全主体责任履行情况; 2.兽药是否符合兽药国家标准; 3.对兽药经营企业是否符合兽药经营质量管理规范的要求进行监督检查; 4.对兽药生产企业是否符合兽药生产质量管理规范的要求进行监督检查。</w:t>
            </w:r>
          </w:p>
        </w:tc>
        <w:tc>
          <w:tcPr>
            <w:tcW w:w="70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i w:val="0"/>
                <w:caps w:val="0"/>
                <w:color w:val="000000"/>
                <w:spacing w:val="0"/>
                <w:kern w:val="0"/>
                <w:sz w:val="28"/>
                <w:szCs w:val="28"/>
                <w:lang w:val="en-US" w:eastAsia="zh-CN" w:bidi="ar"/>
              </w:rPr>
              <w:t>一般性检查、定期抽查与不定期抽查相结合。</w:t>
            </w:r>
          </w:p>
        </w:tc>
        <w:tc>
          <w:tcPr>
            <w:tcW w:w="299" w:type="pct"/>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lang w:eastAsia="zh-CN"/>
              </w:rPr>
              <w:t>县农业农村局</w:t>
            </w:r>
          </w:p>
        </w:tc>
      </w:tr>
    </w:tbl>
    <w:p>
      <w:pPr>
        <w:rPr>
          <w:rFonts w:hint="eastAsia" w:ascii="仿宋_GB2312" w:hAnsi="仿宋_GB2312" w:eastAsia="仿宋_GB2312" w:cs="仿宋_GB2312"/>
          <w:sz w:val="32"/>
          <w:szCs w:val="32"/>
        </w:rPr>
        <w:sectPr>
          <w:footerReference r:id="rId3" w:type="default"/>
          <w:pgSz w:w="16838" w:h="11906" w:orient="landscape"/>
          <w:pgMar w:top="1440" w:right="1440" w:bottom="1440" w:left="1440" w:header="851" w:footer="1219"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sectPr>
      <w:pgSz w:w="11906" w:h="16838"/>
      <w:pgMar w:top="2098" w:right="1531" w:bottom="1984" w:left="1531"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64F73"/>
    <w:multiLevelType w:val="singleLevel"/>
    <w:tmpl w:val="D9D64F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ZDA2ZDVmMWVkOGM2MjAwNzQ2MjE3ZjcxNTBkMDgifQ=="/>
  </w:docVars>
  <w:rsids>
    <w:rsidRoot w:val="6C9F1B89"/>
    <w:rsid w:val="024D7ECE"/>
    <w:rsid w:val="03031491"/>
    <w:rsid w:val="05A607FA"/>
    <w:rsid w:val="125C296C"/>
    <w:rsid w:val="21F03BFD"/>
    <w:rsid w:val="28A6432C"/>
    <w:rsid w:val="2AFF052E"/>
    <w:rsid w:val="2E1B3AA6"/>
    <w:rsid w:val="2EF1777D"/>
    <w:rsid w:val="3AE3199A"/>
    <w:rsid w:val="3B4B1A83"/>
    <w:rsid w:val="4BDE1D2E"/>
    <w:rsid w:val="4C12109C"/>
    <w:rsid w:val="4E7B594C"/>
    <w:rsid w:val="516A4443"/>
    <w:rsid w:val="51701472"/>
    <w:rsid w:val="532D2AF8"/>
    <w:rsid w:val="560501F2"/>
    <w:rsid w:val="56F9264C"/>
    <w:rsid w:val="571F0068"/>
    <w:rsid w:val="5A9D6C4B"/>
    <w:rsid w:val="67154417"/>
    <w:rsid w:val="6A120CDF"/>
    <w:rsid w:val="6C9F1B89"/>
    <w:rsid w:val="6DC60052"/>
    <w:rsid w:val="71CB701B"/>
    <w:rsid w:val="7C7D1E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_55bd52bb-a41a-41d4-bbb6-b4deef5120fb"/>
    <w:basedOn w:val="3"/>
    <w:qFormat/>
    <w:uiPriority w:val="0"/>
    <w:pPr>
      <w:ind w:firstLine="420" w:firstLineChars="200"/>
    </w:pPr>
  </w:style>
  <w:style w:type="paragraph" w:customStyle="1" w:styleId="3">
    <w:name w:val="Body Text Indent_94752df6-27df-4b8b-99b4-1931d245d815"/>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3333"/>
      <w:u w:val="none"/>
    </w:rPr>
  </w:style>
  <w:style w:type="character" w:styleId="13">
    <w:name w:val="Emphasis"/>
    <w:basedOn w:val="9"/>
    <w:qFormat/>
    <w:uiPriority w:val="0"/>
  </w:style>
  <w:style w:type="character" w:styleId="14">
    <w:name w:val="Hyperlink"/>
    <w:basedOn w:val="9"/>
    <w:qFormat/>
    <w:uiPriority w:val="0"/>
    <w:rPr>
      <w:color w:val="0000FF"/>
      <w:u w:val="single"/>
    </w:rPr>
  </w:style>
  <w:style w:type="character" w:customStyle="1" w:styleId="15">
    <w:name w:val="hover1"/>
    <w:basedOn w:val="9"/>
    <w:qFormat/>
    <w:uiPriority w:val="0"/>
    <w:rPr>
      <w:color w:val="C50001"/>
    </w:rPr>
  </w:style>
  <w:style w:type="paragraph" w:customStyle="1" w:styleId="16">
    <w:name w:val="常用样式（方正仿宋简）"/>
    <w:basedOn w:val="1"/>
    <w:next w:val="1"/>
    <w:qFormat/>
    <w:uiPriority w:val="0"/>
    <w:pPr>
      <w:spacing w:line="560" w:lineRule="exact"/>
      <w:ind w:firstLine="640" w:firstLineChars="200"/>
    </w:pPr>
    <w:rPr>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1278</Words>
  <Characters>1325</Characters>
  <Lines>0</Lines>
  <Paragraphs>0</Paragraphs>
  <TotalTime>3</TotalTime>
  <ScaleCrop>false</ScaleCrop>
  <LinksUpToDate>false</LinksUpToDate>
  <CharactersWithSpaces>1331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2020-06-10T06:59:00Z</dcterms:created>
  <dc:creator>万燕林</dc:creator>
  <cp:lastModifiedBy>王梅</cp:lastModifiedBy>
  <dcterms:modified xsi:type="dcterms:W3CDTF">2022-10-12T08:17:20Z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58A835E506DC4DC88D7A457C22710BC2</vt:lpwstr>
  </property>
</Properties>
</file>