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overflowPunct w:val="0"/>
        <w:topLinePunct w:val="0"/>
        <w:autoSpaceDE/>
        <w:autoSpaceDN/>
        <w:bidi w:val="0"/>
        <w:adjustRightInd w:val="0"/>
        <w:snapToGrid w:val="0"/>
        <w:spacing w:line="560" w:lineRule="exact"/>
        <w:textAlignment w:val="auto"/>
        <w:rPr>
          <w:rFonts w:ascii="Times New Roman" w:hAnsi="Times New Roman" w:eastAsia="宋体" w:cs="Times New Roman"/>
          <w:sz w:val="18"/>
          <w:szCs w:val="18"/>
        </w:rPr>
      </w:pPr>
    </w:p>
    <w:p>
      <w:pPr>
        <w:pStyle w:val="5"/>
        <w:keepNext/>
        <w:keepLines/>
        <w:pageBreakBefore w:val="0"/>
        <w:widowControl w:val="0"/>
        <w:kinsoku/>
        <w:wordWrap/>
        <w:overflowPunct/>
        <w:topLinePunct w:val="0"/>
        <w:autoSpaceDE/>
        <w:autoSpaceDN/>
        <w:bidi w:val="0"/>
        <w:adjustRightInd/>
        <w:snapToGrid/>
        <w:spacing w:line="760" w:lineRule="exact"/>
        <w:ind w:left="0" w:leftChars="0" w:firstLine="0" w:firstLineChars="0"/>
        <w:textAlignment w:val="auto"/>
      </w:pPr>
    </w:p>
    <w:p>
      <w:pPr>
        <w:keepNext w:val="0"/>
        <w:keepLines w:val="0"/>
        <w:pageBreakBefore w:val="0"/>
        <w:widowControl w:val="0"/>
        <w:kinsoku/>
        <w:wordWrap w:val="0"/>
        <w:overflowPunct w:val="0"/>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遂大环函〔202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号</w:t>
      </w:r>
    </w:p>
    <w:p>
      <w:pPr>
        <w:pStyle w:val="5"/>
        <w:pageBreakBefore w:val="0"/>
        <w:widowControl w:val="0"/>
        <w:kinsoku/>
        <w:wordWrap/>
        <w:overflowPunct/>
        <w:topLinePunct w:val="0"/>
        <w:autoSpaceDE/>
        <w:autoSpaceDN/>
        <w:bidi w:val="0"/>
        <w:adjustRightInd/>
        <w:snapToGrid/>
        <w:spacing w:beforeLines="0" w:afterLines="0" w:line="500" w:lineRule="exact"/>
        <w:textAlignment w:val="auto"/>
      </w:pPr>
    </w:p>
    <w:p>
      <w:pPr>
        <w:pageBreakBefore w:val="0"/>
        <w:widowControl w:val="0"/>
        <w:kinsoku/>
        <w:wordWrap/>
        <w:overflowPunct/>
        <w:topLinePunct w:val="0"/>
        <w:autoSpaceDE/>
        <w:autoSpaceDN/>
        <w:bidi w:val="0"/>
        <w:adjustRightInd/>
        <w:snapToGrid/>
        <w:spacing w:line="500" w:lineRule="exact"/>
        <w:textAlignment w:val="auto"/>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Times New Roman" w:hAnsi="Times New Roman" w:eastAsia="方正小标宋简体" w:cs="Times New Roman"/>
          <w:color w:val="auto"/>
          <w:spacing w:val="0"/>
          <w:sz w:val="44"/>
          <w:szCs w:val="44"/>
          <w:lang w:eastAsia="zh-CN"/>
        </w:rPr>
      </w:pPr>
      <w:r>
        <w:rPr>
          <w:rFonts w:hint="eastAsia" w:eastAsia="方正小标宋简体" w:cs="Times New Roman"/>
          <w:color w:val="auto"/>
          <w:spacing w:val="0"/>
          <w:sz w:val="44"/>
          <w:szCs w:val="44"/>
          <w:lang w:eastAsia="zh-CN"/>
        </w:rPr>
        <w:t>遂宁市大英生态环境局</w:t>
      </w:r>
    </w:p>
    <w:p>
      <w:pPr>
        <w:pageBreakBefore w:val="0"/>
        <w:widowControl w:val="0"/>
        <w:kinsoku/>
        <w:wordWrap w:val="0"/>
        <w:overflowPunct w:val="0"/>
        <w:autoSpaceDE/>
        <w:autoSpaceDN/>
        <w:bidi w:val="0"/>
        <w:adjustRightInd w:val="0"/>
        <w:snapToGrid w:val="0"/>
        <w:spacing w:line="560" w:lineRule="exact"/>
        <w:jc w:val="center"/>
        <w:textAlignment w:val="auto"/>
        <w:rPr>
          <w:rFonts w:eastAsia="方正小标宋简体"/>
          <w:kern w:val="0"/>
          <w:sz w:val="44"/>
          <w:szCs w:val="44"/>
        </w:rPr>
      </w:pPr>
      <w:r>
        <w:rPr>
          <w:rFonts w:hint="eastAsia" w:eastAsia="方正小标宋简体"/>
          <w:kern w:val="0"/>
          <w:sz w:val="44"/>
          <w:szCs w:val="44"/>
        </w:rPr>
        <w:t>关于大英县危化品综合停车场及配套设施建设项目</w:t>
      </w:r>
      <w:r>
        <w:rPr>
          <w:rFonts w:eastAsia="方正小标宋简体"/>
          <w:kern w:val="0"/>
          <w:sz w:val="44"/>
          <w:szCs w:val="44"/>
        </w:rPr>
        <w:t>环境影响报告表的批复</w:t>
      </w:r>
    </w:p>
    <w:p>
      <w:pPr>
        <w:pStyle w:val="2"/>
        <w:pageBreakBefore w:val="0"/>
        <w:widowControl w:val="0"/>
        <w:kinsoku/>
        <w:topLinePunct w:val="0"/>
        <w:autoSpaceDE/>
        <w:autoSpaceDN/>
        <w:bidi w:val="0"/>
        <w:spacing w:line="560" w:lineRule="exact"/>
        <w:textAlignment w:val="auto"/>
        <w:rPr>
          <w:rFonts w:hint="eastAsia"/>
          <w:lang w:eastAsia="zh-CN"/>
        </w:rPr>
      </w:pPr>
    </w:p>
    <w:p>
      <w:pPr>
        <w:pageBreakBefore w:val="0"/>
        <w:widowControl w:val="0"/>
        <w:kinsoku/>
        <w:wordWrap w:val="0"/>
        <w:overflowPunct w:val="0"/>
        <w:topLinePunct/>
        <w:autoSpaceDE/>
        <w:autoSpaceDN/>
        <w:bidi w:val="0"/>
        <w:snapToGrid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大英县禾鑫城市建设投资有限公司：</w:t>
      </w:r>
    </w:p>
    <w:p>
      <w:pPr>
        <w:pageBreakBefore w:val="0"/>
        <w:widowControl w:val="0"/>
        <w:kinsoku/>
        <w:autoSpaceDE/>
        <w:autoSpaceDN/>
        <w:bidi w:val="0"/>
        <w:adjustRightIn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你公司报送的《大英县危化品综合停车场及配套设施建设项目环境影响报告表》（以下简称《报告表》）收悉。经研究，批复如下：</w:t>
      </w:r>
    </w:p>
    <w:p>
      <w:pPr>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项目拟在已建危化品停车场的预留空地处新增洗车、维修（不涉喷漆、焊接）工序，并配套污水处理设施及事故应急池（兼初期雨水处理池），项目不新增用地，主要为化工园区危险品运输车辆提供停车、清洗、维修等配套服务综合功能，建成后年清洗危化品运输车辆1500辆、维修危化品运输车辆100 辆。项目总投资200万元，其中环保投资40万元。</w:t>
      </w:r>
    </w:p>
    <w:p>
      <w:pPr>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sz w:val="32"/>
          <w:szCs w:val="32"/>
        </w:rPr>
        <w:sectPr>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pPr>
      <w:r>
        <w:rPr>
          <w:rFonts w:hint="eastAsia" w:ascii="仿宋_GB2312" w:hAnsi="仿宋_GB2312" w:eastAsia="仿宋_GB2312" w:cs="仿宋_GB2312"/>
          <w:sz w:val="32"/>
          <w:szCs w:val="32"/>
        </w:rPr>
        <w:t>项目经大英县发展和改革局出具《关于大英县危化品综合停车场及配套设施建设项目内容变更的批复》（大发改许可〔2022〕160号）。项目已取得不动产权证书（川〔2022〕大英县不动产权第0330034号）。《报告表》认为该项目建设符合国家产业政策，</w:t>
      </w:r>
    </w:p>
    <w:p>
      <w:pPr>
        <w:pageBreakBefore w:val="0"/>
        <w:widowControl w:val="0"/>
        <w:kinsoku/>
        <w:autoSpaceDE/>
        <w:autoSpaceDN/>
        <w:bidi w:val="0"/>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选址符合相关规划和规划环评相关要求。</w:t>
      </w:r>
    </w:p>
    <w:p>
      <w:pPr>
        <w:pageBreakBefore w:val="0"/>
        <w:widowControl w:val="0"/>
        <w:kinsoku/>
        <w:overflowPunct w:val="0"/>
        <w:autoSpaceDE/>
        <w:autoSpaceDN/>
        <w:bidi w:val="0"/>
        <w:adjustRightInd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pPr>
        <w:pageBreakBefore w:val="0"/>
        <w:widowControl w:val="0"/>
        <w:kinsoku/>
        <w:wordWrap w:val="0"/>
        <w:overflow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二、项目建设及营运应重点做好以下工作</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（一）落实施工期的各项环保措施。</w:t>
      </w:r>
      <w:r>
        <w:rPr>
          <w:rFonts w:hint="eastAsia" w:ascii="仿宋_GB2312" w:hAnsi="仿宋_GB2312" w:eastAsia="仿宋_GB2312" w:cs="仿宋_GB2312"/>
          <w:sz w:val="32"/>
          <w:szCs w:val="32"/>
        </w:rPr>
        <w:t>严格按照《报告表》要求，落实扬尘、施工废水、噪声、建筑垃圾等污染防治措施，减少对周围环境的影响。</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（二）落实废水处置措施。项目仅清洗危化品运输空车车辆外壁，不涉及罐体内部清洗。项目实行“雨污分流”，生活污水</w:t>
      </w:r>
      <w:r>
        <w:rPr>
          <w:rFonts w:hint="eastAsia" w:ascii="仿宋_GB2312" w:hAnsi="仿宋_GB2312" w:eastAsia="仿宋_GB2312" w:cs="仿宋_GB2312"/>
          <w:sz w:val="32"/>
          <w:szCs w:val="32"/>
        </w:rPr>
        <w:t>预处理与生产废水经隔油沉淀池处理达到《污水综合排放标准》（GB8978-1996）中三级标准后排入污水提升池，暂时由罐车运输至大英县工业污水处理厂处理达标后排入郪江。待区域污水管网建成后，废水接入污水管网，最终经大英县工业污水处理厂处理达标后排入郪江。</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三）落实固废处置措施。项目维修工序产生的废轮胎暂存于一般固废暂存间，定期交由专业公司回收利用；生活垃圾统一收集交由环卫部门清运处理；废机油、隔油沉淀池废油、废机油桶、含油废棉纱及手套等属于危险废物，分类暂存于危险废物暂存间，定期交由有资质单位处置，转移过程严格落实《危险废物转移管理办法》要求。</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（四）落实噪声处置措施。项目合理布局，选用低噪声设备，厂界噪声排放应满足《工业企业厂界</w:t>
      </w:r>
      <w:r>
        <w:rPr>
          <w:rFonts w:hint="eastAsia" w:ascii="仿宋_GB2312" w:hAnsi="仿宋_GB2312" w:eastAsia="仿宋_GB2312" w:cs="仿宋_GB2312"/>
          <w:sz w:val="32"/>
          <w:szCs w:val="32"/>
        </w:rPr>
        <w:t>环境噪声排放标准》（GB12348-2008）中2类标准。</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sz w:val="32"/>
          <w:szCs w:val="32"/>
        </w:rPr>
        <w:t>（五）落实地下水、土壤防治措施。严格按照《报告表》要求，对危废暂存间、事故应急</w:t>
      </w:r>
      <w:r>
        <w:rPr>
          <w:rFonts w:hint="eastAsia" w:ascii="仿宋_GB2312" w:hAnsi="仿宋_GB2312" w:eastAsia="仿宋_GB2312" w:cs="仿宋_GB2312"/>
          <w:bCs/>
          <w:sz w:val="32"/>
          <w:szCs w:val="32"/>
        </w:rPr>
        <w:t>池（兼初期雨水收集池）、隔油沉淀池、污水提升池等进行重点防渗，对洗车车间、维修车间、停车区等区域进行一般防渗，防止地下水和土壤环境污染。</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（六）</w:t>
      </w:r>
      <w:r>
        <w:rPr>
          <w:rFonts w:hint="eastAsia" w:ascii="仿宋_GB2312" w:hAnsi="仿宋_GB2312" w:eastAsia="仿宋_GB2312" w:cs="仿宋_GB2312"/>
          <w:sz w:val="32"/>
          <w:szCs w:val="32"/>
        </w:rPr>
        <w:t>加强环境风险防范和应急管理。严格落实《报告表》提出的风险防范措施，每个停车组四周</w:t>
      </w:r>
      <w:r>
        <w:rPr>
          <w:rFonts w:hint="eastAsia" w:ascii="仿宋_GB2312" w:hAnsi="仿宋_GB2312" w:eastAsia="仿宋_GB2312" w:cs="仿宋_GB2312"/>
          <w:bCs/>
          <w:sz w:val="32"/>
          <w:szCs w:val="32"/>
        </w:rPr>
        <w:t>设置雨水沟，</w:t>
      </w:r>
      <w:r>
        <w:rPr>
          <w:rFonts w:hint="eastAsia" w:ascii="仿宋_GB2312" w:hAnsi="仿宋_GB2312" w:eastAsia="仿宋_GB2312" w:cs="仿宋_GB2312"/>
          <w:sz w:val="32"/>
          <w:szCs w:val="32"/>
        </w:rPr>
        <w:t>修建事故应急池及废水收集管网</w:t>
      </w:r>
      <w:r>
        <w:rPr>
          <w:rFonts w:hint="eastAsia" w:ascii="仿宋_GB2312" w:hAnsi="仿宋_GB2312" w:eastAsia="仿宋_GB2312" w:cs="仿宋_GB2312"/>
          <w:bCs/>
          <w:sz w:val="32"/>
          <w:szCs w:val="32"/>
        </w:rPr>
        <w:t>。</w:t>
      </w:r>
      <w:r>
        <w:rPr>
          <w:rFonts w:hint="eastAsia" w:ascii="仿宋_GB2312" w:hAnsi="仿宋_GB2312" w:eastAsia="仿宋_GB2312" w:cs="仿宋_GB2312"/>
          <w:sz w:val="32"/>
          <w:szCs w:val="32"/>
        </w:rPr>
        <w:t>制定并不断完善突发环境事件应急预案，定期开展应急演练。规范内部管理，严格操作规范，防止污染事故的发生。</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三、根据项目环评报告预测，本次扩建项目新增水污染物排放总量</w:t>
      </w:r>
      <w:r>
        <w:rPr>
          <w:rFonts w:hint="eastAsia" w:ascii="仿宋_GB2312" w:hAnsi="仿宋_GB2312" w:eastAsia="仿宋_GB2312" w:cs="仿宋_GB2312"/>
          <w:color w:val="auto"/>
          <w:sz w:val="32"/>
          <w:szCs w:val="32"/>
        </w:rPr>
        <w:t>COD0.482t/a、NH3-N0.0338t/a。</w:t>
      </w:r>
    </w:p>
    <w:p>
      <w:pPr>
        <w:pStyle w:val="2"/>
        <w:pageBreakBefore w:val="0"/>
        <w:widowControl w:val="0"/>
        <w:kinsoku/>
        <w:autoSpaceDE/>
        <w:autoSpaceDN/>
        <w:bidi w:val="0"/>
        <w:spacing w:line="560" w:lineRule="exact"/>
        <w:ind w:firstLine="640" w:firstLineChars="20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四、项目建设应依法完备其他行政许可手续。</w:t>
      </w:r>
    </w:p>
    <w:p>
      <w:pPr>
        <w:pageBreakBefore w:val="0"/>
        <w:widowControl w:val="0"/>
        <w:kinsoku/>
        <w:overflow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项目建设必须严格执行配套建设的环境保护设施与主体工程同时设计、同时施工、同时投产使用的环境保护“三同时”制度。在发生实际排污行为前，按照国家排污许可有关管理规定要求，依法申领排污许可证或填报排污登记表。建设项目竣工后，应当按照规定的程序和标准，组织对配套建设的环境保护设施及对策措施进行验收，并依法向社会公开验收报告，验收合格后方可投入生产或使用。</w:t>
      </w:r>
    </w:p>
    <w:p>
      <w:pPr>
        <w:pageBreakBefore w:val="0"/>
        <w:widowControl w:val="0"/>
        <w:kinsoku/>
        <w:overflowPunct w:val="0"/>
        <w:autoSpaceDE/>
        <w:autoSpaceDN/>
        <w:bidi w:val="0"/>
        <w:snapToGrid w:val="0"/>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项目环境影响评价文件经批准后，如工程的性质、规模、地点、采用的生产工艺或者防治污染、防止生态破坏的措施发生重大变动，你公司应当重新报批环境影响评价文件，否则不得实施建设。自环评批复文件批准之日起，如工程超过5年未开工建设，环境影响评价文件应当报我局重新审核。</w:t>
      </w:r>
    </w:p>
    <w:p>
      <w:pPr>
        <w:pageBreakBefore w:val="0"/>
        <w:widowControl w:val="0"/>
        <w:kinsoku/>
        <w:topLinePunct w:val="0"/>
        <w:autoSpaceDE/>
        <w:autoSpaceDN/>
        <w:bidi w:val="0"/>
        <w:spacing w:line="560" w:lineRule="exact"/>
        <w:textAlignment w:val="auto"/>
        <w:rPr>
          <w:rFonts w:hint="default"/>
          <w:lang w:val="en-US" w:eastAsia="zh-CN"/>
        </w:rPr>
      </w:pPr>
    </w:p>
    <w:p>
      <w:pPr>
        <w:pStyle w:val="2"/>
        <w:pageBreakBefore w:val="0"/>
        <w:widowControl w:val="0"/>
        <w:kinsoku/>
        <w:autoSpaceDE/>
        <w:autoSpaceDN/>
        <w:bidi w:val="0"/>
        <w:spacing w:line="560" w:lineRule="exact"/>
        <w:textAlignment w:val="auto"/>
        <w:rPr>
          <w:rFonts w:hint="default"/>
          <w:lang w:val="en-US" w:eastAsia="zh-CN"/>
        </w:rPr>
      </w:pPr>
    </w:p>
    <w:p>
      <w:pPr>
        <w:keepNext w:val="0"/>
        <w:keepLines w:val="0"/>
        <w:pageBreakBefore w:val="0"/>
        <w:widowControl w:val="0"/>
        <w:kinsoku/>
        <w:wordWrap w:val="0"/>
        <w:overflowPunct w:val="0"/>
        <w:topLinePunct w:val="0"/>
        <w:autoSpaceDE/>
        <w:autoSpaceDN/>
        <w:bidi w:val="0"/>
        <w:adjustRightInd w:val="0"/>
        <w:snapToGrid w:val="0"/>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遂宁市大英生态环境局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p>
    <w:p>
      <w:pPr>
        <w:pStyle w:val="2"/>
        <w:wordWrap w:val="0"/>
        <w:ind w:left="0" w:leftChars="0" w:firstLine="0" w:firstLineChars="0"/>
        <w:jc w:val="right"/>
        <w:rPr>
          <w:rFonts w:hint="default" w:ascii="仿宋_GB2312" w:hAnsi="仿宋_GB2312" w:eastAsia="仿宋_GB2312" w:cs="仿宋_GB2312"/>
          <w:bCs/>
          <w:sz w:val="32"/>
          <w:szCs w:val="32"/>
          <w:lang w:val="en-US" w:eastAsia="zh-CN"/>
        </w:rPr>
      </w:pPr>
      <w:r>
        <w:rPr>
          <w:rFonts w:hint="eastAsia" w:ascii="仿宋_GB2312" w:hAnsi="仿宋_GB2312" w:eastAsia="仿宋_GB2312" w:cs="仿宋_GB2312"/>
          <w:sz w:val="32"/>
          <w:szCs w:val="32"/>
        </w:rPr>
        <w:t xml:space="preserve">                        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月</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val="en-US" w:eastAsia="zh-CN"/>
        </w:rPr>
        <w:t xml:space="preserve">        </w:t>
      </w:r>
    </w:p>
    <w:p>
      <w:pPr>
        <w:pStyle w:val="3"/>
        <w:rPr>
          <w:rFonts w:hint="eastAsia" w:ascii="仿宋_GB2312" w:hAnsi="仿宋_GB2312" w:eastAsia="仿宋_GB2312" w:cs="仿宋_GB2312"/>
          <w:bCs/>
          <w:sz w:val="32"/>
          <w:szCs w:val="32"/>
          <w:lang w:val="en-US" w:eastAsia="zh-CN"/>
        </w:rPr>
      </w:pPr>
    </w:p>
    <w:p>
      <w:pPr>
        <w:pStyle w:val="4"/>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2"/>
        <w:rPr>
          <w:rFonts w:hint="eastAsia" w:ascii="仿宋_GB2312" w:hAnsi="仿宋_GB2312" w:eastAsia="仿宋_GB2312" w:cs="仿宋_GB2312"/>
          <w:bCs/>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900" w:lineRule="exact"/>
        <w:textAlignment w:val="auto"/>
        <w:rPr>
          <w:rFonts w:hint="eastAsia" w:ascii="仿宋_GB2312" w:hAnsi="仿宋_GB2312" w:eastAsia="仿宋_GB2312" w:cs="仿宋_GB2312"/>
          <w:bCs/>
          <w:sz w:val="32"/>
          <w:szCs w:val="32"/>
          <w:lang w:val="en-US" w:eastAsia="zh-CN"/>
        </w:rPr>
      </w:pPr>
      <w:bookmarkStart w:id="0" w:name="_GoBack"/>
      <w:bookmarkEnd w:id="0"/>
    </w:p>
    <w:p>
      <w:pPr>
        <w:pStyle w:val="4"/>
        <w:rPr>
          <w:rFonts w:hint="eastAsia" w:ascii="仿宋_GB2312" w:hAnsi="仿宋_GB2312" w:eastAsia="仿宋_GB2312" w:cs="仿宋_GB2312"/>
          <w:bCs/>
          <w:sz w:val="32"/>
          <w:szCs w:val="32"/>
          <w:lang w:val="en-US" w:eastAsia="zh-CN"/>
        </w:rPr>
      </w:pPr>
    </w:p>
    <w:p>
      <w:pPr>
        <w:rPr>
          <w:rFonts w:hint="eastAsia" w:ascii="仿宋_GB2312" w:hAnsi="仿宋_GB2312" w:eastAsia="仿宋_GB2312" w:cs="仿宋_GB2312"/>
          <w:bCs/>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lang w:val="en-US" w:eastAsia="zh-CN"/>
        </w:rPr>
      </w:pPr>
    </w:p>
    <w:p>
      <w:pPr>
        <w:pStyle w:val="2"/>
        <w:rPr>
          <w:rFonts w:hint="eastAsia" w:ascii="仿宋_GB2312" w:hAnsi="仿宋_GB2312" w:eastAsia="仿宋_GB2312" w:cs="仿宋_GB2312"/>
          <w:bCs/>
          <w:sz w:val="32"/>
          <w:szCs w:val="32"/>
          <w:lang w:val="en-US" w:eastAsia="zh-CN"/>
        </w:rPr>
      </w:pPr>
    </w:p>
    <w:p>
      <w:pPr>
        <w:pStyle w:val="4"/>
        <w:keepNext w:val="0"/>
        <w:keepLines w:val="0"/>
        <w:pageBreakBefore w:val="0"/>
        <w:widowControl w:val="0"/>
        <w:kinsoku/>
        <w:wordWrap/>
        <w:overflowPunct/>
        <w:topLinePunct w:val="0"/>
        <w:autoSpaceDE/>
        <w:autoSpaceDN/>
        <w:bidi w:val="0"/>
        <w:adjustRightInd/>
        <w:snapToGrid/>
        <w:spacing w:line="560" w:lineRule="atLeast"/>
        <w:ind w:left="0" w:leftChars="0" w:firstLine="0" w:firstLineChars="0"/>
        <w:textAlignment w:val="auto"/>
        <w:rPr>
          <w:rFonts w:hint="default"/>
          <w:lang w:val="en-US" w:eastAsia="zh-CN"/>
        </w:rPr>
      </w:pPr>
    </w:p>
    <w:p>
      <w:pPr>
        <w:rPr>
          <w:rFonts w:hint="default"/>
          <w:lang w:val="en-US" w:eastAsia="zh-CN"/>
        </w:rPr>
      </w:pPr>
    </w:p>
    <w:p>
      <w:pPr>
        <w:pStyle w:val="5"/>
        <w:rPr>
          <w:rFonts w:hint="default"/>
          <w:vanish w:val="0"/>
          <w:lang w:val="en-US" w:eastAsia="zh-CN"/>
        </w:rPr>
      </w:pPr>
    </w:p>
    <w:tbl>
      <w:tblPr>
        <w:tblStyle w:val="9"/>
        <w:tblW w:w="0" w:type="auto"/>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422"/>
        <w:gridCol w:w="4422"/>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jc w:val="center"/>
          <w:hidden/>
        </w:trPr>
        <w:tc>
          <w:tcPr>
            <w:tcW w:w="4422" w:type="dxa"/>
            <w:tcBorders>
              <w:tl2br w:val="nil"/>
              <w:tr2bl w:val="nil"/>
            </w:tcBorders>
            <w:vAlign w:val="top"/>
          </w:tcPr>
          <w:p>
            <w:pPr>
              <w:ind w:firstLine="280" w:firstLineChars="100"/>
              <w:jc w:val="left"/>
              <w:rPr>
                <w:rFonts w:hint="default"/>
                <w:vanish w:val="0"/>
                <w:vertAlign w:val="baseline"/>
                <w:lang w:val="en-US" w:eastAsia="zh-CN"/>
              </w:rPr>
            </w:pPr>
            <w:r>
              <w:rPr>
                <w:rFonts w:hint="eastAsia" w:ascii="仿宋" w:hAnsi="仿宋" w:eastAsia="仿宋" w:cs="仿宋"/>
                <w:vanish w:val="0"/>
                <w:color w:val="auto"/>
                <w:sz w:val="28"/>
                <w:szCs w:val="28"/>
              </w:rPr>
              <w:t>遂宁市大英生态环境局办公室</w:t>
            </w:r>
          </w:p>
        </w:tc>
        <w:tc>
          <w:tcPr>
            <w:tcW w:w="4422" w:type="dxa"/>
            <w:tcBorders>
              <w:tl2br w:val="nil"/>
              <w:tr2bl w:val="nil"/>
            </w:tcBorders>
            <w:vAlign w:val="top"/>
          </w:tcPr>
          <w:p>
            <w:pPr>
              <w:wordWrap w:val="0"/>
              <w:jc w:val="right"/>
              <w:rPr>
                <w:rFonts w:hint="eastAsia" w:eastAsia="仿宋"/>
                <w:vanish w:val="0"/>
                <w:vertAlign w:val="baseline"/>
                <w:lang w:val="en-US" w:eastAsia="zh-CN"/>
              </w:rPr>
            </w:pPr>
            <w:r>
              <w:rPr>
                <w:rFonts w:hint="eastAsia" w:ascii="仿宋" w:hAnsi="仿宋" w:eastAsia="仿宋" w:cs="仿宋"/>
                <w:vanish w:val="0"/>
                <w:color w:val="auto"/>
                <w:sz w:val="28"/>
                <w:szCs w:val="28"/>
                <w:lang w:val="en-US" w:eastAsia="zh-CN"/>
              </w:rPr>
              <w:t>2023年1月12日印</w:t>
            </w:r>
            <w:r>
              <w:rPr>
                <w:rFonts w:hint="eastAsia" w:ascii="仿宋" w:hAnsi="仿宋" w:eastAsia="仿宋" w:cs="仿宋"/>
                <w:vanish w:val="0"/>
                <w:color w:val="auto"/>
                <w:sz w:val="28"/>
                <w:szCs w:val="28"/>
              </w:rPr>
              <w:t>发</w:t>
            </w:r>
            <w:r>
              <w:rPr>
                <w:rFonts w:hint="eastAsia" w:ascii="仿宋" w:hAnsi="仿宋" w:eastAsia="仿宋" w:cs="仿宋"/>
                <w:vanish w:val="0"/>
                <w:color w:val="auto"/>
                <w:sz w:val="28"/>
                <w:szCs w:val="28"/>
                <w:lang w:val="en-US" w:eastAsia="zh-CN"/>
              </w:rPr>
              <w:t xml:space="preserve">  </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rPr>
          <w:rFonts w:hint="default"/>
          <w:lang w:val="en-US" w:eastAsia="zh-CN"/>
        </w:rPr>
      </w:pPr>
    </w:p>
    <w:sectPr>
      <w:footerReference r:id="rId3" w:type="default"/>
      <w:pgSz w:w="11906" w:h="16838"/>
      <w:pgMar w:top="2098" w:right="1474" w:bottom="1440" w:left="1587" w:header="851" w:footer="992" w:gutter="0"/>
      <w:pgBorders>
        <w:top w:val="none" w:sz="0" w:space="0"/>
        <w:left w:val="none" w:sz="0" w:space="0"/>
        <w:bottom w:val="none" w:sz="0" w:space="0"/>
        <w:right w:val="none" w:sz="0" w:space="0"/>
      </w:pgBorders>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___WRD_EMBED_SUB_44">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-125730</wp:posOffset>
              </wp:positionV>
              <wp:extent cx="1113155" cy="48895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113155" cy="4889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keepNext w:val="0"/>
                            <w:keepLines w:val="0"/>
                            <w:pageBreakBefore w:val="0"/>
                            <w:widowControl w:val="0"/>
                            <w:kinsoku/>
                            <w:wordWrap w:val="0"/>
                            <w:overflowPunct/>
                            <w:topLinePunct w:val="0"/>
                            <w:autoSpaceDE/>
                            <w:autoSpaceDN/>
                            <w:bidi w:val="0"/>
                            <w:adjustRightInd/>
                            <w:snapToGrid w:val="0"/>
                            <w:spacing w:before="397"/>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9.9pt;height:38.5pt;width:87.65pt;mso-position-horizontal:outside;mso-position-horizontal-relative:margin;z-index:251659264;mso-width-relative:page;mso-height-relative:page;" filled="f" stroked="f" coordsize="21600,21600" o:gfxdata="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Pk7SyTWAAAABwEAAA8AAAAAAAAAAQAgAAAAIgAAAGRycy9kb3ducmV2&#10;LnhtbFBLAQIUABQAAAAIAIdO4kBZsOyoNwIAAGIEAAAOAAAAAAAAAAEAIAAAACUBAABkcnMvZTJv&#10;RG9jLnhtbFBLBQYAAAAABgAGAFkBAADOBQAAAAA=&#10;">
              <v:fill on="f" focussize="0,0"/>
              <v:stroke on="f" weight="0.5pt"/>
              <v:imagedata o:title=""/>
              <o:lock v:ext="edit" aspectratio="f"/>
              <v:textbox inset="0mm,0mm,0mm,0mm">
                <w:txbxContent>
                  <w:p>
                    <w:pPr>
                      <w:pStyle w:val="6"/>
                      <w:keepNext w:val="0"/>
                      <w:keepLines w:val="0"/>
                      <w:pageBreakBefore w:val="0"/>
                      <w:widowControl w:val="0"/>
                      <w:kinsoku/>
                      <w:wordWrap w:val="0"/>
                      <w:overflowPunct/>
                      <w:topLinePunct w:val="0"/>
                      <w:autoSpaceDE/>
                      <w:autoSpaceDN/>
                      <w:bidi w:val="0"/>
                      <w:adjustRightInd/>
                      <w:snapToGrid w:val="0"/>
                      <w:spacing w:before="397"/>
                      <w:ind w:firstLine="280" w:firstLineChars="100"/>
                      <w:jc w:val="center"/>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rPr>
                      <w:fldChar w:fldCharType="begin"/>
                    </w:r>
                    <w:r>
                      <w:rPr>
                        <w:rFonts w:hint="eastAsia" w:asciiTheme="minorEastAsia" w:hAnsiTheme="minorEastAsia" w:cstheme="minorEastAsia"/>
                        <w:sz w:val="28"/>
                        <w:szCs w:val="28"/>
                      </w:rPr>
                      <w:instrText xml:space="preserve"> PAGE  \* MERGEFORMAT </w:instrText>
                    </w:r>
                    <w:r>
                      <w:rPr>
                        <w:rFonts w:hint="eastAsia" w:asciiTheme="minorEastAsia" w:hAnsiTheme="minorEastAsia" w:cstheme="minorEastAsia"/>
                        <w:sz w:val="28"/>
                        <w:szCs w:val="28"/>
                      </w:rPr>
                      <w:fldChar w:fldCharType="separate"/>
                    </w:r>
                    <w:r>
                      <w:rPr>
                        <w:rFonts w:hint="eastAsia" w:asciiTheme="minorEastAsia" w:hAnsiTheme="minorEastAsia" w:cstheme="minorEastAsia"/>
                        <w:sz w:val="28"/>
                        <w:szCs w:val="28"/>
                      </w:rPr>
                      <w:t>4</w:t>
                    </w:r>
                    <w:r>
                      <w:rPr>
                        <w:rFonts w:hint="eastAsia" w:asciiTheme="minorEastAsia" w:hAnsiTheme="minorEastAsia" w:cstheme="minorEastAsia"/>
                        <w:sz w:val="28"/>
                        <w:szCs w:val="28"/>
                      </w:rPr>
                      <w:fldChar w:fldCharType="end"/>
                    </w:r>
                    <w:r>
                      <w:rPr>
                        <w:rFonts w:hint="eastAsia" w:asciiTheme="minorEastAsia" w:hAnsiTheme="minorEastAsia" w:cstheme="minorEastAsia"/>
                        <w:sz w:val="28"/>
                        <w:szCs w:val="28"/>
                      </w:rPr>
                      <w:t xml:space="preserve"> —</w:t>
                    </w:r>
                    <w:r>
                      <w:rPr>
                        <w:rFonts w:hint="eastAsia" w:asciiTheme="minorEastAsia" w:hAnsi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mNGRkZDgxZWJmMmVhM2RmMzA5ZTU0NTY3ZmMzYmMifQ=="/>
  </w:docVars>
  <w:rsids>
    <w:rsidRoot w:val="00000000"/>
    <w:rsid w:val="01844E19"/>
    <w:rsid w:val="094E2162"/>
    <w:rsid w:val="0C4C2651"/>
    <w:rsid w:val="27E16961"/>
    <w:rsid w:val="2A1F2C38"/>
    <w:rsid w:val="31F50C2D"/>
    <w:rsid w:val="38C236CA"/>
    <w:rsid w:val="58C4394C"/>
    <w:rsid w:val="6F6E3F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character" w:default="1" w:styleId="10">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2"/>
    <w:basedOn w:val="1"/>
    <w:next w:val="3"/>
    <w:qFormat/>
    <w:uiPriority w:val="0"/>
    <w:pPr>
      <w:adjustRightInd w:val="0"/>
      <w:snapToGrid w:val="0"/>
      <w:spacing w:line="440" w:lineRule="atLeast"/>
      <w:ind w:firstLine="573"/>
    </w:pPr>
    <w:rPr>
      <w:rFonts w:ascii="宋体"/>
    </w:rPr>
  </w:style>
  <w:style w:type="paragraph" w:customStyle="1" w:styleId="3">
    <w:name w:val="简单回函地址"/>
    <w:basedOn w:val="1"/>
    <w:next w:val="4"/>
    <w:qFormat/>
    <w:uiPriority w:val="0"/>
    <w:rPr>
      <w:szCs w:val="20"/>
    </w:rPr>
  </w:style>
  <w:style w:type="paragraph" w:customStyle="1" w:styleId="4">
    <w:name w:val="正文2"/>
    <w:next w:val="1"/>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footer1"/>
    <w:basedOn w:val="1"/>
    <w:qFormat/>
    <w:uiPriority w:val="99"/>
    <w:pPr>
      <w:widowControl/>
      <w:tabs>
        <w:tab w:val="center" w:pos="4153"/>
        <w:tab w:val="right" w:pos="8306"/>
      </w:tabs>
      <w:snapToGrid w:val="0"/>
      <w:spacing w:line="560" w:lineRule="exact"/>
    </w:pPr>
    <w:rPr>
      <w:rFonts w:ascii="Times New Roman" w:hAnsi="Times New Roman"/>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1669</Words>
  <Characters>1746</Characters>
  <Lines>0</Lines>
  <Paragraphs>0</Paragraphs>
  <TotalTime>5</TotalTime>
  <ScaleCrop>false</ScaleCrop>
  <LinksUpToDate>false</LinksUpToDate>
  <CharactersWithSpaces>1790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洛丽塔塔塔</cp:lastModifiedBy>
  <cp:lastPrinted>2023-01-12T08:01:41Z</cp:lastPrinted>
  <dcterms:modified xsi:type="dcterms:W3CDTF">2023-01-12T08:05:42Z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84AF9974EFDA41BBB430CA9C288762B8</vt:lpwstr>
  </property>
</Properties>
</file>