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ascii="Times New Roman" w:hAnsi="Times New Roman" w:eastAsia="仿宋_GB2312"/>
          <w:color w:val="auto"/>
          <w:kern w:val="0"/>
          <w:sz w:val="20"/>
        </w:rPr>
      </w:pPr>
      <w:r>
        <w:rPr>
          <w:rFonts w:ascii="Times New Roman" w:hAnsi="Times New Roman" w:eastAsia="仿宋_GB2312"/>
          <w:color w:val="auto"/>
          <w:szCs w:val="21"/>
        </w:rPr>
        <mc:AlternateContent>
          <mc:Choice Requires="wps">
            <w:drawing>
              <wp:anchor distT="0" distB="0" distL="114300" distR="114300" simplePos="0" relativeHeight="346168320"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4"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346168320;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09Nh9cAAAAJAQAADwAAAAAAAAABACAAAAAiAAAA&#10;ZHJzL2Rvd25yZXYueG1sUEsBAhQAFAAAAAgAh07iQILui93PAQAAkAMAAA4AAAAAAAAAAQAgAAAA&#10;JgEAAGRycy9lMm9Eb2MueG1sUEsFBgAAAAAGAAYAWQEAAGcFAAAAAA==&#10;">
                <v:fill on="f" focussize="0,0"/>
                <v:stroke weight="1.5pt" color="#000000" joinstyle="round"/>
                <v:imagedata o:title=""/>
                <o:lock v:ext="edit" aspectratio="f"/>
              </v:line>
            </w:pict>
          </mc:Fallback>
        </mc:AlternateContent>
      </w:r>
      <w:r>
        <w:rPr>
          <w:rFonts w:ascii="Times New Roman" w:hAnsi="Times New Roman" w:eastAsia="仿宋_GB2312"/>
          <w:color w:val="auto"/>
          <w:sz w:val="20"/>
        </w:rPr>
        <w:t>（</w:t>
      </w:r>
      <w:r>
        <w:rPr>
          <w:rFonts w:hint="eastAsia" w:ascii="Times New Roman" w:hAnsi="Times New Roman" w:eastAsia="仿宋_GB2312"/>
          <w:color w:val="auto"/>
          <w:szCs w:val="21"/>
          <w:lang w:eastAsia="zh-CN"/>
        </w:rPr>
        <w:t>大</w:t>
      </w:r>
      <w:r>
        <w:rPr>
          <w:rFonts w:ascii="Times New Roman" w:hAnsi="Times New Roman" w:eastAsia="仿宋_GB2312"/>
          <w:color w:val="auto"/>
          <w:sz w:val="20"/>
        </w:rPr>
        <w:t>）食药监</w:t>
      </w:r>
      <w:r>
        <w:rPr>
          <w:rFonts w:hint="eastAsia" w:ascii="Times New Roman" w:hAnsi="Times New Roman" w:eastAsia="仿宋_GB2312"/>
          <w:color w:val="auto"/>
          <w:sz w:val="20"/>
          <w:lang w:eastAsia="zh-CN"/>
        </w:rPr>
        <w:t>食</w:t>
      </w:r>
      <w:r>
        <w:rPr>
          <w:rFonts w:ascii="Times New Roman" w:hAnsi="Times New Roman" w:eastAsia="仿宋_GB2312"/>
          <w:color w:val="auto"/>
          <w:kern w:val="0"/>
          <w:sz w:val="20"/>
        </w:rPr>
        <w:t>罚</w:t>
      </w:r>
      <w:r>
        <w:rPr>
          <w:rFonts w:ascii="Times New Roman" w:hAnsi="Times New Roman" w:eastAsia="仿宋_GB2312"/>
          <w:color w:val="auto"/>
          <w:sz w:val="20"/>
        </w:rPr>
        <w:t>〔</w:t>
      </w:r>
      <w:r>
        <w:rPr>
          <w:rFonts w:hint="eastAsia" w:ascii="Times New Roman" w:hAnsi="Times New Roman" w:eastAsia="仿宋_GB2312"/>
          <w:color w:val="auto"/>
          <w:sz w:val="20"/>
          <w:lang w:val="en-US" w:eastAsia="zh-CN"/>
        </w:rPr>
        <w:t>2018</w:t>
      </w:r>
      <w:r>
        <w:rPr>
          <w:rFonts w:ascii="Times New Roman" w:hAnsi="Times New Roman" w:eastAsia="仿宋_GB2312"/>
          <w:color w:val="auto"/>
          <w:sz w:val="20"/>
        </w:rPr>
        <w:t>〕</w:t>
      </w:r>
      <w:r>
        <w:rPr>
          <w:rFonts w:hint="eastAsia" w:ascii="Times New Roman" w:hAnsi="Times New Roman" w:eastAsia="仿宋_GB2312"/>
          <w:color w:val="auto"/>
          <w:sz w:val="20"/>
          <w:lang w:val="en-US" w:eastAsia="zh-CN"/>
        </w:rPr>
        <w:t>28</w:t>
      </w:r>
      <w:r>
        <w:rPr>
          <w:rFonts w:ascii="Times New Roman" w:hAnsi="Times New Roman" w:eastAsia="仿宋_GB2312"/>
          <w:color w:val="auto"/>
          <w:kern w:val="0"/>
          <w:sz w:val="20"/>
        </w:rPr>
        <w:t>号</w:t>
      </w:r>
    </w:p>
    <w:p>
      <w:pPr>
        <w:keepNext w:val="0"/>
        <w:keepLines w:val="0"/>
        <w:pageBreakBefore w:val="0"/>
        <w:widowControl w:val="0"/>
        <w:kinsoku/>
        <w:wordWrap/>
        <w:overflowPunct/>
        <w:topLinePunct w:val="0"/>
        <w:bidi w:val="0"/>
        <w:snapToGrid/>
        <w:spacing w:line="520" w:lineRule="exact"/>
        <w:ind w:left="0" w:leftChars="0" w:right="0" w:rightChars="0"/>
        <w:textAlignment w:val="auto"/>
        <w:rPr>
          <w:rFonts w:hint="eastAsia" w:ascii="仿宋_GB2312" w:hAnsi="仿宋_GB2312" w:eastAsia="仿宋_GB2312" w:cs="仿宋_GB2312"/>
          <w:color w:val="auto"/>
          <w:sz w:val="30"/>
          <w:szCs w:val="30"/>
          <w:u w:val="no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当 事 人：</w:t>
      </w:r>
      <w:r>
        <w:rPr>
          <w:rFonts w:hint="eastAsia" w:ascii="仿宋_GB2312" w:hAnsi="仿宋_GB2312" w:eastAsia="仿宋_GB2312" w:cs="仿宋_GB2312"/>
          <w:color w:val="auto"/>
          <w:sz w:val="30"/>
          <w:szCs w:val="30"/>
          <w:u w:val="none"/>
          <w:lang w:val="en-US" w:eastAsia="zh-CN"/>
        </w:rPr>
        <w:t>大英县回马镇文武幼儿园</w:t>
      </w:r>
    </w:p>
    <w:p>
      <w:pPr>
        <w:keepNext w:val="0"/>
        <w:keepLines w:val="0"/>
        <w:pageBreakBefore w:val="0"/>
        <w:widowControl w:val="0"/>
        <w:kinsoku/>
        <w:wordWrap/>
        <w:overflowPunct/>
        <w:topLinePunct w:val="0"/>
        <w:bidi w:val="0"/>
        <w:snapToGrid/>
        <w:spacing w:line="520" w:lineRule="exact"/>
        <w:ind w:left="0" w:leftChars="0" w:right="0" w:rightChars="0"/>
        <w:textAlignment w:val="auto"/>
        <w:rPr>
          <w:rFonts w:hint="eastAsia" w:ascii="仿宋_GB2312" w:hAnsi="仿宋_GB2312" w:eastAsia="仿宋_GB2312" w:cs="仿宋_GB2312"/>
          <w:b w:val="0"/>
          <w:bCs w:val="0"/>
          <w:snapToGrid/>
          <w:color w:val="auto"/>
          <w:spacing w:val="0"/>
          <w:w w:val="100"/>
          <w:kern w:val="0"/>
          <w:position w:val="0"/>
          <w:sz w:val="30"/>
          <w:szCs w:val="30"/>
          <w:u w:val="none" w:color="auto"/>
          <w:vertAlign w:val="baseline"/>
          <w:lang w:val="en-US" w:eastAsia="zh-CN"/>
        </w:rPr>
      </w:pPr>
      <w:r>
        <w:rPr>
          <w:rFonts w:hint="eastAsia" w:ascii="仿宋_GB2312" w:hAnsi="仿宋_GB2312" w:eastAsia="仿宋_GB2312" w:cs="仿宋_GB2312"/>
          <w:b/>
          <w:bCs/>
          <w:color w:val="auto"/>
          <w:sz w:val="30"/>
          <w:szCs w:val="30"/>
          <w:u w:val="none"/>
          <w:lang w:val="en-US" w:eastAsia="zh-CN"/>
        </w:rPr>
        <w:t>食品经营许可证</w:t>
      </w: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编号：</w:t>
      </w:r>
      <w:r>
        <w:rPr>
          <w:rFonts w:hint="eastAsia" w:ascii="仿宋_GB2312" w:hAnsi="仿宋_GB2312" w:eastAsia="仿宋_GB2312" w:cs="仿宋_GB2312"/>
          <w:b w:val="0"/>
          <w:bCs w:val="0"/>
          <w:snapToGrid/>
          <w:color w:val="auto"/>
          <w:spacing w:val="0"/>
          <w:w w:val="100"/>
          <w:kern w:val="0"/>
          <w:position w:val="0"/>
          <w:sz w:val="30"/>
          <w:szCs w:val="30"/>
          <w:u w:val="none" w:color="auto"/>
          <w:vertAlign w:val="baseline"/>
          <w:lang w:val="en-US" w:eastAsia="zh-CN"/>
        </w:rPr>
        <w:t>JY35109230011701</w:t>
      </w:r>
    </w:p>
    <w:p>
      <w:pPr>
        <w:keepNext w:val="0"/>
        <w:keepLines w:val="0"/>
        <w:pageBreakBefore w:val="0"/>
        <w:widowControl w:val="0"/>
        <w:kinsoku/>
        <w:wordWrap/>
        <w:overflowPunct/>
        <w:topLinePunct w:val="0"/>
        <w:bidi w:val="0"/>
        <w:snapToGrid/>
        <w:spacing w:line="520" w:lineRule="exact"/>
        <w:ind w:left="0" w:leftChars="0" w:right="0" w:rightChars="0"/>
        <w:textAlignment w:val="auto"/>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pPr>
      <w:bookmarkStart w:id="0" w:name="_GoBack"/>
      <w:bookmarkEnd w:id="0"/>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社会信用代码：</w:t>
      </w:r>
      <w:r>
        <w:rPr>
          <w:rFonts w:hint="eastAsia" w:ascii="仿宋_GB2312" w:hAnsi="仿宋_GB2312" w:eastAsia="仿宋_GB2312" w:cs="仿宋_GB2312"/>
          <w:b w:val="0"/>
          <w:bCs w:val="0"/>
          <w:snapToGrid/>
          <w:color w:val="auto"/>
          <w:spacing w:val="0"/>
          <w:w w:val="100"/>
          <w:kern w:val="0"/>
          <w:position w:val="0"/>
          <w:sz w:val="30"/>
          <w:szCs w:val="30"/>
          <w:u w:val="none" w:color="auto"/>
          <w:vertAlign w:val="baseline"/>
          <w:lang w:val="en-US" w:eastAsia="zh-CN"/>
        </w:rPr>
        <w:t>5251092331050428XE</w:t>
      </w:r>
    </w:p>
    <w:p>
      <w:pPr>
        <w:keepNext w:val="0"/>
        <w:keepLines w:val="0"/>
        <w:pageBreakBefore w:val="0"/>
        <w:widowControl w:val="0"/>
        <w:kinsoku/>
        <w:wordWrap/>
        <w:overflowPunct/>
        <w:topLinePunct w:val="0"/>
        <w:bidi w:val="0"/>
        <w:snapToGrid/>
        <w:spacing w:line="520" w:lineRule="exact"/>
        <w:ind w:left="0" w:leftChars="0" w:right="0" w:rightChars="0"/>
        <w:textAlignment w:val="auto"/>
        <w:rPr>
          <w:rFonts w:hint="eastAsia" w:ascii="仿宋_GB2312" w:hAnsi="仿宋_GB2312" w:eastAsia="仿宋_GB2312" w:cs="仿宋_GB2312"/>
          <w:color w:val="auto"/>
          <w:sz w:val="30"/>
          <w:szCs w:val="30"/>
          <w:u w:val="no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法定代表人</w:t>
      </w:r>
      <w:r>
        <w:rPr>
          <w:rFonts w:hint="eastAsia" w:ascii="仿宋_GB2312" w:hAnsi="仿宋_GB2312" w:eastAsia="仿宋_GB2312" w:cs="仿宋_GB2312"/>
          <w:color w:val="auto"/>
          <w:sz w:val="30"/>
          <w:szCs w:val="30"/>
          <w:u w:val="none"/>
          <w:lang w:val="en-US" w:eastAsia="zh-CN"/>
        </w:rPr>
        <w:t>：范黎明</w:t>
      </w:r>
    </w:p>
    <w:p>
      <w:pPr>
        <w:keepNext w:val="0"/>
        <w:keepLines w:val="0"/>
        <w:pageBreakBefore w:val="0"/>
        <w:widowControl w:val="0"/>
        <w:kinsoku/>
        <w:wordWrap/>
        <w:overflowPunct/>
        <w:topLinePunct w:val="0"/>
        <w:autoSpaceDE/>
        <w:autoSpaceDN/>
        <w:bidi w:val="0"/>
        <w:snapToGrid/>
        <w:spacing w:line="52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both"/>
        <w:textAlignment w:val="auto"/>
        <w:outlineLvl w:val="9"/>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2018年3月12日我局执法人员在</w:t>
      </w:r>
      <w:r>
        <w:rPr>
          <w:rFonts w:hint="eastAsia" w:ascii="仿宋_GB2312" w:hAnsi="仿宋_GB2312" w:eastAsia="仿宋_GB2312" w:cs="仿宋_GB2312"/>
          <w:color w:val="auto"/>
          <w:sz w:val="30"/>
          <w:szCs w:val="30"/>
          <w:u w:val="none"/>
          <w:lang w:val="en-US" w:eastAsia="zh-CN"/>
        </w:rPr>
        <w:t>大英县回马镇文武幼儿园</w:t>
      </w:r>
      <w:r>
        <w:rPr>
          <w:rFonts w:hint="eastAsia" w:ascii="仿宋_GB2312" w:hAnsi="仿宋" w:eastAsia="仿宋_GB2312"/>
          <w:color w:val="000000"/>
          <w:sz w:val="30"/>
          <w:szCs w:val="30"/>
          <w:lang w:val="en-US" w:eastAsia="zh-CN"/>
        </w:rPr>
        <w:t>工作人员郭炳玉的全程陪同下，在该园厨房烹饪区域操作台上往下第三层查见：“嫩肉淀粉”1瓶，净含量300克，生产厂家：成都市郫县凤姐调味食品厂，执行标准：QL11294-0.2，保质期：十二个月，生产日期：2016年7月25日，已开封，剩余80克。该物品旁边放置有“保宁醋”1瓶，剩余60ml；“海天酱油”1瓶，剩余50ml；“食盐”1袋；上格放置有厨房内工具。截止检查时，该“嫩肉淀粉”已超过保质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both"/>
        <w:textAlignment w:val="auto"/>
        <w:outlineLvl w:val="9"/>
        <w:rPr>
          <w:rFonts w:hint="eastAsia" w:ascii="仿宋_GB2312" w:hAnsi="仿宋" w:eastAsia="仿宋_GB2312"/>
          <w:color w:val="auto"/>
          <w:sz w:val="30"/>
          <w:szCs w:val="30"/>
          <w:lang w:val="en-US" w:eastAsia="zh-CN"/>
        </w:rPr>
      </w:pPr>
      <w:r>
        <w:rPr>
          <w:rFonts w:hint="eastAsia" w:ascii="仿宋_GB2312" w:hAnsi="仿宋" w:eastAsia="仿宋_GB2312"/>
          <w:color w:val="000000"/>
          <w:sz w:val="30"/>
          <w:szCs w:val="30"/>
          <w:lang w:val="en-US" w:eastAsia="zh-CN"/>
        </w:rPr>
        <w:t>经审查，当事人的行为涉嫌违反了《中华人民共和国食品安全法》第三十四条第一款第（三）项的规定，</w:t>
      </w:r>
      <w:r>
        <w:rPr>
          <w:rFonts w:hint="eastAsia" w:ascii="Times New Roman" w:hAnsi="Times New Roman" w:eastAsia="仿宋_GB2312"/>
          <w:color w:val="auto"/>
          <w:sz w:val="30"/>
          <w:szCs w:val="30"/>
          <w:lang w:val="en-US" w:eastAsia="zh-CN"/>
        </w:rPr>
        <w:t>于2018年3月14经请示领导同意，</w:t>
      </w:r>
      <w:r>
        <w:rPr>
          <w:rFonts w:hint="eastAsia" w:ascii="仿宋_GB2312" w:hAnsi="仿宋" w:eastAsia="仿宋_GB2312"/>
          <w:color w:val="auto"/>
          <w:sz w:val="30"/>
          <w:szCs w:val="30"/>
          <w:lang w:val="en-US" w:eastAsia="zh-CN"/>
        </w:rPr>
        <w:t>予以立案。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both"/>
        <w:textAlignment w:val="auto"/>
        <w:outlineLvl w:val="9"/>
        <w:rPr>
          <w:rFonts w:hint="eastAsia" w:ascii="仿宋_GB2312"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现查明：当事人于</w:t>
      </w:r>
      <w:r>
        <w:rPr>
          <w:rFonts w:hint="eastAsia" w:ascii="仿宋_GB2312" w:hAnsi="Times New Roman" w:eastAsia="仿宋_GB2312"/>
          <w:color w:val="auto"/>
          <w:sz w:val="30"/>
          <w:szCs w:val="30"/>
          <w:lang w:val="en-US" w:eastAsia="zh-CN"/>
        </w:rPr>
        <w:t>2016年10月前后在大英县回马镇王光辉副食店购进</w:t>
      </w:r>
      <w:r>
        <w:rPr>
          <w:rFonts w:hint="eastAsia" w:ascii="仿宋_GB2312" w:hAnsi="仿宋" w:eastAsia="仿宋_GB2312"/>
          <w:color w:val="000000"/>
          <w:sz w:val="30"/>
          <w:szCs w:val="30"/>
          <w:lang w:val="en-US" w:eastAsia="zh-CN"/>
        </w:rPr>
        <w:t>“嫩肉淀粉”1瓶放于该园负责人私人厨房中食用，因2018年2月27日该园负责人私人厨房内天然气灶损坏无法使用，便将私人厨房中的“嫩肉淀粉”1瓶和相关菜品原料带入该幼儿园食堂进行加工烹饪，其家人在烹饪完菜品后忘记将“嫩肉淀粉”1瓶放回私人厨房中，该幼儿园厨房工作人员未及时对厨房内该食品原料进行清理、未按规定实施生产经营过程控制要求、导致2018年3月12日我局执法人员在该园厨房中查见“嫩肉淀粉”1瓶已超过保质期的情况</w:t>
      </w:r>
      <w:r>
        <w:rPr>
          <w:rFonts w:hint="eastAsia" w:ascii="仿宋_GB2312" w:hAnsi="Times New Roman" w:eastAsia="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both"/>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又查明：当事人所开设的幼儿园食堂、仅向该园内20名幼儿提供午餐，该园2018年3月1日（开学）组织人员对该园食堂进行了一次食品安全大检查，但该园食堂工作人员因工作疏忽大意未发现</w:t>
      </w:r>
      <w:r>
        <w:rPr>
          <w:rFonts w:hint="eastAsia" w:ascii="仿宋_GB2312" w:hAnsi="仿宋" w:eastAsia="仿宋_GB2312"/>
          <w:color w:val="auto"/>
          <w:sz w:val="30"/>
          <w:szCs w:val="30"/>
          <w:lang w:val="en-US" w:eastAsia="zh-CN"/>
        </w:rPr>
        <w:t>“嫩肉淀粉”</w:t>
      </w:r>
      <w:r>
        <w:rPr>
          <w:rFonts w:hint="eastAsia" w:ascii="Times New Roman" w:hAnsi="Times New Roman" w:eastAsia="仿宋_GB2312"/>
          <w:color w:val="auto"/>
          <w:sz w:val="30"/>
          <w:szCs w:val="30"/>
          <w:lang w:val="en-US" w:eastAsia="zh-CN"/>
        </w:rPr>
        <w:t>已超过保质期的情况。2018年3月20日我局执法人员到该园提取了</w:t>
      </w:r>
      <w:r>
        <w:rPr>
          <w:rFonts w:hint="eastAsia" w:ascii="仿宋_GB2312" w:hAnsi="Times New Roman" w:eastAsia="仿宋_GB2312"/>
          <w:color w:val="auto"/>
          <w:sz w:val="30"/>
          <w:szCs w:val="30"/>
          <w:lang w:val="en-US" w:eastAsia="zh-CN"/>
        </w:rPr>
        <w:t>2018年3月1日至检查当日的幼儿园食堂工作人员加工烹饪食品的视频录像资料，经过执法人员详细查看该视频录像资料，未发现其食堂工作人员在该园食堂内使用该</w:t>
      </w:r>
      <w:r>
        <w:rPr>
          <w:rFonts w:hint="eastAsia" w:ascii="仿宋_GB2312" w:hAnsi="仿宋" w:eastAsia="仿宋_GB2312"/>
          <w:color w:val="000000"/>
          <w:sz w:val="30"/>
          <w:szCs w:val="30"/>
          <w:lang w:val="en-US" w:eastAsia="zh-CN"/>
        </w:rPr>
        <w:t>“嫩肉淀粉”加工烹饪食品。</w:t>
      </w:r>
      <w:r>
        <w:rPr>
          <w:rFonts w:hint="eastAsia" w:ascii="仿宋_GB2312" w:hAnsi="Times New Roman" w:eastAsia="仿宋_GB2312"/>
          <w:color w:val="auto"/>
          <w:sz w:val="30"/>
          <w:szCs w:val="30"/>
          <w:lang w:val="en-US" w:eastAsia="zh-CN"/>
        </w:rPr>
        <w:t>排除其使用超过保质期的</w:t>
      </w:r>
      <w:r>
        <w:rPr>
          <w:rFonts w:hint="eastAsia" w:ascii="仿宋_GB2312" w:hAnsi="仿宋" w:eastAsia="仿宋_GB2312"/>
          <w:color w:val="000000"/>
          <w:sz w:val="30"/>
          <w:szCs w:val="30"/>
          <w:lang w:val="en-US" w:eastAsia="zh-CN"/>
        </w:rPr>
        <w:t>“嫩肉淀粉</w:t>
      </w:r>
      <w:r>
        <w:rPr>
          <w:rFonts w:hint="eastAsia" w:ascii="Times New Roman" w:hAnsi="Times New Roman" w:eastAsia="仿宋_GB2312"/>
          <w:color w:val="auto"/>
          <w:sz w:val="30"/>
          <w:szCs w:val="30"/>
          <w:lang w:val="en-US" w:eastAsia="zh-CN"/>
        </w:rPr>
        <w:t>”加工烹饪食品的情况。故当事人涉嫌违反《中华人民共和国食品安全法》第三十四条第一款第（三）项的违法事实不成立。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both"/>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当事人未按规定实施生产经营过程控制要求的行为违反了《中华人民共和国食品安全法》第五十五条第一款，未按规定履行食品安全管理责任违反了《四川省学校食堂食品安全管理办法》第二章第八条的规定，依据《中华人民共和国食品安全法》第一百二十六条第一款第（十二）和（十三）项的规定，我局决定对当事人进行以下行政处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both"/>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对其未按规定实施生产经营过程控制要求的行为和未按规定履行食品安全管理责任的行为予以“警告”。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both"/>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 xml:space="preserve">如不服本决定，可在收到本处罚决定书之日起60日内，依法向遂宁市人民政府行政复议委员会办公室或者大英县人民政府申请行政复议，也可以于6个月内依法向大英县人民法院提起行政诉讼。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600" w:firstLineChars="200"/>
        <w:jc w:val="left"/>
        <w:textAlignment w:val="auto"/>
        <w:rPr>
          <w:rFonts w:hint="eastAsia" w:ascii="Times New Roman" w:hAnsi="Times New Roman" w:eastAsia="仿宋_GB2312"/>
          <w:color w:val="auto"/>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600" w:firstLineChars="200"/>
        <w:jc w:val="left"/>
        <w:textAlignment w:val="auto"/>
        <w:rPr>
          <w:rFonts w:hint="eastAsia" w:ascii="Times New Roman" w:hAnsi="Times New Roman" w:eastAsia="仿宋_GB2312"/>
          <w:color w:val="auto"/>
          <w:sz w:val="30"/>
          <w:szCs w:val="3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20" w:lineRule="exact"/>
        <w:ind w:right="0" w:rightChars="0"/>
        <w:jc w:val="center"/>
        <w:textAlignment w:val="auto"/>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 xml:space="preserve">                                 2018年6月8日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E09FB"/>
    <w:rsid w:val="0B977E57"/>
    <w:rsid w:val="1E454586"/>
    <w:rsid w:val="249004F3"/>
    <w:rsid w:val="31350993"/>
    <w:rsid w:val="3B7A47D5"/>
    <w:rsid w:val="3DBE09FB"/>
    <w:rsid w:val="4953105A"/>
    <w:rsid w:val="58A23F36"/>
    <w:rsid w:val="5D225F93"/>
    <w:rsid w:val="6C6641EA"/>
    <w:rsid w:val="6D535020"/>
    <w:rsid w:val="7669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 w:type="paragraph" w:customStyle="1" w:styleId="5">
    <w:name w:val="列出段落11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Y0HHAPARMSF0HBF\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2018-06-26T02:03:00Z</dcterms:created>
  <dc:creator>Administrator</dc:creator>
  <cp:lastModifiedBy>大英食药稽查</cp:lastModifiedBy>
  <dcterms:modified xsi:type="dcterms:W3CDTF">2018-06-26T08:24:36Z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