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93854208"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3"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93854208;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09Nh9cAAAAJAQAADwAAAAAAAAABACAAAAAiAAAA&#10;ZHJzL2Rvd25yZXYueG1sUEsBAhQAFAAAAAgAh07iQLYDUPbPAQAAkAMAAA4AAAAAAAAAAQAgAAAA&#10;JgEAAGRycy9lMm9Eb2MueG1sUEsFBgAAAAAGAAYAWQEAAGcFA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2018〕31</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 w:eastAsia="仿宋_GB2312"/>
          <w:color w:val="auto"/>
          <w:sz w:val="32"/>
          <w:szCs w:val="32"/>
          <w:lang w:val="en-US" w:eastAsia="zh-CN"/>
        </w:rPr>
        <w:t xml:space="preserve">左兴华（大英县回马镇兴华综合副食店）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2018年3月26日，我局执法人员在位于大英县回马镇临园大道34号的大英县回马镇兴华综合副食店合格品销售区域内查见：①“青花椒酸菜鱼调料”13袋，净含量：350克/袋，生产日期：2017年3月15日，保质期：12个月；②“青花椒特麻鱼调料”15袋，净含量：230克/袋，生产日期：2016年9月17日，保质期：18个月；③“怡派手指饼干”11袋，净含量：228克/袋，生产日期：2017年5月21日，保质期10个月；④“油炸辣椒花生仁”3袋，净含量：275克/袋，生产日期：2017年1月10日，保质期：12个月；⑤“一清粉条”8斤，生产日期：2017年1月5日，保质期：12个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现查明，当事人于2018年4月2日提供的《食品进货凭证》显示：2017年3月2日从从船山区健康干杂调味品经营部购进“一清粉条”1件，50把/件，进购价格：140元/件，生产者名称：仁寿县仁粉丝厂，生产日期：2017年1月5日，保质期：12个月，称重出售价格：2元/斤，剩余8斤；2017年4月5日从船山区健康干杂调味品经营部购进“青花椒特麻鱼调料”1件，净含量：230克/袋，进购价格：5元/袋，制造商：四川川辣源食品有限公司，生产日期：2016年9月17日，保质期：18个月；零售价格：7元/袋，剩余15袋。“青花椒酸菜鱼调料”1件，40袋/件，净含量：350克/袋，进购价格：5元/袋，生产厂商：四川川辣源食品有限公司，生产日期：2017年3月15日，保质期：12个月，零售价格：7元/袋，剩余13袋；2017年2月3日从“大英县蓬莱镇阿英副食店”购进“怡派手指饼干”1件，15袋/件，净含量：228克/袋，进购价格：2元/袋，制造商：成都永真食品有限公司，生产日期：2017年5月21日，保质期10个月，零售价格：5元/袋，剩余11袋；“油炸辣椒花生仁”3袋，净含量：275克/袋，进购价格：1元/袋，制造商：龙口市黄城广通食品有限公司，生产日期：2017年1月10日，保质期：12个月；零售价：6元/袋，剩余3袋；上述食品货值金额共计285元，由于当事人未留存销售记录，故无法计算违法所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上述事实有下列证据予以证实：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现场检查笔录》1份；2、《扣押决定书》《扣押清单》各1份；3、左兴华《询问调查笔录》1份；4、大英县回马镇兴华综合副食店《营业执照》《食品经营许可证》复印件各1份；5、左兴华《居民身份证》《健康证》复印件各1份；6、食品进货凭证3份；7、现场执法情况照片2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经审查，当事人经营超过保质期</w:t>
      </w:r>
      <w:r>
        <w:rPr>
          <w:rFonts w:hint="eastAsia" w:ascii="Times New Roman" w:hAnsi="Times New Roman" w:eastAsia="仿宋_GB2312"/>
          <w:color w:val="auto"/>
          <w:sz w:val="32"/>
          <w:szCs w:val="32"/>
          <w:lang w:val="en-US" w:eastAsia="zh-CN"/>
        </w:rPr>
        <w:t>食品的行为违反了《中华人民共和国食品安全法》第三十四条第一款第（十）项的规定，依据《中华人民共和国食品安全法》第一百二十四条第一款第（五）项的规定给予处罚，参照《中华人民共和国行政处罚法》第二十七条第一款第四项，《四川省食品药品行政处罚裁量适用规则》第七条、第八条第（八）项</w:t>
      </w:r>
      <w:r>
        <w:rPr>
          <w:rFonts w:hint="eastAsia" w:ascii="Times New Roman" w:hAnsi="Times New Roman" w:eastAsia="仿宋_GB2312"/>
          <w:color w:val="auto"/>
          <w:sz w:val="32"/>
          <w:szCs w:val="32"/>
          <w:lang w:val="zh-CN" w:eastAsia="zh-CN"/>
        </w:rPr>
        <w:t>的规定进行处罚。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rPr>
        <w:t>我局于2018年5月22日依法向当事人送达了《行政处罚事先告知书》[（大）食药监食罚告〔2018〕31号]、《听证告知书》[（大）食药监食听告〔2018〕31号]。当事人在法定期限内未提出陈述、申辩意见申请，</w:t>
      </w:r>
      <w:r>
        <w:rPr>
          <w:rFonts w:hint="eastAsia" w:ascii="Times New Roman" w:hAnsi="Times New Roman" w:eastAsia="仿宋_GB2312"/>
          <w:color w:val="auto"/>
          <w:sz w:val="32"/>
          <w:szCs w:val="32"/>
          <w:lang w:val="en-US" w:eastAsia="zh-CN"/>
        </w:rPr>
        <w:t>综合本案事实，</w:t>
      </w:r>
      <w:r>
        <w:rPr>
          <w:rFonts w:hint="eastAsia" w:ascii="仿宋_GB2312" w:hAnsi="仿宋_GB2312" w:eastAsia="仿宋_GB2312" w:cs="仿宋_GB2312"/>
          <w:color w:val="auto"/>
          <w:kern w:val="2"/>
          <w:sz w:val="32"/>
          <w:szCs w:val="32"/>
          <w:lang w:val="en-US" w:eastAsia="zh-CN"/>
        </w:rPr>
        <w:t>本局决定</w:t>
      </w:r>
      <w:r>
        <w:rPr>
          <w:rFonts w:hint="eastAsia" w:ascii="Times New Roman" w:hAnsi="Times New Roman" w:eastAsia="仿宋_GB2312"/>
          <w:color w:val="auto"/>
          <w:sz w:val="32"/>
          <w:szCs w:val="32"/>
          <w:lang w:eastAsia="zh-CN"/>
        </w:rPr>
        <w:t>对当事人进行以下减轻行政处罚：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1、没收超过保质期的“青花椒酸菜鱼调料”13袋、“青花椒特麻鱼调料”15袋、“怡派手指饼干”11袋、“油炸辣椒花生仁”3袋、“一清粉条”8斤；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2、处罚款15000元（壹万伍仟元）。</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r>
        <w:rPr>
          <w:rFonts w:hint="eastAsia" w:ascii="Times New Roman" w:hAnsi="Times New Roman" w:eastAsia="仿宋_GB2312"/>
          <w:color w:val="auto"/>
          <w:sz w:val="32"/>
          <w:szCs w:val="32"/>
          <w:lang w:val="en-US" w:eastAsia="zh-CN"/>
        </w:rPr>
        <w:t xml:space="preserve">                               </w:t>
      </w:r>
      <w:bookmarkStart w:id="0" w:name="_GoBack"/>
      <w:bookmarkEnd w:id="0"/>
      <w:r>
        <w:rPr>
          <w:rFonts w:hint="eastAsia" w:ascii="Times New Roman" w:hAnsi="Times New Roman" w:eastAsia="仿宋_GB2312"/>
          <w:color w:val="auto"/>
          <w:sz w:val="32"/>
          <w:szCs w:val="32"/>
          <w:lang w:val="en-US" w:eastAsia="zh-CN"/>
        </w:rPr>
        <w:t xml:space="preserve">   2018年6月8日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96133"/>
    <w:rsid w:val="1BB96133"/>
    <w:rsid w:val="1E0867A0"/>
    <w:rsid w:val="254B1DA7"/>
    <w:rsid w:val="618C0C8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2018-06-26T07:35:00Z</dcterms:created>
  <dc:creator>大英食药稽查</dc:creator>
  <cp:lastModifiedBy>大英食药稽查</cp:lastModifiedBy>
  <dcterms:modified xsi:type="dcterms:W3CDTF">2018-06-26T07:54:23Z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